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57" w:rsidRDefault="00984157">
      <w:pPr>
        <w:ind w:left="1320" w:right="1340"/>
        <w:rPr>
          <w:sz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663"/>
        <w:gridCol w:w="2165"/>
        <w:gridCol w:w="2676"/>
      </w:tblGrid>
      <w:tr w:rsidR="00FD4202" w:rsidRPr="00FD4202" w:rsidTr="007F0F5E">
        <w:tc>
          <w:tcPr>
            <w:tcW w:w="2943" w:type="dxa"/>
          </w:tcPr>
          <w:p w:rsidR="00FD4202" w:rsidRDefault="00FD4202" w:rsidP="007F0F5E">
            <w:r>
              <w:rPr>
                <w:noProof/>
              </w:rPr>
              <w:drawing>
                <wp:anchor distT="0" distB="0" distL="114300" distR="114300" simplePos="0" relativeHeight="251659264" behindDoc="0" locked="0" layoutInCell="1" allowOverlap="1" wp14:anchorId="74BAD4C5" wp14:editId="3E81796F">
                  <wp:simplePos x="0" y="0"/>
                  <wp:positionH relativeFrom="column">
                    <wp:posOffset>-73025</wp:posOffset>
                  </wp:positionH>
                  <wp:positionV relativeFrom="paragraph">
                    <wp:posOffset>-3810</wp:posOffset>
                  </wp:positionV>
                  <wp:extent cx="1885950" cy="1285875"/>
                  <wp:effectExtent l="0" t="0" r="0" b="9525"/>
                  <wp:wrapNone/>
                  <wp:docPr id="3" name="Image 2" descr="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GH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6506" cy="1286254"/>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FD4202" w:rsidRDefault="00FD4202" w:rsidP="007F0F5E"/>
          <w:p w:rsidR="00FD4202" w:rsidRDefault="00FD4202" w:rsidP="007F0F5E"/>
          <w:p w:rsidR="00FD4202" w:rsidRDefault="00FD4202" w:rsidP="007F0F5E"/>
        </w:tc>
        <w:tc>
          <w:tcPr>
            <w:tcW w:w="1663" w:type="dxa"/>
          </w:tcPr>
          <w:p w:rsidR="00FD4202" w:rsidRDefault="00FD4202" w:rsidP="007F0F5E"/>
          <w:p w:rsidR="00FD4202" w:rsidRDefault="00FD4202" w:rsidP="007F0F5E"/>
          <w:p w:rsidR="00FD4202" w:rsidRDefault="00FD4202" w:rsidP="007F0F5E"/>
          <w:p w:rsidR="00FD4202" w:rsidRDefault="00FD4202" w:rsidP="007F0F5E"/>
          <w:p w:rsidR="00A52843" w:rsidRDefault="00A52843" w:rsidP="007F0F5E"/>
          <w:p w:rsidR="00A52843" w:rsidRDefault="00A52843" w:rsidP="007F0F5E"/>
          <w:p w:rsidR="00A52843" w:rsidRDefault="00A52843" w:rsidP="007F0F5E"/>
        </w:tc>
        <w:tc>
          <w:tcPr>
            <w:tcW w:w="2165" w:type="dxa"/>
          </w:tcPr>
          <w:p w:rsidR="00FD4202" w:rsidRDefault="00FD4202" w:rsidP="007F0F5E"/>
          <w:p w:rsidR="00FD4202" w:rsidRDefault="00FD4202" w:rsidP="007F0F5E"/>
          <w:p w:rsidR="00FD4202" w:rsidRDefault="00FD4202" w:rsidP="007F0F5E"/>
          <w:p w:rsidR="00FD4202" w:rsidRDefault="00FD4202" w:rsidP="007F0F5E"/>
        </w:tc>
        <w:tc>
          <w:tcPr>
            <w:tcW w:w="2441" w:type="dxa"/>
          </w:tcPr>
          <w:p w:rsidR="00FD4202" w:rsidRPr="0093672E" w:rsidRDefault="00F86DFC" w:rsidP="007F0F5E">
            <w:pPr>
              <w:rPr>
                <w:b/>
                <w:bCs/>
              </w:rPr>
            </w:pPr>
            <w:r>
              <w:rPr>
                <w:noProof/>
              </w:rPr>
              <w:drawing>
                <wp:inline distT="0" distB="0" distL="0" distR="0" wp14:anchorId="48B9A713" wp14:editId="154B550D">
                  <wp:extent cx="1562100" cy="1123950"/>
                  <wp:effectExtent l="0" t="0" r="0" b="0"/>
                  <wp:docPr id="1" name="Image 1" descr="Logo carré"/>
                  <wp:cNvGraphicFramePr/>
                  <a:graphic xmlns:a="http://schemas.openxmlformats.org/drawingml/2006/main">
                    <a:graphicData uri="http://schemas.openxmlformats.org/drawingml/2006/picture">
                      <pic:pic xmlns:pic="http://schemas.openxmlformats.org/drawingml/2006/picture">
                        <pic:nvPicPr>
                          <pic:cNvPr id="1" name="Image 1" descr="Logo carré"/>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123950"/>
                          </a:xfrm>
                          <a:prstGeom prst="rect">
                            <a:avLst/>
                          </a:prstGeom>
                          <a:noFill/>
                          <a:ln>
                            <a:noFill/>
                          </a:ln>
                        </pic:spPr>
                      </pic:pic>
                    </a:graphicData>
                  </a:graphic>
                </wp:inline>
              </w:drawing>
            </w:r>
          </w:p>
        </w:tc>
      </w:tr>
    </w:tbl>
    <w:p w:rsidR="00984157" w:rsidRPr="00FD4202" w:rsidRDefault="00984157">
      <w:pPr>
        <w:spacing w:after="160" w:line="240" w:lineRule="exact"/>
        <w:rPr>
          <w:lang w:val="fr-FR"/>
        </w:rPr>
      </w:pPr>
    </w:p>
    <w:p w:rsidR="00FD4202" w:rsidRPr="00FD4202" w:rsidRDefault="00FD4202">
      <w:pPr>
        <w:spacing w:after="160" w:line="240" w:lineRule="exact"/>
        <w:rPr>
          <w:lang w:val="fr-FR"/>
        </w:rPr>
      </w:pPr>
    </w:p>
    <w:tbl>
      <w:tblPr>
        <w:tblW w:w="0" w:type="auto"/>
        <w:tblInd w:w="20" w:type="dxa"/>
        <w:tblLayout w:type="fixed"/>
        <w:tblLook w:val="04A0" w:firstRow="1" w:lastRow="0" w:firstColumn="1" w:lastColumn="0" w:noHBand="0" w:noVBand="1"/>
      </w:tblPr>
      <w:tblGrid>
        <w:gridCol w:w="9620"/>
      </w:tblGrid>
      <w:tr w:rsidR="00984157">
        <w:tc>
          <w:tcPr>
            <w:tcW w:w="9620" w:type="dxa"/>
            <w:shd w:val="clear" w:color="666553" w:fill="666553"/>
            <w:tcMar>
              <w:top w:w="40" w:type="dxa"/>
              <w:left w:w="0" w:type="dxa"/>
              <w:bottom w:w="0" w:type="dxa"/>
              <w:right w:w="0" w:type="dxa"/>
            </w:tcMar>
            <w:vAlign w:val="center"/>
          </w:tcPr>
          <w:p w:rsidR="00984157" w:rsidRDefault="00F07086">
            <w:pPr>
              <w:jc w:val="center"/>
              <w:rPr>
                <w:rFonts w:ascii="Arial" w:eastAsia="Arial" w:hAnsi="Arial" w:cs="Arial"/>
                <w:b/>
                <w:color w:val="FFFFFF"/>
                <w:sz w:val="28"/>
                <w:lang w:val="fr-FR"/>
              </w:rPr>
            </w:pPr>
            <w:r>
              <w:rPr>
                <w:rFonts w:ascii="Arial" w:eastAsia="Arial" w:hAnsi="Arial" w:cs="Arial"/>
                <w:b/>
                <w:color w:val="FFFFFF"/>
                <w:sz w:val="28"/>
                <w:lang w:val="fr-FR"/>
              </w:rPr>
              <w:t>RÈGLEMENT DE LA CONSULTATION</w:t>
            </w:r>
          </w:p>
        </w:tc>
      </w:tr>
    </w:tbl>
    <w:p w:rsidR="00984157" w:rsidRDefault="00F07086">
      <w:pPr>
        <w:spacing w:line="240" w:lineRule="exact"/>
      </w:pPr>
      <w:r>
        <w:t xml:space="preserve"> </w:t>
      </w:r>
    </w:p>
    <w:p w:rsidR="00984157" w:rsidRDefault="00984157">
      <w:pPr>
        <w:spacing w:after="120" w:line="240" w:lineRule="exact"/>
      </w:pPr>
    </w:p>
    <w:p w:rsidR="00984157" w:rsidRDefault="00F07086">
      <w:pPr>
        <w:spacing w:before="40"/>
        <w:ind w:left="20" w:right="20"/>
        <w:jc w:val="center"/>
        <w:rPr>
          <w:rFonts w:ascii="Arial" w:eastAsia="Arial" w:hAnsi="Arial" w:cs="Arial"/>
          <w:b/>
          <w:color w:val="000000"/>
          <w:sz w:val="28"/>
          <w:lang w:val="fr-FR"/>
        </w:rPr>
      </w:pPr>
      <w:r>
        <w:rPr>
          <w:rFonts w:ascii="Arial" w:eastAsia="Arial" w:hAnsi="Arial" w:cs="Arial"/>
          <w:b/>
          <w:color w:val="000000"/>
          <w:sz w:val="28"/>
          <w:lang w:val="fr-FR"/>
        </w:rPr>
        <w:t>MARCHÉ PUBLIC D'ÉTUDES</w:t>
      </w:r>
    </w:p>
    <w:p w:rsidR="00984157" w:rsidRDefault="00984157">
      <w:pPr>
        <w:spacing w:line="240" w:lineRule="exact"/>
      </w:pPr>
    </w:p>
    <w:p w:rsidR="00984157" w:rsidRDefault="00984157">
      <w:pPr>
        <w:spacing w:line="240" w:lineRule="exact"/>
      </w:pPr>
    </w:p>
    <w:p w:rsidR="00984157" w:rsidRDefault="00984157">
      <w:pPr>
        <w:spacing w:line="240" w:lineRule="exact"/>
      </w:pPr>
    </w:p>
    <w:p w:rsidR="00984157" w:rsidRDefault="00984157">
      <w:pPr>
        <w:spacing w:line="240" w:lineRule="exact"/>
      </w:pPr>
    </w:p>
    <w:p w:rsidR="00984157" w:rsidRDefault="00984157">
      <w:pPr>
        <w:spacing w:line="240" w:lineRule="exact"/>
      </w:pPr>
    </w:p>
    <w:p w:rsidR="00984157" w:rsidRDefault="00984157">
      <w:pPr>
        <w:spacing w:line="240" w:lineRule="exact"/>
      </w:pPr>
    </w:p>
    <w:p w:rsidR="00984157" w:rsidRDefault="00984157">
      <w:pPr>
        <w:spacing w:line="240" w:lineRule="exact"/>
      </w:pPr>
    </w:p>
    <w:p w:rsidR="00984157" w:rsidRDefault="00984157">
      <w:pPr>
        <w:spacing w:after="180" w:line="240" w:lineRule="exact"/>
      </w:pPr>
    </w:p>
    <w:tbl>
      <w:tblPr>
        <w:tblW w:w="0" w:type="auto"/>
        <w:tblInd w:w="1280" w:type="dxa"/>
        <w:tblLayout w:type="fixed"/>
        <w:tblLook w:val="04A0" w:firstRow="1" w:lastRow="0" w:firstColumn="1" w:lastColumn="0" w:noHBand="0" w:noVBand="1"/>
      </w:tblPr>
      <w:tblGrid>
        <w:gridCol w:w="7100"/>
      </w:tblGrid>
      <w:tr w:rsidR="00984157" w:rsidRPr="002142B6">
        <w:tc>
          <w:tcPr>
            <w:tcW w:w="7100" w:type="dxa"/>
            <w:tcBorders>
              <w:top w:val="single" w:sz="4" w:space="0" w:color="000000"/>
              <w:bottom w:val="single" w:sz="4" w:space="0" w:color="000000"/>
            </w:tcBorders>
            <w:tcMar>
              <w:top w:w="400" w:type="dxa"/>
              <w:left w:w="0" w:type="dxa"/>
              <w:bottom w:w="400" w:type="dxa"/>
              <w:right w:w="0" w:type="dxa"/>
            </w:tcMar>
            <w:vAlign w:val="center"/>
          </w:tcPr>
          <w:p w:rsidR="00984157" w:rsidRDefault="002E446B">
            <w:pPr>
              <w:spacing w:line="322" w:lineRule="exact"/>
              <w:jc w:val="center"/>
              <w:rPr>
                <w:rFonts w:ascii="Arial" w:eastAsia="Arial" w:hAnsi="Arial" w:cs="Arial"/>
                <w:b/>
                <w:color w:val="000000"/>
                <w:sz w:val="28"/>
                <w:lang w:val="fr-FR"/>
              </w:rPr>
            </w:pPr>
            <w:r w:rsidRPr="002E446B">
              <w:rPr>
                <w:rFonts w:ascii="Arial" w:eastAsia="Arial" w:hAnsi="Arial" w:cs="Arial"/>
                <w:b/>
                <w:color w:val="000000"/>
                <w:sz w:val="28"/>
                <w:lang w:val="fr-FR"/>
              </w:rPr>
              <w:t>Evaluation de la qualité des établissements et services sociaux et médico-sociaux, sur le secteur des personnes âgées et en situation de handicap, pour les établissements du GHT Territoires d’Auvergne concernés.</w:t>
            </w:r>
          </w:p>
        </w:tc>
      </w:tr>
    </w:tbl>
    <w:p w:rsidR="00984157" w:rsidRPr="00F07086" w:rsidRDefault="00F07086">
      <w:pPr>
        <w:spacing w:line="240" w:lineRule="exact"/>
        <w:rPr>
          <w:lang w:val="fr-FR"/>
        </w:rPr>
      </w:pPr>
      <w:r w:rsidRPr="00F07086">
        <w:rPr>
          <w:lang w:val="fr-FR"/>
        </w:rPr>
        <w:t xml:space="preserve"> </w:t>
      </w:r>
    </w:p>
    <w:p w:rsidR="00984157" w:rsidRPr="00F07086" w:rsidRDefault="00984157">
      <w:pPr>
        <w:spacing w:after="180" w:line="240" w:lineRule="exact"/>
        <w:rPr>
          <w:lang w:val="fr-FR"/>
        </w:rPr>
      </w:pPr>
    </w:p>
    <w:p w:rsidR="00984157" w:rsidRDefault="00F07086">
      <w:pPr>
        <w:spacing w:before="80" w:after="20"/>
        <w:ind w:left="20" w:right="20"/>
        <w:jc w:val="center"/>
        <w:rPr>
          <w:rFonts w:ascii="Arial" w:eastAsia="Arial" w:hAnsi="Arial" w:cs="Arial"/>
          <w:color w:val="000000"/>
          <w:lang w:val="fr-FR"/>
        </w:rPr>
      </w:pPr>
      <w:r>
        <w:rPr>
          <w:rFonts w:ascii="Arial" w:eastAsia="Arial" w:hAnsi="Arial" w:cs="Arial"/>
          <w:color w:val="000000"/>
          <w:lang w:val="fr-FR"/>
        </w:rPr>
        <w:t>Date et heure limites de réception des offres :</w:t>
      </w:r>
    </w:p>
    <w:p w:rsidR="00984157" w:rsidRDefault="00F86DFC">
      <w:pPr>
        <w:spacing w:before="80" w:after="20"/>
        <w:ind w:left="20" w:right="20"/>
        <w:jc w:val="center"/>
        <w:rPr>
          <w:rFonts w:ascii="Arial" w:eastAsia="Arial" w:hAnsi="Arial" w:cs="Arial"/>
          <w:color w:val="000000"/>
          <w:lang w:val="fr-FR"/>
        </w:rPr>
      </w:pPr>
      <w:r>
        <w:rPr>
          <w:rFonts w:ascii="Arial" w:eastAsia="Arial" w:hAnsi="Arial" w:cs="Arial"/>
          <w:color w:val="000000"/>
          <w:lang w:val="fr-FR"/>
        </w:rPr>
        <w:t>Précisé dans l’avis d’appel public à la concurrence</w:t>
      </w:r>
    </w:p>
    <w:p w:rsidR="00984157" w:rsidRPr="00F07086" w:rsidRDefault="00984157">
      <w:pPr>
        <w:spacing w:line="240" w:lineRule="exact"/>
        <w:rPr>
          <w:lang w:val="fr-FR"/>
        </w:rPr>
      </w:pPr>
    </w:p>
    <w:p w:rsidR="00984157" w:rsidRPr="00F07086" w:rsidRDefault="00984157">
      <w:pPr>
        <w:spacing w:line="240" w:lineRule="exact"/>
        <w:rPr>
          <w:lang w:val="fr-FR"/>
        </w:rPr>
      </w:pPr>
    </w:p>
    <w:p w:rsidR="00984157" w:rsidRPr="00F07086" w:rsidRDefault="00984157">
      <w:pPr>
        <w:spacing w:line="240" w:lineRule="exact"/>
        <w:rPr>
          <w:lang w:val="fr-FR"/>
        </w:rPr>
      </w:pPr>
    </w:p>
    <w:p w:rsidR="00984157" w:rsidRPr="00F07086" w:rsidRDefault="00984157">
      <w:pPr>
        <w:spacing w:line="240" w:lineRule="exact"/>
        <w:rPr>
          <w:lang w:val="fr-FR"/>
        </w:rPr>
      </w:pPr>
    </w:p>
    <w:p w:rsidR="00984157" w:rsidRPr="00F07086" w:rsidRDefault="00984157">
      <w:pPr>
        <w:spacing w:line="240" w:lineRule="exact"/>
        <w:rPr>
          <w:lang w:val="fr-FR"/>
        </w:rPr>
      </w:pPr>
    </w:p>
    <w:p w:rsidR="00984157" w:rsidRPr="00F07086" w:rsidRDefault="00984157">
      <w:pPr>
        <w:spacing w:line="240" w:lineRule="exact"/>
        <w:rPr>
          <w:lang w:val="fr-FR"/>
        </w:rPr>
      </w:pPr>
    </w:p>
    <w:p w:rsidR="00984157" w:rsidRPr="00F07086" w:rsidRDefault="00984157">
      <w:pPr>
        <w:spacing w:line="240" w:lineRule="exact"/>
        <w:rPr>
          <w:lang w:val="fr-FR"/>
        </w:rPr>
      </w:pPr>
    </w:p>
    <w:p w:rsidR="00984157" w:rsidRPr="00F07086" w:rsidRDefault="00984157">
      <w:pPr>
        <w:spacing w:line="240" w:lineRule="exact"/>
        <w:rPr>
          <w:lang w:val="fr-FR"/>
        </w:rPr>
      </w:pPr>
    </w:p>
    <w:p w:rsidR="00984157" w:rsidRDefault="00F07086">
      <w:pPr>
        <w:spacing w:line="276" w:lineRule="exact"/>
        <w:ind w:left="20" w:right="20"/>
        <w:jc w:val="center"/>
        <w:rPr>
          <w:rFonts w:ascii="Arial" w:eastAsia="Arial" w:hAnsi="Arial" w:cs="Arial"/>
          <w:b/>
          <w:color w:val="000000"/>
          <w:lang w:val="fr-FR"/>
        </w:rPr>
      </w:pPr>
      <w:r>
        <w:rPr>
          <w:rFonts w:ascii="Arial" w:eastAsia="Arial" w:hAnsi="Arial" w:cs="Arial"/>
          <w:b/>
          <w:color w:val="000000"/>
          <w:lang w:val="fr-FR"/>
        </w:rPr>
        <w:t>Groupement Hospitalier des Territoires d'Auvergne</w:t>
      </w:r>
    </w:p>
    <w:p w:rsidR="00984157" w:rsidRDefault="00F07086">
      <w:pPr>
        <w:spacing w:line="276" w:lineRule="exact"/>
        <w:ind w:left="20" w:right="20"/>
        <w:jc w:val="center"/>
        <w:rPr>
          <w:rFonts w:ascii="Arial" w:eastAsia="Arial" w:hAnsi="Arial" w:cs="Arial"/>
          <w:color w:val="000000"/>
          <w:lang w:val="fr-FR"/>
        </w:rPr>
      </w:pPr>
      <w:r>
        <w:rPr>
          <w:rFonts w:ascii="Arial" w:eastAsia="Arial" w:hAnsi="Arial" w:cs="Arial"/>
          <w:b/>
          <w:color w:val="000000"/>
          <w:lang w:val="fr-FR"/>
        </w:rPr>
        <w:t xml:space="preserve">Etablissement support CHU de Clermont-Ferrand </w:t>
      </w:r>
    </w:p>
    <w:p w:rsidR="00984157" w:rsidRDefault="00F07086">
      <w:pPr>
        <w:spacing w:line="276" w:lineRule="exact"/>
        <w:ind w:left="20" w:right="20"/>
        <w:jc w:val="center"/>
        <w:rPr>
          <w:rFonts w:ascii="Arial" w:eastAsia="Arial" w:hAnsi="Arial" w:cs="Arial"/>
          <w:color w:val="000000"/>
          <w:lang w:val="fr-FR"/>
        </w:rPr>
      </w:pPr>
      <w:r>
        <w:rPr>
          <w:rFonts w:ascii="Arial" w:eastAsia="Arial" w:hAnsi="Arial" w:cs="Arial"/>
          <w:color w:val="000000"/>
          <w:lang w:val="fr-FR"/>
        </w:rPr>
        <w:t>58 Rue Montalembert</w:t>
      </w:r>
    </w:p>
    <w:p w:rsidR="00984157" w:rsidRDefault="00F07086">
      <w:pPr>
        <w:spacing w:line="276" w:lineRule="exact"/>
        <w:ind w:left="20" w:right="20"/>
        <w:jc w:val="center"/>
        <w:rPr>
          <w:rFonts w:ascii="Arial" w:eastAsia="Arial" w:hAnsi="Arial" w:cs="Arial"/>
          <w:color w:val="000000"/>
          <w:lang w:val="fr-FR"/>
        </w:rPr>
      </w:pPr>
      <w:r>
        <w:rPr>
          <w:rFonts w:ascii="Arial" w:eastAsia="Arial" w:hAnsi="Arial" w:cs="Arial"/>
          <w:color w:val="000000"/>
          <w:lang w:val="fr-FR"/>
        </w:rPr>
        <w:t>63003 CLERMONT-FERRAND</w:t>
      </w:r>
    </w:p>
    <w:p w:rsidR="00984157" w:rsidRDefault="00984157">
      <w:pPr>
        <w:spacing w:line="276" w:lineRule="exact"/>
        <w:ind w:left="20" w:right="20"/>
        <w:jc w:val="center"/>
        <w:rPr>
          <w:rFonts w:ascii="Arial" w:eastAsia="Arial" w:hAnsi="Arial" w:cs="Arial"/>
          <w:color w:val="000000"/>
          <w:lang w:val="fr-FR"/>
        </w:rPr>
        <w:sectPr w:rsidR="00984157">
          <w:pgSz w:w="11900" w:h="16840"/>
          <w:pgMar w:top="1134" w:right="1134" w:bottom="1134" w:left="1134" w:header="1134" w:footer="1134" w:gutter="0"/>
          <w:cols w:space="708"/>
        </w:sectPr>
      </w:pPr>
    </w:p>
    <w:p w:rsidR="00984157" w:rsidRPr="00F07086" w:rsidRDefault="00984157">
      <w:pPr>
        <w:spacing w:line="20" w:lineRule="exact"/>
        <w:rPr>
          <w:sz w:val="2"/>
          <w:lang w:val="fr-FR"/>
        </w:rPr>
      </w:pPr>
    </w:p>
    <w:p w:rsidR="00984157" w:rsidRDefault="00F07086">
      <w:pPr>
        <w:spacing w:after="120"/>
        <w:ind w:left="20" w:right="20"/>
        <w:jc w:val="center"/>
        <w:rPr>
          <w:rFonts w:ascii="Arial" w:eastAsia="Arial" w:hAnsi="Arial" w:cs="Arial"/>
          <w:b/>
          <w:color w:val="000000"/>
          <w:lang w:val="fr-FR"/>
        </w:rPr>
      </w:pPr>
      <w:r>
        <w:rPr>
          <w:rFonts w:ascii="Arial" w:eastAsia="Arial" w:hAnsi="Arial" w:cs="Arial"/>
          <w:b/>
          <w:color w:val="000000"/>
          <w:lang w:val="fr-FR"/>
        </w:rPr>
        <w:t>SOMMAIRE</w:t>
      </w:r>
    </w:p>
    <w:p w:rsidR="00984157" w:rsidRPr="00F07086" w:rsidRDefault="00984157">
      <w:pPr>
        <w:spacing w:after="80" w:line="240" w:lineRule="exact"/>
        <w:rPr>
          <w:lang w:val="fr-FR"/>
        </w:rPr>
      </w:pP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sz w:val="22"/>
          <w:lang w:val="fr-FR"/>
        </w:rPr>
        <w:fldChar w:fldCharType="begin"/>
      </w:r>
      <w:r>
        <w:rPr>
          <w:rFonts w:ascii="Arial" w:eastAsia="Arial" w:hAnsi="Arial" w:cs="Arial"/>
          <w:color w:val="000000"/>
          <w:sz w:val="22"/>
          <w:lang w:val="fr-FR"/>
        </w:rPr>
        <w:instrText xml:space="preserve"> TOC </w:instrText>
      </w:r>
      <w:r>
        <w:rPr>
          <w:rFonts w:ascii="Arial" w:eastAsia="Arial" w:hAnsi="Arial" w:cs="Arial"/>
          <w:color w:val="000000"/>
          <w:sz w:val="22"/>
          <w:lang w:val="fr-FR"/>
        </w:rPr>
        <w:fldChar w:fldCharType="separate"/>
      </w:r>
      <w:r>
        <w:rPr>
          <w:rFonts w:ascii="Arial" w:eastAsia="Arial" w:hAnsi="Arial" w:cs="Arial"/>
          <w:color w:val="000000"/>
          <w:lang w:val="fr-FR"/>
        </w:rPr>
        <w:t>1 - Objet et étendue de la consultation</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_Toc256000000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3</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1.1 - Objet</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_Toc256000001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3</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1.2 - Mode de passation</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_Toc256000002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3</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1.3 - Type et forme de contrat</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_Toc256000003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3</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1.4 - Décomposition de la consultation</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_Toc256000004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3</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1.5 - Nomenclature</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_Toc256000005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4</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2 - Conditions de la consultation</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_Toc256000006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4</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2.1 - Délai de validité des offres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_Toc256000007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4</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2.2 - Forme juridique du groupement</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_Toc256000008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4</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2.3 - Variantes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_Toc256000009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4</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2.4 - Confidentialité et mesures de sécurité</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_Toc256000010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4</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3 - Les intervenants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_Toc256000011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5</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3.1 - Coordonnateur</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_Toc256000012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5</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4 - Conditions relatives au contrat</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_Toc256000013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5</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4.1 - Durée du contrat ou délai d'exécution</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_Toc256000014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5</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4.2 - Modalités essentielles de financement et de paiement</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_Toc256000015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5</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5 - Contenu du dossier de consultation</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_Toc256000016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5</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6 - Présentation des candidatures et des offres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_Toc256000017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6</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6.1 - Documents à produire</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_Toc256000018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6</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7 - Conditions d'envoi ou de remise des plis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_Toc256000019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7</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7.1 - Transmission électronique</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_Toc256000020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7</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7.2 - Transmission sous support papier</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_Toc256000021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9</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8 - Examen des candidatures et des offres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_Toc256000022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9</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8.1 - Sélection des candidatures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_Toc256000023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9</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8.2 - Attribution des marchés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_Toc256000024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9</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8.3 - Suite à donner à la consultation</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_Toc256000025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10</w:t>
      </w:r>
      <w:r>
        <w:rPr>
          <w:rFonts w:ascii="Arial" w:eastAsia="Arial" w:hAnsi="Arial" w:cs="Arial"/>
        </w:rPr>
        <w:fldChar w:fldCharType="end"/>
      </w:r>
    </w:p>
    <w:p w:rsidR="00984157" w:rsidRPr="00F07086" w:rsidRDefault="00F07086">
      <w:pPr>
        <w:pStyle w:val="TM1"/>
        <w:tabs>
          <w:tab w:val="right" w:leader="dot" w:pos="9622"/>
        </w:tabs>
        <w:rPr>
          <w:rFonts w:ascii="Calibri" w:hAnsi="Calibri"/>
          <w:noProof/>
          <w:sz w:val="22"/>
          <w:lang w:val="fr-FR"/>
        </w:rPr>
      </w:pPr>
      <w:r>
        <w:rPr>
          <w:rFonts w:ascii="Arial" w:eastAsia="Arial" w:hAnsi="Arial" w:cs="Arial"/>
          <w:color w:val="000000"/>
          <w:lang w:val="fr-FR"/>
        </w:rPr>
        <w:t>9 - Renseignements complémentaires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_Toc256000026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10</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9.1 - Adresses supplémentaires et points de contact</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_Toc256000027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10</w:t>
      </w:r>
      <w:r>
        <w:rPr>
          <w:rFonts w:ascii="Arial" w:eastAsia="Arial" w:hAnsi="Arial" w:cs="Arial"/>
        </w:rPr>
        <w:fldChar w:fldCharType="end"/>
      </w:r>
    </w:p>
    <w:p w:rsidR="00984157" w:rsidRPr="00F07086" w:rsidRDefault="00F07086">
      <w:pPr>
        <w:pStyle w:val="TM2"/>
        <w:tabs>
          <w:tab w:val="right" w:leader="dot" w:pos="9622"/>
        </w:tabs>
        <w:rPr>
          <w:rFonts w:ascii="Calibri" w:hAnsi="Calibri"/>
          <w:noProof/>
          <w:sz w:val="22"/>
          <w:lang w:val="fr-FR"/>
        </w:rPr>
      </w:pPr>
      <w:r>
        <w:rPr>
          <w:rFonts w:ascii="Arial" w:eastAsia="Arial" w:hAnsi="Arial" w:cs="Arial"/>
          <w:color w:val="000000"/>
          <w:lang w:val="fr-FR"/>
        </w:rPr>
        <w:t>9.2 - Procédures de recours</w:t>
      </w:r>
      <w:r w:rsidRPr="00F07086">
        <w:rPr>
          <w:rFonts w:ascii="Arial" w:eastAsia="Arial" w:hAnsi="Arial" w:cs="Arial"/>
          <w:lang w:val="fr-FR"/>
        </w:rPr>
        <w:tab/>
      </w:r>
      <w:r>
        <w:rPr>
          <w:rFonts w:ascii="Arial" w:eastAsia="Arial" w:hAnsi="Arial" w:cs="Arial"/>
        </w:rPr>
        <w:fldChar w:fldCharType="begin"/>
      </w:r>
      <w:r w:rsidRPr="00F07086">
        <w:rPr>
          <w:rFonts w:ascii="Arial" w:eastAsia="Arial" w:hAnsi="Arial" w:cs="Arial"/>
          <w:lang w:val="fr-FR"/>
        </w:rPr>
        <w:instrText xml:space="preserve"> PAGEREF _Toc256000028 \h </w:instrText>
      </w:r>
      <w:r>
        <w:rPr>
          <w:rFonts w:ascii="Arial" w:eastAsia="Arial" w:hAnsi="Arial" w:cs="Arial"/>
        </w:rPr>
      </w:r>
      <w:r>
        <w:rPr>
          <w:rFonts w:ascii="Arial" w:eastAsia="Arial" w:hAnsi="Arial" w:cs="Arial"/>
        </w:rPr>
        <w:fldChar w:fldCharType="separate"/>
      </w:r>
      <w:r w:rsidRPr="00F07086">
        <w:rPr>
          <w:rFonts w:ascii="Arial" w:eastAsia="Arial" w:hAnsi="Arial" w:cs="Arial"/>
          <w:lang w:val="fr-FR"/>
        </w:rPr>
        <w:t>10</w:t>
      </w:r>
      <w:r>
        <w:rPr>
          <w:rFonts w:ascii="Arial" w:eastAsia="Arial" w:hAnsi="Arial" w:cs="Arial"/>
        </w:rPr>
        <w:fldChar w:fldCharType="end"/>
      </w:r>
    </w:p>
    <w:p w:rsidR="00984157" w:rsidRDefault="00F07086">
      <w:pPr>
        <w:spacing w:after="140"/>
        <w:ind w:left="20" w:right="20"/>
        <w:jc w:val="both"/>
        <w:rPr>
          <w:rFonts w:ascii="Arial" w:eastAsia="Arial" w:hAnsi="Arial" w:cs="Arial"/>
          <w:color w:val="000000"/>
          <w:sz w:val="22"/>
          <w:lang w:val="fr-FR"/>
        </w:rPr>
        <w:sectPr w:rsidR="00984157">
          <w:pgSz w:w="11900" w:h="16840"/>
          <w:pgMar w:top="1134" w:right="1134" w:bottom="1134" w:left="1134" w:header="1134" w:footer="1134" w:gutter="0"/>
          <w:cols w:space="708"/>
        </w:sectPr>
      </w:pPr>
      <w:r>
        <w:rPr>
          <w:rFonts w:ascii="Arial" w:eastAsia="Arial" w:hAnsi="Arial" w:cs="Arial"/>
          <w:color w:val="000000"/>
          <w:sz w:val="22"/>
          <w:lang w:val="fr-FR"/>
        </w:rPr>
        <w:fldChar w:fldCharType="end"/>
      </w:r>
    </w:p>
    <w:p w:rsidR="00984157" w:rsidRPr="00F07086" w:rsidRDefault="00984157">
      <w:pPr>
        <w:spacing w:line="20" w:lineRule="exact"/>
        <w:rPr>
          <w:sz w:val="2"/>
          <w:lang w:val="fr-FR"/>
        </w:rPr>
      </w:pPr>
    </w:p>
    <w:p w:rsidR="00984157" w:rsidRDefault="00F07086">
      <w:pPr>
        <w:pStyle w:val="Titre1"/>
        <w:rPr>
          <w:rFonts w:eastAsia="Arial"/>
          <w:color w:val="000000"/>
          <w:sz w:val="28"/>
          <w:lang w:val="fr-FR"/>
        </w:rPr>
      </w:pPr>
      <w:bookmarkStart w:id="0" w:name="_Toc256000000"/>
      <w:r>
        <w:rPr>
          <w:rFonts w:eastAsia="Arial"/>
          <w:color w:val="000000"/>
          <w:sz w:val="28"/>
          <w:lang w:val="fr-FR"/>
        </w:rPr>
        <w:t>1 - Objet et étendue de la consultation</w:t>
      </w:r>
      <w:bookmarkEnd w:id="0"/>
    </w:p>
    <w:p w:rsidR="00984157" w:rsidRDefault="00F07086">
      <w:pPr>
        <w:pStyle w:val="Titre2"/>
        <w:ind w:left="300" w:right="20"/>
        <w:jc w:val="both"/>
        <w:rPr>
          <w:rFonts w:eastAsia="Arial"/>
          <w:i w:val="0"/>
          <w:color w:val="000000"/>
          <w:sz w:val="24"/>
          <w:lang w:val="fr-FR"/>
        </w:rPr>
      </w:pPr>
      <w:bookmarkStart w:id="1" w:name="_Toc256000001"/>
      <w:r>
        <w:rPr>
          <w:rFonts w:eastAsia="Arial"/>
          <w:i w:val="0"/>
          <w:color w:val="000000"/>
          <w:sz w:val="24"/>
          <w:lang w:val="fr-FR"/>
        </w:rPr>
        <w:t>1.1 - Objet</w:t>
      </w:r>
      <w:bookmarkEnd w:id="1"/>
    </w:p>
    <w:p w:rsidR="00984157" w:rsidRDefault="00F07086">
      <w:pPr>
        <w:pStyle w:val="ParagrapheIndent2"/>
        <w:spacing w:line="253" w:lineRule="exact"/>
        <w:ind w:left="20" w:right="20"/>
        <w:jc w:val="both"/>
        <w:rPr>
          <w:color w:val="000000"/>
          <w:lang w:val="fr-FR"/>
        </w:rPr>
      </w:pPr>
      <w:r>
        <w:rPr>
          <w:color w:val="000000"/>
          <w:lang w:val="fr-FR"/>
        </w:rPr>
        <w:t>La présente consultation concerne :</w:t>
      </w:r>
    </w:p>
    <w:p w:rsidR="00984157" w:rsidRDefault="002E446B">
      <w:pPr>
        <w:pStyle w:val="ParagrapheIndent2"/>
        <w:spacing w:after="240" w:line="253" w:lineRule="exact"/>
        <w:ind w:left="20" w:right="20"/>
        <w:jc w:val="both"/>
        <w:rPr>
          <w:color w:val="000000"/>
          <w:lang w:val="fr-FR"/>
        </w:rPr>
      </w:pPr>
      <w:r w:rsidRPr="002E446B">
        <w:rPr>
          <w:color w:val="000000"/>
          <w:lang w:val="fr-FR"/>
        </w:rPr>
        <w:t>Evaluation de la qualité des établissements et services sociaux et médico-sociaux, sur le secteur des personnes âgées et en situation de handicap, pour les établissements du GHT Territoires d’Auvergne concernés.</w:t>
      </w:r>
    </w:p>
    <w:p w:rsidR="00984157" w:rsidRDefault="00F07086" w:rsidP="00E542F0">
      <w:pPr>
        <w:pStyle w:val="ParagrapheIndent2"/>
        <w:spacing w:line="253" w:lineRule="exact"/>
        <w:ind w:left="20" w:right="20"/>
        <w:jc w:val="both"/>
        <w:rPr>
          <w:color w:val="000000"/>
          <w:lang w:val="fr-FR"/>
        </w:rPr>
      </w:pPr>
      <w:r>
        <w:rPr>
          <w:color w:val="000000"/>
          <w:lang w:val="fr-FR"/>
        </w:rPr>
        <w:t>Lieu(x) d'exécution :</w:t>
      </w:r>
      <w:r w:rsidR="00E542F0" w:rsidRPr="00E542F0">
        <w:t xml:space="preserve"> </w:t>
      </w:r>
      <w:proofErr w:type="spellStart"/>
      <w:r w:rsidR="00E542F0">
        <w:t>Voir</w:t>
      </w:r>
      <w:proofErr w:type="spellEnd"/>
      <w:r w:rsidR="00E542F0">
        <w:t xml:space="preserve"> </w:t>
      </w:r>
      <w:r w:rsidR="00E542F0" w:rsidRPr="00E542F0">
        <w:rPr>
          <w:color w:val="000000"/>
          <w:lang w:val="fr-FR"/>
        </w:rPr>
        <w:t>ANNEXE 1 AU C.C.A.P</w:t>
      </w:r>
      <w:r w:rsidR="00E542F0">
        <w:rPr>
          <w:color w:val="000000"/>
          <w:lang w:val="fr-FR"/>
        </w:rPr>
        <w:t xml:space="preserve"> intitulée « </w:t>
      </w:r>
      <w:r w:rsidR="00E542F0" w:rsidRPr="00E542F0">
        <w:rPr>
          <w:color w:val="000000"/>
          <w:lang w:val="fr-FR"/>
        </w:rPr>
        <w:t>Etablissements et Ordonnateurs du GHT TERRITOIRES D’AUVERGNE</w:t>
      </w:r>
      <w:r w:rsidR="00E542F0">
        <w:rPr>
          <w:color w:val="000000"/>
          <w:lang w:val="fr-FR"/>
        </w:rPr>
        <w:t> »</w:t>
      </w:r>
    </w:p>
    <w:p w:rsidR="002E446B" w:rsidRDefault="002E446B" w:rsidP="00E542F0">
      <w:pPr>
        <w:pStyle w:val="ParagrapheIndent2"/>
        <w:spacing w:line="253" w:lineRule="exact"/>
        <w:ind w:right="20"/>
        <w:jc w:val="both"/>
        <w:rPr>
          <w:color w:val="000000"/>
          <w:lang w:val="fr-FR"/>
        </w:rPr>
      </w:pPr>
    </w:p>
    <w:p w:rsidR="00984157" w:rsidRDefault="00F07086" w:rsidP="00F07086">
      <w:pPr>
        <w:pStyle w:val="ParagrapheIndent2"/>
        <w:spacing w:line="253" w:lineRule="exact"/>
        <w:ind w:left="20" w:right="20"/>
        <w:jc w:val="both"/>
        <w:rPr>
          <w:color w:val="000000"/>
          <w:lang w:val="fr-FR"/>
        </w:rPr>
      </w:pPr>
      <w:r>
        <w:rPr>
          <w:color w:val="000000"/>
          <w:lang w:val="fr-FR"/>
        </w:rPr>
        <w:t>Cette consultation est lancée par un groupement d'acheteurs constitué sous la forme suivante : groupement Hospitalier de Territoire (GHT) dont l’établissement support est le CHU de Clermont Ferrand</w:t>
      </w:r>
      <w:r w:rsidR="002E446B">
        <w:rPr>
          <w:color w:val="000000"/>
          <w:lang w:val="fr-FR"/>
        </w:rPr>
        <w:t xml:space="preserve"> chargé de la passation des marchés, chaque établissement étant chargé de l’exécution du marché qui le concerne.</w:t>
      </w:r>
    </w:p>
    <w:p w:rsidR="00F07086" w:rsidRPr="00F07086" w:rsidRDefault="00F07086" w:rsidP="00F07086">
      <w:pPr>
        <w:rPr>
          <w:lang w:val="fr-FR"/>
        </w:rPr>
      </w:pPr>
    </w:p>
    <w:p w:rsidR="00984157" w:rsidRDefault="00F07086">
      <w:pPr>
        <w:pStyle w:val="Titre2"/>
        <w:ind w:left="300" w:right="20"/>
        <w:jc w:val="both"/>
        <w:rPr>
          <w:rFonts w:eastAsia="Arial"/>
          <w:i w:val="0"/>
          <w:color w:val="000000"/>
          <w:sz w:val="24"/>
          <w:lang w:val="fr-FR"/>
        </w:rPr>
      </w:pPr>
      <w:bookmarkStart w:id="2" w:name="_Toc256000002"/>
      <w:r>
        <w:rPr>
          <w:rFonts w:eastAsia="Arial"/>
          <w:i w:val="0"/>
          <w:color w:val="000000"/>
          <w:sz w:val="24"/>
          <w:lang w:val="fr-FR"/>
        </w:rPr>
        <w:t>1.2 - Mode de passation</w:t>
      </w:r>
      <w:bookmarkEnd w:id="2"/>
    </w:p>
    <w:p w:rsidR="00984157" w:rsidRDefault="00F07086">
      <w:pPr>
        <w:pStyle w:val="ParagrapheIndent2"/>
        <w:spacing w:after="240" w:line="253" w:lineRule="exact"/>
        <w:ind w:left="20" w:right="20"/>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rsidR="00984157" w:rsidRDefault="00F07086">
      <w:pPr>
        <w:pStyle w:val="Titre2"/>
        <w:ind w:left="300" w:right="20"/>
        <w:jc w:val="both"/>
        <w:rPr>
          <w:rFonts w:eastAsia="Arial"/>
          <w:i w:val="0"/>
          <w:color w:val="000000"/>
          <w:sz w:val="24"/>
          <w:lang w:val="fr-FR"/>
        </w:rPr>
      </w:pPr>
      <w:bookmarkStart w:id="3" w:name="_Toc256000003"/>
      <w:r>
        <w:rPr>
          <w:rFonts w:eastAsia="Arial"/>
          <w:i w:val="0"/>
          <w:color w:val="000000"/>
          <w:sz w:val="24"/>
          <w:lang w:val="fr-FR"/>
        </w:rPr>
        <w:t>1.3 - Type et forme de contrat</w:t>
      </w:r>
      <w:bookmarkEnd w:id="3"/>
    </w:p>
    <w:p w:rsidR="00984157" w:rsidRDefault="002E446B">
      <w:pPr>
        <w:pStyle w:val="ParagrapheIndent2"/>
        <w:spacing w:after="240" w:line="253" w:lineRule="exact"/>
        <w:ind w:left="20" w:right="20"/>
        <w:jc w:val="both"/>
        <w:rPr>
          <w:color w:val="000000"/>
          <w:lang w:val="fr-FR"/>
        </w:rPr>
      </w:pPr>
      <w:r>
        <w:rPr>
          <w:color w:val="000000"/>
          <w:lang w:val="fr-FR"/>
        </w:rPr>
        <w:t>Marché ordinaire</w:t>
      </w:r>
    </w:p>
    <w:p w:rsidR="00984157" w:rsidRDefault="00F07086">
      <w:pPr>
        <w:pStyle w:val="Titre2"/>
        <w:ind w:left="300" w:right="20"/>
        <w:jc w:val="both"/>
        <w:rPr>
          <w:rFonts w:eastAsia="Arial"/>
          <w:i w:val="0"/>
          <w:color w:val="000000"/>
          <w:sz w:val="24"/>
          <w:lang w:val="fr-FR"/>
        </w:rPr>
      </w:pPr>
      <w:bookmarkStart w:id="4" w:name="_Toc256000004"/>
      <w:r>
        <w:rPr>
          <w:rFonts w:eastAsia="Arial"/>
          <w:i w:val="0"/>
          <w:color w:val="000000"/>
          <w:sz w:val="24"/>
          <w:lang w:val="fr-FR"/>
        </w:rPr>
        <w:t>1.4 - Décomposition de la consultation</w:t>
      </w:r>
      <w:bookmarkEnd w:id="4"/>
    </w:p>
    <w:p w:rsidR="00984157" w:rsidRDefault="00F07086">
      <w:pPr>
        <w:pStyle w:val="ParagrapheIndent2"/>
        <w:spacing w:line="253" w:lineRule="exact"/>
        <w:ind w:left="20" w:right="20"/>
        <w:jc w:val="both"/>
        <w:rPr>
          <w:color w:val="000000"/>
          <w:lang w:val="fr-FR"/>
        </w:rPr>
      </w:pPr>
      <w:r>
        <w:rPr>
          <w:color w:val="000000"/>
          <w:lang w:val="fr-FR"/>
        </w:rPr>
        <w:t xml:space="preserve">Les prestations sont divisées en </w:t>
      </w:r>
      <w:r w:rsidR="002C04DB">
        <w:rPr>
          <w:color w:val="000000"/>
          <w:lang w:val="fr-FR"/>
        </w:rPr>
        <w:t>3</w:t>
      </w:r>
      <w:r>
        <w:rPr>
          <w:color w:val="000000"/>
          <w:lang w:val="fr-FR"/>
        </w:rPr>
        <w:t xml:space="preserve"> </w:t>
      </w:r>
      <w:r w:rsidR="002E446B">
        <w:rPr>
          <w:color w:val="000000"/>
          <w:lang w:val="fr-FR"/>
        </w:rPr>
        <w:t>lots</w:t>
      </w:r>
      <w:r>
        <w:rPr>
          <w:color w:val="000000"/>
          <w:lang w:val="fr-FR"/>
        </w:rPr>
        <w:t xml:space="preserve"> :</w:t>
      </w:r>
    </w:p>
    <w:p w:rsidR="00984157" w:rsidRDefault="00984157">
      <w:pPr>
        <w:spacing w:after="80" w:line="240" w:lineRule="exact"/>
        <w:rPr>
          <w:lang w:val="fr-F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6416"/>
      </w:tblGrid>
      <w:tr w:rsidR="002C04DB" w:rsidRPr="00EC7E1C" w:rsidTr="00786EE5">
        <w:trPr>
          <w:trHeight w:val="340"/>
        </w:trPr>
        <w:tc>
          <w:tcPr>
            <w:tcW w:w="4040" w:type="dxa"/>
            <w:shd w:val="clear" w:color="auto" w:fill="F2F2F2"/>
          </w:tcPr>
          <w:p w:rsidR="002C04DB" w:rsidRPr="00EC7E1C" w:rsidRDefault="002C04DB" w:rsidP="00786EE5">
            <w:p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Lots</w:t>
            </w:r>
          </w:p>
        </w:tc>
        <w:tc>
          <w:tcPr>
            <w:tcW w:w="6416" w:type="dxa"/>
            <w:shd w:val="clear" w:color="auto" w:fill="F2F2F2"/>
          </w:tcPr>
          <w:p w:rsidR="002C04DB" w:rsidRPr="00EC7E1C" w:rsidRDefault="002C04DB" w:rsidP="00786EE5">
            <w:p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Nom établissement</w:t>
            </w:r>
          </w:p>
        </w:tc>
      </w:tr>
      <w:tr w:rsidR="002C04DB" w:rsidRPr="00EC7E1C" w:rsidTr="00786EE5">
        <w:trPr>
          <w:trHeight w:val="1042"/>
        </w:trPr>
        <w:tc>
          <w:tcPr>
            <w:tcW w:w="4040" w:type="dxa"/>
            <w:shd w:val="clear" w:color="auto" w:fill="auto"/>
          </w:tcPr>
          <w:p w:rsidR="002C04DB" w:rsidRPr="00EC7E1C" w:rsidRDefault="002C04DB" w:rsidP="00786EE5">
            <w:pPr>
              <w:spacing w:before="100" w:beforeAutospacing="1" w:after="100" w:afterAutospacing="1"/>
              <w:rPr>
                <w:rFonts w:ascii="Arial" w:eastAsia="Calibri" w:hAnsi="Arial" w:cs="Arial"/>
                <w:bCs/>
                <w:sz w:val="22"/>
                <w:szCs w:val="22"/>
                <w:lang w:val="fr-FR"/>
              </w:rPr>
            </w:pPr>
          </w:p>
          <w:p w:rsidR="002C04DB" w:rsidRPr="00EC7E1C" w:rsidRDefault="002C04DB" w:rsidP="00786EE5">
            <w:pPr>
              <w:spacing w:before="100" w:beforeAutospacing="1" w:after="100" w:afterAutospacing="1"/>
              <w:jc w:val="center"/>
              <w:rPr>
                <w:rFonts w:ascii="Arial" w:eastAsia="Calibri" w:hAnsi="Arial" w:cs="Arial"/>
                <w:bCs/>
                <w:sz w:val="22"/>
                <w:szCs w:val="22"/>
                <w:lang w:val="fr-FR"/>
              </w:rPr>
            </w:pPr>
            <w:r w:rsidRPr="00EC7E1C">
              <w:rPr>
                <w:rFonts w:ascii="Arial" w:eastAsia="Calibri" w:hAnsi="Arial" w:cs="Arial"/>
                <w:bCs/>
                <w:sz w:val="22"/>
                <w:szCs w:val="22"/>
                <w:lang w:val="fr-FR"/>
              </w:rPr>
              <w:t>1</w:t>
            </w:r>
          </w:p>
        </w:tc>
        <w:tc>
          <w:tcPr>
            <w:tcW w:w="6416" w:type="dxa"/>
            <w:shd w:val="clear" w:color="auto" w:fill="auto"/>
          </w:tcPr>
          <w:p w:rsidR="002C04DB" w:rsidRPr="00EC7E1C" w:rsidRDefault="002C04DB" w:rsidP="002C04DB">
            <w:pPr>
              <w:numPr>
                <w:ilvl w:val="0"/>
                <w:numId w:val="1"/>
              </w:num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 xml:space="preserve">CH MONT DORE </w:t>
            </w:r>
            <w:r w:rsidRPr="00EC7E1C">
              <w:rPr>
                <w:rFonts w:ascii="Arial" w:eastAsia="Calibri" w:hAnsi="Arial" w:cs="Arial"/>
                <w:b/>
                <w:bCs/>
                <w:color w:val="000000"/>
                <w:sz w:val="22"/>
                <w:szCs w:val="22"/>
                <w:lang w:val="fr-FR"/>
              </w:rPr>
              <w:t xml:space="preserve">EHPAD </w:t>
            </w:r>
            <w:r w:rsidRPr="00EC7E1C">
              <w:rPr>
                <w:rFonts w:ascii="Arial" w:eastAsia="Calibri" w:hAnsi="Arial" w:cs="Arial"/>
                <w:bCs/>
                <w:color w:val="000000"/>
                <w:sz w:val="22"/>
                <w:szCs w:val="22"/>
                <w:lang w:val="fr-FR"/>
              </w:rPr>
              <w:t>« Saint Paul »</w:t>
            </w:r>
          </w:p>
          <w:p w:rsidR="002C04DB" w:rsidRPr="00EC7E1C" w:rsidRDefault="002C04DB" w:rsidP="002C04DB">
            <w:pPr>
              <w:numPr>
                <w:ilvl w:val="0"/>
                <w:numId w:val="1"/>
              </w:num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CH CŒUR DU BOURBONNAIS</w:t>
            </w:r>
            <w:r w:rsidRPr="00EC7E1C">
              <w:rPr>
                <w:rFonts w:ascii="Arial" w:eastAsia="Calibri" w:hAnsi="Arial" w:cs="Arial"/>
                <w:b/>
                <w:bCs/>
                <w:sz w:val="22"/>
                <w:szCs w:val="22"/>
                <w:lang w:val="fr-FR"/>
              </w:rPr>
              <w:t xml:space="preserve"> EHPAD</w:t>
            </w:r>
          </w:p>
        </w:tc>
      </w:tr>
      <w:tr w:rsidR="002C04DB" w:rsidRPr="00EC7E1C" w:rsidTr="00786EE5">
        <w:trPr>
          <w:trHeight w:val="406"/>
        </w:trPr>
        <w:tc>
          <w:tcPr>
            <w:tcW w:w="4040" w:type="dxa"/>
            <w:shd w:val="clear" w:color="auto" w:fill="auto"/>
          </w:tcPr>
          <w:p w:rsidR="002C04DB" w:rsidRPr="00EC7E1C" w:rsidRDefault="002C04DB" w:rsidP="00786EE5">
            <w:pPr>
              <w:spacing w:before="100" w:beforeAutospacing="1" w:after="100" w:afterAutospacing="1"/>
              <w:jc w:val="center"/>
              <w:rPr>
                <w:rFonts w:ascii="Arial" w:eastAsia="Calibri" w:hAnsi="Arial" w:cs="Arial"/>
                <w:bCs/>
                <w:sz w:val="22"/>
                <w:szCs w:val="22"/>
                <w:lang w:val="fr-FR"/>
              </w:rPr>
            </w:pPr>
            <w:r w:rsidRPr="00EC7E1C">
              <w:rPr>
                <w:rFonts w:ascii="Arial" w:eastAsia="Calibri" w:hAnsi="Arial" w:cs="Arial"/>
                <w:bCs/>
                <w:sz w:val="22"/>
                <w:szCs w:val="22"/>
                <w:lang w:val="fr-FR"/>
              </w:rPr>
              <w:t>2</w:t>
            </w:r>
          </w:p>
        </w:tc>
        <w:tc>
          <w:tcPr>
            <w:tcW w:w="6416" w:type="dxa"/>
            <w:shd w:val="clear" w:color="auto" w:fill="auto"/>
          </w:tcPr>
          <w:p w:rsidR="002C04DB" w:rsidRPr="00EC7E1C" w:rsidRDefault="002C04DB" w:rsidP="002C04DB">
            <w:pPr>
              <w:numPr>
                <w:ilvl w:val="0"/>
                <w:numId w:val="3"/>
              </w:num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 xml:space="preserve">CH BILLOM </w:t>
            </w:r>
            <w:r w:rsidRPr="00EC7E1C">
              <w:rPr>
                <w:rFonts w:ascii="Arial" w:eastAsia="Calibri" w:hAnsi="Arial" w:cs="Arial"/>
                <w:b/>
                <w:bCs/>
                <w:sz w:val="22"/>
                <w:szCs w:val="22"/>
                <w:lang w:val="fr-FR"/>
              </w:rPr>
              <w:t>MAS</w:t>
            </w:r>
            <w:r w:rsidRPr="00EC7E1C">
              <w:rPr>
                <w:rFonts w:ascii="Arial" w:eastAsia="Calibri" w:hAnsi="Arial" w:cs="Arial"/>
                <w:bCs/>
                <w:sz w:val="22"/>
                <w:szCs w:val="22"/>
                <w:lang w:val="fr-FR"/>
              </w:rPr>
              <w:t xml:space="preserve"> « Les biches »</w:t>
            </w:r>
          </w:p>
        </w:tc>
      </w:tr>
      <w:tr w:rsidR="002C04DB" w:rsidRPr="00EC7E1C" w:rsidTr="00786EE5">
        <w:tc>
          <w:tcPr>
            <w:tcW w:w="4040" w:type="dxa"/>
            <w:shd w:val="clear" w:color="auto" w:fill="auto"/>
          </w:tcPr>
          <w:p w:rsidR="002C04DB" w:rsidRPr="00EC7E1C" w:rsidRDefault="002C04DB" w:rsidP="00786EE5">
            <w:pPr>
              <w:spacing w:before="100" w:beforeAutospacing="1" w:after="100" w:afterAutospacing="1"/>
              <w:rPr>
                <w:rFonts w:ascii="Arial" w:eastAsia="Calibri" w:hAnsi="Arial" w:cs="Arial"/>
                <w:bCs/>
                <w:sz w:val="22"/>
                <w:szCs w:val="22"/>
                <w:lang w:val="fr-FR"/>
              </w:rPr>
            </w:pPr>
          </w:p>
          <w:p w:rsidR="002C04DB" w:rsidRPr="00EC7E1C" w:rsidRDefault="002C04DB" w:rsidP="00786EE5">
            <w:pPr>
              <w:spacing w:before="100" w:beforeAutospacing="1" w:after="100" w:afterAutospacing="1"/>
              <w:jc w:val="center"/>
              <w:rPr>
                <w:rFonts w:ascii="Arial" w:eastAsia="Calibri" w:hAnsi="Arial" w:cs="Arial"/>
                <w:bCs/>
                <w:sz w:val="22"/>
                <w:szCs w:val="22"/>
                <w:lang w:val="fr-FR"/>
              </w:rPr>
            </w:pPr>
            <w:r w:rsidRPr="00EC7E1C">
              <w:rPr>
                <w:rFonts w:ascii="Arial" w:eastAsia="Calibri" w:hAnsi="Arial" w:cs="Arial"/>
                <w:bCs/>
                <w:sz w:val="22"/>
                <w:szCs w:val="22"/>
                <w:lang w:val="fr-FR"/>
              </w:rPr>
              <w:t>3</w:t>
            </w:r>
          </w:p>
        </w:tc>
        <w:tc>
          <w:tcPr>
            <w:tcW w:w="6416" w:type="dxa"/>
            <w:shd w:val="clear" w:color="auto" w:fill="auto"/>
          </w:tcPr>
          <w:p w:rsidR="002C04DB" w:rsidRPr="00EC7E1C" w:rsidRDefault="002C04DB" w:rsidP="002C04DB">
            <w:pPr>
              <w:numPr>
                <w:ilvl w:val="0"/>
                <w:numId w:val="2"/>
              </w:num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 xml:space="preserve">CH MONTLUCON NERIS-LES-BAINS </w:t>
            </w:r>
            <w:r w:rsidRPr="00EC7E1C">
              <w:rPr>
                <w:rFonts w:ascii="Arial" w:eastAsia="Calibri" w:hAnsi="Arial" w:cs="Arial"/>
                <w:b/>
                <w:bCs/>
                <w:sz w:val="22"/>
                <w:szCs w:val="22"/>
                <w:lang w:val="fr-FR"/>
              </w:rPr>
              <w:t>CAMPS</w:t>
            </w:r>
          </w:p>
          <w:p w:rsidR="002C04DB" w:rsidRPr="00EC7E1C" w:rsidRDefault="002C04DB" w:rsidP="002C04DB">
            <w:pPr>
              <w:numPr>
                <w:ilvl w:val="0"/>
                <w:numId w:val="2"/>
              </w:num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 xml:space="preserve">CH VICHY </w:t>
            </w:r>
            <w:r w:rsidRPr="00EC7E1C">
              <w:rPr>
                <w:rFonts w:ascii="Arial" w:eastAsia="Calibri" w:hAnsi="Arial" w:cs="Arial"/>
                <w:b/>
                <w:bCs/>
                <w:sz w:val="22"/>
                <w:szCs w:val="22"/>
                <w:lang w:val="fr-FR"/>
              </w:rPr>
              <w:t>CAMPS</w:t>
            </w:r>
          </w:p>
          <w:p w:rsidR="002C04DB" w:rsidRPr="00EC7E1C" w:rsidRDefault="002C04DB" w:rsidP="002C04DB">
            <w:pPr>
              <w:numPr>
                <w:ilvl w:val="0"/>
                <w:numId w:val="2"/>
              </w:numPr>
              <w:spacing w:before="100" w:beforeAutospacing="1" w:after="100" w:afterAutospacing="1"/>
              <w:rPr>
                <w:rFonts w:ascii="Arial" w:eastAsia="Calibri" w:hAnsi="Arial" w:cs="Arial"/>
                <w:bCs/>
                <w:sz w:val="22"/>
                <w:szCs w:val="22"/>
                <w:lang w:val="fr-FR"/>
              </w:rPr>
            </w:pPr>
            <w:r w:rsidRPr="00EC7E1C">
              <w:rPr>
                <w:rFonts w:ascii="Arial" w:eastAsia="Calibri" w:hAnsi="Arial" w:cs="Arial"/>
                <w:bCs/>
                <w:sz w:val="22"/>
                <w:szCs w:val="22"/>
                <w:lang w:val="fr-FR"/>
              </w:rPr>
              <w:t xml:space="preserve">CH MOULINS YZEURE </w:t>
            </w:r>
            <w:r w:rsidRPr="00EC7E1C">
              <w:rPr>
                <w:rFonts w:ascii="Arial" w:eastAsia="Calibri" w:hAnsi="Arial" w:cs="Arial"/>
                <w:b/>
                <w:bCs/>
                <w:sz w:val="22"/>
                <w:szCs w:val="22"/>
                <w:lang w:val="fr-FR"/>
              </w:rPr>
              <w:t>CAMPS</w:t>
            </w:r>
          </w:p>
        </w:tc>
      </w:tr>
    </w:tbl>
    <w:p w:rsidR="002C04DB" w:rsidRDefault="002C04DB">
      <w:pPr>
        <w:spacing w:after="80" w:line="240" w:lineRule="exact"/>
        <w:rPr>
          <w:lang w:val="fr-FR"/>
        </w:rPr>
      </w:pPr>
    </w:p>
    <w:p w:rsidR="002C04DB" w:rsidRDefault="002C04DB">
      <w:pPr>
        <w:spacing w:after="80" w:line="240" w:lineRule="exact"/>
        <w:rPr>
          <w:lang w:val="fr-FR"/>
        </w:rPr>
      </w:pPr>
    </w:p>
    <w:p w:rsidR="00984157" w:rsidRDefault="00F07086">
      <w:pPr>
        <w:pStyle w:val="Titre2"/>
        <w:ind w:left="300" w:right="20"/>
        <w:jc w:val="both"/>
        <w:rPr>
          <w:rFonts w:eastAsia="Arial"/>
          <w:i w:val="0"/>
          <w:color w:val="000000"/>
          <w:sz w:val="24"/>
          <w:lang w:val="fr-FR"/>
        </w:rPr>
      </w:pPr>
      <w:bookmarkStart w:id="5" w:name="_Toc256000005"/>
      <w:r>
        <w:rPr>
          <w:rFonts w:eastAsia="Arial"/>
          <w:i w:val="0"/>
          <w:color w:val="000000"/>
          <w:sz w:val="24"/>
          <w:lang w:val="fr-FR"/>
        </w:rPr>
        <w:t>1.5 - Nomenclature</w:t>
      </w:r>
      <w:bookmarkEnd w:id="5"/>
    </w:p>
    <w:p w:rsidR="00984157" w:rsidRDefault="00F07086">
      <w:pPr>
        <w:pStyle w:val="ParagrapheIndent2"/>
        <w:spacing w:line="253" w:lineRule="exact"/>
        <w:ind w:left="20" w:right="20"/>
        <w:jc w:val="both"/>
        <w:rPr>
          <w:color w:val="000000"/>
          <w:lang w:val="fr-FR"/>
        </w:rPr>
      </w:pPr>
      <w:r>
        <w:rPr>
          <w:color w:val="000000"/>
          <w:lang w:val="fr-FR"/>
        </w:rPr>
        <w:t>La classification conforme au vocabulaire commun des marchés européens (CPV) est :</w:t>
      </w:r>
    </w:p>
    <w:p w:rsidR="00984157" w:rsidRDefault="00984157">
      <w:pPr>
        <w:pStyle w:val="ParagrapheIndent2"/>
        <w:spacing w:line="253"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1400"/>
        <w:gridCol w:w="5200"/>
        <w:gridCol w:w="1000"/>
        <w:gridCol w:w="1000"/>
        <w:gridCol w:w="1000"/>
      </w:tblGrid>
      <w:tr w:rsidR="00984157">
        <w:trPr>
          <w:trHeight w:val="468"/>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line="253" w:lineRule="exact"/>
              <w:jc w:val="center"/>
              <w:rPr>
                <w:rFonts w:ascii="Arial" w:eastAsia="Arial" w:hAnsi="Arial" w:cs="Arial"/>
                <w:color w:val="000000"/>
                <w:sz w:val="22"/>
                <w:lang w:val="fr-FR"/>
              </w:rPr>
            </w:pPr>
            <w:r>
              <w:rPr>
                <w:rFonts w:ascii="Arial" w:eastAsia="Arial" w:hAnsi="Arial" w:cs="Arial"/>
                <w:color w:val="000000"/>
                <w:sz w:val="22"/>
                <w:lang w:val="fr-FR"/>
              </w:rPr>
              <w:t>Code principal</w:t>
            </w:r>
          </w:p>
        </w:tc>
        <w:tc>
          <w:tcPr>
            <w:tcW w:w="5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200" w:after="60"/>
              <w:jc w:val="center"/>
              <w:rPr>
                <w:rFonts w:ascii="Arial" w:eastAsia="Arial" w:hAnsi="Arial" w:cs="Arial"/>
                <w:color w:val="000000"/>
                <w:sz w:val="22"/>
                <w:lang w:val="fr-FR"/>
              </w:rPr>
            </w:pPr>
            <w:r>
              <w:rPr>
                <w:rFonts w:ascii="Arial" w:eastAsia="Arial" w:hAnsi="Arial" w:cs="Arial"/>
                <w:color w:val="000000"/>
                <w:sz w:val="22"/>
                <w:lang w:val="fr-FR"/>
              </w:rPr>
              <w:t>Description</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line="253" w:lineRule="exact"/>
              <w:jc w:val="center"/>
              <w:rPr>
                <w:rFonts w:ascii="Arial" w:eastAsia="Arial" w:hAnsi="Arial" w:cs="Arial"/>
                <w:color w:val="000000"/>
                <w:sz w:val="22"/>
                <w:lang w:val="fr-FR"/>
              </w:rPr>
            </w:pPr>
            <w:r>
              <w:rPr>
                <w:rFonts w:ascii="Arial" w:eastAsia="Arial" w:hAnsi="Arial" w:cs="Arial"/>
                <w:color w:val="000000"/>
                <w:sz w:val="22"/>
                <w:lang w:val="fr-FR"/>
              </w:rPr>
              <w:t>Code suppl. 1</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line="253" w:lineRule="exact"/>
              <w:jc w:val="center"/>
              <w:rPr>
                <w:rFonts w:ascii="Arial" w:eastAsia="Arial" w:hAnsi="Arial" w:cs="Arial"/>
                <w:color w:val="000000"/>
                <w:sz w:val="22"/>
                <w:lang w:val="fr-FR"/>
              </w:rPr>
            </w:pPr>
            <w:r>
              <w:rPr>
                <w:rFonts w:ascii="Arial" w:eastAsia="Arial" w:hAnsi="Arial" w:cs="Arial"/>
                <w:color w:val="000000"/>
                <w:sz w:val="22"/>
                <w:lang w:val="fr-FR"/>
              </w:rPr>
              <w:t>Code suppl. 2</w:t>
            </w:r>
          </w:p>
        </w:tc>
        <w:tc>
          <w:tcPr>
            <w:tcW w:w="1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line="253" w:lineRule="exact"/>
              <w:jc w:val="center"/>
              <w:rPr>
                <w:rFonts w:ascii="Arial" w:eastAsia="Arial" w:hAnsi="Arial" w:cs="Arial"/>
                <w:color w:val="000000"/>
                <w:sz w:val="22"/>
                <w:lang w:val="fr-FR"/>
              </w:rPr>
            </w:pPr>
            <w:r>
              <w:rPr>
                <w:rFonts w:ascii="Arial" w:eastAsia="Arial" w:hAnsi="Arial" w:cs="Arial"/>
                <w:color w:val="000000"/>
                <w:sz w:val="22"/>
                <w:lang w:val="fr-FR"/>
              </w:rPr>
              <w:t>Code suppl. 3</w:t>
            </w:r>
          </w:p>
        </w:tc>
      </w:tr>
      <w:tr w:rsidR="00984157">
        <w:trPr>
          <w:trHeight w:val="36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2E446B">
            <w:pPr>
              <w:spacing w:before="100" w:after="20"/>
              <w:jc w:val="center"/>
              <w:rPr>
                <w:rFonts w:ascii="Arial" w:eastAsia="Arial" w:hAnsi="Arial" w:cs="Arial"/>
                <w:color w:val="000000"/>
                <w:sz w:val="22"/>
                <w:lang w:val="fr-FR"/>
              </w:rPr>
            </w:pPr>
            <w:r w:rsidRPr="002E446B">
              <w:rPr>
                <w:rFonts w:ascii="Arial" w:eastAsia="Arial" w:hAnsi="Arial" w:cs="Arial"/>
                <w:color w:val="000000"/>
                <w:sz w:val="22"/>
                <w:lang w:val="fr-FR"/>
              </w:rPr>
              <w:t>79212200-5</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2E446B">
            <w:pPr>
              <w:spacing w:before="100" w:after="20"/>
              <w:ind w:left="80" w:right="80"/>
              <w:jc w:val="both"/>
              <w:rPr>
                <w:rFonts w:ascii="Arial" w:eastAsia="Arial" w:hAnsi="Arial" w:cs="Arial"/>
                <w:color w:val="000000"/>
                <w:sz w:val="22"/>
                <w:lang w:val="fr-FR"/>
              </w:rPr>
            </w:pPr>
            <w:r w:rsidRPr="002E446B">
              <w:rPr>
                <w:rFonts w:ascii="Arial" w:eastAsia="Arial" w:hAnsi="Arial" w:cs="Arial"/>
                <w:color w:val="000000"/>
                <w:sz w:val="22"/>
                <w:lang w:val="fr-FR"/>
              </w:rPr>
              <w:t>Services d'audit interne</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984157"/>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984157"/>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984157"/>
        </w:tc>
      </w:tr>
    </w:tbl>
    <w:p w:rsidR="00984157" w:rsidRDefault="00F07086">
      <w:pPr>
        <w:spacing w:line="240" w:lineRule="exact"/>
      </w:pPr>
      <w:r>
        <w:t xml:space="preserve"> </w:t>
      </w:r>
    </w:p>
    <w:p w:rsidR="00984157" w:rsidRDefault="00F07086">
      <w:pPr>
        <w:pStyle w:val="ParagrapheIndent2"/>
        <w:spacing w:line="253" w:lineRule="exact"/>
        <w:ind w:left="20" w:right="20"/>
        <w:jc w:val="both"/>
        <w:rPr>
          <w:color w:val="000000"/>
          <w:lang w:val="fr-FR"/>
        </w:rPr>
      </w:pPr>
      <w:r>
        <w:rPr>
          <w:color w:val="000000"/>
          <w:lang w:val="fr-FR"/>
        </w:rPr>
        <w:t>La nomenclature interne se décompose de la façon suivante :</w:t>
      </w:r>
    </w:p>
    <w:p w:rsidR="00984157" w:rsidRDefault="00984157">
      <w:pPr>
        <w:pStyle w:val="ParagrapheIndent2"/>
        <w:spacing w:line="253" w:lineRule="exact"/>
        <w:ind w:left="20" w:right="20"/>
        <w:jc w:val="both"/>
        <w:rPr>
          <w:color w:val="000000"/>
          <w:lang w:val="fr-FR"/>
        </w:rPr>
      </w:pPr>
    </w:p>
    <w:tbl>
      <w:tblPr>
        <w:tblW w:w="0" w:type="auto"/>
        <w:tblInd w:w="520" w:type="dxa"/>
        <w:tblLayout w:type="fixed"/>
        <w:tblLook w:val="04A0" w:firstRow="1" w:lastRow="0" w:firstColumn="1" w:lastColumn="0" w:noHBand="0" w:noVBand="1"/>
      </w:tblPr>
      <w:tblGrid>
        <w:gridCol w:w="1800"/>
        <w:gridCol w:w="6800"/>
      </w:tblGrid>
      <w:tr w:rsidR="00984157">
        <w:trPr>
          <w:trHeight w:val="306"/>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Nomenclature</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Libellé</w:t>
            </w:r>
          </w:p>
        </w:tc>
      </w:tr>
      <w:tr w:rsidR="00984157">
        <w:trPr>
          <w:trHeight w:val="360"/>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rsidP="002E446B">
            <w:pPr>
              <w:spacing w:before="100" w:after="20"/>
              <w:jc w:val="center"/>
              <w:rPr>
                <w:rFonts w:ascii="Arial" w:eastAsia="Arial" w:hAnsi="Arial" w:cs="Arial"/>
                <w:color w:val="000000"/>
                <w:sz w:val="22"/>
                <w:lang w:val="fr-FR"/>
              </w:rPr>
            </w:pPr>
            <w:r>
              <w:rPr>
                <w:rFonts w:ascii="Arial" w:eastAsia="Arial" w:hAnsi="Arial" w:cs="Arial"/>
                <w:color w:val="000000"/>
                <w:sz w:val="22"/>
                <w:lang w:val="fr-FR"/>
              </w:rPr>
              <w:t>7</w:t>
            </w:r>
            <w:r w:rsidR="002E446B">
              <w:rPr>
                <w:rFonts w:ascii="Arial" w:eastAsia="Arial" w:hAnsi="Arial" w:cs="Arial"/>
                <w:color w:val="000000"/>
                <w:sz w:val="22"/>
                <w:lang w:val="fr-FR"/>
              </w:rPr>
              <w:t>0.02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2E446B">
            <w:pPr>
              <w:spacing w:before="100" w:after="20"/>
              <w:ind w:left="80" w:right="80"/>
              <w:jc w:val="both"/>
              <w:rPr>
                <w:rFonts w:ascii="Arial" w:eastAsia="Arial" w:hAnsi="Arial" w:cs="Arial"/>
                <w:color w:val="000000"/>
                <w:sz w:val="22"/>
                <w:lang w:val="fr-FR"/>
              </w:rPr>
            </w:pPr>
            <w:r w:rsidRPr="002E446B">
              <w:rPr>
                <w:rFonts w:ascii="Arial" w:eastAsia="Arial" w:hAnsi="Arial" w:cs="Arial"/>
                <w:color w:val="000000"/>
                <w:sz w:val="22"/>
                <w:lang w:val="fr-FR"/>
              </w:rPr>
              <w:t>Conseils, audits et certifications, recodage</w:t>
            </w:r>
          </w:p>
        </w:tc>
      </w:tr>
    </w:tbl>
    <w:p w:rsidR="00984157" w:rsidRDefault="00F07086">
      <w:pPr>
        <w:spacing w:line="240" w:lineRule="exact"/>
      </w:pPr>
      <w:r>
        <w:t xml:space="preserve"> </w:t>
      </w:r>
    </w:p>
    <w:p w:rsidR="00984157" w:rsidRDefault="00F07086">
      <w:pPr>
        <w:pStyle w:val="Titre1"/>
        <w:rPr>
          <w:rFonts w:eastAsia="Arial"/>
          <w:color w:val="000000"/>
          <w:sz w:val="28"/>
          <w:lang w:val="fr-FR"/>
        </w:rPr>
      </w:pPr>
      <w:bookmarkStart w:id="6" w:name="_Toc256000006"/>
      <w:r>
        <w:rPr>
          <w:rFonts w:eastAsia="Arial"/>
          <w:color w:val="000000"/>
          <w:sz w:val="28"/>
          <w:lang w:val="fr-FR"/>
        </w:rPr>
        <w:lastRenderedPageBreak/>
        <w:t>2 - Conditions de la consultation</w:t>
      </w:r>
      <w:bookmarkEnd w:id="6"/>
    </w:p>
    <w:p w:rsidR="00984157" w:rsidRDefault="00F07086">
      <w:pPr>
        <w:pStyle w:val="Titre2"/>
        <w:ind w:left="300" w:right="20"/>
        <w:jc w:val="both"/>
        <w:rPr>
          <w:rFonts w:eastAsia="Arial"/>
          <w:i w:val="0"/>
          <w:color w:val="000000"/>
          <w:sz w:val="24"/>
          <w:lang w:val="fr-FR"/>
        </w:rPr>
      </w:pPr>
      <w:bookmarkStart w:id="7" w:name="_Toc256000007"/>
      <w:r>
        <w:rPr>
          <w:rFonts w:eastAsia="Arial"/>
          <w:i w:val="0"/>
          <w:color w:val="000000"/>
          <w:sz w:val="24"/>
          <w:lang w:val="fr-FR"/>
        </w:rPr>
        <w:t>2.1 - Délai de validité des offres</w:t>
      </w:r>
      <w:bookmarkEnd w:id="7"/>
    </w:p>
    <w:p w:rsidR="00984157" w:rsidRDefault="00F07086">
      <w:pPr>
        <w:pStyle w:val="ParagrapheIndent2"/>
        <w:spacing w:after="240"/>
        <w:ind w:left="20" w:right="20"/>
        <w:jc w:val="both"/>
        <w:rPr>
          <w:color w:val="000000"/>
          <w:lang w:val="fr-FR"/>
        </w:rPr>
      </w:pPr>
      <w:r>
        <w:rPr>
          <w:color w:val="000000"/>
          <w:lang w:val="fr-FR"/>
        </w:rPr>
        <w:t>Le délai de validité des offres est fixé dans l'avis d'appel public à la concurrence</w:t>
      </w:r>
    </w:p>
    <w:p w:rsidR="00984157" w:rsidRDefault="00F07086">
      <w:pPr>
        <w:pStyle w:val="Titre2"/>
        <w:ind w:left="300" w:right="20"/>
        <w:jc w:val="both"/>
        <w:rPr>
          <w:rFonts w:eastAsia="Arial"/>
          <w:i w:val="0"/>
          <w:color w:val="000000"/>
          <w:sz w:val="24"/>
          <w:lang w:val="fr-FR"/>
        </w:rPr>
      </w:pPr>
      <w:bookmarkStart w:id="8" w:name="_Toc256000008"/>
      <w:r>
        <w:rPr>
          <w:rFonts w:eastAsia="Arial"/>
          <w:i w:val="0"/>
          <w:color w:val="000000"/>
          <w:sz w:val="24"/>
          <w:lang w:val="fr-FR"/>
        </w:rPr>
        <w:t>2.2 - Forme juridique du groupement</w:t>
      </w:r>
      <w:bookmarkEnd w:id="8"/>
    </w:p>
    <w:p w:rsidR="00984157" w:rsidRDefault="00F07086">
      <w:pPr>
        <w:pStyle w:val="ParagrapheIndent2"/>
        <w:spacing w:after="240" w:line="253" w:lineRule="exact"/>
        <w:ind w:left="20" w:right="20"/>
        <w:jc w:val="both"/>
        <w:rPr>
          <w:color w:val="000000"/>
          <w:lang w:val="fr-FR"/>
        </w:rPr>
      </w:pPr>
      <w:r>
        <w:rPr>
          <w:color w:val="000000"/>
          <w:lang w:val="fr-FR"/>
        </w:rPr>
        <w:t>Le pouvoir adjudicateur ne souhaite imposer aucune forme de groupement à l'attributaire du marché.</w:t>
      </w:r>
    </w:p>
    <w:p w:rsidR="00984157" w:rsidRDefault="00F07086">
      <w:pPr>
        <w:pStyle w:val="ParagrapheIndent2"/>
        <w:spacing w:after="240" w:line="253" w:lineRule="exact"/>
        <w:ind w:left="20" w:right="20"/>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rsidR="00984157" w:rsidRDefault="00F07086">
      <w:pPr>
        <w:pStyle w:val="Titre2"/>
        <w:ind w:left="300" w:right="20"/>
        <w:jc w:val="both"/>
        <w:rPr>
          <w:rFonts w:eastAsia="Arial"/>
          <w:i w:val="0"/>
          <w:color w:val="000000"/>
          <w:sz w:val="24"/>
          <w:lang w:val="fr-FR"/>
        </w:rPr>
      </w:pPr>
      <w:bookmarkStart w:id="9" w:name="_Toc256000009"/>
      <w:r>
        <w:rPr>
          <w:rFonts w:eastAsia="Arial"/>
          <w:i w:val="0"/>
          <w:color w:val="000000"/>
          <w:sz w:val="24"/>
          <w:lang w:val="fr-FR"/>
        </w:rPr>
        <w:t>2.3 - Variantes</w:t>
      </w:r>
      <w:bookmarkEnd w:id="9"/>
    </w:p>
    <w:p w:rsidR="00984157" w:rsidRDefault="00F07086">
      <w:pPr>
        <w:pStyle w:val="ParagrapheIndent2"/>
        <w:spacing w:after="240"/>
        <w:ind w:left="20" w:right="20"/>
        <w:jc w:val="both"/>
        <w:rPr>
          <w:color w:val="000000"/>
          <w:lang w:val="fr-FR"/>
        </w:rPr>
      </w:pPr>
      <w:r>
        <w:rPr>
          <w:color w:val="000000"/>
          <w:lang w:val="fr-FR"/>
        </w:rPr>
        <w:t>Aucune variante n'est autorisée.</w:t>
      </w:r>
    </w:p>
    <w:p w:rsidR="00984157" w:rsidRDefault="00F07086">
      <w:pPr>
        <w:pStyle w:val="Titre2"/>
        <w:ind w:left="300" w:right="20"/>
        <w:jc w:val="both"/>
        <w:rPr>
          <w:rFonts w:eastAsia="Arial"/>
          <w:i w:val="0"/>
          <w:color w:val="000000"/>
          <w:sz w:val="24"/>
          <w:lang w:val="fr-FR"/>
        </w:rPr>
      </w:pPr>
      <w:bookmarkStart w:id="10" w:name="_Toc256000010"/>
      <w:r>
        <w:rPr>
          <w:rFonts w:eastAsia="Arial"/>
          <w:i w:val="0"/>
          <w:color w:val="000000"/>
          <w:sz w:val="24"/>
          <w:lang w:val="fr-FR"/>
        </w:rPr>
        <w:t>2.4 - Confidentialité et mesures de sécurité</w:t>
      </w:r>
      <w:bookmarkEnd w:id="10"/>
    </w:p>
    <w:p w:rsidR="00984157" w:rsidRDefault="00F07086" w:rsidP="002E446B">
      <w:pPr>
        <w:pStyle w:val="ParagrapheIndent2"/>
        <w:spacing w:line="253" w:lineRule="exact"/>
        <w:ind w:left="20" w:right="20"/>
        <w:jc w:val="both"/>
        <w:rPr>
          <w:color w:val="000000"/>
          <w:lang w:val="fr-FR"/>
        </w:rPr>
      </w:pPr>
      <w:r>
        <w:rPr>
          <w:color w:val="000000"/>
          <w:lang w:val="fr-FR"/>
        </w:rPr>
        <w:t>Les candidats doivent respecter l'obligation de confidentialité requise pour l'exécution des prestations.</w:t>
      </w:r>
      <w:r w:rsidR="002E446B">
        <w:rPr>
          <w:color w:val="000000"/>
          <w:lang w:val="fr-FR"/>
        </w:rPr>
        <w:t xml:space="preserve"> </w:t>
      </w:r>
      <w:r>
        <w:rPr>
          <w:color w:val="000000"/>
          <w:lang w:val="fr-FR"/>
        </w:rPr>
        <w:t>L'attention des candidats est particulièrement attirée sur les dispositions du Cahier des clauses administratives particulières qui énoncent les formalités à accomplir et les consignes à respecter du fait de cette obligation de confidentialité.</w:t>
      </w:r>
    </w:p>
    <w:p w:rsidR="002E446B" w:rsidRPr="002E446B" w:rsidRDefault="002E446B" w:rsidP="002E446B">
      <w:pPr>
        <w:rPr>
          <w:lang w:val="fr-FR"/>
        </w:rPr>
      </w:pPr>
    </w:p>
    <w:p w:rsidR="00984157" w:rsidRDefault="00F07086">
      <w:pPr>
        <w:pStyle w:val="Titre1"/>
        <w:rPr>
          <w:rFonts w:eastAsia="Arial"/>
          <w:color w:val="000000"/>
          <w:sz w:val="28"/>
          <w:lang w:val="fr-FR"/>
        </w:rPr>
      </w:pPr>
      <w:bookmarkStart w:id="11" w:name="_Toc256000011"/>
      <w:r>
        <w:rPr>
          <w:rFonts w:eastAsia="Arial"/>
          <w:color w:val="000000"/>
          <w:sz w:val="28"/>
          <w:lang w:val="fr-FR"/>
        </w:rPr>
        <w:t>3 - Les intervenants</w:t>
      </w:r>
      <w:bookmarkEnd w:id="11"/>
    </w:p>
    <w:p w:rsidR="00984157" w:rsidRDefault="00F07086">
      <w:pPr>
        <w:pStyle w:val="Titre2"/>
        <w:ind w:left="300" w:right="20"/>
        <w:jc w:val="both"/>
        <w:rPr>
          <w:rFonts w:eastAsia="Arial"/>
          <w:i w:val="0"/>
          <w:color w:val="000000"/>
          <w:sz w:val="24"/>
          <w:lang w:val="fr-FR"/>
        </w:rPr>
      </w:pPr>
      <w:bookmarkStart w:id="12" w:name="_Toc256000012"/>
      <w:r>
        <w:rPr>
          <w:rFonts w:eastAsia="Arial"/>
          <w:i w:val="0"/>
          <w:color w:val="000000"/>
          <w:sz w:val="24"/>
          <w:lang w:val="fr-FR"/>
        </w:rPr>
        <w:t>3.1 - Coordonnateur</w:t>
      </w:r>
      <w:bookmarkEnd w:id="12"/>
    </w:p>
    <w:p w:rsidR="00984157" w:rsidRDefault="00F07086">
      <w:pPr>
        <w:pStyle w:val="ParagrapheIndent2"/>
        <w:spacing w:after="240"/>
        <w:ind w:left="20" w:right="20"/>
        <w:jc w:val="both"/>
        <w:rPr>
          <w:color w:val="000000"/>
          <w:lang w:val="fr-FR"/>
        </w:rPr>
      </w:pPr>
      <w:r>
        <w:rPr>
          <w:color w:val="000000"/>
          <w:lang w:val="fr-FR"/>
        </w:rPr>
        <w:t>L'établissement coordonnateur est le CHU de Clermont-Ferrand.</w:t>
      </w:r>
    </w:p>
    <w:p w:rsidR="00984157" w:rsidRDefault="00F07086">
      <w:pPr>
        <w:pStyle w:val="Titre1"/>
        <w:rPr>
          <w:rFonts w:eastAsia="Arial"/>
          <w:color w:val="000000"/>
          <w:sz w:val="28"/>
          <w:lang w:val="fr-FR"/>
        </w:rPr>
      </w:pPr>
      <w:bookmarkStart w:id="13" w:name="_Toc256000013"/>
      <w:r>
        <w:rPr>
          <w:rFonts w:eastAsia="Arial"/>
          <w:color w:val="000000"/>
          <w:sz w:val="28"/>
          <w:lang w:val="fr-FR"/>
        </w:rPr>
        <w:t>4 - Conditions relatives au contrat</w:t>
      </w:r>
      <w:bookmarkEnd w:id="13"/>
    </w:p>
    <w:p w:rsidR="00984157" w:rsidRDefault="00F07086">
      <w:pPr>
        <w:pStyle w:val="Titre2"/>
        <w:ind w:left="300" w:right="20"/>
        <w:jc w:val="both"/>
        <w:rPr>
          <w:rFonts w:eastAsia="Arial"/>
          <w:i w:val="0"/>
          <w:color w:val="000000"/>
          <w:sz w:val="24"/>
          <w:lang w:val="fr-FR"/>
        </w:rPr>
      </w:pPr>
      <w:bookmarkStart w:id="14" w:name="_Toc256000014"/>
      <w:r>
        <w:rPr>
          <w:rFonts w:eastAsia="Arial"/>
          <w:i w:val="0"/>
          <w:color w:val="000000"/>
          <w:sz w:val="24"/>
          <w:lang w:val="fr-FR"/>
        </w:rPr>
        <w:t>4.1 - Durée du contrat ou délai d'exécution</w:t>
      </w:r>
      <w:bookmarkEnd w:id="14"/>
    </w:p>
    <w:p w:rsidR="00984157" w:rsidRDefault="00F07086">
      <w:pPr>
        <w:pStyle w:val="ParagrapheIndent2"/>
        <w:spacing w:after="240"/>
        <w:ind w:left="20" w:right="20"/>
        <w:jc w:val="both"/>
        <w:rPr>
          <w:color w:val="000000"/>
          <w:lang w:val="fr-FR"/>
        </w:rPr>
      </w:pPr>
      <w:r>
        <w:rPr>
          <w:color w:val="000000"/>
          <w:lang w:val="fr-FR"/>
        </w:rPr>
        <w:t>La durée du contrat est fixée au CCAP.</w:t>
      </w:r>
    </w:p>
    <w:p w:rsidR="00984157" w:rsidRDefault="00F07086">
      <w:pPr>
        <w:pStyle w:val="Titre2"/>
        <w:ind w:left="300" w:right="20"/>
        <w:jc w:val="both"/>
        <w:rPr>
          <w:rFonts w:eastAsia="Arial"/>
          <w:i w:val="0"/>
          <w:color w:val="000000"/>
          <w:sz w:val="24"/>
          <w:lang w:val="fr-FR"/>
        </w:rPr>
      </w:pPr>
      <w:bookmarkStart w:id="15" w:name="_Toc256000015"/>
      <w:r>
        <w:rPr>
          <w:rFonts w:eastAsia="Arial"/>
          <w:i w:val="0"/>
          <w:color w:val="000000"/>
          <w:sz w:val="24"/>
          <w:lang w:val="fr-FR"/>
        </w:rPr>
        <w:t>4.2 - Modalités essentielles de financement et de paiement</w:t>
      </w:r>
      <w:bookmarkEnd w:id="15"/>
    </w:p>
    <w:p w:rsidR="00984157" w:rsidRDefault="00F07086">
      <w:pPr>
        <w:pStyle w:val="ParagrapheIndent2"/>
        <w:spacing w:line="253" w:lineRule="exact"/>
        <w:ind w:left="20" w:right="20"/>
        <w:jc w:val="both"/>
        <w:rPr>
          <w:color w:val="000000"/>
          <w:lang w:val="fr-FR"/>
        </w:rPr>
      </w:pPr>
      <w:r>
        <w:rPr>
          <w:color w:val="000000"/>
          <w:lang w:val="fr-FR"/>
        </w:rPr>
        <w:t>Les prestations seront financées sur les crédits ouverts au budget d</w:t>
      </w:r>
      <w:r w:rsidR="002E446B">
        <w:rPr>
          <w:color w:val="000000"/>
          <w:lang w:val="fr-FR"/>
        </w:rPr>
        <w:t>e chaque établissement chargé de l’exécution du marché qui le concerne</w:t>
      </w:r>
      <w:r>
        <w:rPr>
          <w:color w:val="000000"/>
          <w:lang w:val="fr-FR"/>
        </w:rPr>
        <w:t>.</w:t>
      </w:r>
    </w:p>
    <w:p w:rsidR="00984157" w:rsidRDefault="00F07086">
      <w:pPr>
        <w:pStyle w:val="ParagrapheIndent2"/>
        <w:spacing w:line="253" w:lineRule="exact"/>
        <w:ind w:left="20" w:right="20"/>
        <w:jc w:val="both"/>
        <w:rPr>
          <w:color w:val="000000"/>
          <w:lang w:val="fr-FR"/>
        </w:rPr>
      </w:pPr>
      <w:r>
        <w:rPr>
          <w:color w:val="000000"/>
          <w:lang w:val="fr-FR"/>
        </w:rPr>
        <w:t> </w:t>
      </w:r>
    </w:p>
    <w:p w:rsidR="00984157" w:rsidRDefault="00F07086">
      <w:pPr>
        <w:pStyle w:val="ParagrapheIndent2"/>
        <w:spacing w:after="240" w:line="253" w:lineRule="exact"/>
        <w:ind w:left="20" w:right="20"/>
        <w:jc w:val="both"/>
        <w:rPr>
          <w:color w:val="000000"/>
          <w:lang w:val="fr-FR"/>
        </w:rPr>
      </w:pPr>
      <w:r>
        <w:rPr>
          <w:color w:val="000000"/>
          <w:lang w:val="fr-FR"/>
        </w:rPr>
        <w:t>Les sommes dues au(x) titulaire(s) et au(x) sous-traitant(s) de premier rang éventuel(s) du marché seront payées dans un délai global de 50 jours à compter de la date de réception des factures ou des demandes de paiement équivalentes.</w:t>
      </w:r>
    </w:p>
    <w:p w:rsidR="00984157" w:rsidRDefault="00F07086">
      <w:pPr>
        <w:pStyle w:val="ParagrapheIndent2"/>
        <w:spacing w:after="240" w:line="253" w:lineRule="exact"/>
        <w:ind w:left="20" w:right="20"/>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rsidR="00984157" w:rsidRDefault="00F07086">
      <w:pPr>
        <w:pStyle w:val="Titre1"/>
        <w:rPr>
          <w:rFonts w:eastAsia="Arial"/>
          <w:color w:val="000000"/>
          <w:sz w:val="28"/>
          <w:lang w:val="fr-FR"/>
        </w:rPr>
      </w:pPr>
      <w:bookmarkStart w:id="16" w:name="_Toc256000016"/>
      <w:r>
        <w:rPr>
          <w:rFonts w:eastAsia="Arial"/>
          <w:color w:val="000000"/>
          <w:sz w:val="28"/>
          <w:lang w:val="fr-FR"/>
        </w:rPr>
        <w:t>5 - Contenu du dossier de consultation</w:t>
      </w:r>
      <w:bookmarkEnd w:id="16"/>
    </w:p>
    <w:p w:rsidR="00984157" w:rsidRDefault="00F07086">
      <w:pPr>
        <w:pStyle w:val="ParagrapheIndent1"/>
        <w:spacing w:line="253" w:lineRule="exact"/>
        <w:ind w:left="20" w:right="20"/>
        <w:jc w:val="both"/>
        <w:rPr>
          <w:color w:val="000000"/>
          <w:lang w:val="fr-FR"/>
        </w:rPr>
      </w:pPr>
      <w:r>
        <w:rPr>
          <w:color w:val="000000"/>
          <w:lang w:val="fr-FR"/>
        </w:rPr>
        <w:t>Le dossier de consultation des entreprises (DCE) contient les pièces suivantes :</w:t>
      </w:r>
    </w:p>
    <w:p w:rsidR="00984157" w:rsidRDefault="00F07086">
      <w:pPr>
        <w:pStyle w:val="ParagrapheIndent1"/>
        <w:spacing w:line="253" w:lineRule="exact"/>
        <w:ind w:left="20" w:right="20"/>
        <w:jc w:val="both"/>
        <w:rPr>
          <w:color w:val="000000"/>
          <w:lang w:val="fr-FR"/>
        </w:rPr>
      </w:pPr>
      <w:r>
        <w:rPr>
          <w:color w:val="000000"/>
          <w:lang w:val="fr-FR"/>
        </w:rPr>
        <w:t>- Le règlement de la consultation (RC)</w:t>
      </w:r>
    </w:p>
    <w:p w:rsidR="00984157" w:rsidRDefault="00F07086">
      <w:pPr>
        <w:pStyle w:val="ParagrapheIndent1"/>
        <w:spacing w:line="253" w:lineRule="exact"/>
        <w:ind w:left="20" w:right="20"/>
        <w:jc w:val="both"/>
        <w:rPr>
          <w:color w:val="000000"/>
          <w:lang w:val="fr-FR"/>
        </w:rPr>
      </w:pPr>
      <w:r>
        <w:rPr>
          <w:color w:val="000000"/>
          <w:lang w:val="fr-FR"/>
        </w:rPr>
        <w:t>- L'acte d'engagement (AE) et ses annexes</w:t>
      </w:r>
    </w:p>
    <w:p w:rsidR="00984157" w:rsidRDefault="00F07086">
      <w:pPr>
        <w:pStyle w:val="ParagrapheIndent1"/>
        <w:spacing w:line="253" w:lineRule="exact"/>
        <w:ind w:left="20" w:right="20"/>
        <w:jc w:val="both"/>
        <w:rPr>
          <w:color w:val="000000"/>
          <w:lang w:val="fr-FR"/>
        </w:rPr>
      </w:pPr>
      <w:r>
        <w:rPr>
          <w:color w:val="000000"/>
          <w:lang w:val="fr-FR"/>
        </w:rPr>
        <w:t>- Le cahier des clauses administratives particulières (CCAP)</w:t>
      </w:r>
      <w:r w:rsidR="00925646">
        <w:rPr>
          <w:color w:val="000000"/>
          <w:lang w:val="fr-FR"/>
        </w:rPr>
        <w:t xml:space="preserve"> et ses annexes</w:t>
      </w:r>
    </w:p>
    <w:p w:rsidR="00984157" w:rsidRDefault="00F07086">
      <w:pPr>
        <w:pStyle w:val="ParagrapheIndent1"/>
        <w:spacing w:line="253" w:lineRule="exact"/>
        <w:ind w:left="20" w:right="20"/>
        <w:jc w:val="both"/>
        <w:rPr>
          <w:color w:val="000000"/>
          <w:lang w:val="fr-FR"/>
        </w:rPr>
      </w:pPr>
      <w:r>
        <w:rPr>
          <w:color w:val="000000"/>
          <w:lang w:val="fr-FR"/>
        </w:rPr>
        <w:t>- Le cahier des clauses techniques particulières (CCTP) et ses annexes</w:t>
      </w:r>
    </w:p>
    <w:p w:rsidR="00984157" w:rsidRDefault="00F07086">
      <w:pPr>
        <w:pStyle w:val="ParagrapheIndent1"/>
        <w:spacing w:line="253" w:lineRule="exact"/>
        <w:ind w:left="20" w:right="20"/>
        <w:jc w:val="both"/>
        <w:rPr>
          <w:color w:val="000000"/>
          <w:lang w:val="fr-FR"/>
        </w:rPr>
      </w:pPr>
      <w:r>
        <w:rPr>
          <w:color w:val="000000"/>
          <w:lang w:val="fr-FR"/>
        </w:rPr>
        <w:t>- La décomposition du prix global forfaitaire (DPGF)</w:t>
      </w:r>
      <w:r w:rsidR="005F5A41">
        <w:rPr>
          <w:color w:val="000000"/>
          <w:lang w:val="fr-FR"/>
        </w:rPr>
        <w:t xml:space="preserve"> pour chacun des 3</w:t>
      </w:r>
      <w:r w:rsidR="00925646">
        <w:rPr>
          <w:color w:val="000000"/>
          <w:lang w:val="fr-FR"/>
        </w:rPr>
        <w:t xml:space="preserve"> lots</w:t>
      </w:r>
    </w:p>
    <w:p w:rsidR="00925646" w:rsidRDefault="00D50A51" w:rsidP="00925646">
      <w:pPr>
        <w:rPr>
          <w:rFonts w:ascii="Arial" w:hAnsi="Arial" w:cs="Arial"/>
          <w:sz w:val="22"/>
          <w:szCs w:val="22"/>
          <w:lang w:val="fr-FR"/>
        </w:rPr>
      </w:pPr>
      <w:r>
        <w:rPr>
          <w:rFonts w:ascii="Arial" w:hAnsi="Arial" w:cs="Arial"/>
          <w:sz w:val="22"/>
          <w:szCs w:val="22"/>
          <w:lang w:val="fr-FR"/>
        </w:rPr>
        <w:t xml:space="preserve">- Le </w:t>
      </w:r>
      <w:r w:rsidRPr="00D50A51">
        <w:rPr>
          <w:rFonts w:ascii="Arial" w:hAnsi="Arial" w:cs="Arial"/>
          <w:sz w:val="22"/>
          <w:szCs w:val="22"/>
          <w:lang w:val="fr-FR"/>
        </w:rPr>
        <w:t>Cadre Mémoire technique évaluation ESSMS</w:t>
      </w:r>
    </w:p>
    <w:p w:rsidR="00D50A51" w:rsidRDefault="00D50A51" w:rsidP="00925646">
      <w:pPr>
        <w:rPr>
          <w:rFonts w:ascii="Arial" w:hAnsi="Arial" w:cs="Arial"/>
          <w:sz w:val="22"/>
          <w:szCs w:val="22"/>
          <w:lang w:val="fr-FR"/>
        </w:rPr>
      </w:pPr>
      <w:r>
        <w:rPr>
          <w:rFonts w:ascii="Arial" w:hAnsi="Arial" w:cs="Arial"/>
          <w:sz w:val="22"/>
          <w:szCs w:val="22"/>
          <w:lang w:val="fr-FR"/>
        </w:rPr>
        <w:t xml:space="preserve">- </w:t>
      </w:r>
      <w:r w:rsidR="006D6DA1">
        <w:rPr>
          <w:rFonts w:ascii="Arial" w:hAnsi="Arial" w:cs="Arial"/>
          <w:sz w:val="22"/>
          <w:szCs w:val="22"/>
          <w:lang w:val="fr-FR"/>
        </w:rPr>
        <w:t>Le dossier de présentation des</w:t>
      </w:r>
      <w:r>
        <w:rPr>
          <w:rFonts w:ascii="Arial" w:hAnsi="Arial" w:cs="Arial"/>
          <w:sz w:val="22"/>
          <w:szCs w:val="22"/>
          <w:lang w:val="fr-FR"/>
        </w:rPr>
        <w:t xml:space="preserve"> structures</w:t>
      </w:r>
    </w:p>
    <w:p w:rsidR="00D50A51" w:rsidRDefault="00D50A51" w:rsidP="00925646">
      <w:pPr>
        <w:rPr>
          <w:rFonts w:ascii="Arial" w:hAnsi="Arial" w:cs="Arial"/>
          <w:sz w:val="22"/>
          <w:szCs w:val="22"/>
          <w:lang w:val="fr-FR"/>
        </w:rPr>
      </w:pPr>
      <w:r>
        <w:rPr>
          <w:rFonts w:ascii="Arial" w:hAnsi="Arial" w:cs="Arial"/>
          <w:sz w:val="22"/>
          <w:szCs w:val="22"/>
          <w:lang w:val="fr-FR"/>
        </w:rPr>
        <w:t xml:space="preserve">- </w:t>
      </w:r>
      <w:r w:rsidRPr="00D50A51">
        <w:rPr>
          <w:rFonts w:ascii="Arial" w:hAnsi="Arial" w:cs="Arial"/>
          <w:sz w:val="22"/>
          <w:szCs w:val="22"/>
          <w:lang w:val="fr-FR"/>
        </w:rPr>
        <w:t>Renseignement contact GHT Evaluation ESSMS</w:t>
      </w:r>
    </w:p>
    <w:p w:rsidR="00984157" w:rsidRDefault="00984157">
      <w:pPr>
        <w:pStyle w:val="ParagrapheIndent1"/>
        <w:spacing w:after="240" w:line="253" w:lineRule="exact"/>
        <w:ind w:left="20" w:right="20"/>
        <w:jc w:val="both"/>
        <w:rPr>
          <w:color w:val="000000"/>
          <w:lang w:val="fr-FR"/>
        </w:rPr>
      </w:pPr>
    </w:p>
    <w:p w:rsidR="00984157" w:rsidRDefault="00F07086">
      <w:pPr>
        <w:pStyle w:val="ParagrapheIndent1"/>
        <w:spacing w:after="240"/>
        <w:ind w:left="20" w:right="20"/>
        <w:jc w:val="both"/>
        <w:rPr>
          <w:color w:val="000000"/>
          <w:lang w:val="fr-FR"/>
        </w:rPr>
      </w:pPr>
      <w:r>
        <w:rPr>
          <w:color w:val="000000"/>
          <w:lang w:val="fr-FR"/>
        </w:rPr>
        <w:t>Il est remis gratuitement à chaque candidat.</w:t>
      </w:r>
    </w:p>
    <w:p w:rsidR="00984157" w:rsidRDefault="00F07086">
      <w:pPr>
        <w:pStyle w:val="ParagrapheIndent1"/>
        <w:spacing w:after="240"/>
        <w:ind w:left="20" w:right="20"/>
        <w:jc w:val="both"/>
        <w:rPr>
          <w:color w:val="000000"/>
          <w:lang w:val="fr-FR"/>
        </w:rPr>
      </w:pPr>
      <w:r>
        <w:rPr>
          <w:color w:val="000000"/>
          <w:lang w:val="fr-FR"/>
        </w:rPr>
        <w:t>Aucune demande d'envoi du DCE sur support physique électronique n'est autorisée.</w:t>
      </w:r>
    </w:p>
    <w:p w:rsidR="00984157" w:rsidRDefault="00F07086">
      <w:pPr>
        <w:pStyle w:val="ParagrapheIndent1"/>
        <w:spacing w:line="253" w:lineRule="exact"/>
        <w:ind w:left="20" w:right="20"/>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rsidR="00984157" w:rsidRDefault="00984157">
      <w:pPr>
        <w:pStyle w:val="ParagrapheIndent1"/>
        <w:spacing w:line="253" w:lineRule="exact"/>
        <w:ind w:left="20" w:right="20"/>
        <w:jc w:val="both"/>
        <w:rPr>
          <w:color w:val="000000"/>
          <w:lang w:val="fr-FR"/>
        </w:rPr>
      </w:pPr>
    </w:p>
    <w:p w:rsidR="00984157" w:rsidRPr="00F07086" w:rsidRDefault="00F07086" w:rsidP="00D50A51">
      <w:pPr>
        <w:pStyle w:val="ParagrapheIndent1"/>
        <w:spacing w:line="253" w:lineRule="exact"/>
        <w:ind w:left="20" w:right="20"/>
        <w:jc w:val="both"/>
        <w:rPr>
          <w:sz w:val="2"/>
          <w:lang w:val="fr-FR"/>
        </w:rPr>
      </w:pPr>
      <w:r>
        <w:rPr>
          <w:color w:val="000000"/>
          <w:lang w:val="fr-FR"/>
        </w:rPr>
        <w:t>Si, pendant l'étude du dossier par les candidats, la date limite de réception des offres est reportée, la disposition précédente est applicable en fonction de cette nouvelle date.</w:t>
      </w:r>
      <w:r>
        <w:rPr>
          <w:color w:val="000000"/>
          <w:lang w:val="fr-FR"/>
        </w:rPr>
        <w:cr/>
      </w:r>
    </w:p>
    <w:p w:rsidR="00984157" w:rsidRDefault="00F07086">
      <w:pPr>
        <w:pStyle w:val="Titre1"/>
        <w:rPr>
          <w:rFonts w:eastAsia="Arial"/>
          <w:color w:val="000000"/>
          <w:sz w:val="28"/>
          <w:lang w:val="fr-FR"/>
        </w:rPr>
      </w:pPr>
      <w:bookmarkStart w:id="17" w:name="_Toc256000017"/>
      <w:r>
        <w:rPr>
          <w:rFonts w:eastAsia="Arial"/>
          <w:color w:val="000000"/>
          <w:sz w:val="28"/>
          <w:lang w:val="fr-FR"/>
        </w:rPr>
        <w:t>6 - Présentation des candidatures et des offres</w:t>
      </w:r>
      <w:bookmarkEnd w:id="17"/>
    </w:p>
    <w:p w:rsidR="00984157" w:rsidRDefault="00F07086">
      <w:pPr>
        <w:pStyle w:val="ParagrapheIndent1"/>
        <w:spacing w:after="240" w:line="253" w:lineRule="exact"/>
        <w:ind w:left="20" w:right="20"/>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rsidR="00984157" w:rsidRDefault="00F07086">
      <w:pPr>
        <w:pStyle w:val="ParagrapheIndent1"/>
        <w:spacing w:line="253" w:lineRule="exact"/>
        <w:ind w:left="20" w:right="20"/>
        <w:jc w:val="both"/>
        <w:rPr>
          <w:color w:val="000000"/>
          <w:lang w:val="fr-FR"/>
        </w:rPr>
      </w:pPr>
      <w:r>
        <w:rPr>
          <w:color w:val="000000"/>
          <w:lang w:val="fr-FR"/>
        </w:rPr>
        <w:t>Les offres des candidats seront entièrement rédigées en langue française et exprimées en EURO.</w:t>
      </w:r>
    </w:p>
    <w:p w:rsidR="00984157" w:rsidRDefault="00F07086">
      <w:pPr>
        <w:pStyle w:val="ParagrapheIndent1"/>
        <w:spacing w:after="240" w:line="253" w:lineRule="exact"/>
        <w:ind w:left="20" w:right="20"/>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rsidR="00984157" w:rsidRDefault="00F07086">
      <w:pPr>
        <w:pStyle w:val="Titre2"/>
        <w:ind w:left="300" w:right="20"/>
        <w:jc w:val="both"/>
        <w:rPr>
          <w:rFonts w:eastAsia="Arial"/>
          <w:i w:val="0"/>
          <w:color w:val="000000"/>
          <w:sz w:val="24"/>
          <w:lang w:val="fr-FR"/>
        </w:rPr>
      </w:pPr>
      <w:bookmarkStart w:id="18" w:name="_Toc256000018"/>
      <w:r>
        <w:rPr>
          <w:rFonts w:eastAsia="Arial"/>
          <w:i w:val="0"/>
          <w:color w:val="000000"/>
          <w:sz w:val="24"/>
          <w:lang w:val="fr-FR"/>
        </w:rPr>
        <w:t>6.1 - Documents à produire</w:t>
      </w:r>
      <w:bookmarkEnd w:id="18"/>
    </w:p>
    <w:p w:rsidR="00984157" w:rsidRDefault="00F07086">
      <w:pPr>
        <w:pStyle w:val="ParagrapheIndent2"/>
        <w:spacing w:line="253" w:lineRule="exact"/>
        <w:ind w:left="20" w:right="20"/>
        <w:jc w:val="both"/>
        <w:rPr>
          <w:color w:val="000000"/>
          <w:lang w:val="fr-FR"/>
        </w:rPr>
      </w:pPr>
      <w:r>
        <w:rPr>
          <w:color w:val="000000"/>
          <w:lang w:val="fr-FR"/>
        </w:rPr>
        <w:t>Chaque candidat aura à produire un dossier complet comprenant les pièces suivantes :</w:t>
      </w:r>
    </w:p>
    <w:p w:rsidR="00984157" w:rsidRDefault="00984157">
      <w:pPr>
        <w:pStyle w:val="ParagrapheIndent2"/>
        <w:spacing w:line="253" w:lineRule="exact"/>
        <w:ind w:left="20" w:right="20"/>
        <w:jc w:val="both"/>
        <w:rPr>
          <w:color w:val="000000"/>
          <w:lang w:val="fr-FR"/>
        </w:rPr>
      </w:pPr>
    </w:p>
    <w:p w:rsidR="00984157" w:rsidRDefault="00F07086">
      <w:pPr>
        <w:pStyle w:val="ParagrapheIndent2"/>
        <w:spacing w:line="253" w:lineRule="exact"/>
        <w:ind w:left="20" w:right="20"/>
        <w:jc w:val="both"/>
        <w:rPr>
          <w:color w:val="000000"/>
          <w:lang w:val="fr-FR"/>
        </w:rPr>
      </w:pPr>
      <w:r>
        <w:rPr>
          <w:color w:val="000000"/>
          <w:lang w:val="fr-FR"/>
        </w:rPr>
        <w:t>Pièces de la candidature telles que prévues aux articles L. 2142-1, R. 2142-3, R. 2142-4, R. 2143-3 et R. 2143-4 du Code de la commande publique :</w:t>
      </w:r>
    </w:p>
    <w:p w:rsidR="00984157" w:rsidRDefault="00984157">
      <w:pPr>
        <w:pStyle w:val="ParagrapheIndent2"/>
        <w:spacing w:line="253" w:lineRule="exact"/>
        <w:ind w:left="20" w:right="20"/>
        <w:jc w:val="both"/>
        <w:rPr>
          <w:color w:val="000000"/>
          <w:lang w:val="fr-FR"/>
        </w:rPr>
      </w:pPr>
    </w:p>
    <w:p w:rsidR="00984157" w:rsidRDefault="00F07086">
      <w:pPr>
        <w:pStyle w:val="ParagrapheIndent2"/>
        <w:spacing w:line="253" w:lineRule="exact"/>
        <w:ind w:left="20" w:right="20"/>
        <w:jc w:val="both"/>
        <w:rPr>
          <w:color w:val="000000"/>
          <w:lang w:val="fr-FR"/>
        </w:rPr>
      </w:pPr>
      <w:r>
        <w:rPr>
          <w:color w:val="000000"/>
          <w:lang w:val="fr-FR"/>
        </w:rPr>
        <w:t>Renseignements concernant la situation juridique de l'entreprise :</w:t>
      </w:r>
    </w:p>
    <w:p w:rsidR="00984157" w:rsidRDefault="00984157">
      <w:pPr>
        <w:pStyle w:val="ParagrapheIndent2"/>
        <w:spacing w:line="253"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8400"/>
        <w:gridCol w:w="1200"/>
      </w:tblGrid>
      <w:tr w:rsidR="00984157">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Signature</w:t>
            </w:r>
          </w:p>
        </w:tc>
      </w:tr>
      <w:tr w:rsidR="0098415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line="253" w:lineRule="exact"/>
              <w:ind w:left="80" w:right="80"/>
              <w:jc w:val="both"/>
              <w:rPr>
                <w:rFonts w:ascii="Arial" w:eastAsia="Arial" w:hAnsi="Arial" w:cs="Arial"/>
                <w:color w:val="000000"/>
                <w:sz w:val="22"/>
                <w:lang w:val="fr-FR"/>
              </w:rPr>
            </w:pPr>
            <w:r>
              <w:rPr>
                <w:rFonts w:ascii="Arial" w:eastAsia="Arial" w:hAnsi="Arial" w:cs="Arial"/>
                <w:color w:val="000000"/>
                <w:sz w:val="22"/>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center"/>
              <w:rPr>
                <w:rFonts w:ascii="Arial" w:eastAsia="Arial" w:hAnsi="Arial" w:cs="Arial"/>
                <w:color w:val="000000"/>
                <w:sz w:val="22"/>
                <w:lang w:val="fr-FR"/>
              </w:rPr>
            </w:pPr>
            <w:r>
              <w:rPr>
                <w:rFonts w:ascii="Arial" w:eastAsia="Arial" w:hAnsi="Arial" w:cs="Arial"/>
                <w:color w:val="000000"/>
                <w:sz w:val="22"/>
                <w:lang w:val="fr-FR"/>
              </w:rPr>
              <w:t>Oui</w:t>
            </w:r>
          </w:p>
        </w:tc>
      </w:tr>
      <w:tr w:rsidR="0098415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line="253" w:lineRule="exact"/>
              <w:ind w:left="80" w:right="80"/>
              <w:jc w:val="both"/>
              <w:rPr>
                <w:rFonts w:ascii="Arial" w:eastAsia="Arial" w:hAnsi="Arial" w:cs="Arial"/>
                <w:color w:val="000000"/>
                <w:sz w:val="22"/>
                <w:lang w:val="fr-FR"/>
              </w:rPr>
            </w:pPr>
            <w:r>
              <w:rPr>
                <w:rFonts w:ascii="Arial" w:eastAsia="Arial" w:hAnsi="Arial" w:cs="Arial"/>
                <w:color w:val="000000"/>
                <w:sz w:val="22"/>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r w:rsidR="0098415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line="253" w:lineRule="exact"/>
              <w:ind w:left="80" w:right="80"/>
              <w:jc w:val="both"/>
              <w:rPr>
                <w:rFonts w:ascii="Arial" w:eastAsia="Arial" w:hAnsi="Arial" w:cs="Arial"/>
                <w:color w:val="000000"/>
                <w:sz w:val="22"/>
                <w:lang w:val="fr-FR"/>
              </w:rPr>
            </w:pPr>
            <w:r>
              <w:rPr>
                <w:rFonts w:ascii="Arial" w:eastAsia="Arial" w:hAnsi="Arial" w:cs="Arial"/>
                <w:color w:val="000000"/>
                <w:sz w:val="22"/>
                <w:lang w:val="fr-FR"/>
              </w:rPr>
              <w:t>Un document prouvant la capacité du signataire à engager la société (</w:t>
            </w:r>
            <w:proofErr w:type="spellStart"/>
            <w:r>
              <w:rPr>
                <w:rFonts w:ascii="Arial" w:eastAsia="Arial" w:hAnsi="Arial" w:cs="Arial"/>
                <w:color w:val="000000"/>
                <w:sz w:val="22"/>
                <w:lang w:val="fr-FR"/>
              </w:rPr>
              <w:t>KBis</w:t>
            </w:r>
            <w:proofErr w:type="spellEnd"/>
            <w:r>
              <w:rPr>
                <w:rFonts w:ascii="Arial" w:eastAsia="Arial" w:hAnsi="Arial" w:cs="Arial"/>
                <w:color w:val="000000"/>
                <w:sz w:val="22"/>
                <w:lang w:val="fr-FR"/>
              </w:rPr>
              <w:t>, délégation de signature)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r w:rsidR="00E542F0">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542F0" w:rsidRDefault="00E542F0" w:rsidP="00E542F0">
            <w:pPr>
              <w:spacing w:line="253" w:lineRule="exact"/>
              <w:ind w:left="80" w:right="80"/>
              <w:jc w:val="both"/>
              <w:rPr>
                <w:rFonts w:ascii="Arial" w:eastAsia="Arial" w:hAnsi="Arial" w:cs="Arial"/>
                <w:color w:val="000000"/>
                <w:sz w:val="22"/>
                <w:lang w:val="fr-FR"/>
              </w:rPr>
            </w:pPr>
            <w:r>
              <w:rPr>
                <w:rFonts w:ascii="Arial" w:eastAsia="Arial" w:hAnsi="Arial" w:cs="Arial"/>
                <w:color w:val="000000"/>
                <w:sz w:val="22"/>
                <w:lang w:val="fr-FR"/>
              </w:rPr>
              <w:t>Accréditation de l’</w:t>
            </w:r>
            <w:r w:rsidRPr="00E542F0">
              <w:rPr>
                <w:rFonts w:ascii="Arial" w:eastAsia="Arial" w:hAnsi="Arial" w:cs="Arial"/>
                <w:color w:val="000000"/>
                <w:sz w:val="22"/>
                <w:lang w:val="fr-FR"/>
              </w:rPr>
              <w:t xml:space="preserve">organisme à partir du référentiel et du manuel d’évaluation publiée par la HAS et via la plateforme </w:t>
            </w:r>
            <w:proofErr w:type="spellStart"/>
            <w:r w:rsidRPr="00E542F0">
              <w:rPr>
                <w:rFonts w:ascii="Arial" w:eastAsia="Arial" w:hAnsi="Arial" w:cs="Arial"/>
                <w:color w:val="000000"/>
                <w:sz w:val="22"/>
                <w:lang w:val="fr-FR"/>
              </w:rPr>
              <w:t>Synaé</w:t>
            </w:r>
            <w:proofErr w:type="spellEnd"/>
            <w:r w:rsidRPr="00E542F0">
              <w:rPr>
                <w:rFonts w:ascii="Arial" w:eastAsia="Arial" w:hAnsi="Arial" w:cs="Arial"/>
                <w:color w:val="000000"/>
                <w:sz w:val="22"/>
                <w:lang w:val="fr-FR"/>
              </w:rPr>
              <w:t>.</w:t>
            </w:r>
            <w:r w:rsidR="00A360BE">
              <w:rPr>
                <w:rFonts w:ascii="Arial" w:eastAsia="Arial" w:hAnsi="Arial" w:cs="Arial"/>
                <w:color w:val="000000"/>
                <w:sz w:val="22"/>
                <w:lang w:val="fr-FR"/>
              </w:rPr>
              <w:t xml:space="preserve"> </w:t>
            </w:r>
            <w:r w:rsidR="00A360BE" w:rsidRPr="00A360BE">
              <w:rPr>
                <w:rFonts w:ascii="Arial" w:eastAsia="Arial" w:hAnsi="Arial" w:cs="Arial"/>
                <w:color w:val="000000"/>
                <w:sz w:val="22"/>
                <w:lang w:val="fr-FR"/>
              </w:rPr>
              <w:t>Lors de la remise des offres les candidats devront transmettre les documents relatifs à leurs accréditations obtenues ou en cours d’obtention</w:t>
            </w:r>
            <w:r w:rsidR="000C10B3">
              <w:rPr>
                <w:rFonts w:ascii="Arial" w:eastAsia="Arial" w:hAnsi="Arial" w:cs="Arial"/>
                <w:color w:val="000000"/>
                <w:sz w:val="22"/>
                <w:lang w:val="fr-FR"/>
              </w:rPr>
              <w:t xml:space="preserve"> (recevabilité opérationnelle)</w:t>
            </w:r>
            <w:r w:rsidR="00A360BE" w:rsidRPr="00A360BE">
              <w:rPr>
                <w:rFonts w:ascii="Arial" w:eastAsia="Arial" w:hAnsi="Arial" w:cs="Arial"/>
                <w:color w:val="000000"/>
                <w:sz w:val="22"/>
                <w:lang w:val="fr-FR"/>
              </w:rPr>
              <w:t xml:space="preserve"> conformément au Décret n° 2022-742 du 28 avril 2022.</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542F0" w:rsidRDefault="000C10B3">
            <w:pPr>
              <w:spacing w:before="80" w:after="20"/>
              <w:ind w:left="80" w:right="80"/>
              <w:jc w:val="center"/>
              <w:rPr>
                <w:rFonts w:ascii="Arial" w:eastAsia="Arial" w:hAnsi="Arial" w:cs="Arial"/>
                <w:color w:val="000000"/>
                <w:sz w:val="22"/>
                <w:lang w:val="fr-FR"/>
              </w:rPr>
            </w:pPr>
            <w:bookmarkStart w:id="19" w:name="_GoBack"/>
            <w:bookmarkEnd w:id="19"/>
            <w:r>
              <w:rPr>
                <w:rFonts w:ascii="Arial" w:eastAsia="Arial" w:hAnsi="Arial" w:cs="Arial"/>
                <w:color w:val="000000"/>
                <w:sz w:val="22"/>
                <w:lang w:val="fr-FR"/>
              </w:rPr>
              <w:t>NON</w:t>
            </w:r>
          </w:p>
        </w:tc>
      </w:tr>
    </w:tbl>
    <w:p w:rsidR="00984157" w:rsidRDefault="00984157">
      <w:pPr>
        <w:spacing w:line="240" w:lineRule="exact"/>
      </w:pPr>
    </w:p>
    <w:p w:rsidR="00984157" w:rsidRDefault="00F07086">
      <w:pPr>
        <w:pStyle w:val="ParagrapheIndent2"/>
        <w:spacing w:line="253" w:lineRule="exact"/>
        <w:ind w:left="20" w:right="20"/>
        <w:jc w:val="both"/>
        <w:rPr>
          <w:color w:val="000000"/>
          <w:lang w:val="fr-FR"/>
        </w:rPr>
      </w:pPr>
      <w:r>
        <w:rPr>
          <w:color w:val="000000"/>
          <w:lang w:val="fr-FR"/>
        </w:rPr>
        <w:t>Renseignements concernant la capacité économique et financière de l'entreprise :</w:t>
      </w:r>
    </w:p>
    <w:p w:rsidR="00984157" w:rsidRDefault="00984157">
      <w:pPr>
        <w:pStyle w:val="ParagrapheIndent2"/>
        <w:spacing w:line="253"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6000"/>
        <w:gridCol w:w="2400"/>
        <w:gridCol w:w="1200"/>
      </w:tblGrid>
      <w:tr w:rsidR="00984157">
        <w:trPr>
          <w:trHeight w:val="306"/>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Libellés</w:t>
            </w:r>
          </w:p>
        </w:tc>
        <w:tc>
          <w:tcPr>
            <w:tcW w:w="2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Niveau</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Signature</w:t>
            </w:r>
          </w:p>
        </w:tc>
      </w:tr>
      <w:tr w:rsidR="00984157">
        <w:trPr>
          <w:trHeight w:val="666"/>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line="253" w:lineRule="exact"/>
              <w:ind w:left="80" w:right="80"/>
              <w:jc w:val="both"/>
              <w:rPr>
                <w:rFonts w:ascii="Arial" w:eastAsia="Arial" w:hAnsi="Arial" w:cs="Arial"/>
                <w:color w:val="000000"/>
                <w:sz w:val="22"/>
                <w:lang w:val="fr-FR"/>
              </w:rPr>
            </w:pPr>
            <w:r>
              <w:rPr>
                <w:rFonts w:ascii="Arial" w:eastAsia="Arial" w:hAnsi="Arial" w:cs="Arial"/>
                <w:color w:val="000000"/>
                <w:sz w:val="22"/>
                <w:lang w:val="fr-FR"/>
              </w:rPr>
              <w:t>Déclaration concernant le chiffre d'affaires global et le chiffre d'affaires concernant les prestations objet du contrat, réalisées au cours des trois derniers exercices disponibles</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Pr="00F07086" w:rsidRDefault="00984157">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10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bl>
    <w:p w:rsidR="00984157" w:rsidRDefault="00984157">
      <w:pPr>
        <w:spacing w:after="80" w:line="240" w:lineRule="exact"/>
      </w:pPr>
    </w:p>
    <w:p w:rsidR="00984157" w:rsidRDefault="00F07086">
      <w:pPr>
        <w:pStyle w:val="ParagrapheIndent2"/>
        <w:spacing w:line="253" w:lineRule="exact"/>
        <w:ind w:left="20" w:right="20"/>
        <w:jc w:val="both"/>
        <w:rPr>
          <w:color w:val="000000"/>
          <w:lang w:val="fr-FR"/>
        </w:rPr>
      </w:pPr>
      <w:r>
        <w:rPr>
          <w:color w:val="000000"/>
          <w:lang w:val="fr-FR"/>
        </w:rPr>
        <w:lastRenderedPageBreak/>
        <w:t>Renseignements concernant les références professionnelles et la cap</w:t>
      </w:r>
      <w:r w:rsidR="00E542F0">
        <w:rPr>
          <w:color w:val="000000"/>
          <w:lang w:val="fr-FR"/>
        </w:rPr>
        <w:t>acité technique de l'entreprise :</w:t>
      </w:r>
    </w:p>
    <w:p w:rsidR="00984157" w:rsidRDefault="00984157">
      <w:pPr>
        <w:pStyle w:val="ParagrapheIndent2"/>
        <w:spacing w:line="253"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6000"/>
        <w:gridCol w:w="2400"/>
        <w:gridCol w:w="1200"/>
      </w:tblGrid>
      <w:tr w:rsidR="00984157">
        <w:trPr>
          <w:trHeight w:val="306"/>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Libellés</w:t>
            </w:r>
          </w:p>
        </w:tc>
        <w:tc>
          <w:tcPr>
            <w:tcW w:w="2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Niveau</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Signature</w:t>
            </w:r>
          </w:p>
        </w:tc>
      </w:tr>
      <w:tr w:rsidR="00984157">
        <w:trPr>
          <w:trHeight w:val="9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line="253" w:lineRule="exact"/>
              <w:ind w:left="80" w:right="80"/>
              <w:jc w:val="both"/>
              <w:rPr>
                <w:rFonts w:ascii="Arial" w:eastAsia="Arial" w:hAnsi="Arial" w:cs="Arial"/>
                <w:color w:val="000000"/>
                <w:sz w:val="22"/>
                <w:lang w:val="fr-FR"/>
              </w:rPr>
            </w:pPr>
            <w:r>
              <w:rPr>
                <w:rFonts w:ascii="Arial" w:eastAsia="Arial" w:hAnsi="Arial" w:cs="Arial"/>
                <w:color w:val="000000"/>
                <w:sz w:val="22"/>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Pr="00F07086" w:rsidRDefault="00984157">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10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r w:rsidR="00984157">
        <w:trPr>
          <w:trHeight w:val="1134"/>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line="253" w:lineRule="exact"/>
              <w:ind w:left="80" w:right="80"/>
              <w:jc w:val="both"/>
              <w:rPr>
                <w:rFonts w:ascii="Arial" w:eastAsia="Arial" w:hAnsi="Arial" w:cs="Arial"/>
                <w:color w:val="000000"/>
                <w:sz w:val="22"/>
                <w:lang w:val="fr-FR"/>
              </w:rPr>
            </w:pPr>
            <w:r>
              <w:rPr>
                <w:rFonts w:ascii="Arial" w:eastAsia="Arial" w:hAnsi="Arial" w:cs="Arial"/>
                <w:color w:val="000000"/>
                <w:sz w:val="22"/>
                <w:lang w:val="fr-FR"/>
              </w:rPr>
              <w:t>Indication des titres d'études et professionnels de l'opérateur économique et/ou des cadres de l'entreprise, et notamment des responsables de prestation de services ou de conduite des travaux de même nature que celle du contrat</w: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Pr="00F07086" w:rsidRDefault="00984157">
            <w:pPr>
              <w:rPr>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10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bl>
    <w:p w:rsidR="00984157" w:rsidRDefault="00984157">
      <w:pPr>
        <w:spacing w:after="20" w:line="240" w:lineRule="exact"/>
      </w:pPr>
    </w:p>
    <w:p w:rsidR="00984157" w:rsidRDefault="00F07086">
      <w:pPr>
        <w:pStyle w:val="ParagrapheIndent2"/>
        <w:spacing w:line="253" w:lineRule="exact"/>
        <w:ind w:left="20" w:right="20"/>
        <w:jc w:val="both"/>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rsidR="00984157" w:rsidRDefault="00984157">
      <w:pPr>
        <w:pStyle w:val="ParagrapheIndent2"/>
        <w:spacing w:line="253" w:lineRule="exact"/>
        <w:ind w:left="20" w:right="20"/>
        <w:jc w:val="both"/>
        <w:rPr>
          <w:color w:val="000000"/>
          <w:lang w:val="fr-FR"/>
        </w:rPr>
      </w:pPr>
    </w:p>
    <w:p w:rsidR="00984157" w:rsidRDefault="00F07086">
      <w:pPr>
        <w:pStyle w:val="ParagrapheIndent2"/>
        <w:spacing w:after="240" w:line="253" w:lineRule="exact"/>
        <w:ind w:left="20" w:right="20"/>
        <w:jc w:val="both"/>
        <w:rPr>
          <w:color w:val="000000"/>
          <w:lang w:val="fr-FR"/>
        </w:rPr>
      </w:pPr>
      <w:r>
        <w:rPr>
          <w:color w:val="000000"/>
          <w:lang w:val="fr-FR"/>
        </w:rPr>
        <w:t>Ils peuvent aussi utiliser le Document Unique de Marché Européen (DUME).</w:t>
      </w:r>
    </w:p>
    <w:p w:rsidR="00984157" w:rsidRDefault="00F07086">
      <w:pPr>
        <w:pStyle w:val="ParagrapheIndent2"/>
        <w:spacing w:after="240" w:line="253" w:lineRule="exact"/>
        <w:ind w:left="20" w:right="20"/>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rsidR="00984157" w:rsidRDefault="00F07086">
      <w:pPr>
        <w:pStyle w:val="ParagrapheIndent2"/>
        <w:spacing w:line="253" w:lineRule="exact"/>
        <w:ind w:left="20" w:right="20"/>
        <w:jc w:val="both"/>
        <w:rPr>
          <w:color w:val="000000"/>
          <w:lang w:val="fr-FR"/>
        </w:rPr>
      </w:pPr>
      <w:r>
        <w:rPr>
          <w:color w:val="000000"/>
          <w:lang w:val="fr-FR"/>
        </w:rPr>
        <w:t>Pièces de l'offre :</w:t>
      </w:r>
    </w:p>
    <w:p w:rsidR="00984157" w:rsidRDefault="00984157">
      <w:pPr>
        <w:pStyle w:val="ParagrapheIndent2"/>
        <w:spacing w:line="253"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8400"/>
        <w:gridCol w:w="1200"/>
      </w:tblGrid>
      <w:tr w:rsidR="00984157">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84157" w:rsidRDefault="00F07086">
            <w:pPr>
              <w:spacing w:before="60" w:after="20"/>
              <w:jc w:val="center"/>
              <w:rPr>
                <w:rFonts w:ascii="Arial" w:eastAsia="Arial" w:hAnsi="Arial" w:cs="Arial"/>
                <w:color w:val="000000"/>
                <w:sz w:val="22"/>
                <w:lang w:val="fr-FR"/>
              </w:rPr>
            </w:pPr>
            <w:r>
              <w:rPr>
                <w:rFonts w:ascii="Arial" w:eastAsia="Arial" w:hAnsi="Arial" w:cs="Arial"/>
                <w:color w:val="000000"/>
                <w:sz w:val="22"/>
                <w:lang w:val="fr-FR"/>
              </w:rPr>
              <w:t>Signature</w:t>
            </w:r>
          </w:p>
        </w:tc>
      </w:tr>
      <w:tr w:rsidR="00984157">
        <w:trPr>
          <w:trHeight w:val="34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both"/>
              <w:rPr>
                <w:rFonts w:ascii="Arial" w:eastAsia="Arial" w:hAnsi="Arial" w:cs="Arial"/>
                <w:color w:val="000000"/>
                <w:sz w:val="22"/>
                <w:lang w:val="fr-FR"/>
              </w:rPr>
            </w:pPr>
            <w:r>
              <w:rPr>
                <w:rFonts w:ascii="Arial" w:eastAsia="Arial" w:hAnsi="Arial" w:cs="Arial"/>
                <w:color w:val="000000"/>
                <w:sz w:val="22"/>
                <w:lang w:val="fr-FR"/>
              </w:rPr>
              <w:t>Un RIB</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r w:rsidR="00984157">
        <w:trPr>
          <w:trHeight w:val="34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both"/>
              <w:rPr>
                <w:rFonts w:ascii="Arial" w:eastAsia="Arial" w:hAnsi="Arial" w:cs="Arial"/>
                <w:color w:val="000000"/>
                <w:sz w:val="22"/>
                <w:lang w:val="fr-FR"/>
              </w:rPr>
            </w:pPr>
            <w:r>
              <w:rPr>
                <w:rFonts w:ascii="Arial" w:eastAsia="Arial" w:hAnsi="Arial" w:cs="Arial"/>
                <w:color w:val="000000"/>
                <w:sz w:val="22"/>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center"/>
              <w:rPr>
                <w:rFonts w:ascii="Arial" w:eastAsia="Arial" w:hAnsi="Arial" w:cs="Arial"/>
                <w:color w:val="000000"/>
                <w:sz w:val="22"/>
                <w:lang w:val="fr-FR"/>
              </w:rPr>
            </w:pPr>
            <w:r>
              <w:rPr>
                <w:rFonts w:ascii="Arial" w:eastAsia="Arial" w:hAnsi="Arial" w:cs="Arial"/>
                <w:color w:val="000000"/>
                <w:sz w:val="22"/>
                <w:lang w:val="fr-FR"/>
              </w:rPr>
              <w:t>Oui</w:t>
            </w:r>
          </w:p>
        </w:tc>
      </w:tr>
      <w:tr w:rsidR="00984157">
        <w:trPr>
          <w:trHeight w:val="34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both"/>
              <w:rPr>
                <w:rFonts w:ascii="Arial" w:eastAsia="Arial" w:hAnsi="Arial" w:cs="Arial"/>
                <w:color w:val="000000"/>
                <w:sz w:val="22"/>
                <w:lang w:val="fr-FR"/>
              </w:rPr>
            </w:pPr>
            <w:r>
              <w:rPr>
                <w:rFonts w:ascii="Arial" w:eastAsia="Arial" w:hAnsi="Arial" w:cs="Arial"/>
                <w:color w:val="000000"/>
                <w:sz w:val="22"/>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r w:rsidR="00984157">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E542F0">
            <w:pPr>
              <w:spacing w:line="253" w:lineRule="exact"/>
              <w:ind w:left="80" w:right="80"/>
              <w:jc w:val="both"/>
              <w:rPr>
                <w:rFonts w:ascii="Arial" w:eastAsia="Arial" w:hAnsi="Arial" w:cs="Arial"/>
                <w:color w:val="000000"/>
                <w:sz w:val="22"/>
                <w:lang w:val="fr-FR"/>
              </w:rPr>
            </w:pPr>
            <w:r w:rsidRPr="00E542F0">
              <w:rPr>
                <w:rFonts w:ascii="Arial" w:eastAsia="Arial" w:hAnsi="Arial" w:cs="Arial"/>
                <w:color w:val="000000"/>
                <w:sz w:val="22"/>
                <w:lang w:val="fr-FR"/>
              </w:rPr>
              <w:t xml:space="preserve">Cadre Mémoire technique </w:t>
            </w:r>
            <w:r w:rsidR="00A360BE" w:rsidRPr="00E542F0">
              <w:rPr>
                <w:rFonts w:ascii="Arial" w:eastAsia="Arial" w:hAnsi="Arial" w:cs="Arial"/>
                <w:color w:val="000000"/>
                <w:sz w:val="22"/>
                <w:lang w:val="fr-FR"/>
              </w:rPr>
              <w:t>évaluation</w:t>
            </w:r>
            <w:r w:rsidRPr="00E542F0">
              <w:rPr>
                <w:rFonts w:ascii="Arial" w:eastAsia="Arial" w:hAnsi="Arial" w:cs="Arial"/>
                <w:color w:val="000000"/>
                <w:sz w:val="22"/>
                <w:lang w:val="fr-FR"/>
              </w:rPr>
              <w:t xml:space="preserve"> ESSMS</w:t>
            </w:r>
            <w:r>
              <w:rPr>
                <w:rFonts w:ascii="Arial" w:eastAsia="Arial" w:hAnsi="Arial" w:cs="Arial"/>
                <w:color w:val="000000"/>
                <w:sz w:val="22"/>
                <w:lang w:val="fr-FR"/>
              </w:rPr>
              <w:t xml:space="preserve"> dûment complété, accompagné le cas échéant par des documents que le candidat souhaiterait produire pour préciser son offre</w:t>
            </w:r>
          </w:p>
          <w:p w:rsidR="00A360BE" w:rsidRDefault="00A360BE" w:rsidP="00A360BE">
            <w:pPr>
              <w:spacing w:line="253" w:lineRule="exact"/>
              <w:ind w:left="80" w:right="80"/>
              <w:jc w:val="both"/>
              <w:rPr>
                <w:rFonts w:ascii="Arial" w:eastAsia="Arial" w:hAnsi="Arial" w:cs="Arial"/>
                <w:color w:val="000000"/>
                <w:sz w:val="22"/>
                <w:lang w:val="fr-FR"/>
              </w:rPr>
            </w:pPr>
            <w:r w:rsidRPr="00A360BE">
              <w:rPr>
                <w:rFonts w:ascii="Arial" w:eastAsia="Arial" w:hAnsi="Arial" w:cs="Arial"/>
                <w:color w:val="000000"/>
                <w:sz w:val="22"/>
                <w:lang w:val="fr-FR"/>
              </w:rPr>
              <w:t xml:space="preserve">Un curriculum vitae sera transmis pour chaque évaluateur pressenti pour les établissements du GHT Territoires d’Auvergne en précisant son statut dans la société, son ancienneté et les structures sur lesquelles il </w:t>
            </w:r>
            <w:r>
              <w:rPr>
                <w:rFonts w:ascii="Arial" w:eastAsia="Arial" w:hAnsi="Arial" w:cs="Arial"/>
                <w:color w:val="000000"/>
                <w:sz w:val="22"/>
                <w:lang w:val="fr-FR"/>
              </w:rPr>
              <w:t>sera amené à intervenir</w:t>
            </w:r>
          </w:p>
          <w:p w:rsidR="002B5912" w:rsidRDefault="002B5912" w:rsidP="00A360BE">
            <w:pPr>
              <w:spacing w:line="253" w:lineRule="exact"/>
              <w:ind w:left="80" w:right="80"/>
              <w:jc w:val="both"/>
              <w:rPr>
                <w:rFonts w:ascii="Arial" w:eastAsia="Arial" w:hAnsi="Arial" w:cs="Arial"/>
                <w:color w:val="000000"/>
                <w:sz w:val="22"/>
                <w:lang w:val="fr-FR"/>
              </w:rPr>
            </w:pPr>
            <w:r w:rsidRPr="002B5912">
              <w:rPr>
                <w:rFonts w:ascii="Arial" w:eastAsia="Arial" w:hAnsi="Arial" w:cs="Arial"/>
                <w:color w:val="000000"/>
                <w:sz w:val="22"/>
                <w:lang w:val="fr-FR"/>
              </w:rPr>
              <w:t>Les candidats devront proposer un retro-planning des différentes tâches à effectuer afin de respecter les délais ci-dessus.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84157" w:rsidRDefault="00F07086">
            <w:pPr>
              <w:spacing w:before="80" w:after="20"/>
              <w:ind w:left="80" w:right="80"/>
              <w:jc w:val="center"/>
              <w:rPr>
                <w:rFonts w:ascii="Arial" w:eastAsia="Arial" w:hAnsi="Arial" w:cs="Arial"/>
                <w:color w:val="000000"/>
                <w:sz w:val="22"/>
                <w:lang w:val="fr-FR"/>
              </w:rPr>
            </w:pPr>
            <w:r>
              <w:rPr>
                <w:rFonts w:ascii="Arial" w:eastAsia="Arial" w:hAnsi="Arial" w:cs="Arial"/>
                <w:color w:val="000000"/>
                <w:sz w:val="22"/>
                <w:lang w:val="fr-FR"/>
              </w:rPr>
              <w:t>Non</w:t>
            </w:r>
          </w:p>
        </w:tc>
      </w:tr>
    </w:tbl>
    <w:p w:rsidR="00984157" w:rsidRDefault="00984157">
      <w:pPr>
        <w:spacing w:line="240" w:lineRule="exact"/>
      </w:pPr>
    </w:p>
    <w:p w:rsidR="002142B6" w:rsidRDefault="002142B6" w:rsidP="002142B6">
      <w:pPr>
        <w:spacing w:line="240" w:lineRule="exact"/>
        <w:rPr>
          <w:rFonts w:ascii="Arial" w:hAnsi="Arial" w:cs="Arial"/>
          <w:b/>
          <w:lang w:val="fr-FR"/>
        </w:rPr>
      </w:pPr>
      <w:r>
        <w:rPr>
          <w:rFonts w:ascii="Arial" w:hAnsi="Arial" w:cs="Arial"/>
          <w:b/>
          <w:lang w:val="fr-FR"/>
        </w:rPr>
        <w:t xml:space="preserve">Les offres doivent contenir les fichiers fournis dans leur format initial. Ainsi, l’acte d’engagement qui est fourni sur un format </w:t>
      </w:r>
      <w:proofErr w:type="spellStart"/>
      <w:r>
        <w:rPr>
          <w:rFonts w:ascii="Arial" w:hAnsi="Arial" w:cs="Arial"/>
          <w:b/>
          <w:lang w:val="fr-FR"/>
        </w:rPr>
        <w:t>PdF</w:t>
      </w:r>
      <w:proofErr w:type="spellEnd"/>
      <w:r>
        <w:rPr>
          <w:rFonts w:ascii="Arial" w:hAnsi="Arial" w:cs="Arial"/>
          <w:b/>
          <w:lang w:val="fr-FR"/>
        </w:rPr>
        <w:t xml:space="preserve"> </w:t>
      </w:r>
      <w:proofErr w:type="spellStart"/>
      <w:r>
        <w:rPr>
          <w:rFonts w:ascii="Arial" w:hAnsi="Arial" w:cs="Arial"/>
          <w:b/>
          <w:lang w:val="fr-FR"/>
        </w:rPr>
        <w:t>remplissable</w:t>
      </w:r>
      <w:proofErr w:type="spellEnd"/>
      <w:r>
        <w:rPr>
          <w:rFonts w:ascii="Arial" w:hAnsi="Arial" w:cs="Arial"/>
          <w:b/>
          <w:lang w:val="fr-FR"/>
        </w:rPr>
        <w:t xml:space="preserve"> sera complété par chaque candidat retenu et signé dans l’encart prévu à cet effet. Il n’est pas autorisé de remplir le fichier puis d’en remettre une copie scannée. De même, le tableau des prix remis sous forme Excel par le pouvoir adjudicateur sera remis complété par le candidat sous ce même format Excel.</w:t>
      </w:r>
    </w:p>
    <w:p w:rsidR="00984157" w:rsidRPr="002142B6" w:rsidRDefault="00984157">
      <w:pPr>
        <w:spacing w:after="80" w:line="240" w:lineRule="exact"/>
        <w:rPr>
          <w:lang w:val="fr-FR"/>
        </w:rPr>
      </w:pPr>
    </w:p>
    <w:p w:rsidR="00984157" w:rsidRDefault="00F07086">
      <w:pPr>
        <w:pStyle w:val="ParagrapheIndent2"/>
        <w:spacing w:after="240" w:line="253" w:lineRule="exact"/>
        <w:ind w:left="20" w:right="20"/>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rsidR="00984157" w:rsidRDefault="00F07086">
      <w:pPr>
        <w:pStyle w:val="Titre1"/>
        <w:rPr>
          <w:rFonts w:eastAsia="Arial"/>
          <w:color w:val="000000"/>
          <w:sz w:val="28"/>
          <w:lang w:val="fr-FR"/>
        </w:rPr>
      </w:pPr>
      <w:bookmarkStart w:id="20" w:name="_Toc256000019"/>
      <w:r>
        <w:rPr>
          <w:rFonts w:eastAsia="Arial"/>
          <w:color w:val="000000"/>
          <w:sz w:val="28"/>
          <w:lang w:val="fr-FR"/>
        </w:rPr>
        <w:lastRenderedPageBreak/>
        <w:t>7 - Conditions d'envoi ou de remise des plis</w:t>
      </w:r>
      <w:bookmarkEnd w:id="20"/>
    </w:p>
    <w:p w:rsidR="00984157" w:rsidRDefault="00F07086">
      <w:pPr>
        <w:pStyle w:val="ParagrapheIndent1"/>
        <w:spacing w:after="240" w:line="253" w:lineRule="exact"/>
        <w:ind w:left="20" w:right="20"/>
        <w:jc w:val="both"/>
        <w:rPr>
          <w:color w:val="000000"/>
          <w:lang w:val="fr-FR"/>
        </w:rPr>
      </w:pPr>
      <w:r>
        <w:rPr>
          <w:color w:val="000000"/>
          <w:lang w:val="fr-FR"/>
        </w:rPr>
        <w:t>Les plis devront parvenir à destination avant la date et l'heure limites de réception des offres indiquées sur la page de garde du présent document.</w:t>
      </w:r>
    </w:p>
    <w:p w:rsidR="00984157" w:rsidRDefault="00F07086">
      <w:pPr>
        <w:pStyle w:val="Titre2"/>
        <w:ind w:left="300" w:right="20"/>
        <w:jc w:val="both"/>
        <w:rPr>
          <w:rFonts w:eastAsia="Arial"/>
          <w:i w:val="0"/>
          <w:color w:val="000000"/>
          <w:sz w:val="24"/>
          <w:lang w:val="fr-FR"/>
        </w:rPr>
      </w:pPr>
      <w:bookmarkStart w:id="21" w:name="_Toc256000020"/>
      <w:r>
        <w:rPr>
          <w:rFonts w:eastAsia="Arial"/>
          <w:i w:val="0"/>
          <w:color w:val="000000"/>
          <w:sz w:val="24"/>
          <w:lang w:val="fr-FR"/>
        </w:rPr>
        <w:t>7.1 - Transmission électronique</w:t>
      </w:r>
      <w:bookmarkEnd w:id="21"/>
    </w:p>
    <w:p w:rsidR="00A360BE" w:rsidRPr="0004542D" w:rsidRDefault="00A360BE" w:rsidP="00A360BE">
      <w:pPr>
        <w:pStyle w:val="ParagrapheIndent2"/>
        <w:spacing w:line="232" w:lineRule="exact"/>
        <w:ind w:left="20" w:right="20"/>
        <w:jc w:val="both"/>
        <w:rPr>
          <w:color w:val="000000" w:themeColor="text1"/>
          <w:szCs w:val="22"/>
          <w:lang w:val="fr-FR"/>
        </w:rPr>
      </w:pPr>
      <w:r w:rsidRPr="0004542D">
        <w:rPr>
          <w:color w:val="000000" w:themeColor="text1"/>
          <w:szCs w:val="22"/>
          <w:lang w:val="fr-FR"/>
        </w:rPr>
        <w:t>La transmission des documents par voie électronique est effectuée sur le profil d'acheteur du pouvoir adjudicateur, à l'adresse URL suivante : https://www.marches-publics.gouv.fr.</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jc w:val="both"/>
        <w:rPr>
          <w:color w:val="000000"/>
          <w:szCs w:val="22"/>
          <w:lang w:val="fr-FR"/>
        </w:rPr>
      </w:pPr>
      <w:r w:rsidRPr="0004542D">
        <w:rPr>
          <w:color w:val="000000"/>
          <w:szCs w:val="22"/>
          <w:lang w:val="fr-FR"/>
        </w:rPr>
        <w:t>Le choix du mode de transmission est global et irréversible. Les candidats doivent appliquer le même mode de transmission à l'ensemble des documents transmis au pouvoir adjudicateur.</w:t>
      </w:r>
    </w:p>
    <w:p w:rsidR="00A360BE" w:rsidRPr="0004542D" w:rsidRDefault="00A360BE" w:rsidP="00A360BE">
      <w:pPr>
        <w:pStyle w:val="ParagrapheIndent2"/>
        <w:spacing w:line="232" w:lineRule="exact"/>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Le pli doit contenir deux dossiers distincts comportant respectivement les pièces de la candidature et les pièces de l'offre définies au présent règlement de la consultation.</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after="240" w:line="232" w:lineRule="exact"/>
        <w:ind w:left="20" w:right="20"/>
        <w:jc w:val="both"/>
        <w:rPr>
          <w:color w:val="000000"/>
          <w:szCs w:val="22"/>
          <w:lang w:val="fr-FR"/>
        </w:rPr>
      </w:pPr>
      <w:r w:rsidRPr="0004542D">
        <w:rPr>
          <w:color w:val="000000"/>
          <w:szCs w:val="22"/>
          <w:lang w:val="fr-FR"/>
        </w:rPr>
        <w:t>Si une nouvelle offre est envoyée par voie électronique par le même candidat, celle-ci annule et remplace l'offre précédente.</w:t>
      </w: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 lorsqu'un programme informatique malveillant est détecté dans le pli transmis par voie électronique ;</w:t>
      </w: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 lorsque le pli électronique est reçu de façon incomplète, hors délai ou n'a pu être ouvert, à condition que sa transmission ait commencée avant la clôture de la remise des plis.</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La copie de sauvegarde peut être transmise ou déposée à l'adresse suivante :</w:t>
      </w:r>
    </w:p>
    <w:p w:rsidR="001D32E9" w:rsidRPr="0004542D" w:rsidRDefault="001D32E9" w:rsidP="001D32E9">
      <w:pPr>
        <w:pStyle w:val="ParagrapheIndent2"/>
        <w:spacing w:line="232" w:lineRule="exact"/>
        <w:ind w:left="20" w:right="20"/>
        <w:jc w:val="both"/>
        <w:rPr>
          <w:color w:val="000000"/>
          <w:szCs w:val="22"/>
          <w:lang w:val="fr-FR"/>
        </w:rPr>
      </w:pPr>
      <w:r w:rsidRPr="0004542D">
        <w:rPr>
          <w:color w:val="000000"/>
          <w:szCs w:val="22"/>
          <w:lang w:val="fr-FR"/>
        </w:rPr>
        <w:t>CHU D</w:t>
      </w:r>
      <w:r>
        <w:rPr>
          <w:color w:val="000000"/>
          <w:szCs w:val="22"/>
          <w:lang w:val="fr-FR"/>
        </w:rPr>
        <w:t>AL</w:t>
      </w:r>
      <w:r w:rsidRPr="0004542D">
        <w:rPr>
          <w:color w:val="000000"/>
          <w:szCs w:val="22"/>
          <w:lang w:val="fr-FR"/>
        </w:rPr>
        <w:t xml:space="preserve"> </w:t>
      </w:r>
    </w:p>
    <w:p w:rsidR="001D32E9" w:rsidRPr="0004542D" w:rsidRDefault="001D32E9" w:rsidP="001D32E9">
      <w:pPr>
        <w:pStyle w:val="ParagrapheIndent2"/>
        <w:spacing w:line="232" w:lineRule="exact"/>
        <w:ind w:left="20" w:right="20"/>
        <w:jc w:val="both"/>
        <w:rPr>
          <w:color w:val="000000"/>
          <w:szCs w:val="22"/>
          <w:lang w:val="fr-FR"/>
        </w:rPr>
      </w:pPr>
      <w:r w:rsidRPr="0004542D">
        <w:rPr>
          <w:color w:val="000000"/>
          <w:szCs w:val="22"/>
          <w:lang w:val="fr-FR"/>
        </w:rPr>
        <w:t>Bureau des Marchés</w:t>
      </w:r>
    </w:p>
    <w:p w:rsidR="001D32E9" w:rsidRPr="0004542D" w:rsidRDefault="001D32E9" w:rsidP="001D32E9">
      <w:pPr>
        <w:pStyle w:val="ParagrapheIndent2"/>
        <w:spacing w:line="232" w:lineRule="exact"/>
        <w:ind w:left="20" w:right="20"/>
        <w:jc w:val="both"/>
        <w:rPr>
          <w:color w:val="000000"/>
          <w:szCs w:val="22"/>
          <w:lang w:val="fr-FR"/>
        </w:rPr>
      </w:pPr>
      <w:r>
        <w:rPr>
          <w:color w:val="000000"/>
          <w:szCs w:val="22"/>
          <w:lang w:val="fr-FR"/>
        </w:rPr>
        <w:t>58 rue Montalembert</w:t>
      </w:r>
    </w:p>
    <w:p w:rsidR="001D32E9" w:rsidRPr="0004542D" w:rsidRDefault="001D32E9" w:rsidP="001D32E9">
      <w:pPr>
        <w:pStyle w:val="ParagrapheIndent2"/>
        <w:spacing w:line="232" w:lineRule="exact"/>
        <w:ind w:left="20" w:right="20"/>
        <w:jc w:val="both"/>
        <w:rPr>
          <w:color w:val="000000"/>
          <w:szCs w:val="22"/>
          <w:lang w:val="fr-FR"/>
        </w:rPr>
      </w:pPr>
      <w:r w:rsidRPr="0004542D">
        <w:rPr>
          <w:color w:val="000000"/>
          <w:szCs w:val="22"/>
          <w:lang w:val="fr-FR"/>
        </w:rPr>
        <w:t>63000 CLERMONT FERRAND</w:t>
      </w:r>
    </w:p>
    <w:p w:rsidR="001D32E9" w:rsidRPr="0004542D" w:rsidRDefault="001D32E9" w:rsidP="001D32E9">
      <w:pPr>
        <w:pStyle w:val="ParagrapheIndent2"/>
        <w:spacing w:after="240" w:line="232" w:lineRule="exact"/>
        <w:ind w:left="20" w:right="20"/>
        <w:jc w:val="both"/>
        <w:rPr>
          <w:color w:val="000000"/>
          <w:szCs w:val="22"/>
          <w:lang w:val="fr-FR"/>
        </w:rPr>
      </w:pPr>
    </w:p>
    <w:p w:rsidR="00A360BE" w:rsidRPr="0004542D" w:rsidRDefault="00A360BE" w:rsidP="00A360BE">
      <w:pPr>
        <w:pStyle w:val="ParagrapheIndent2"/>
        <w:spacing w:after="240" w:line="232" w:lineRule="exact"/>
        <w:ind w:left="20" w:right="20"/>
        <w:jc w:val="both"/>
        <w:rPr>
          <w:color w:val="000000"/>
          <w:szCs w:val="22"/>
          <w:lang w:val="fr-FR"/>
        </w:rPr>
      </w:pPr>
      <w:r w:rsidRPr="0004542D">
        <w:rPr>
          <w:color w:val="000000"/>
          <w:szCs w:val="22"/>
          <w:lang w:val="fr-FR"/>
        </w:rPr>
        <w:t>Aucun format électronique n'est préconisé pour la transmission des documents. Cependant, les fichiers devront être transmis dans des formats largement disponibles.</w:t>
      </w: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 xml:space="preserve">Chaque document pour lequel une signature est requise doit faire l'objet d'une signature électronique au format </w:t>
      </w:r>
      <w:proofErr w:type="spellStart"/>
      <w:r w:rsidRPr="0004542D">
        <w:rPr>
          <w:color w:val="000000"/>
          <w:szCs w:val="22"/>
          <w:lang w:val="fr-FR"/>
        </w:rPr>
        <w:t>XAdES</w:t>
      </w:r>
      <w:proofErr w:type="spellEnd"/>
      <w:r w:rsidRPr="0004542D">
        <w:rPr>
          <w:color w:val="000000"/>
          <w:szCs w:val="22"/>
          <w:lang w:val="fr-FR"/>
        </w:rPr>
        <w:t xml:space="preserve">, </w:t>
      </w:r>
      <w:proofErr w:type="spellStart"/>
      <w:r w:rsidRPr="0004542D">
        <w:rPr>
          <w:color w:val="000000"/>
          <w:szCs w:val="22"/>
          <w:lang w:val="fr-FR"/>
        </w:rPr>
        <w:t>CAdES</w:t>
      </w:r>
      <w:proofErr w:type="spellEnd"/>
      <w:r w:rsidRPr="0004542D">
        <w:rPr>
          <w:color w:val="000000"/>
          <w:szCs w:val="22"/>
          <w:lang w:val="fr-FR"/>
        </w:rPr>
        <w:t xml:space="preserve"> ou </w:t>
      </w:r>
      <w:proofErr w:type="spellStart"/>
      <w:r w:rsidRPr="0004542D">
        <w:rPr>
          <w:color w:val="000000"/>
          <w:szCs w:val="22"/>
          <w:lang w:val="fr-FR"/>
        </w:rPr>
        <w:t>PAdES</w:t>
      </w:r>
      <w:proofErr w:type="spellEnd"/>
      <w:r w:rsidRPr="0004542D">
        <w:rPr>
          <w:color w:val="000000"/>
          <w:szCs w:val="22"/>
          <w:lang w:val="fr-FR"/>
        </w:rPr>
        <w:t>. La signature électronique du pli ne vaut pas signature des documents qu'il contient.</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Conformément à l'arrêté du 22 mars 2019 relatif à la signature électronique des contrats de la commande publique, la signature doit être une signature avancée reposant sur un certificat qualifié, tel que défini par le règlement européen n° 910/2014 du 23 juillet 2014 sur l'identification électronique et les services de confiance pour les transactions électroniques (</w:t>
      </w:r>
      <w:proofErr w:type="spellStart"/>
      <w:r w:rsidRPr="0004542D">
        <w:rPr>
          <w:color w:val="000000"/>
          <w:szCs w:val="22"/>
          <w:lang w:val="fr-FR"/>
        </w:rPr>
        <w:t>eIDAS</w:t>
      </w:r>
      <w:proofErr w:type="spellEnd"/>
      <w:r w:rsidRPr="0004542D">
        <w:rPr>
          <w:color w:val="000000"/>
          <w:szCs w:val="22"/>
          <w:lang w:val="fr-FR"/>
        </w:rPr>
        <w:t>). Toutefois, les certificats de signature de type RGS demeurent valables jusqu'à leur expiration.</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 xml:space="preserve">Le certificat de signature qualifié est délivré par un prestataire de service de confiance qualifié répondant aux exigences du règlement </w:t>
      </w:r>
      <w:proofErr w:type="spellStart"/>
      <w:r w:rsidRPr="0004542D">
        <w:rPr>
          <w:color w:val="000000"/>
          <w:szCs w:val="22"/>
          <w:lang w:val="fr-FR"/>
        </w:rPr>
        <w:t>eIDAS</w:t>
      </w:r>
      <w:proofErr w:type="spellEnd"/>
      <w:r w:rsidRPr="0004542D">
        <w:rPr>
          <w:color w:val="000000"/>
          <w:szCs w:val="22"/>
          <w:lang w:val="fr-FR"/>
        </w:rPr>
        <w:t xml:space="preserve">. Une liste de prestataires est disponible sur le site de l'ANSSI (https://www.ssi.gouv.fr/). Il peut aussi être délivré par une autorité de certification, française ou étrangère. Le candidat devra alors démontrer son équivalence au règlement </w:t>
      </w:r>
      <w:proofErr w:type="spellStart"/>
      <w:r w:rsidRPr="0004542D">
        <w:rPr>
          <w:color w:val="000000"/>
          <w:szCs w:val="22"/>
          <w:lang w:val="fr-FR"/>
        </w:rPr>
        <w:t>eIDAS</w:t>
      </w:r>
      <w:proofErr w:type="spellEnd"/>
      <w:r w:rsidRPr="0004542D">
        <w:rPr>
          <w:color w:val="000000"/>
          <w:szCs w:val="22"/>
          <w:lang w:val="fr-FR"/>
        </w:rPr>
        <w:t>.</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after="240" w:line="232" w:lineRule="exact"/>
        <w:ind w:left="20" w:right="20"/>
        <w:jc w:val="both"/>
        <w:rPr>
          <w:color w:val="000000"/>
          <w:szCs w:val="22"/>
          <w:lang w:val="fr-FR"/>
        </w:rPr>
      </w:pPr>
      <w:r w:rsidRPr="0004542D">
        <w:rPr>
          <w:color w:val="000000"/>
          <w:szCs w:val="22"/>
          <w:lang w:val="fr-FR"/>
        </w:rPr>
        <w:lastRenderedPageBreak/>
        <w:t>Le candidat qui utilise un autre outil de signature que celui du profil d'acheteur, ou un certificat délivré par une autre autorité de certification, doit transmettre gratuitement le mode d'emploi permettant la vérification de la validité de la signature.</w:t>
      </w:r>
    </w:p>
    <w:p w:rsidR="00A360BE" w:rsidRPr="0004542D" w:rsidRDefault="00A360BE" w:rsidP="00A360BE">
      <w:pPr>
        <w:pStyle w:val="ParagrapheIndent2"/>
        <w:spacing w:after="240"/>
        <w:ind w:left="20" w:right="20"/>
        <w:jc w:val="both"/>
        <w:rPr>
          <w:color w:val="000000"/>
          <w:szCs w:val="22"/>
          <w:lang w:val="fr-FR"/>
        </w:rPr>
      </w:pPr>
      <w:r w:rsidRPr="0004542D">
        <w:rPr>
          <w:color w:val="000000"/>
          <w:szCs w:val="22"/>
          <w:lang w:val="fr-FR"/>
        </w:rPr>
        <w:t>La signature électronique du contrat par l'attributaire est exigée dans le cadre de cette consultation.</w:t>
      </w:r>
    </w:p>
    <w:p w:rsidR="00A360BE" w:rsidRPr="0004542D" w:rsidRDefault="00A360BE" w:rsidP="00A360BE">
      <w:pPr>
        <w:pStyle w:val="ParagrapheIndent2"/>
        <w:spacing w:after="240" w:line="232" w:lineRule="exact"/>
        <w:ind w:left="20" w:right="20"/>
        <w:jc w:val="both"/>
        <w:rPr>
          <w:color w:val="000000"/>
          <w:szCs w:val="22"/>
          <w:lang w:val="fr-FR"/>
        </w:rPr>
      </w:pPr>
      <w:r w:rsidRPr="0004542D">
        <w:rPr>
          <w:color w:val="000000"/>
          <w:szCs w:val="22"/>
          <w:lang w:val="fr-FR"/>
        </w:rPr>
        <w:t>Pour signer électroniquement, le candidat peut utiliser l'un des trois formats de signature autorisés par la réglementation (</w:t>
      </w:r>
      <w:proofErr w:type="spellStart"/>
      <w:r w:rsidRPr="0004542D">
        <w:rPr>
          <w:color w:val="000000"/>
          <w:szCs w:val="22"/>
          <w:lang w:val="fr-FR"/>
        </w:rPr>
        <w:t>XAdES</w:t>
      </w:r>
      <w:proofErr w:type="spellEnd"/>
      <w:r w:rsidRPr="0004542D">
        <w:rPr>
          <w:color w:val="000000"/>
          <w:szCs w:val="22"/>
          <w:lang w:val="fr-FR"/>
        </w:rPr>
        <w:t xml:space="preserve">, </w:t>
      </w:r>
      <w:proofErr w:type="spellStart"/>
      <w:r w:rsidRPr="0004542D">
        <w:rPr>
          <w:color w:val="000000"/>
          <w:szCs w:val="22"/>
          <w:lang w:val="fr-FR"/>
        </w:rPr>
        <w:t>CAdES</w:t>
      </w:r>
      <w:proofErr w:type="spellEnd"/>
      <w:r w:rsidRPr="0004542D">
        <w:rPr>
          <w:color w:val="000000"/>
          <w:szCs w:val="22"/>
          <w:lang w:val="fr-FR"/>
        </w:rPr>
        <w:t xml:space="preserve"> ou </w:t>
      </w:r>
      <w:proofErr w:type="spellStart"/>
      <w:r w:rsidRPr="0004542D">
        <w:rPr>
          <w:color w:val="000000"/>
          <w:szCs w:val="22"/>
          <w:lang w:val="fr-FR"/>
        </w:rPr>
        <w:t>PAdES</w:t>
      </w:r>
      <w:proofErr w:type="spellEnd"/>
      <w:r w:rsidRPr="0004542D">
        <w:rPr>
          <w:color w:val="000000"/>
          <w:szCs w:val="22"/>
          <w:lang w:val="fr-FR"/>
        </w:rPr>
        <w:t xml:space="preserve">). Le pouvoir adjudicateur préconise toutefois l'utilisation d'une signature électronique au format </w:t>
      </w:r>
      <w:proofErr w:type="spellStart"/>
      <w:r w:rsidRPr="0004542D">
        <w:rPr>
          <w:color w:val="000000"/>
          <w:szCs w:val="22"/>
          <w:lang w:val="fr-FR"/>
        </w:rPr>
        <w:t>pAdES</w:t>
      </w:r>
      <w:proofErr w:type="spellEnd"/>
      <w:r w:rsidRPr="0004542D">
        <w:rPr>
          <w:color w:val="000000"/>
          <w:szCs w:val="22"/>
          <w:lang w:val="fr-FR"/>
        </w:rPr>
        <w:t>.</w:t>
      </w:r>
    </w:p>
    <w:p w:rsidR="00A360BE" w:rsidRPr="0004542D" w:rsidRDefault="00A360BE" w:rsidP="00A360BE">
      <w:pPr>
        <w:pStyle w:val="ParagrapheIndent2"/>
        <w:spacing w:after="240"/>
        <w:jc w:val="both"/>
        <w:rPr>
          <w:color w:val="000000"/>
          <w:szCs w:val="22"/>
          <w:lang w:val="fr-FR"/>
        </w:rPr>
      </w:pPr>
      <w:r w:rsidRPr="0004542D">
        <w:rPr>
          <w:color w:val="000000"/>
          <w:szCs w:val="22"/>
          <w:lang w:val="fr-FR"/>
        </w:rPr>
        <w:t>Les frais d'accès au réseau et de recours à la signature électronique sont à la charge des candidats.</w:t>
      </w: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Le candidat est invité à créer son "Espace entreprise" sur la plateforme AWS-Entreprise (https://www.marches-publics.info/fournisseurs.htm). Sur cette plateforme, le candidat pourra retrouver l'ensemble de ses retraits de dossier de consultation. L'inscription est un préalable obligatoire pour correspondre avec l'acheteur lors de chaque consultation (Questions/Réponses, Dépôt de candidatures et offres. . .). Elle permet également de bénéficier d'un service d'alertes sur les consultations (précisions, modifications, report de délais...).</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Par conséquent, il est recommandé d'indiquer une adresse mail durable pendant toute la durée de la procédure, en priorité l'adresse de l'interlocuteur principal du candidat, ainsi que la ou les adresses de remplacement en cas d'absence de ce dernier. Le candidat ne pourra porter aucune réclamation s'il ne bénéficie pas de toutes les informations complémentaires diffusées par la plateforme lors du déroulement de la consultation, en raison d'une erreur qu'il aurait faite dans la saisie de son adresse, ou en cas de suppression de ladite adresse.</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Un service de dépôt "Attestation" permet au candidat de déposer en ligne son RIB, son KBIS, ses attestations d'assurance, sa liste nominative des travailleurs étrangers, son attestation de régularité fiscale et son attestation semestrielle sociale dans un coffre-fort sécurisé. L'ensemble des acheteurs utilisateurs de la plateforme auront accès à ces informations.</w:t>
      </w:r>
    </w:p>
    <w:p w:rsidR="00A360BE" w:rsidRPr="0004542D" w:rsidRDefault="00A360BE" w:rsidP="00A360BE">
      <w:pPr>
        <w:pStyle w:val="ParagrapheIndent2"/>
        <w:spacing w:line="232" w:lineRule="exact"/>
        <w:ind w:left="20" w:right="20"/>
        <w:jc w:val="both"/>
        <w:rPr>
          <w:color w:val="000000"/>
          <w:szCs w:val="22"/>
          <w:lang w:val="fr-FR"/>
        </w:rPr>
      </w:pPr>
    </w:p>
    <w:p w:rsidR="00A360BE" w:rsidRPr="0004542D" w:rsidRDefault="00A360BE" w:rsidP="00A360BE">
      <w:pPr>
        <w:pStyle w:val="ParagrapheIndent2"/>
        <w:spacing w:line="232" w:lineRule="exact"/>
        <w:ind w:left="20" w:right="20"/>
        <w:jc w:val="both"/>
        <w:rPr>
          <w:color w:val="000000"/>
          <w:szCs w:val="22"/>
          <w:lang w:val="fr-FR"/>
        </w:rPr>
      </w:pPr>
      <w:r w:rsidRPr="0004542D">
        <w:rPr>
          <w:color w:val="000000"/>
          <w:szCs w:val="22"/>
          <w:lang w:val="fr-FR"/>
        </w:rPr>
        <w:t>L'ensemble de ces services est fourni gratuitement au candidat.</w:t>
      </w:r>
    </w:p>
    <w:p w:rsidR="00984157" w:rsidRDefault="00F07086">
      <w:pPr>
        <w:pStyle w:val="ParagrapheIndent2"/>
        <w:spacing w:line="253" w:lineRule="exact"/>
        <w:ind w:left="20" w:right="20"/>
        <w:jc w:val="both"/>
        <w:rPr>
          <w:color w:val="000000"/>
          <w:lang w:val="fr-FR"/>
        </w:rPr>
      </w:pPr>
      <w:r>
        <w:rPr>
          <w:color w:val="000000"/>
          <w:lang w:val="fr-FR"/>
        </w:rPr>
        <w:t>t.</w:t>
      </w:r>
    </w:p>
    <w:p w:rsidR="00984157" w:rsidRDefault="00984157">
      <w:pPr>
        <w:pStyle w:val="ParagrapheIndent2"/>
        <w:spacing w:after="240" w:line="253" w:lineRule="exact"/>
        <w:ind w:left="20" w:right="20"/>
        <w:jc w:val="both"/>
        <w:rPr>
          <w:color w:val="000000"/>
          <w:lang w:val="fr-FR"/>
        </w:rPr>
      </w:pPr>
    </w:p>
    <w:p w:rsidR="00984157" w:rsidRDefault="00F07086">
      <w:pPr>
        <w:pStyle w:val="Titre2"/>
        <w:ind w:left="300" w:right="20"/>
        <w:jc w:val="both"/>
        <w:rPr>
          <w:rFonts w:eastAsia="Arial"/>
          <w:i w:val="0"/>
          <w:color w:val="000000"/>
          <w:sz w:val="24"/>
          <w:lang w:val="fr-FR"/>
        </w:rPr>
      </w:pPr>
      <w:bookmarkStart w:id="22" w:name="_Toc256000021"/>
      <w:r>
        <w:rPr>
          <w:rFonts w:eastAsia="Arial"/>
          <w:i w:val="0"/>
          <w:color w:val="000000"/>
          <w:sz w:val="24"/>
          <w:lang w:val="fr-FR"/>
        </w:rPr>
        <w:t>7.2 - Transmission sous support papier</w:t>
      </w:r>
      <w:bookmarkEnd w:id="22"/>
    </w:p>
    <w:p w:rsidR="00984157" w:rsidRDefault="00F07086">
      <w:pPr>
        <w:pStyle w:val="ParagrapheIndent2"/>
        <w:spacing w:after="240" w:line="253" w:lineRule="exact"/>
        <w:ind w:left="20" w:right="20"/>
        <w:jc w:val="both"/>
        <w:rPr>
          <w:color w:val="000000"/>
          <w:lang w:val="fr-FR"/>
        </w:rPr>
      </w:pPr>
      <w:r>
        <w:rPr>
          <w:color w:val="000000"/>
          <w:lang w:val="fr-FR"/>
        </w:rPr>
        <w:t>La transmission des plis par voie électronique est imposée pour cette consultation. Par conséquent, la transmission par voie papier n'est pas autorisée.</w:t>
      </w:r>
    </w:p>
    <w:p w:rsidR="00984157" w:rsidRDefault="00F07086">
      <w:pPr>
        <w:pStyle w:val="Titre1"/>
        <w:rPr>
          <w:rFonts w:eastAsia="Arial"/>
          <w:color w:val="000000"/>
          <w:sz w:val="28"/>
          <w:lang w:val="fr-FR"/>
        </w:rPr>
      </w:pPr>
      <w:bookmarkStart w:id="23" w:name="_Toc256000022"/>
      <w:r>
        <w:rPr>
          <w:rFonts w:eastAsia="Arial"/>
          <w:color w:val="000000"/>
          <w:sz w:val="28"/>
          <w:lang w:val="fr-FR"/>
        </w:rPr>
        <w:t>8 - Examen des candidatures et des offres</w:t>
      </w:r>
      <w:bookmarkEnd w:id="23"/>
    </w:p>
    <w:p w:rsidR="00984157" w:rsidRDefault="00F07086">
      <w:pPr>
        <w:pStyle w:val="Titre2"/>
        <w:ind w:left="300" w:right="20"/>
        <w:jc w:val="both"/>
        <w:rPr>
          <w:rFonts w:eastAsia="Arial"/>
          <w:i w:val="0"/>
          <w:color w:val="000000"/>
          <w:sz w:val="24"/>
          <w:lang w:val="fr-FR"/>
        </w:rPr>
      </w:pPr>
      <w:bookmarkStart w:id="24" w:name="_Toc256000023"/>
      <w:r>
        <w:rPr>
          <w:rFonts w:eastAsia="Arial"/>
          <w:i w:val="0"/>
          <w:color w:val="000000"/>
          <w:sz w:val="24"/>
          <w:lang w:val="fr-FR"/>
        </w:rPr>
        <w:t>8.1 - Sélection des candidatures</w:t>
      </w:r>
      <w:bookmarkEnd w:id="24"/>
    </w:p>
    <w:p w:rsidR="00984157" w:rsidRDefault="00F07086">
      <w:pPr>
        <w:pStyle w:val="ParagrapheIndent2"/>
        <w:spacing w:after="240" w:line="253" w:lineRule="exact"/>
        <w:ind w:left="20" w:right="20"/>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rsidR="00984157" w:rsidRDefault="00F07086">
      <w:pPr>
        <w:pStyle w:val="ParagrapheIndent2"/>
        <w:spacing w:after="240" w:line="253" w:lineRule="exact"/>
        <w:ind w:left="20" w:right="20"/>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rsidR="00984157" w:rsidRDefault="00F07086">
      <w:pPr>
        <w:pStyle w:val="Titre2"/>
        <w:ind w:left="300" w:right="20"/>
        <w:jc w:val="both"/>
        <w:rPr>
          <w:rFonts w:eastAsia="Arial"/>
          <w:i w:val="0"/>
          <w:color w:val="000000"/>
          <w:sz w:val="24"/>
          <w:lang w:val="fr-FR"/>
        </w:rPr>
      </w:pPr>
      <w:bookmarkStart w:id="25" w:name="_Toc256000024"/>
      <w:r>
        <w:rPr>
          <w:rFonts w:eastAsia="Arial"/>
          <w:i w:val="0"/>
          <w:color w:val="000000"/>
          <w:sz w:val="24"/>
          <w:lang w:val="fr-FR"/>
        </w:rPr>
        <w:t>8.2 - Attribution des marchés</w:t>
      </w:r>
      <w:bookmarkEnd w:id="25"/>
    </w:p>
    <w:p w:rsidR="00984157" w:rsidRDefault="00F07086">
      <w:pPr>
        <w:pStyle w:val="ParagrapheIndent2"/>
        <w:spacing w:line="253" w:lineRule="exact"/>
        <w:ind w:left="20" w:right="20"/>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rsidR="00984157" w:rsidRDefault="00984157">
      <w:pPr>
        <w:pStyle w:val="ParagrapheIndent2"/>
        <w:spacing w:line="253" w:lineRule="exact"/>
        <w:ind w:left="20" w:right="20"/>
        <w:jc w:val="both"/>
        <w:rPr>
          <w:color w:val="000000"/>
          <w:lang w:val="fr-FR"/>
        </w:rPr>
      </w:pPr>
    </w:p>
    <w:p w:rsidR="00984157" w:rsidRDefault="00F07086">
      <w:pPr>
        <w:pStyle w:val="ParagrapheIndent2"/>
        <w:spacing w:line="253" w:lineRule="exact"/>
        <w:ind w:left="20" w:right="20"/>
        <w:jc w:val="both"/>
        <w:rPr>
          <w:color w:val="000000"/>
          <w:lang w:val="fr-FR"/>
        </w:rPr>
      </w:pPr>
      <w:r>
        <w:rPr>
          <w:color w:val="000000"/>
          <w:lang w:val="fr-FR"/>
        </w:rPr>
        <w:lastRenderedPageBreak/>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rsidR="00984157" w:rsidRDefault="00984157">
      <w:pPr>
        <w:pStyle w:val="ParagrapheIndent2"/>
        <w:spacing w:line="253" w:lineRule="exact"/>
        <w:ind w:left="20" w:right="20"/>
        <w:jc w:val="both"/>
        <w:rPr>
          <w:color w:val="000000"/>
          <w:lang w:val="fr-FR"/>
        </w:rPr>
      </w:pPr>
    </w:p>
    <w:p w:rsidR="00984157" w:rsidRDefault="00F07086" w:rsidP="002142B6">
      <w:pPr>
        <w:pStyle w:val="ParagrapheIndent2"/>
        <w:spacing w:line="253" w:lineRule="exact"/>
        <w:ind w:left="20" w:right="20"/>
        <w:jc w:val="both"/>
        <w:rPr>
          <w:color w:val="000000"/>
          <w:lang w:val="fr-FR"/>
        </w:rPr>
      </w:pPr>
      <w:r>
        <w:rPr>
          <w:color w:val="000000"/>
          <w:lang w:val="fr-FR"/>
        </w:rPr>
        <w:t>.</w:t>
      </w:r>
    </w:p>
    <w:p w:rsidR="002142B6" w:rsidRPr="0098023C" w:rsidRDefault="002142B6" w:rsidP="002142B6">
      <w:pPr>
        <w:rPr>
          <w:rFonts w:ascii="Arial" w:hAnsi="Arial" w:cs="Arial"/>
          <w:sz w:val="22"/>
          <w:szCs w:val="22"/>
          <w:lang w:val="fr-FR"/>
        </w:rPr>
      </w:pPr>
    </w:p>
    <w:p w:rsidR="0098023C" w:rsidRPr="0098023C" w:rsidRDefault="0098023C" w:rsidP="002142B6">
      <w:pPr>
        <w:rPr>
          <w:rFonts w:ascii="Arial" w:hAnsi="Arial" w:cs="Arial"/>
          <w:sz w:val="22"/>
          <w:szCs w:val="22"/>
          <w:lang w:val="fr-FR"/>
        </w:rPr>
      </w:pPr>
      <w:r w:rsidRPr="0098023C">
        <w:rPr>
          <w:rFonts w:ascii="Arial" w:hAnsi="Arial" w:cs="Arial"/>
          <w:sz w:val="22"/>
          <w:szCs w:val="22"/>
          <w:lang w:val="fr-FR"/>
        </w:rPr>
        <w:t>Toute offre demeurant irrégulière pourra être régularisée dans un délai approprié. La régularisation</w:t>
      </w:r>
      <w:r w:rsidRPr="0098023C">
        <w:rPr>
          <w:rFonts w:ascii="Arial" w:hAnsi="Arial" w:cs="Arial"/>
          <w:sz w:val="22"/>
          <w:szCs w:val="22"/>
        </w:rPr>
        <w:t xml:space="preserve"> </w:t>
      </w:r>
      <w:r w:rsidRPr="0098023C">
        <w:rPr>
          <w:rFonts w:ascii="Arial" w:hAnsi="Arial" w:cs="Arial"/>
          <w:sz w:val="22"/>
          <w:szCs w:val="22"/>
          <w:lang w:val="fr-FR"/>
        </w:rPr>
        <w:t>d'une offre pourra avoir lieu à condition qu'elle ne soit pas anormalement basse</w:t>
      </w:r>
    </w:p>
    <w:p w:rsidR="0098023C" w:rsidRPr="0098023C" w:rsidRDefault="0098023C" w:rsidP="002142B6">
      <w:pPr>
        <w:rPr>
          <w:rFonts w:ascii="Arial" w:hAnsi="Arial" w:cs="Arial"/>
          <w:sz w:val="22"/>
          <w:szCs w:val="22"/>
          <w:lang w:val="fr-FR"/>
        </w:rPr>
      </w:pPr>
    </w:p>
    <w:p w:rsidR="00606194" w:rsidRPr="0098023C" w:rsidRDefault="00F07086" w:rsidP="0098023C">
      <w:pPr>
        <w:pStyle w:val="ParagrapheIndent2"/>
        <w:spacing w:line="253" w:lineRule="exact"/>
        <w:ind w:left="20" w:right="20"/>
        <w:jc w:val="both"/>
        <w:rPr>
          <w:color w:val="000000"/>
          <w:lang w:val="fr-FR"/>
        </w:rPr>
      </w:pPr>
      <w:r>
        <w:rPr>
          <w:color w:val="000000"/>
          <w:lang w:val="fr-FR"/>
        </w:rPr>
        <w:t>Les critères retenus pour le jugement des offres sont pondérés de la manière suivante :</w:t>
      </w:r>
    </w:p>
    <w:tbl>
      <w:tblPr>
        <w:tblpPr w:leftFromText="141" w:rightFromText="141" w:horzAnchor="margin" w:tblpY="1327"/>
        <w:tblW w:w="9600" w:type="dxa"/>
        <w:tblLayout w:type="fixed"/>
        <w:tblLook w:val="04A0" w:firstRow="1" w:lastRow="0" w:firstColumn="1" w:lastColumn="0" w:noHBand="0" w:noVBand="1"/>
      </w:tblPr>
      <w:tblGrid>
        <w:gridCol w:w="7800"/>
        <w:gridCol w:w="1800"/>
      </w:tblGrid>
      <w:tr w:rsidR="00606194" w:rsidRPr="00606194" w:rsidTr="00DB6F79">
        <w:trPr>
          <w:trHeight w:val="458"/>
        </w:trPr>
        <w:tc>
          <w:tcPr>
            <w:tcW w:w="7800" w:type="dxa"/>
            <w:tcBorders>
              <w:top w:val="single" w:sz="2" w:space="0" w:color="000000"/>
              <w:left w:val="single" w:sz="2" w:space="0" w:color="000000"/>
              <w:right w:val="single" w:sz="2" w:space="0" w:color="000000"/>
            </w:tcBorders>
            <w:shd w:val="clear" w:color="auto" w:fill="B4C6E7" w:themeFill="accent5" w:themeFillTint="66"/>
            <w:tcMar>
              <w:top w:w="0" w:type="dxa"/>
              <w:left w:w="0" w:type="dxa"/>
              <w:bottom w:w="0" w:type="dxa"/>
              <w:right w:w="0" w:type="dxa"/>
            </w:tcMar>
          </w:tcPr>
          <w:p w:rsidR="00606194" w:rsidRPr="00606194" w:rsidRDefault="00606194" w:rsidP="00606194">
            <w:pPr>
              <w:jc w:val="center"/>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Critères</w:t>
            </w:r>
          </w:p>
        </w:tc>
        <w:tc>
          <w:tcPr>
            <w:tcW w:w="1800" w:type="dxa"/>
            <w:tcBorders>
              <w:top w:val="single" w:sz="2" w:space="0" w:color="000000"/>
              <w:left w:val="single" w:sz="2" w:space="0" w:color="000000"/>
              <w:right w:val="single" w:sz="2" w:space="0" w:color="000000"/>
            </w:tcBorders>
            <w:shd w:val="clear" w:color="auto" w:fill="B4C6E7" w:themeFill="accent5" w:themeFillTint="66"/>
            <w:tcMar>
              <w:top w:w="0" w:type="dxa"/>
              <w:left w:w="0" w:type="dxa"/>
              <w:bottom w:w="0" w:type="dxa"/>
              <w:right w:w="0" w:type="dxa"/>
            </w:tcMar>
          </w:tcPr>
          <w:p w:rsidR="00606194" w:rsidRPr="00606194" w:rsidRDefault="00606194" w:rsidP="00606194">
            <w:pPr>
              <w:jc w:val="center"/>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Pondération</w:t>
            </w:r>
          </w:p>
        </w:tc>
      </w:tr>
      <w:tr w:rsidR="00606194" w:rsidRPr="00606194" w:rsidTr="00DB6F79">
        <w:trPr>
          <w:trHeight w:val="535"/>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06194" w:rsidRPr="00606194" w:rsidRDefault="00606194" w:rsidP="00606194">
            <w:pPr>
              <w:ind w:left="80" w:right="80"/>
              <w:jc w:val="both"/>
              <w:rPr>
                <w:rFonts w:ascii="Arial" w:eastAsia="Arial" w:hAnsi="Arial" w:cs="Arial"/>
                <w:color w:val="000000"/>
                <w:sz w:val="22"/>
                <w:szCs w:val="20"/>
                <w:lang w:val="fr-FR" w:eastAsia="fr-FR"/>
              </w:rPr>
            </w:pPr>
          </w:p>
          <w:p w:rsidR="00606194" w:rsidRPr="00606194" w:rsidRDefault="00606194" w:rsidP="00606194">
            <w:pPr>
              <w:ind w:left="80" w:right="80"/>
              <w:jc w:val="both"/>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Critère 1-Prix des prestations</w:t>
            </w:r>
          </w:p>
          <w:p w:rsidR="00606194" w:rsidRPr="00606194" w:rsidRDefault="00606194" w:rsidP="00606194">
            <w:pPr>
              <w:ind w:left="80" w:right="80"/>
              <w:jc w:val="both"/>
              <w:rPr>
                <w:rFonts w:ascii="Arial" w:eastAsia="Arial" w:hAnsi="Arial" w:cs="Arial"/>
                <w:color w:val="000000"/>
                <w:sz w:val="22"/>
                <w:szCs w:val="20"/>
                <w:lang w:val="fr-FR" w:eastAsia="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06194" w:rsidRPr="00606194" w:rsidRDefault="00606194" w:rsidP="00606194">
            <w:pPr>
              <w:ind w:left="80" w:right="80"/>
              <w:jc w:val="center"/>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40 %</w:t>
            </w:r>
          </w:p>
        </w:tc>
      </w:tr>
      <w:tr w:rsidR="00606194" w:rsidRPr="00606194" w:rsidTr="00DB6F79">
        <w:trPr>
          <w:trHeight w:val="44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06194" w:rsidRPr="00606194" w:rsidRDefault="00606194" w:rsidP="00606194">
            <w:pPr>
              <w:ind w:left="80" w:right="80"/>
              <w:jc w:val="both"/>
              <w:rPr>
                <w:rFonts w:ascii="Arial" w:eastAsia="Arial" w:hAnsi="Arial" w:cs="Arial"/>
                <w:color w:val="000000"/>
                <w:sz w:val="22"/>
                <w:szCs w:val="22"/>
                <w:lang w:val="fr-FR" w:eastAsia="fr-FR"/>
              </w:rPr>
            </w:pPr>
          </w:p>
          <w:p w:rsidR="00606194" w:rsidRPr="00606194" w:rsidRDefault="00606194" w:rsidP="00606194">
            <w:pPr>
              <w:ind w:left="80" w:right="80"/>
              <w:jc w:val="both"/>
              <w:rPr>
                <w:rFonts w:ascii="Arial" w:hAnsi="Arial" w:cs="Arial"/>
                <w:sz w:val="22"/>
                <w:szCs w:val="22"/>
                <w:lang w:val="fr-FR" w:eastAsia="fr-FR"/>
              </w:rPr>
            </w:pPr>
            <w:r w:rsidRPr="00606194">
              <w:rPr>
                <w:rFonts w:ascii="Arial" w:eastAsia="Arial" w:hAnsi="Arial" w:cs="Arial"/>
                <w:color w:val="000000"/>
                <w:sz w:val="22"/>
                <w:szCs w:val="22"/>
                <w:lang w:val="fr-FR" w:eastAsia="fr-FR"/>
              </w:rPr>
              <w:t>Critère 2-</w:t>
            </w:r>
            <w:r w:rsidRPr="00606194">
              <w:rPr>
                <w:rFonts w:ascii="Arial" w:hAnsi="Arial" w:cs="Arial"/>
                <w:sz w:val="22"/>
                <w:szCs w:val="22"/>
                <w:lang w:val="fr-FR" w:eastAsia="fr-FR"/>
              </w:rPr>
              <w:t xml:space="preserve"> Qualité de la Méthodologie selon les éléments d’appréciation suivants : </w:t>
            </w:r>
          </w:p>
          <w:p w:rsidR="00606194" w:rsidRPr="00606194" w:rsidRDefault="00606194" w:rsidP="00606194">
            <w:pPr>
              <w:ind w:left="80" w:right="80"/>
              <w:jc w:val="both"/>
              <w:rPr>
                <w:rFonts w:ascii="Arial" w:hAnsi="Arial" w:cs="Arial"/>
                <w:sz w:val="22"/>
                <w:szCs w:val="22"/>
                <w:lang w:val="fr-FR" w:eastAsia="fr-FR"/>
              </w:rPr>
            </w:pPr>
          </w:p>
          <w:p w:rsidR="00606194" w:rsidRPr="00606194" w:rsidRDefault="00606194" w:rsidP="00606194">
            <w:pPr>
              <w:ind w:left="80" w:right="80"/>
              <w:jc w:val="both"/>
              <w:rPr>
                <w:rFonts w:ascii="Arial" w:eastAsia="Arial" w:hAnsi="Arial" w:cs="Arial"/>
                <w:color w:val="000000"/>
                <w:sz w:val="22"/>
                <w:szCs w:val="20"/>
                <w:lang w:val="fr-FR" w:eastAsia="fr-FR"/>
              </w:rPr>
            </w:pPr>
            <w:r w:rsidRPr="00606194">
              <w:rPr>
                <w:rFonts w:ascii="Arial" w:eastAsia="Arial" w:hAnsi="Arial" w:cs="Arial"/>
                <w:color w:val="000000"/>
                <w:sz w:val="22"/>
                <w:szCs w:val="22"/>
                <w:lang w:val="fr-FR" w:eastAsia="fr-FR"/>
              </w:rPr>
              <w:t>•</w:t>
            </w:r>
            <w:r w:rsidRPr="00606194">
              <w:rPr>
                <w:rFonts w:ascii="Arial" w:eastAsia="Arial" w:hAnsi="Arial" w:cs="Arial"/>
                <w:color w:val="000000"/>
                <w:sz w:val="22"/>
                <w:szCs w:val="22"/>
                <w:lang w:val="fr-FR" w:eastAsia="fr-FR"/>
              </w:rPr>
              <w:tab/>
              <w:t>Description détaillée de l’organisation (réunions de concertation, temps de cadrage, planning, nombre de jours sur site, préparation) de l’entreprise pour la réalisation de la p</w:t>
            </w:r>
            <w:r w:rsidRPr="00606194">
              <w:rPr>
                <w:rFonts w:ascii="Arial" w:eastAsia="Arial" w:hAnsi="Arial" w:cs="Arial"/>
                <w:color w:val="000000"/>
                <w:sz w:val="22"/>
                <w:szCs w:val="20"/>
                <w:lang w:val="fr-FR" w:eastAsia="fr-FR"/>
              </w:rPr>
              <w:t>restation, prise en compte du fonctionnement de la structure</w:t>
            </w:r>
          </w:p>
          <w:p w:rsidR="00606194" w:rsidRPr="00606194" w:rsidRDefault="00606194" w:rsidP="00606194">
            <w:pPr>
              <w:ind w:left="80" w:right="80"/>
              <w:jc w:val="both"/>
              <w:rPr>
                <w:sz w:val="20"/>
                <w:szCs w:val="20"/>
                <w:lang w:val="fr-FR" w:eastAsia="fr-FR"/>
              </w:rPr>
            </w:pPr>
            <w:r w:rsidRPr="00606194">
              <w:rPr>
                <w:rFonts w:ascii="Arial" w:eastAsia="Arial" w:hAnsi="Arial" w:cs="Arial"/>
                <w:color w:val="000000"/>
                <w:sz w:val="22"/>
                <w:szCs w:val="20"/>
                <w:lang w:val="fr-FR" w:eastAsia="fr-FR"/>
              </w:rPr>
              <w:t>•</w:t>
            </w:r>
            <w:r w:rsidRPr="00606194">
              <w:rPr>
                <w:rFonts w:ascii="Arial" w:eastAsia="Arial" w:hAnsi="Arial" w:cs="Arial"/>
                <w:color w:val="000000"/>
                <w:sz w:val="22"/>
                <w:szCs w:val="20"/>
                <w:lang w:val="fr-FR" w:eastAsia="fr-FR"/>
              </w:rPr>
              <w:tab/>
              <w:t>Description détaillée de la journée type d’évaluation</w:t>
            </w:r>
            <w:r w:rsidRPr="00606194">
              <w:rPr>
                <w:sz w:val="20"/>
                <w:szCs w:val="20"/>
                <w:lang w:val="fr-FR" w:eastAsia="fr-FR"/>
              </w:rPr>
              <w:t xml:space="preserve"> </w:t>
            </w:r>
          </w:p>
          <w:p w:rsidR="00606194" w:rsidRPr="00606194" w:rsidRDefault="00606194" w:rsidP="00606194">
            <w:pPr>
              <w:ind w:left="80" w:right="80"/>
              <w:jc w:val="both"/>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w:t>
            </w:r>
            <w:r w:rsidRPr="00606194">
              <w:rPr>
                <w:rFonts w:ascii="Arial" w:eastAsia="Arial" w:hAnsi="Arial" w:cs="Arial"/>
                <w:color w:val="000000"/>
                <w:sz w:val="22"/>
                <w:szCs w:val="20"/>
                <w:lang w:val="fr-FR" w:eastAsia="fr-FR"/>
              </w:rPr>
              <w:tab/>
              <w:t>Ethique des évaluateurs (posture, confidentialité, vision de la conduite de l’évaluation externe)</w:t>
            </w:r>
          </w:p>
          <w:p w:rsidR="00606194" w:rsidRPr="00606194" w:rsidRDefault="00606194" w:rsidP="00606194">
            <w:pPr>
              <w:ind w:right="80"/>
              <w:jc w:val="both"/>
              <w:rPr>
                <w:rFonts w:ascii="Arial" w:eastAsia="Arial" w:hAnsi="Arial" w:cs="Arial"/>
                <w:color w:val="000000"/>
                <w:sz w:val="22"/>
                <w:szCs w:val="20"/>
                <w:lang w:val="fr-FR" w:eastAsia="fr-FR"/>
              </w:rPr>
            </w:pPr>
          </w:p>
          <w:p w:rsidR="00606194" w:rsidRPr="00606194" w:rsidRDefault="00606194" w:rsidP="00606194">
            <w:pPr>
              <w:ind w:left="80" w:right="80"/>
              <w:jc w:val="both"/>
              <w:rPr>
                <w:rFonts w:ascii="Arial" w:eastAsia="Arial" w:hAnsi="Arial" w:cs="Arial"/>
                <w:color w:val="000000"/>
                <w:sz w:val="22"/>
                <w:szCs w:val="20"/>
                <w:lang w:val="fr-FR" w:eastAsia="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06194" w:rsidRPr="00606194" w:rsidRDefault="00606194" w:rsidP="00606194">
            <w:pPr>
              <w:ind w:left="80" w:right="80"/>
              <w:jc w:val="center"/>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30%</w:t>
            </w:r>
          </w:p>
        </w:tc>
      </w:tr>
      <w:tr w:rsidR="00606194" w:rsidRPr="00606194" w:rsidTr="00DB6F79">
        <w:trPr>
          <w:trHeight w:val="44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06194" w:rsidRPr="00606194" w:rsidRDefault="00606194" w:rsidP="00606194">
            <w:pPr>
              <w:ind w:left="80" w:right="80"/>
              <w:jc w:val="both"/>
              <w:rPr>
                <w:rFonts w:ascii="Arial" w:eastAsia="Arial" w:hAnsi="Arial" w:cs="Arial"/>
                <w:color w:val="000000"/>
                <w:sz w:val="22"/>
                <w:szCs w:val="20"/>
                <w:lang w:val="fr-FR" w:eastAsia="fr-FR"/>
              </w:rPr>
            </w:pPr>
          </w:p>
          <w:p w:rsidR="00606194" w:rsidRPr="00606194" w:rsidRDefault="00606194" w:rsidP="00606194">
            <w:pPr>
              <w:ind w:left="80" w:right="80"/>
              <w:jc w:val="both"/>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 xml:space="preserve">Critère 3 - </w:t>
            </w:r>
            <w:r w:rsidRPr="00606194">
              <w:rPr>
                <w:sz w:val="20"/>
                <w:szCs w:val="20"/>
                <w:lang w:val="fr-FR" w:eastAsia="fr-FR"/>
              </w:rPr>
              <w:t xml:space="preserve"> </w:t>
            </w:r>
            <w:r w:rsidRPr="00606194">
              <w:rPr>
                <w:rFonts w:ascii="Arial" w:eastAsia="Arial" w:hAnsi="Arial" w:cs="Arial"/>
                <w:color w:val="000000"/>
                <w:sz w:val="22"/>
                <w:szCs w:val="20"/>
                <w:lang w:val="fr-FR" w:eastAsia="fr-FR"/>
              </w:rPr>
              <w:t>Qualité des références et</w:t>
            </w:r>
            <w:r w:rsidRPr="00606194">
              <w:rPr>
                <w:sz w:val="20"/>
                <w:szCs w:val="20"/>
                <w:lang w:val="fr-FR" w:eastAsia="fr-FR"/>
              </w:rPr>
              <w:t xml:space="preserve"> </w:t>
            </w:r>
            <w:r w:rsidRPr="00606194">
              <w:rPr>
                <w:rFonts w:ascii="Arial" w:eastAsia="Arial" w:hAnsi="Arial" w:cs="Arial"/>
                <w:color w:val="000000"/>
                <w:sz w:val="22"/>
                <w:szCs w:val="20"/>
                <w:lang w:val="fr-FR" w:eastAsia="fr-FR"/>
              </w:rPr>
              <w:t xml:space="preserve">expériences, </w:t>
            </w:r>
            <w:r w:rsidRPr="00606194">
              <w:rPr>
                <w:sz w:val="20"/>
                <w:szCs w:val="20"/>
                <w:lang w:val="fr-FR" w:eastAsia="fr-FR"/>
              </w:rPr>
              <w:t xml:space="preserve"> </w:t>
            </w:r>
            <w:r w:rsidRPr="00606194">
              <w:rPr>
                <w:rFonts w:ascii="Arial" w:eastAsia="Arial" w:hAnsi="Arial" w:cs="Arial"/>
                <w:color w:val="000000"/>
                <w:sz w:val="22"/>
                <w:szCs w:val="20"/>
                <w:lang w:val="fr-FR" w:eastAsia="fr-FR"/>
              </w:rPr>
              <w:t xml:space="preserve">selon les éléments d’appréciation suivants : </w:t>
            </w:r>
          </w:p>
          <w:p w:rsidR="00606194" w:rsidRPr="00606194" w:rsidRDefault="00606194" w:rsidP="00606194">
            <w:pPr>
              <w:ind w:left="80" w:right="80"/>
              <w:jc w:val="both"/>
              <w:rPr>
                <w:rFonts w:ascii="Arial" w:eastAsia="Arial" w:hAnsi="Arial" w:cs="Arial"/>
                <w:color w:val="000000"/>
                <w:sz w:val="22"/>
                <w:szCs w:val="20"/>
                <w:lang w:val="fr-FR" w:eastAsia="fr-FR"/>
              </w:rPr>
            </w:pPr>
          </w:p>
          <w:p w:rsidR="00606194" w:rsidRPr="00606194" w:rsidRDefault="00606194" w:rsidP="00606194">
            <w:pPr>
              <w:ind w:left="80" w:right="80"/>
              <w:jc w:val="both"/>
              <w:rPr>
                <w:rFonts w:ascii="Arial" w:eastAsia="Arial" w:hAnsi="Arial" w:cs="Arial"/>
                <w:color w:val="000000"/>
                <w:sz w:val="20"/>
                <w:szCs w:val="20"/>
                <w:lang w:val="fr-FR" w:eastAsia="fr-FR"/>
              </w:rPr>
            </w:pPr>
            <w:r w:rsidRPr="00606194">
              <w:rPr>
                <w:rFonts w:ascii="Arial" w:eastAsia="Arial" w:hAnsi="Arial" w:cs="Arial"/>
                <w:color w:val="000000"/>
                <w:sz w:val="22"/>
                <w:szCs w:val="20"/>
                <w:lang w:val="fr-FR" w:eastAsia="fr-FR"/>
              </w:rPr>
              <w:t>•</w:t>
            </w:r>
            <w:r w:rsidRPr="00606194">
              <w:rPr>
                <w:rFonts w:ascii="Arial" w:eastAsia="Arial" w:hAnsi="Arial" w:cs="Arial"/>
                <w:color w:val="000000"/>
                <w:sz w:val="22"/>
                <w:szCs w:val="20"/>
                <w:lang w:val="fr-FR" w:eastAsia="fr-FR"/>
              </w:rPr>
              <w:tab/>
              <w:t xml:space="preserve">Qualifications de ou des évaluateurs prévus à la réalisation de la prestation. (fournir Curriculum Vitae et copie de l’ensemble des diplômes, habilitations, titres,) et connaissances des évaluateurs sur les types de structure concernées (expériences similaires en EHPAD, MAS, SSIAD, CRA, CAMSP, FAM </w:t>
            </w:r>
          </w:p>
          <w:p w:rsidR="00606194" w:rsidRPr="00606194" w:rsidRDefault="00606194" w:rsidP="00606194">
            <w:pPr>
              <w:ind w:right="80"/>
              <w:jc w:val="both"/>
              <w:rPr>
                <w:rFonts w:ascii="Arial" w:eastAsia="Arial" w:hAnsi="Arial" w:cs="Arial"/>
                <w:color w:val="000000"/>
                <w:sz w:val="22"/>
                <w:szCs w:val="20"/>
                <w:lang w:val="fr-FR" w:eastAsia="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06194" w:rsidRPr="00606194" w:rsidRDefault="00606194" w:rsidP="00606194">
            <w:pPr>
              <w:ind w:left="80" w:right="80"/>
              <w:jc w:val="center"/>
              <w:rPr>
                <w:rFonts w:ascii="Arial" w:eastAsia="Arial" w:hAnsi="Arial" w:cs="Arial"/>
                <w:color w:val="000000"/>
                <w:sz w:val="22"/>
                <w:szCs w:val="20"/>
                <w:lang w:val="fr-FR" w:eastAsia="fr-FR"/>
              </w:rPr>
            </w:pPr>
            <w:r w:rsidRPr="00606194">
              <w:rPr>
                <w:rFonts w:ascii="Arial" w:eastAsia="Arial" w:hAnsi="Arial" w:cs="Arial"/>
                <w:color w:val="000000"/>
                <w:sz w:val="22"/>
                <w:szCs w:val="20"/>
                <w:lang w:val="fr-FR" w:eastAsia="fr-FR"/>
              </w:rPr>
              <w:t>30%</w:t>
            </w:r>
          </w:p>
        </w:tc>
      </w:tr>
    </w:tbl>
    <w:p w:rsidR="00984157" w:rsidRDefault="00984157">
      <w:pPr>
        <w:spacing w:after="20" w:line="240" w:lineRule="exact"/>
      </w:pPr>
    </w:p>
    <w:p w:rsidR="00984157" w:rsidRDefault="00F07086">
      <w:pPr>
        <w:pStyle w:val="ParagrapheIndent2"/>
        <w:spacing w:line="253" w:lineRule="exact"/>
        <w:ind w:left="20" w:right="20"/>
        <w:jc w:val="both"/>
        <w:rPr>
          <w:color w:val="000000"/>
          <w:lang w:val="fr-FR"/>
        </w:rPr>
      </w:pPr>
      <w:r>
        <w:rPr>
          <w:color w:val="000000"/>
          <w:lang w:val="fr-FR"/>
        </w:rPr>
        <w:t>Chaque candidat se verra attribuer une note globale sur /100.</w:t>
      </w:r>
    </w:p>
    <w:p w:rsidR="00984157" w:rsidRDefault="00F07086">
      <w:pPr>
        <w:pStyle w:val="ParagrapheIndent2"/>
        <w:spacing w:after="240" w:line="253" w:lineRule="exact"/>
        <w:ind w:left="20" w:right="20"/>
        <w:jc w:val="both"/>
        <w:rPr>
          <w:color w:val="000000"/>
          <w:lang w:val="fr-FR"/>
        </w:rPr>
      </w:pPr>
      <w:r>
        <w:rPr>
          <w:color w:val="000000"/>
          <w:lang w:val="fr-FR"/>
        </w:rPr>
        <w:t>Les critères sont notés sur 10.</w:t>
      </w:r>
    </w:p>
    <w:p w:rsidR="00606194" w:rsidRDefault="00606194">
      <w:pPr>
        <w:pStyle w:val="ParagrapheIndent2"/>
        <w:spacing w:after="240" w:line="253" w:lineRule="exact"/>
        <w:ind w:left="20" w:right="20"/>
        <w:jc w:val="both"/>
        <w:rPr>
          <w:color w:val="000000"/>
          <w:lang w:val="fr-FR"/>
        </w:rPr>
      </w:pPr>
    </w:p>
    <w:p w:rsidR="00984157" w:rsidRDefault="00F07086">
      <w:pPr>
        <w:pStyle w:val="ParagrapheIndent2"/>
        <w:spacing w:after="240" w:line="253" w:lineRule="exact"/>
        <w:ind w:left="20" w:right="20"/>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rsidR="00984157" w:rsidRDefault="00F07086">
      <w:pPr>
        <w:pStyle w:val="Titre2"/>
        <w:ind w:left="300" w:right="20"/>
        <w:jc w:val="both"/>
        <w:rPr>
          <w:rFonts w:eastAsia="Arial"/>
          <w:i w:val="0"/>
          <w:color w:val="000000"/>
          <w:sz w:val="24"/>
          <w:lang w:val="fr-FR"/>
        </w:rPr>
      </w:pPr>
      <w:bookmarkStart w:id="26" w:name="_Toc256000025"/>
      <w:r>
        <w:rPr>
          <w:rFonts w:eastAsia="Arial"/>
          <w:i w:val="0"/>
          <w:color w:val="000000"/>
          <w:sz w:val="24"/>
          <w:lang w:val="fr-FR"/>
        </w:rPr>
        <w:t>8.3 - Suite à donner à la consultation</w:t>
      </w:r>
      <w:bookmarkEnd w:id="26"/>
    </w:p>
    <w:p w:rsidR="00984157" w:rsidRDefault="00F07086">
      <w:pPr>
        <w:pStyle w:val="ParagrapheIndent2"/>
        <w:spacing w:line="253" w:lineRule="exact"/>
        <w:ind w:left="20" w:right="20"/>
        <w:jc w:val="both"/>
        <w:rPr>
          <w:color w:val="000000"/>
          <w:lang w:val="fr-FR"/>
        </w:rPr>
      </w:pPr>
      <w:r>
        <w:rPr>
          <w:color w:val="000000"/>
          <w:lang w:val="fr-FR"/>
        </w:rPr>
        <w:t xml:space="preserve">Après examen des offres, le pouvoir adjudicateur engagera des négociations avec </w:t>
      </w:r>
      <w:r w:rsidR="00A360BE">
        <w:rPr>
          <w:color w:val="000000"/>
          <w:lang w:val="fr-FR"/>
        </w:rPr>
        <w:t xml:space="preserve">au maximum </w:t>
      </w:r>
      <w:r>
        <w:rPr>
          <w:color w:val="000000"/>
          <w:lang w:val="fr-FR"/>
        </w:rPr>
        <w:t>les 3 candidats les mieux classés par application des critères de jugement des offres. Toutefois, le pouvoir adjudicateur se réserve la possibilité d'attribuer le marché sur la base des offres initiales, sans négociation.</w:t>
      </w:r>
    </w:p>
    <w:p w:rsidR="00984157" w:rsidRDefault="00984157">
      <w:pPr>
        <w:pStyle w:val="ParagrapheIndent2"/>
        <w:spacing w:line="253" w:lineRule="exact"/>
        <w:ind w:left="20" w:right="20"/>
        <w:jc w:val="both"/>
        <w:rPr>
          <w:color w:val="000000"/>
          <w:lang w:val="fr-FR"/>
        </w:rPr>
      </w:pPr>
    </w:p>
    <w:p w:rsidR="00984157" w:rsidRDefault="00F07086">
      <w:pPr>
        <w:pStyle w:val="ParagrapheIndent2"/>
        <w:spacing w:after="240" w:line="253" w:lineRule="exact"/>
        <w:ind w:left="20" w:right="20"/>
        <w:jc w:val="both"/>
        <w:rPr>
          <w:color w:val="000000"/>
          <w:lang w:val="fr-FR"/>
        </w:rPr>
      </w:pPr>
      <w:r>
        <w:rPr>
          <w:color w:val="000000"/>
          <w:lang w:val="fr-FR"/>
        </w:rPr>
        <w:t>Négociation possible avec les trois offres les mieux classées avant négociation. La négociation éventuelle se fera par échanges électroniques</w:t>
      </w:r>
      <w:r w:rsidR="00E70668">
        <w:rPr>
          <w:color w:val="000000"/>
          <w:lang w:val="fr-FR"/>
        </w:rPr>
        <w:t xml:space="preserve"> ou en présentiel au CH</w:t>
      </w:r>
      <w:r w:rsidR="00A360BE">
        <w:rPr>
          <w:color w:val="000000"/>
          <w:lang w:val="fr-FR"/>
        </w:rPr>
        <w:t>U de Clermont-Ferrand</w:t>
      </w:r>
      <w:r>
        <w:rPr>
          <w:color w:val="000000"/>
          <w:lang w:val="fr-FR"/>
        </w:rPr>
        <w:t>.</w:t>
      </w:r>
      <w:r w:rsidR="00A360BE">
        <w:rPr>
          <w:color w:val="000000"/>
          <w:lang w:val="fr-FR"/>
        </w:rPr>
        <w:t xml:space="preserve"> Dans </w:t>
      </w:r>
      <w:r w:rsidR="00E70668">
        <w:rPr>
          <w:color w:val="000000"/>
          <w:lang w:val="fr-FR"/>
        </w:rPr>
        <w:lastRenderedPageBreak/>
        <w:t>ce dernier cas</w:t>
      </w:r>
      <w:r w:rsidR="00A360BE">
        <w:rPr>
          <w:color w:val="000000"/>
          <w:lang w:val="fr-FR"/>
        </w:rPr>
        <w:t xml:space="preserve"> </w:t>
      </w:r>
      <w:r w:rsidR="00E70668">
        <w:rPr>
          <w:color w:val="000000"/>
          <w:lang w:val="fr-FR"/>
        </w:rPr>
        <w:t>l</w:t>
      </w:r>
      <w:r w:rsidR="00A360BE">
        <w:rPr>
          <w:color w:val="000000"/>
          <w:lang w:val="fr-FR"/>
        </w:rPr>
        <w:t>e CHU écrira une semaine avant la tenue de l’éventuelle réunion de négociation aux candidats conviés à y assister en précisant la date, l’horaire et le lieu en cas de réunion en présentiel</w:t>
      </w:r>
    </w:p>
    <w:p w:rsidR="00984157" w:rsidRDefault="00F07086">
      <w:pPr>
        <w:pStyle w:val="ParagrapheIndent2"/>
        <w:spacing w:after="240" w:line="253" w:lineRule="exact"/>
        <w:ind w:left="20" w:right="20"/>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rsidR="00984157" w:rsidRDefault="00F07086">
      <w:pPr>
        <w:pStyle w:val="Titre1"/>
        <w:rPr>
          <w:rFonts w:eastAsia="Arial"/>
          <w:color w:val="000000"/>
          <w:sz w:val="28"/>
          <w:lang w:val="fr-FR"/>
        </w:rPr>
      </w:pPr>
      <w:bookmarkStart w:id="27" w:name="_Toc256000026"/>
      <w:r>
        <w:rPr>
          <w:rFonts w:eastAsia="Arial"/>
          <w:color w:val="000000"/>
          <w:sz w:val="28"/>
          <w:lang w:val="fr-FR"/>
        </w:rPr>
        <w:t>9 - Renseignements complémentaires</w:t>
      </w:r>
      <w:bookmarkEnd w:id="27"/>
    </w:p>
    <w:p w:rsidR="00984157" w:rsidRDefault="00F07086">
      <w:pPr>
        <w:pStyle w:val="Titre2"/>
        <w:ind w:left="300" w:right="20"/>
        <w:jc w:val="both"/>
        <w:rPr>
          <w:rFonts w:eastAsia="Arial"/>
          <w:i w:val="0"/>
          <w:color w:val="000000"/>
          <w:sz w:val="24"/>
          <w:lang w:val="fr-FR"/>
        </w:rPr>
      </w:pPr>
      <w:bookmarkStart w:id="28" w:name="_Toc256000027"/>
      <w:r>
        <w:rPr>
          <w:rFonts w:eastAsia="Arial"/>
          <w:i w:val="0"/>
          <w:color w:val="000000"/>
          <w:sz w:val="24"/>
          <w:lang w:val="fr-FR"/>
        </w:rPr>
        <w:t>9.1 - Adresses supplémentaires et points de contact</w:t>
      </w:r>
      <w:bookmarkEnd w:id="28"/>
    </w:p>
    <w:p w:rsidR="00606194" w:rsidRDefault="00606194">
      <w:pPr>
        <w:pStyle w:val="ParagrapheIndent2"/>
        <w:spacing w:line="253" w:lineRule="exact"/>
        <w:ind w:left="20" w:right="20"/>
        <w:jc w:val="both"/>
        <w:rPr>
          <w:color w:val="000000"/>
          <w:lang w:val="fr-FR"/>
        </w:rPr>
      </w:pPr>
    </w:p>
    <w:p w:rsidR="00606194" w:rsidRPr="00606194" w:rsidRDefault="00606194" w:rsidP="00606194">
      <w:pPr>
        <w:spacing w:line="232" w:lineRule="exact"/>
        <w:jc w:val="both"/>
        <w:rPr>
          <w:rFonts w:ascii="Arial" w:eastAsia="Trebuchet MS" w:hAnsi="Arial" w:cs="Arial"/>
          <w:color w:val="000000"/>
          <w:sz w:val="22"/>
          <w:szCs w:val="22"/>
          <w:lang w:val="fr-FR"/>
        </w:rPr>
      </w:pPr>
      <w:r w:rsidRPr="00606194">
        <w:rPr>
          <w:rFonts w:ascii="Arial" w:eastAsia="Trebuchet MS" w:hAnsi="Arial" w:cs="Arial"/>
          <w:color w:val="000000"/>
          <w:sz w:val="22"/>
          <w:szCs w:val="22"/>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rsidR="00606194" w:rsidRPr="00606194" w:rsidRDefault="00606194" w:rsidP="00606194">
      <w:pPr>
        <w:spacing w:line="232" w:lineRule="exact"/>
        <w:jc w:val="both"/>
        <w:rPr>
          <w:rFonts w:ascii="Arial" w:eastAsia="Trebuchet MS" w:hAnsi="Arial" w:cs="Arial"/>
          <w:color w:val="000000"/>
          <w:sz w:val="22"/>
          <w:szCs w:val="22"/>
          <w:lang w:val="fr-FR"/>
        </w:rPr>
      </w:pPr>
      <w:r w:rsidRPr="00606194">
        <w:rPr>
          <w:rFonts w:ascii="Arial" w:eastAsia="Trebuchet MS" w:hAnsi="Arial" w:cs="Arial"/>
          <w:color w:val="000000"/>
          <w:sz w:val="22"/>
          <w:szCs w:val="22"/>
          <w:lang w:val="fr-FR"/>
        </w:rPr>
        <w:t> </w:t>
      </w:r>
    </w:p>
    <w:p w:rsidR="00606194" w:rsidRPr="00606194" w:rsidRDefault="00606194" w:rsidP="00606194">
      <w:pPr>
        <w:spacing w:line="232" w:lineRule="exact"/>
        <w:jc w:val="both"/>
        <w:rPr>
          <w:rFonts w:ascii="Arial" w:eastAsia="Trebuchet MS" w:hAnsi="Arial" w:cs="Arial"/>
          <w:color w:val="000000"/>
          <w:sz w:val="22"/>
          <w:szCs w:val="22"/>
          <w:lang w:val="fr-FR"/>
        </w:rPr>
      </w:pPr>
      <w:r w:rsidRPr="00606194">
        <w:rPr>
          <w:rFonts w:ascii="Arial" w:eastAsia="Trebuchet MS" w:hAnsi="Arial" w:cs="Arial"/>
          <w:b/>
          <w:color w:val="000000"/>
          <w:sz w:val="22"/>
          <w:szCs w:val="22"/>
          <w:lang w:val="fr-FR"/>
        </w:rPr>
        <w:t>Et, en cas de dysfonctionnement de la plateforme </w:t>
      </w:r>
      <w:r w:rsidRPr="00606194">
        <w:rPr>
          <w:rFonts w:ascii="Arial" w:eastAsia="Trebuchet MS" w:hAnsi="Arial" w:cs="Arial"/>
          <w:color w:val="000000"/>
          <w:sz w:val="22"/>
          <w:szCs w:val="22"/>
          <w:lang w:val="fr-FR"/>
        </w:rPr>
        <w:t xml:space="preserve">à l’adresse mail suivante : </w:t>
      </w:r>
      <w:hyperlink r:id="rId9" w:history="1">
        <w:r w:rsidRPr="00606194">
          <w:rPr>
            <w:rFonts w:ascii="Arial" w:eastAsia="Trebuchet MS" w:hAnsi="Arial" w:cs="Arial"/>
            <w:b/>
            <w:color w:val="000000"/>
            <w:sz w:val="22"/>
            <w:szCs w:val="22"/>
            <w:lang w:val="fr-FR"/>
          </w:rPr>
          <w:t>bdm@chu-clermontferrand.fr</w:t>
        </w:r>
      </w:hyperlink>
    </w:p>
    <w:p w:rsidR="00606194" w:rsidRPr="00606194" w:rsidRDefault="00606194" w:rsidP="00606194">
      <w:pPr>
        <w:spacing w:line="232" w:lineRule="exact"/>
        <w:jc w:val="both"/>
        <w:rPr>
          <w:rFonts w:ascii="Arial" w:eastAsia="Trebuchet MS" w:hAnsi="Arial" w:cs="Arial"/>
          <w:color w:val="000000"/>
          <w:sz w:val="22"/>
          <w:szCs w:val="22"/>
          <w:lang w:val="fr-FR"/>
        </w:rPr>
      </w:pPr>
      <w:r w:rsidRPr="00606194">
        <w:rPr>
          <w:rFonts w:ascii="Arial" w:eastAsia="Trebuchet MS" w:hAnsi="Arial" w:cs="Arial"/>
          <w:b/>
          <w:color w:val="000000"/>
          <w:sz w:val="22"/>
          <w:szCs w:val="22"/>
          <w:lang w:val="fr-FR"/>
        </w:rPr>
        <w:t xml:space="preserve">Les questions adressées à l’adresse </w:t>
      </w:r>
      <w:hyperlink r:id="rId10" w:history="1">
        <w:r w:rsidRPr="00606194">
          <w:rPr>
            <w:rFonts w:ascii="Arial" w:eastAsia="Trebuchet MS" w:hAnsi="Arial" w:cs="Arial"/>
            <w:b/>
            <w:color w:val="000000"/>
            <w:sz w:val="22"/>
            <w:szCs w:val="22"/>
            <w:lang w:val="fr-FR"/>
          </w:rPr>
          <w:t>bdm@chu-clermontferrand.fr</w:t>
        </w:r>
      </w:hyperlink>
      <w:r w:rsidRPr="00606194">
        <w:rPr>
          <w:rFonts w:ascii="Arial" w:eastAsia="Trebuchet MS" w:hAnsi="Arial" w:cs="Arial"/>
          <w:b/>
          <w:color w:val="000000"/>
          <w:sz w:val="22"/>
          <w:szCs w:val="22"/>
          <w:lang w:val="fr-FR"/>
        </w:rPr>
        <w:t xml:space="preserve"> alors que la plateforme ne connait pas de dysfonctionnement, ne seront pas prises en compte.</w:t>
      </w:r>
    </w:p>
    <w:p w:rsidR="00606194" w:rsidRPr="00606194" w:rsidRDefault="00606194" w:rsidP="00606194">
      <w:pPr>
        <w:spacing w:line="232" w:lineRule="exact"/>
        <w:jc w:val="both"/>
        <w:rPr>
          <w:rFonts w:ascii="Arial" w:eastAsia="Trebuchet MS" w:hAnsi="Arial" w:cs="Arial"/>
          <w:color w:val="000000"/>
          <w:sz w:val="22"/>
          <w:szCs w:val="22"/>
          <w:lang w:val="fr-FR"/>
        </w:rPr>
      </w:pPr>
    </w:p>
    <w:p w:rsidR="00606194" w:rsidRPr="00606194" w:rsidRDefault="00606194" w:rsidP="00606194">
      <w:pPr>
        <w:spacing w:line="232" w:lineRule="exact"/>
        <w:jc w:val="both"/>
        <w:rPr>
          <w:rFonts w:ascii="Arial" w:eastAsia="Trebuchet MS" w:hAnsi="Arial" w:cs="Arial"/>
          <w:color w:val="000000"/>
          <w:sz w:val="22"/>
          <w:szCs w:val="22"/>
          <w:lang w:val="fr-FR"/>
        </w:rPr>
      </w:pPr>
      <w:r w:rsidRPr="00606194">
        <w:rPr>
          <w:rFonts w:ascii="Arial" w:eastAsia="Trebuchet MS" w:hAnsi="Arial" w:cs="Arial"/>
          <w:color w:val="000000"/>
          <w:sz w:val="22"/>
          <w:szCs w:val="22"/>
          <w:lang w:val="fr-FR"/>
        </w:rPr>
        <w:t>Cette demande doit intervenir au plus tard 10 jours avant la date limite de réception des offres.</w:t>
      </w:r>
    </w:p>
    <w:p w:rsidR="00606194" w:rsidRPr="00606194" w:rsidRDefault="00606194" w:rsidP="00606194">
      <w:pPr>
        <w:spacing w:line="232" w:lineRule="exact"/>
        <w:jc w:val="both"/>
        <w:rPr>
          <w:rFonts w:ascii="Arial" w:eastAsia="Trebuchet MS" w:hAnsi="Arial" w:cs="Arial"/>
          <w:color w:val="000000"/>
          <w:sz w:val="22"/>
          <w:szCs w:val="22"/>
          <w:lang w:val="fr-FR"/>
        </w:rPr>
      </w:pPr>
      <w:r w:rsidRPr="00606194">
        <w:rPr>
          <w:rFonts w:ascii="Arial" w:eastAsia="Trebuchet MS" w:hAnsi="Arial" w:cs="Arial"/>
          <w:color w:val="000000"/>
          <w:sz w:val="22"/>
          <w:szCs w:val="22"/>
          <w:lang w:val="fr-FR"/>
        </w:rPr>
        <w:t> </w:t>
      </w:r>
    </w:p>
    <w:p w:rsidR="00606194" w:rsidRPr="00606194" w:rsidRDefault="00606194" w:rsidP="00606194">
      <w:pPr>
        <w:spacing w:line="232" w:lineRule="exact"/>
        <w:jc w:val="both"/>
        <w:rPr>
          <w:rFonts w:ascii="Arial" w:eastAsia="Trebuchet MS" w:hAnsi="Arial" w:cs="Arial"/>
          <w:color w:val="000000"/>
          <w:sz w:val="22"/>
          <w:szCs w:val="22"/>
          <w:lang w:val="fr-FR"/>
        </w:rPr>
      </w:pPr>
      <w:r w:rsidRPr="00606194">
        <w:rPr>
          <w:rFonts w:ascii="Arial" w:eastAsia="Trebuchet MS" w:hAnsi="Arial" w:cs="Arial"/>
          <w:b/>
          <w:color w:val="000000"/>
          <w:sz w:val="22"/>
          <w:szCs w:val="22"/>
          <w:lang w:val="fr-FR"/>
        </w:rPr>
        <w:t>Les demandes adressées par tout autre moyen (en particulier via des adresses mails nominatives ou par télécopies) ne seront pas prises en compte.</w:t>
      </w:r>
    </w:p>
    <w:p w:rsidR="00606194" w:rsidRDefault="00606194" w:rsidP="00606194">
      <w:pPr>
        <w:spacing w:after="240" w:line="232" w:lineRule="exact"/>
        <w:jc w:val="both"/>
        <w:rPr>
          <w:rFonts w:ascii="Arial" w:eastAsia="Trebuchet MS" w:hAnsi="Arial" w:cs="Arial"/>
          <w:color w:val="000000"/>
          <w:sz w:val="22"/>
          <w:szCs w:val="22"/>
          <w:lang w:val="fr-FR"/>
        </w:rPr>
      </w:pPr>
    </w:p>
    <w:p w:rsidR="00984157" w:rsidRDefault="00606194" w:rsidP="00606194">
      <w:pPr>
        <w:spacing w:after="240" w:line="232" w:lineRule="exact"/>
        <w:jc w:val="both"/>
        <w:rPr>
          <w:color w:val="000000"/>
          <w:lang w:val="fr-FR"/>
        </w:rPr>
      </w:pPr>
      <w:r w:rsidRPr="00606194">
        <w:rPr>
          <w:rFonts w:ascii="Arial" w:eastAsia="Trebuchet MS" w:hAnsi="Arial" w:cs="Arial"/>
          <w:color w:val="000000"/>
          <w:sz w:val="22"/>
          <w:szCs w:val="22"/>
          <w:lang w:val="fr-FR"/>
        </w:rPr>
        <w:t>Une réponse sera alors adressée, à toutes les entreprises ayant retiré le dossier ou l'ayant téléchargé après identification, 6 jours au plus tard avant la date limite de remise des plis.</w:t>
      </w:r>
      <w:bookmarkStart w:id="29" w:name="ArtL2_RC-2-A11.2"/>
      <w:bookmarkEnd w:id="29"/>
    </w:p>
    <w:p w:rsidR="00984157" w:rsidRDefault="00F07086">
      <w:pPr>
        <w:pStyle w:val="Titre2"/>
        <w:ind w:left="300" w:right="20"/>
        <w:jc w:val="both"/>
        <w:rPr>
          <w:rFonts w:eastAsia="Arial"/>
          <w:i w:val="0"/>
          <w:color w:val="000000"/>
          <w:sz w:val="24"/>
          <w:lang w:val="fr-FR"/>
        </w:rPr>
      </w:pPr>
      <w:bookmarkStart w:id="30" w:name="_Toc256000028"/>
      <w:r>
        <w:rPr>
          <w:rFonts w:eastAsia="Arial"/>
          <w:i w:val="0"/>
          <w:color w:val="000000"/>
          <w:sz w:val="24"/>
          <w:lang w:val="fr-FR"/>
        </w:rPr>
        <w:t>9.2 - Procédures de recours</w:t>
      </w:r>
      <w:bookmarkEnd w:id="30"/>
    </w:p>
    <w:p w:rsidR="00984157" w:rsidRDefault="00F07086">
      <w:pPr>
        <w:pStyle w:val="ParagrapheIndent2"/>
        <w:spacing w:line="253" w:lineRule="exact"/>
        <w:ind w:left="20" w:right="20"/>
        <w:jc w:val="both"/>
        <w:rPr>
          <w:color w:val="000000"/>
          <w:lang w:val="fr-FR"/>
        </w:rPr>
      </w:pPr>
      <w:r>
        <w:rPr>
          <w:color w:val="000000"/>
          <w:lang w:val="fr-FR"/>
        </w:rPr>
        <w:t>Le tribunal territorialement compétent est :</w:t>
      </w:r>
    </w:p>
    <w:p w:rsidR="00984157" w:rsidRDefault="00F07086">
      <w:pPr>
        <w:pStyle w:val="ParagrapheIndent2"/>
        <w:spacing w:line="253" w:lineRule="exact"/>
        <w:ind w:left="20" w:right="20"/>
        <w:jc w:val="both"/>
        <w:rPr>
          <w:color w:val="000000"/>
          <w:lang w:val="fr-FR"/>
        </w:rPr>
      </w:pPr>
      <w:r>
        <w:rPr>
          <w:color w:val="000000"/>
          <w:lang w:val="fr-FR"/>
        </w:rPr>
        <w:t>Tribunal Administratif de Clermont-Ferrand</w:t>
      </w:r>
    </w:p>
    <w:p w:rsidR="00984157" w:rsidRDefault="00F07086">
      <w:pPr>
        <w:pStyle w:val="ParagrapheIndent2"/>
        <w:spacing w:line="253" w:lineRule="exact"/>
        <w:ind w:left="20" w:right="20"/>
        <w:jc w:val="both"/>
        <w:rPr>
          <w:color w:val="000000"/>
          <w:lang w:val="fr-FR"/>
        </w:rPr>
      </w:pPr>
      <w:r>
        <w:rPr>
          <w:color w:val="000000"/>
          <w:lang w:val="fr-FR"/>
        </w:rPr>
        <w:t>6 cours Sablon</w:t>
      </w:r>
    </w:p>
    <w:p w:rsidR="00984157" w:rsidRDefault="00F07086">
      <w:pPr>
        <w:pStyle w:val="ParagrapheIndent2"/>
        <w:spacing w:line="253" w:lineRule="exact"/>
        <w:ind w:left="20" w:right="20"/>
        <w:jc w:val="both"/>
        <w:rPr>
          <w:color w:val="000000"/>
          <w:lang w:val="fr-FR"/>
        </w:rPr>
      </w:pPr>
      <w:r>
        <w:rPr>
          <w:color w:val="000000"/>
          <w:lang w:val="fr-FR"/>
        </w:rPr>
        <w:t>63033 CLERMONT FERRAND CEDEX 1</w:t>
      </w:r>
    </w:p>
    <w:p w:rsidR="00984157" w:rsidRDefault="00984157">
      <w:pPr>
        <w:pStyle w:val="ParagrapheIndent2"/>
        <w:spacing w:line="253" w:lineRule="exact"/>
        <w:ind w:left="20" w:right="20"/>
        <w:jc w:val="both"/>
        <w:rPr>
          <w:color w:val="000000"/>
          <w:lang w:val="fr-FR"/>
        </w:rPr>
      </w:pPr>
    </w:p>
    <w:p w:rsidR="00984157" w:rsidRDefault="00F07086">
      <w:pPr>
        <w:pStyle w:val="ParagrapheIndent2"/>
        <w:spacing w:line="253" w:lineRule="exact"/>
        <w:ind w:left="20" w:right="20"/>
        <w:jc w:val="both"/>
        <w:rPr>
          <w:color w:val="000000"/>
          <w:lang w:val="fr-FR"/>
        </w:rPr>
      </w:pPr>
      <w:r>
        <w:rPr>
          <w:color w:val="000000"/>
          <w:lang w:val="fr-FR"/>
        </w:rPr>
        <w:t>Tél : 04 73 14 61 00</w:t>
      </w:r>
    </w:p>
    <w:p w:rsidR="00984157" w:rsidRDefault="00F07086">
      <w:pPr>
        <w:pStyle w:val="ParagrapheIndent2"/>
        <w:spacing w:line="253" w:lineRule="exact"/>
        <w:ind w:left="20" w:right="20"/>
        <w:jc w:val="both"/>
        <w:rPr>
          <w:color w:val="000000"/>
          <w:lang w:val="fr-FR"/>
        </w:rPr>
      </w:pPr>
      <w:r>
        <w:rPr>
          <w:color w:val="000000"/>
          <w:lang w:val="fr-FR"/>
        </w:rPr>
        <w:t>Télécopie : 04 73 14 61 22</w:t>
      </w:r>
    </w:p>
    <w:p w:rsidR="00984157" w:rsidRDefault="00F07086">
      <w:pPr>
        <w:pStyle w:val="ParagrapheIndent2"/>
        <w:spacing w:line="253" w:lineRule="exact"/>
        <w:ind w:left="20" w:right="20"/>
        <w:jc w:val="both"/>
        <w:rPr>
          <w:color w:val="000000"/>
          <w:lang w:val="fr-FR"/>
        </w:rPr>
      </w:pPr>
      <w:r>
        <w:rPr>
          <w:color w:val="000000"/>
          <w:lang w:val="fr-FR"/>
        </w:rPr>
        <w:t>Courriel : greffe.ta-clermont-ferrand@juradm.fr</w:t>
      </w:r>
    </w:p>
    <w:p w:rsidR="00984157" w:rsidRDefault="00984157">
      <w:pPr>
        <w:pStyle w:val="ParagrapheIndent2"/>
        <w:spacing w:line="253" w:lineRule="exact"/>
        <w:ind w:left="20" w:right="20"/>
        <w:jc w:val="both"/>
        <w:rPr>
          <w:color w:val="000000"/>
          <w:lang w:val="fr-FR"/>
        </w:rPr>
      </w:pPr>
    </w:p>
    <w:p w:rsidR="00984157" w:rsidRPr="00F07086" w:rsidRDefault="00984157">
      <w:pPr>
        <w:spacing w:after="20" w:line="240" w:lineRule="exact"/>
        <w:rPr>
          <w:lang w:val="fr-FR"/>
        </w:rPr>
      </w:pPr>
    </w:p>
    <w:p w:rsidR="00984157" w:rsidRDefault="00F07086">
      <w:pPr>
        <w:pStyle w:val="ParagrapheIndent2"/>
        <w:spacing w:line="253" w:lineRule="exact"/>
        <w:ind w:left="20" w:right="20"/>
        <w:jc w:val="both"/>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de pleine juridiction ouvert aux tiers justifiant d'un intérêt lésé, et pouvant être exercé dans les deux mois suivant la date à laquelle la conclusion du contrat est rendue publique.</w:t>
      </w:r>
    </w:p>
    <w:sectPr w:rsidR="00984157">
      <w:footerReference w:type="default" r:id="rId11"/>
      <w:pgSz w:w="11900" w:h="16840"/>
      <w:pgMar w:top="1134" w:right="1134" w:bottom="1126" w:left="1134" w:header="1134" w:footer="11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64B" w:rsidRDefault="00F07086">
      <w:r>
        <w:separator/>
      </w:r>
    </w:p>
  </w:endnote>
  <w:endnote w:type="continuationSeparator" w:id="0">
    <w:p w:rsidR="0041464B" w:rsidRDefault="00F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57" w:rsidRDefault="00984157">
    <w:pPr>
      <w:spacing w:line="240" w:lineRule="exact"/>
    </w:pPr>
  </w:p>
  <w:tbl>
    <w:tblPr>
      <w:tblW w:w="0" w:type="auto"/>
      <w:tblInd w:w="20" w:type="dxa"/>
      <w:tblLayout w:type="fixed"/>
      <w:tblLook w:val="04A0" w:firstRow="1" w:lastRow="0" w:firstColumn="1" w:lastColumn="0" w:noHBand="0" w:noVBand="1"/>
    </w:tblPr>
    <w:tblGrid>
      <w:gridCol w:w="5220"/>
      <w:gridCol w:w="4400"/>
    </w:tblGrid>
    <w:tr w:rsidR="00984157">
      <w:trPr>
        <w:trHeight w:val="260"/>
      </w:trPr>
      <w:tc>
        <w:tcPr>
          <w:tcW w:w="5220" w:type="dxa"/>
          <w:tcMar>
            <w:top w:w="0" w:type="dxa"/>
            <w:left w:w="0" w:type="dxa"/>
            <w:bottom w:w="0" w:type="dxa"/>
            <w:right w:w="0" w:type="dxa"/>
          </w:tcMar>
          <w:vAlign w:val="center"/>
        </w:tcPr>
        <w:p w:rsidR="00984157" w:rsidRDefault="002C04DB">
          <w:pPr>
            <w:pStyle w:val="PiedDePage"/>
            <w:jc w:val="both"/>
            <w:rPr>
              <w:color w:val="000000"/>
              <w:lang w:val="fr-FR"/>
            </w:rPr>
          </w:pPr>
          <w:r>
            <w:rPr>
              <w:color w:val="000000"/>
              <w:lang w:val="fr-FR"/>
            </w:rPr>
            <w:t>Consultation n°: 25-GHTA-0074</w:t>
          </w:r>
        </w:p>
      </w:tc>
      <w:tc>
        <w:tcPr>
          <w:tcW w:w="4400" w:type="dxa"/>
          <w:tcMar>
            <w:top w:w="0" w:type="dxa"/>
            <w:left w:w="0" w:type="dxa"/>
            <w:bottom w:w="0" w:type="dxa"/>
            <w:right w:w="0" w:type="dxa"/>
          </w:tcMar>
          <w:vAlign w:val="center"/>
        </w:tcPr>
        <w:p w:rsidR="00984157" w:rsidRDefault="00F0708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0C10B3">
            <w:rPr>
              <w:noProof/>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0C10B3">
            <w:rPr>
              <w:noProof/>
              <w:color w:val="000000"/>
              <w:lang w:val="fr-FR"/>
            </w:rPr>
            <w:t>10</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64B" w:rsidRDefault="00F07086">
      <w:r>
        <w:separator/>
      </w:r>
    </w:p>
  </w:footnote>
  <w:footnote w:type="continuationSeparator" w:id="0">
    <w:p w:rsidR="0041464B" w:rsidRDefault="00F0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1EA"/>
    <w:multiLevelType w:val="hybridMultilevel"/>
    <w:tmpl w:val="E8A8F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C6294"/>
    <w:multiLevelType w:val="hybridMultilevel"/>
    <w:tmpl w:val="32BA8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893627"/>
    <w:multiLevelType w:val="hybridMultilevel"/>
    <w:tmpl w:val="09508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57"/>
    <w:rsid w:val="000C10B3"/>
    <w:rsid w:val="000D3E9E"/>
    <w:rsid w:val="001642B0"/>
    <w:rsid w:val="001D32E9"/>
    <w:rsid w:val="002142B6"/>
    <w:rsid w:val="002B5912"/>
    <w:rsid w:val="002C04DB"/>
    <w:rsid w:val="002D3BD6"/>
    <w:rsid w:val="002E446B"/>
    <w:rsid w:val="0041464B"/>
    <w:rsid w:val="00416F1A"/>
    <w:rsid w:val="00540B3E"/>
    <w:rsid w:val="005F5A41"/>
    <w:rsid w:val="00606194"/>
    <w:rsid w:val="006D6DA1"/>
    <w:rsid w:val="00920386"/>
    <w:rsid w:val="00925646"/>
    <w:rsid w:val="0098023C"/>
    <w:rsid w:val="00984157"/>
    <w:rsid w:val="009D54BF"/>
    <w:rsid w:val="009E7065"/>
    <w:rsid w:val="00A360BE"/>
    <w:rsid w:val="00A52843"/>
    <w:rsid w:val="00D50A51"/>
    <w:rsid w:val="00E542F0"/>
    <w:rsid w:val="00E70668"/>
    <w:rsid w:val="00F07086"/>
    <w:rsid w:val="00F86DFC"/>
    <w:rsid w:val="00FD4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7F2FE"/>
  <w15:docId w15:val="{6209AC22-C516-4D9D-9D17-15558F1C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2"/>
    </w:rPr>
  </w:style>
  <w:style w:type="paragraph" w:customStyle="1" w:styleId="style1">
    <w:name w:val="style1"/>
    <w:basedOn w:val="Normal"/>
    <w:next w:val="Normal"/>
    <w:qFormat/>
    <w:rPr>
      <w:rFonts w:ascii="Arial" w:eastAsia="Arial" w:hAnsi="Arial" w:cs="Arial"/>
      <w:sz w:val="22"/>
    </w:rPr>
  </w:style>
  <w:style w:type="paragraph" w:customStyle="1" w:styleId="Valign">
    <w:name w:val="Valign"/>
    <w:basedOn w:val="Normal"/>
    <w:next w:val="Normal"/>
    <w:qFormat/>
    <w:rPr>
      <w:rFonts w:ascii="Arial" w:eastAsia="Arial" w:hAnsi="Arial" w:cs="Arial"/>
      <w:sz w:val="22"/>
    </w:rPr>
  </w:style>
  <w:style w:type="paragraph" w:customStyle="1" w:styleId="tableCF">
    <w:name w:val="table CF"/>
    <w:basedOn w:val="Normal"/>
    <w:next w:val="Normal"/>
    <w:qFormat/>
    <w:rPr>
      <w:rFonts w:ascii="Arial" w:eastAsia="Arial" w:hAnsi="Arial" w:cs="Arial"/>
      <w:b/>
      <w:sz w:val="22"/>
    </w:rPr>
  </w:style>
  <w:style w:type="paragraph" w:customStyle="1" w:styleId="tableCH">
    <w:name w:val="table CH"/>
    <w:basedOn w:val="Normal"/>
    <w:next w:val="Normal"/>
    <w:qFormat/>
    <w:rPr>
      <w:rFonts w:ascii="Trebuchet MS" w:eastAsia="Trebuchet MS" w:hAnsi="Trebuchet MS" w:cs="Trebuchet MS"/>
      <w:b/>
      <w:sz w:val="22"/>
    </w:rPr>
  </w:style>
  <w:style w:type="paragraph" w:customStyle="1" w:styleId="tableTD">
    <w:name w:val="table TD"/>
    <w:basedOn w:val="Normal"/>
    <w:next w:val="Normal"/>
    <w:qFormat/>
    <w:rPr>
      <w:rFonts w:ascii="Arial" w:eastAsia="Arial" w:hAnsi="Arial" w:cs="Arial"/>
      <w:sz w:val="22"/>
    </w:rPr>
  </w:style>
  <w:style w:type="paragraph" w:customStyle="1" w:styleId="ParagrapheIndent1">
    <w:name w:val="ParagrapheIndent1"/>
    <w:basedOn w:val="Normal"/>
    <w:next w:val="Normal"/>
    <w:qFormat/>
    <w:rPr>
      <w:rFonts w:ascii="Arial" w:eastAsia="Arial" w:hAnsi="Arial" w:cs="Arial"/>
      <w:sz w:val="22"/>
    </w:rPr>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En-tte">
    <w:name w:val="header"/>
    <w:basedOn w:val="Normal"/>
    <w:link w:val="En-tteCar"/>
    <w:unhideWhenUsed/>
    <w:rsid w:val="00F07086"/>
    <w:pPr>
      <w:tabs>
        <w:tab w:val="center" w:pos="4536"/>
        <w:tab w:val="right" w:pos="9072"/>
      </w:tabs>
    </w:pPr>
  </w:style>
  <w:style w:type="character" w:customStyle="1" w:styleId="En-tteCar">
    <w:name w:val="En-tête Car"/>
    <w:basedOn w:val="Policepardfaut"/>
    <w:link w:val="En-tte"/>
    <w:rsid w:val="00F07086"/>
    <w:rPr>
      <w:sz w:val="24"/>
      <w:szCs w:val="24"/>
    </w:rPr>
  </w:style>
  <w:style w:type="paragraph" w:styleId="Pieddepage0">
    <w:name w:val="footer"/>
    <w:basedOn w:val="Normal"/>
    <w:link w:val="PieddepageCar"/>
    <w:unhideWhenUsed/>
    <w:rsid w:val="00F07086"/>
    <w:pPr>
      <w:tabs>
        <w:tab w:val="center" w:pos="4536"/>
        <w:tab w:val="right" w:pos="9072"/>
      </w:tabs>
    </w:pPr>
  </w:style>
  <w:style w:type="character" w:customStyle="1" w:styleId="PieddepageCar">
    <w:name w:val="Pied de page Car"/>
    <w:basedOn w:val="Policepardfaut"/>
    <w:link w:val="Pieddepage0"/>
    <w:rsid w:val="00F07086"/>
    <w:rPr>
      <w:sz w:val="24"/>
      <w:szCs w:val="24"/>
    </w:rPr>
  </w:style>
  <w:style w:type="table" w:styleId="Grilledutableau">
    <w:name w:val="Table Grid"/>
    <w:basedOn w:val="TableauNormal"/>
    <w:uiPriority w:val="59"/>
    <w:rsid w:val="00FD4202"/>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62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dm@chu-clermontferrand.fr" TargetMode="External"/><Relationship Id="rId4" Type="http://schemas.openxmlformats.org/officeDocument/2006/relationships/webSettings" Target="webSettings.xml"/><Relationship Id="rId9" Type="http://schemas.openxmlformats.org/officeDocument/2006/relationships/hyperlink" Target="mailto:bdm@chu-clermontferran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3383</Words>
  <Characters>20084</Characters>
  <Application>Microsoft Office Word</Application>
  <DocSecurity>0</DocSecurity>
  <Lines>167</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Poudenx Rodolphe</dc:creator>
  <cp:lastModifiedBy>Poudenx Rodolphe</cp:lastModifiedBy>
  <cp:revision>18</cp:revision>
  <dcterms:created xsi:type="dcterms:W3CDTF">2023-12-13T10:08:00Z</dcterms:created>
  <dcterms:modified xsi:type="dcterms:W3CDTF">2025-09-17T06:52:00Z</dcterms:modified>
</cp:coreProperties>
</file>