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D524" w14:textId="77777777" w:rsidR="00191E0B" w:rsidRDefault="00191E0B">
      <w:bookmarkStart w:id="0" w:name="_Toc526153388"/>
      <w:bookmarkStart w:id="1" w:name="_Toc526153317"/>
      <w:bookmarkStart w:id="2" w:name="_Toc526153361"/>
      <w:bookmarkStart w:id="3" w:name="_Toc526153318"/>
      <w:bookmarkStart w:id="4" w:name="_Toc526153324"/>
      <w:bookmarkStart w:id="5" w:name="_Toc526153323"/>
      <w:bookmarkStart w:id="6" w:name="_Toc526153320"/>
      <w:bookmarkStart w:id="7" w:name="_Toc526153326"/>
      <w:bookmarkStart w:id="8" w:name="_Toc526153340"/>
      <w:bookmarkEnd w:id="0"/>
      <w:bookmarkEnd w:id="1"/>
      <w:bookmarkEnd w:id="2"/>
    </w:p>
    <w:p w14:paraId="0AF89821" w14:textId="77777777" w:rsidR="00191E0B" w:rsidRDefault="007A32A9">
      <w:pPr>
        <w:pStyle w:val="RedaliaNormal"/>
        <w:jc w:val="center"/>
      </w:pPr>
      <w:r>
        <w:rPr>
          <w:noProof/>
        </w:rPr>
        <w:drawing>
          <wp:inline distT="0" distB="0" distL="0" distR="0" wp14:anchorId="2491027F" wp14:editId="6A197563">
            <wp:extent cx="2428920" cy="1009771"/>
            <wp:effectExtent l="0" t="0" r="948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428920" cy="1009771"/>
                    </a:xfrm>
                    <a:prstGeom prst="rect">
                      <a:avLst/>
                    </a:prstGeom>
                    <a:noFill/>
                    <a:ln>
                      <a:noFill/>
                      <a:prstDash/>
                    </a:ln>
                  </pic:spPr>
                </pic:pic>
              </a:graphicData>
            </a:graphic>
          </wp:inline>
        </w:drawing>
      </w:r>
    </w:p>
    <w:p w14:paraId="7DF0D97D" w14:textId="77777777" w:rsidR="00191E0B" w:rsidRDefault="00191E0B">
      <w:pPr>
        <w:pStyle w:val="RedaliaNormal"/>
        <w:rPr>
          <w:sz w:val="40"/>
          <w:szCs w:val="40"/>
        </w:rPr>
      </w:pPr>
    </w:p>
    <w:p w14:paraId="1BD496C2" w14:textId="77777777" w:rsidR="00191E0B" w:rsidRDefault="007A32A9">
      <w:pPr>
        <w:pStyle w:val="RedaliaTitredocument"/>
        <w:pBdr>
          <w:top w:val="single" w:sz="4" w:space="1" w:color="000000"/>
          <w:left w:val="single" w:sz="4" w:space="4" w:color="000000"/>
          <w:bottom w:val="single" w:sz="4" w:space="1" w:color="000000"/>
          <w:right w:val="single" w:sz="4" w:space="4" w:color="000000"/>
        </w:pBdr>
      </w:pPr>
      <w:r>
        <w:t>MARCHE PUBLIC DE PRESTATIONS INTELLECTUELLES</w:t>
      </w:r>
    </w:p>
    <w:p w14:paraId="45A85E2D" w14:textId="77777777" w:rsidR="00191E0B" w:rsidRDefault="00191E0B">
      <w:pPr>
        <w:pStyle w:val="RedaliaNormal"/>
      </w:pPr>
    </w:p>
    <w:p w14:paraId="6731CC0C" w14:textId="77777777" w:rsidR="00191E0B" w:rsidRDefault="00191E0B">
      <w:pPr>
        <w:pStyle w:val="RedaliaNormal"/>
        <w:jc w:val="center"/>
      </w:pPr>
    </w:p>
    <w:p w14:paraId="7C6DD12E" w14:textId="77777777" w:rsidR="00191E0B" w:rsidRDefault="00191E0B">
      <w:pPr>
        <w:pStyle w:val="RedaliaNormal"/>
        <w:jc w:val="center"/>
      </w:pPr>
    </w:p>
    <w:p w14:paraId="1BFED656" w14:textId="77777777" w:rsidR="00191E0B" w:rsidRDefault="007A32A9">
      <w:pPr>
        <w:pStyle w:val="RedaliaNormal"/>
        <w:pBdr>
          <w:top w:val="single" w:sz="4" w:space="1" w:color="000000"/>
          <w:left w:val="single" w:sz="4" w:space="4" w:color="000000"/>
          <w:bottom w:val="single" w:sz="4" w:space="1" w:color="000000"/>
          <w:right w:val="single" w:sz="4" w:space="4" w:color="000000"/>
        </w:pBdr>
        <w:shd w:val="clear" w:color="auto" w:fill="B4C6E7"/>
        <w:jc w:val="center"/>
        <w:rPr>
          <w:b/>
          <w:bCs/>
          <w:sz w:val="24"/>
          <w:szCs w:val="24"/>
        </w:rPr>
      </w:pPr>
      <w:r>
        <w:rPr>
          <w:b/>
          <w:bCs/>
          <w:sz w:val="24"/>
          <w:szCs w:val="24"/>
        </w:rPr>
        <w:t>Agence Française de Développement</w:t>
      </w:r>
    </w:p>
    <w:p w14:paraId="1A716834" w14:textId="77777777" w:rsidR="00191E0B" w:rsidRDefault="007A32A9">
      <w:pPr>
        <w:pStyle w:val="RedaliaNormal"/>
        <w:pBdr>
          <w:top w:val="single" w:sz="4" w:space="1" w:color="000000"/>
          <w:left w:val="single" w:sz="4" w:space="4" w:color="000000"/>
          <w:bottom w:val="single" w:sz="4" w:space="1" w:color="000000"/>
          <w:right w:val="single" w:sz="4" w:space="4" w:color="000000"/>
        </w:pBdr>
        <w:shd w:val="clear" w:color="auto" w:fill="B4C6E7"/>
        <w:jc w:val="center"/>
      </w:pPr>
      <w:r>
        <w:t>5 Rue Roland BARTHES</w:t>
      </w:r>
    </w:p>
    <w:p w14:paraId="0BB746E5" w14:textId="77777777" w:rsidR="00191E0B" w:rsidRDefault="007A32A9">
      <w:pPr>
        <w:pStyle w:val="RedaliaNormal"/>
        <w:pBdr>
          <w:top w:val="single" w:sz="4" w:space="1" w:color="000000"/>
          <w:left w:val="single" w:sz="4" w:space="4" w:color="000000"/>
          <w:bottom w:val="single" w:sz="4" w:space="1" w:color="000000"/>
          <w:right w:val="single" w:sz="4" w:space="4" w:color="000000"/>
        </w:pBdr>
        <w:shd w:val="clear" w:color="auto" w:fill="B4C6E7"/>
        <w:jc w:val="center"/>
      </w:pPr>
      <w:r>
        <w:t>75012 PARIS</w:t>
      </w:r>
    </w:p>
    <w:p w14:paraId="112774EB" w14:textId="77777777" w:rsidR="00191E0B" w:rsidRDefault="00191E0B">
      <w:pPr>
        <w:pStyle w:val="RedaliaNormal"/>
        <w:jc w:val="center"/>
      </w:pPr>
    </w:p>
    <w:p w14:paraId="3E4B3CDB" w14:textId="27B4F6CA" w:rsidR="00191E0B" w:rsidRDefault="007A32A9" w:rsidP="007C0502">
      <w:pPr>
        <w:pStyle w:val="RedaliaNormal"/>
        <w:pBdr>
          <w:top w:val="single" w:sz="4" w:space="1" w:color="000000"/>
          <w:left w:val="single" w:sz="4" w:space="4" w:color="000000"/>
          <w:bottom w:val="single" w:sz="4" w:space="0" w:color="000000"/>
          <w:right w:val="single" w:sz="4" w:space="4" w:color="000000"/>
        </w:pBdr>
        <w:shd w:val="clear" w:color="auto" w:fill="B4C6E7"/>
        <w:jc w:val="center"/>
      </w:pPr>
      <w:r>
        <w:rPr>
          <w:b/>
          <w:bCs/>
        </w:rPr>
        <w:t xml:space="preserve">Objet : </w:t>
      </w:r>
      <w:r w:rsidR="00251B16" w:rsidRPr="00251B16">
        <w:rPr>
          <w:b/>
          <w:bCs/>
        </w:rPr>
        <w:t>Étude de faisabilité d’une ligne de crédit pour financer les industries de la mode, du design, du textile et de la musique au Nigéria</w:t>
      </w:r>
    </w:p>
    <w:p w14:paraId="676A7705" w14:textId="77777777" w:rsidR="00191E0B" w:rsidRDefault="007A32A9">
      <w:pPr>
        <w:pStyle w:val="RdaliaTitreparagraphe"/>
      </w:pPr>
      <w:r>
        <w:t>Date limite de remise des offres</w:t>
      </w:r>
    </w:p>
    <w:p w14:paraId="7A64F65F" w14:textId="386F5604" w:rsidR="00191E0B" w:rsidRDefault="007A32A9">
      <w:pPr>
        <w:pStyle w:val="RedaliaNormal"/>
      </w:pPr>
      <w:r>
        <w:t xml:space="preserve">Date : </w:t>
      </w:r>
      <w:r w:rsidR="00CA437C">
        <w:rPr>
          <w:shd w:val="clear" w:color="auto" w:fill="FFFF00"/>
        </w:rPr>
        <w:t>06</w:t>
      </w:r>
      <w:r>
        <w:rPr>
          <w:shd w:val="clear" w:color="auto" w:fill="FFFF00"/>
        </w:rPr>
        <w:t>/</w:t>
      </w:r>
      <w:r w:rsidR="00CA437C">
        <w:rPr>
          <w:shd w:val="clear" w:color="auto" w:fill="FFFF00"/>
        </w:rPr>
        <w:t>10</w:t>
      </w:r>
      <w:r>
        <w:rPr>
          <w:shd w:val="clear" w:color="auto" w:fill="FFFF00"/>
        </w:rPr>
        <w:t>/2025</w:t>
      </w:r>
    </w:p>
    <w:p w14:paraId="0E4C8883" w14:textId="77777777" w:rsidR="00191E0B" w:rsidRDefault="007A32A9">
      <w:pPr>
        <w:pStyle w:val="RedaliaNormal"/>
      </w:pPr>
      <w:r>
        <w:t>Heure : 12h00 (heure de Paris)</w:t>
      </w:r>
    </w:p>
    <w:p w14:paraId="291DAF95" w14:textId="77777777" w:rsidR="00191E0B" w:rsidRDefault="00191E0B">
      <w:pPr>
        <w:pStyle w:val="RedaliaNormal"/>
      </w:pPr>
    </w:p>
    <w:p w14:paraId="72E59E20" w14:textId="77777777" w:rsidR="00191E0B" w:rsidRDefault="00191E0B">
      <w:pPr>
        <w:pStyle w:val="RedaliaNormal"/>
      </w:pPr>
    </w:p>
    <w:p w14:paraId="6DF017E6" w14:textId="77777777" w:rsidR="00191E0B" w:rsidRDefault="00191E0B">
      <w:pPr>
        <w:pStyle w:val="RedaliaSoustitredocument"/>
      </w:pPr>
    </w:p>
    <w:p w14:paraId="2ED1D083" w14:textId="77777777" w:rsidR="00191E0B" w:rsidRDefault="00191E0B">
      <w:pPr>
        <w:pStyle w:val="RedaliaSoustitredocument"/>
      </w:pPr>
    </w:p>
    <w:p w14:paraId="4238F21A" w14:textId="77777777" w:rsidR="00191E0B" w:rsidRDefault="007A32A9">
      <w:pPr>
        <w:pStyle w:val="RedaliaSoustitredocument"/>
        <w:pBdr>
          <w:top w:val="single" w:sz="4" w:space="1" w:color="000000"/>
          <w:left w:val="single" w:sz="4" w:space="4" w:color="000000"/>
          <w:bottom w:val="single" w:sz="4" w:space="1" w:color="000000"/>
          <w:right w:val="single" w:sz="4" w:space="4" w:color="000000"/>
        </w:pBdr>
        <w:shd w:val="clear" w:color="auto" w:fill="B4C6E7"/>
        <w:rPr>
          <w:b/>
          <w:sz w:val="24"/>
          <w:szCs w:val="24"/>
        </w:rPr>
      </w:pPr>
      <w:r>
        <w:rPr>
          <w:b/>
          <w:sz w:val="24"/>
          <w:szCs w:val="24"/>
        </w:rPr>
        <w:t>Règlement de la consultation</w:t>
      </w:r>
    </w:p>
    <w:p w14:paraId="1DACB859" w14:textId="77777777" w:rsidR="00191E0B" w:rsidRDefault="00191E0B">
      <w:pPr>
        <w:pStyle w:val="RedaliaNormal"/>
      </w:pPr>
    </w:p>
    <w:p w14:paraId="0628ED33" w14:textId="77777777" w:rsidR="00191E0B" w:rsidRDefault="00191E0B"/>
    <w:p w14:paraId="6B208036" w14:textId="77777777" w:rsidR="00191E0B" w:rsidRDefault="007A32A9">
      <w:pPr>
        <w:pStyle w:val="RdaliaTitredossier"/>
        <w:pageBreakBefore/>
      </w:pPr>
      <w:r>
        <w:lastRenderedPageBreak/>
        <w:t>Sommaire</w:t>
      </w:r>
    </w:p>
    <w:p w14:paraId="58E38AC8" w14:textId="77777777" w:rsidR="00191E0B" w:rsidRDefault="00191E0B"/>
    <w:p w14:paraId="0B979317" w14:textId="4D1B976C" w:rsidR="00874E88" w:rsidRDefault="007A32A9">
      <w:pPr>
        <w:pStyle w:val="TM1"/>
        <w:tabs>
          <w:tab w:val="left" w:pos="601"/>
        </w:tabs>
        <w:rPr>
          <w:rFonts w:asciiTheme="minorHAnsi" w:eastAsiaTheme="minorEastAsia" w:hAnsiTheme="minorHAnsi" w:cstheme="minorBidi"/>
          <w:b w:val="0"/>
          <w:noProof/>
          <w:kern w:val="2"/>
          <w:szCs w:val="24"/>
          <w14:ligatures w14:val="standardContextual"/>
        </w:rPr>
      </w:pPr>
      <w:r>
        <w:rPr>
          <w:b w:val="0"/>
          <w:kern w:val="0"/>
          <w:sz w:val="22"/>
        </w:rPr>
        <w:fldChar w:fldCharType="begin"/>
      </w:r>
      <w:r>
        <w:instrText xml:space="preserve"> TOC \o "1-2" \u \h </w:instrText>
      </w:r>
      <w:r>
        <w:rPr>
          <w:b w:val="0"/>
          <w:kern w:val="0"/>
          <w:sz w:val="22"/>
        </w:rPr>
        <w:fldChar w:fldCharType="separate"/>
      </w:r>
      <w:hyperlink w:anchor="_Toc207728914" w:history="1">
        <w:r w:rsidR="00874E88" w:rsidRPr="007360DD">
          <w:rPr>
            <w:rStyle w:val="Lienhypertexte"/>
            <w:noProof/>
          </w:rPr>
          <w:t>1.</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Objet du marché</w:t>
        </w:r>
        <w:r w:rsidR="00874E88">
          <w:rPr>
            <w:noProof/>
          </w:rPr>
          <w:tab/>
        </w:r>
        <w:r w:rsidR="00874E88">
          <w:rPr>
            <w:noProof/>
          </w:rPr>
          <w:fldChar w:fldCharType="begin"/>
        </w:r>
        <w:r w:rsidR="00874E88">
          <w:rPr>
            <w:noProof/>
          </w:rPr>
          <w:instrText xml:space="preserve"> PAGEREF _Toc207728914 \h </w:instrText>
        </w:r>
        <w:r w:rsidR="00874E88">
          <w:rPr>
            <w:noProof/>
          </w:rPr>
        </w:r>
        <w:r w:rsidR="00874E88">
          <w:rPr>
            <w:noProof/>
          </w:rPr>
          <w:fldChar w:fldCharType="separate"/>
        </w:r>
        <w:r w:rsidR="00874E88">
          <w:rPr>
            <w:noProof/>
          </w:rPr>
          <w:t>3</w:t>
        </w:r>
        <w:r w:rsidR="00874E88">
          <w:rPr>
            <w:noProof/>
          </w:rPr>
          <w:fldChar w:fldCharType="end"/>
        </w:r>
      </w:hyperlink>
    </w:p>
    <w:p w14:paraId="50F299F1" w14:textId="5563CF7F"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15" w:history="1">
        <w:r w:rsidR="00874E88" w:rsidRPr="007360DD">
          <w:rPr>
            <w:rStyle w:val="Lienhypertexte"/>
            <w:noProof/>
          </w:rPr>
          <w:t>1.1</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Forme du marché</w:t>
        </w:r>
        <w:r w:rsidR="00874E88">
          <w:rPr>
            <w:noProof/>
          </w:rPr>
          <w:tab/>
        </w:r>
        <w:r w:rsidR="00874E88">
          <w:rPr>
            <w:noProof/>
          </w:rPr>
          <w:fldChar w:fldCharType="begin"/>
        </w:r>
        <w:r w:rsidR="00874E88">
          <w:rPr>
            <w:noProof/>
          </w:rPr>
          <w:instrText xml:space="preserve"> PAGEREF _Toc207728915 \h </w:instrText>
        </w:r>
        <w:r w:rsidR="00874E88">
          <w:rPr>
            <w:noProof/>
          </w:rPr>
        </w:r>
        <w:r w:rsidR="00874E88">
          <w:rPr>
            <w:noProof/>
          </w:rPr>
          <w:fldChar w:fldCharType="separate"/>
        </w:r>
        <w:r w:rsidR="00874E88">
          <w:rPr>
            <w:noProof/>
          </w:rPr>
          <w:t>3</w:t>
        </w:r>
        <w:r w:rsidR="00874E88">
          <w:rPr>
            <w:noProof/>
          </w:rPr>
          <w:fldChar w:fldCharType="end"/>
        </w:r>
      </w:hyperlink>
    </w:p>
    <w:p w14:paraId="0608A26C" w14:textId="372745A5"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16" w:history="1">
        <w:r w:rsidR="00874E88" w:rsidRPr="007360DD">
          <w:rPr>
            <w:rStyle w:val="Lienhypertexte"/>
            <w:noProof/>
          </w:rPr>
          <w:t>1.2</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Durée du marché – Reconduction – Délais d’exécution</w:t>
        </w:r>
        <w:r w:rsidR="00874E88">
          <w:rPr>
            <w:noProof/>
          </w:rPr>
          <w:tab/>
        </w:r>
        <w:r w:rsidR="00874E88">
          <w:rPr>
            <w:noProof/>
          </w:rPr>
          <w:fldChar w:fldCharType="begin"/>
        </w:r>
        <w:r w:rsidR="00874E88">
          <w:rPr>
            <w:noProof/>
          </w:rPr>
          <w:instrText xml:space="preserve"> PAGEREF _Toc207728916 \h </w:instrText>
        </w:r>
        <w:r w:rsidR="00874E88">
          <w:rPr>
            <w:noProof/>
          </w:rPr>
        </w:r>
        <w:r w:rsidR="00874E88">
          <w:rPr>
            <w:noProof/>
          </w:rPr>
          <w:fldChar w:fldCharType="separate"/>
        </w:r>
        <w:r w:rsidR="00874E88">
          <w:rPr>
            <w:noProof/>
          </w:rPr>
          <w:t>3</w:t>
        </w:r>
        <w:r w:rsidR="00874E88">
          <w:rPr>
            <w:noProof/>
          </w:rPr>
          <w:fldChar w:fldCharType="end"/>
        </w:r>
      </w:hyperlink>
    </w:p>
    <w:p w14:paraId="144BC3FB" w14:textId="4B898943"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17" w:history="1">
        <w:r w:rsidR="00874E88" w:rsidRPr="007360DD">
          <w:rPr>
            <w:rStyle w:val="Lienhypertexte"/>
            <w:noProof/>
          </w:rPr>
          <w:t>2.</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Organisation de la consultation</w:t>
        </w:r>
        <w:r w:rsidR="00874E88">
          <w:rPr>
            <w:noProof/>
          </w:rPr>
          <w:tab/>
        </w:r>
        <w:r w:rsidR="00874E88">
          <w:rPr>
            <w:noProof/>
          </w:rPr>
          <w:fldChar w:fldCharType="begin"/>
        </w:r>
        <w:r w:rsidR="00874E88">
          <w:rPr>
            <w:noProof/>
          </w:rPr>
          <w:instrText xml:space="preserve"> PAGEREF _Toc207728917 \h </w:instrText>
        </w:r>
        <w:r w:rsidR="00874E88">
          <w:rPr>
            <w:noProof/>
          </w:rPr>
        </w:r>
        <w:r w:rsidR="00874E88">
          <w:rPr>
            <w:noProof/>
          </w:rPr>
          <w:fldChar w:fldCharType="separate"/>
        </w:r>
        <w:r w:rsidR="00874E88">
          <w:rPr>
            <w:noProof/>
          </w:rPr>
          <w:t>3</w:t>
        </w:r>
        <w:r w:rsidR="00874E88">
          <w:rPr>
            <w:noProof/>
          </w:rPr>
          <w:fldChar w:fldCharType="end"/>
        </w:r>
      </w:hyperlink>
    </w:p>
    <w:p w14:paraId="39AA373F" w14:textId="08979359"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18" w:history="1">
        <w:r w:rsidR="00874E88" w:rsidRPr="007360DD">
          <w:rPr>
            <w:rStyle w:val="Lienhypertexte"/>
            <w:noProof/>
          </w:rPr>
          <w:t>2.1</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Procédure de passation</w:t>
        </w:r>
        <w:r w:rsidR="00874E88">
          <w:rPr>
            <w:noProof/>
          </w:rPr>
          <w:tab/>
        </w:r>
        <w:r w:rsidR="00874E88">
          <w:rPr>
            <w:noProof/>
          </w:rPr>
          <w:fldChar w:fldCharType="begin"/>
        </w:r>
        <w:r w:rsidR="00874E88">
          <w:rPr>
            <w:noProof/>
          </w:rPr>
          <w:instrText xml:space="preserve"> PAGEREF _Toc207728918 \h </w:instrText>
        </w:r>
        <w:r w:rsidR="00874E88">
          <w:rPr>
            <w:noProof/>
          </w:rPr>
        </w:r>
        <w:r w:rsidR="00874E88">
          <w:rPr>
            <w:noProof/>
          </w:rPr>
          <w:fldChar w:fldCharType="separate"/>
        </w:r>
        <w:r w:rsidR="00874E88">
          <w:rPr>
            <w:noProof/>
          </w:rPr>
          <w:t>3</w:t>
        </w:r>
        <w:r w:rsidR="00874E88">
          <w:rPr>
            <w:noProof/>
          </w:rPr>
          <w:fldChar w:fldCharType="end"/>
        </w:r>
      </w:hyperlink>
    </w:p>
    <w:p w14:paraId="5216352A" w14:textId="3CF38765"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19" w:history="1">
        <w:r w:rsidR="00874E88" w:rsidRPr="007360DD">
          <w:rPr>
            <w:rStyle w:val="Lienhypertexte"/>
            <w:noProof/>
          </w:rPr>
          <w:t>2.2</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Justification en cas de non-allotissement</w:t>
        </w:r>
        <w:r w:rsidR="00874E88">
          <w:rPr>
            <w:noProof/>
          </w:rPr>
          <w:tab/>
        </w:r>
        <w:r w:rsidR="00874E88">
          <w:rPr>
            <w:noProof/>
          </w:rPr>
          <w:fldChar w:fldCharType="begin"/>
        </w:r>
        <w:r w:rsidR="00874E88">
          <w:rPr>
            <w:noProof/>
          </w:rPr>
          <w:instrText xml:space="preserve"> PAGEREF _Toc207728919 \h </w:instrText>
        </w:r>
        <w:r w:rsidR="00874E88">
          <w:rPr>
            <w:noProof/>
          </w:rPr>
        </w:r>
        <w:r w:rsidR="00874E88">
          <w:rPr>
            <w:noProof/>
          </w:rPr>
          <w:fldChar w:fldCharType="separate"/>
        </w:r>
        <w:r w:rsidR="00874E88">
          <w:rPr>
            <w:noProof/>
          </w:rPr>
          <w:t>3</w:t>
        </w:r>
        <w:r w:rsidR="00874E88">
          <w:rPr>
            <w:noProof/>
          </w:rPr>
          <w:fldChar w:fldCharType="end"/>
        </w:r>
      </w:hyperlink>
    </w:p>
    <w:p w14:paraId="39027ED3" w14:textId="5DE83A9A"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20" w:history="1">
        <w:r w:rsidR="00874E88" w:rsidRPr="007360DD">
          <w:rPr>
            <w:rStyle w:val="Lienhypertexte"/>
            <w:noProof/>
          </w:rPr>
          <w:t>2.3</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Dispositions relatives aux groupements</w:t>
        </w:r>
        <w:r w:rsidR="00874E88">
          <w:rPr>
            <w:noProof/>
          </w:rPr>
          <w:tab/>
        </w:r>
        <w:r w:rsidR="00874E88">
          <w:rPr>
            <w:noProof/>
          </w:rPr>
          <w:fldChar w:fldCharType="begin"/>
        </w:r>
        <w:r w:rsidR="00874E88">
          <w:rPr>
            <w:noProof/>
          </w:rPr>
          <w:instrText xml:space="preserve"> PAGEREF _Toc207728920 \h </w:instrText>
        </w:r>
        <w:r w:rsidR="00874E88">
          <w:rPr>
            <w:noProof/>
          </w:rPr>
        </w:r>
        <w:r w:rsidR="00874E88">
          <w:rPr>
            <w:noProof/>
          </w:rPr>
          <w:fldChar w:fldCharType="separate"/>
        </w:r>
        <w:r w:rsidR="00874E88">
          <w:rPr>
            <w:noProof/>
          </w:rPr>
          <w:t>3</w:t>
        </w:r>
        <w:r w:rsidR="00874E88">
          <w:rPr>
            <w:noProof/>
          </w:rPr>
          <w:fldChar w:fldCharType="end"/>
        </w:r>
      </w:hyperlink>
    </w:p>
    <w:p w14:paraId="2FC83414" w14:textId="44D3D935"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21" w:history="1">
        <w:r w:rsidR="00874E88" w:rsidRPr="007360DD">
          <w:rPr>
            <w:rStyle w:val="Lienhypertexte"/>
            <w:noProof/>
          </w:rPr>
          <w:t>2.4</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Variantes libres</w:t>
        </w:r>
        <w:r w:rsidR="00874E88">
          <w:rPr>
            <w:noProof/>
          </w:rPr>
          <w:tab/>
        </w:r>
        <w:r w:rsidR="00874E88">
          <w:rPr>
            <w:noProof/>
          </w:rPr>
          <w:fldChar w:fldCharType="begin"/>
        </w:r>
        <w:r w:rsidR="00874E88">
          <w:rPr>
            <w:noProof/>
          </w:rPr>
          <w:instrText xml:space="preserve"> PAGEREF _Toc207728921 \h </w:instrText>
        </w:r>
        <w:r w:rsidR="00874E88">
          <w:rPr>
            <w:noProof/>
          </w:rPr>
        </w:r>
        <w:r w:rsidR="00874E88">
          <w:rPr>
            <w:noProof/>
          </w:rPr>
          <w:fldChar w:fldCharType="separate"/>
        </w:r>
        <w:r w:rsidR="00874E88">
          <w:rPr>
            <w:noProof/>
          </w:rPr>
          <w:t>4</w:t>
        </w:r>
        <w:r w:rsidR="00874E88">
          <w:rPr>
            <w:noProof/>
          </w:rPr>
          <w:fldChar w:fldCharType="end"/>
        </w:r>
      </w:hyperlink>
    </w:p>
    <w:p w14:paraId="2E82AB6C" w14:textId="2AD7172B"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22" w:history="1">
        <w:r w:rsidR="00874E88" w:rsidRPr="007360DD">
          <w:rPr>
            <w:rStyle w:val="Lienhypertexte"/>
            <w:noProof/>
          </w:rPr>
          <w:t>2.5</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Variantes imposées</w:t>
        </w:r>
        <w:r w:rsidR="00874E88">
          <w:rPr>
            <w:noProof/>
          </w:rPr>
          <w:tab/>
        </w:r>
        <w:r w:rsidR="00874E88">
          <w:rPr>
            <w:noProof/>
          </w:rPr>
          <w:fldChar w:fldCharType="begin"/>
        </w:r>
        <w:r w:rsidR="00874E88">
          <w:rPr>
            <w:noProof/>
          </w:rPr>
          <w:instrText xml:space="preserve"> PAGEREF _Toc207728922 \h </w:instrText>
        </w:r>
        <w:r w:rsidR="00874E88">
          <w:rPr>
            <w:noProof/>
          </w:rPr>
        </w:r>
        <w:r w:rsidR="00874E88">
          <w:rPr>
            <w:noProof/>
          </w:rPr>
          <w:fldChar w:fldCharType="separate"/>
        </w:r>
        <w:r w:rsidR="00874E88">
          <w:rPr>
            <w:noProof/>
          </w:rPr>
          <w:t>4</w:t>
        </w:r>
        <w:r w:rsidR="00874E88">
          <w:rPr>
            <w:noProof/>
          </w:rPr>
          <w:fldChar w:fldCharType="end"/>
        </w:r>
      </w:hyperlink>
    </w:p>
    <w:p w14:paraId="65F72500" w14:textId="23EFA5BC"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23" w:history="1">
        <w:r w:rsidR="00874E88" w:rsidRPr="007360DD">
          <w:rPr>
            <w:rStyle w:val="Lienhypertexte"/>
            <w:noProof/>
          </w:rPr>
          <w:t>2.6</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Modification du DCE</w:t>
        </w:r>
        <w:r w:rsidR="00874E88">
          <w:rPr>
            <w:noProof/>
          </w:rPr>
          <w:tab/>
        </w:r>
        <w:r w:rsidR="00874E88">
          <w:rPr>
            <w:noProof/>
          </w:rPr>
          <w:fldChar w:fldCharType="begin"/>
        </w:r>
        <w:r w:rsidR="00874E88">
          <w:rPr>
            <w:noProof/>
          </w:rPr>
          <w:instrText xml:space="preserve"> PAGEREF _Toc207728923 \h </w:instrText>
        </w:r>
        <w:r w:rsidR="00874E88">
          <w:rPr>
            <w:noProof/>
          </w:rPr>
        </w:r>
        <w:r w:rsidR="00874E88">
          <w:rPr>
            <w:noProof/>
          </w:rPr>
          <w:fldChar w:fldCharType="separate"/>
        </w:r>
        <w:r w:rsidR="00874E88">
          <w:rPr>
            <w:noProof/>
          </w:rPr>
          <w:t>4</w:t>
        </w:r>
        <w:r w:rsidR="00874E88">
          <w:rPr>
            <w:noProof/>
          </w:rPr>
          <w:fldChar w:fldCharType="end"/>
        </w:r>
      </w:hyperlink>
    </w:p>
    <w:p w14:paraId="555357E0" w14:textId="47794A63"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24" w:history="1">
        <w:r w:rsidR="00874E88" w:rsidRPr="007360DD">
          <w:rPr>
            <w:rStyle w:val="Lienhypertexte"/>
            <w:noProof/>
          </w:rPr>
          <w:t>2.7</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Délai de validité des offres</w:t>
        </w:r>
        <w:r w:rsidR="00874E88">
          <w:rPr>
            <w:noProof/>
          </w:rPr>
          <w:tab/>
        </w:r>
        <w:r w:rsidR="00874E88">
          <w:rPr>
            <w:noProof/>
          </w:rPr>
          <w:fldChar w:fldCharType="begin"/>
        </w:r>
        <w:r w:rsidR="00874E88">
          <w:rPr>
            <w:noProof/>
          </w:rPr>
          <w:instrText xml:space="preserve"> PAGEREF _Toc207728924 \h </w:instrText>
        </w:r>
        <w:r w:rsidR="00874E88">
          <w:rPr>
            <w:noProof/>
          </w:rPr>
        </w:r>
        <w:r w:rsidR="00874E88">
          <w:rPr>
            <w:noProof/>
          </w:rPr>
          <w:fldChar w:fldCharType="separate"/>
        </w:r>
        <w:r w:rsidR="00874E88">
          <w:rPr>
            <w:noProof/>
          </w:rPr>
          <w:t>4</w:t>
        </w:r>
        <w:r w:rsidR="00874E88">
          <w:rPr>
            <w:noProof/>
          </w:rPr>
          <w:fldChar w:fldCharType="end"/>
        </w:r>
      </w:hyperlink>
    </w:p>
    <w:p w14:paraId="795F1545" w14:textId="12ED6CCC"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25" w:history="1">
        <w:r w:rsidR="00874E88" w:rsidRPr="007360DD">
          <w:rPr>
            <w:rStyle w:val="Lienhypertexte"/>
            <w:noProof/>
          </w:rPr>
          <w:t>3.</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Contenu du dossier de consultation</w:t>
        </w:r>
        <w:r w:rsidR="00874E88">
          <w:rPr>
            <w:noProof/>
          </w:rPr>
          <w:tab/>
        </w:r>
        <w:r w:rsidR="00874E88">
          <w:rPr>
            <w:noProof/>
          </w:rPr>
          <w:fldChar w:fldCharType="begin"/>
        </w:r>
        <w:r w:rsidR="00874E88">
          <w:rPr>
            <w:noProof/>
          </w:rPr>
          <w:instrText xml:space="preserve"> PAGEREF _Toc207728925 \h </w:instrText>
        </w:r>
        <w:r w:rsidR="00874E88">
          <w:rPr>
            <w:noProof/>
          </w:rPr>
        </w:r>
        <w:r w:rsidR="00874E88">
          <w:rPr>
            <w:noProof/>
          </w:rPr>
          <w:fldChar w:fldCharType="separate"/>
        </w:r>
        <w:r w:rsidR="00874E88">
          <w:rPr>
            <w:noProof/>
          </w:rPr>
          <w:t>4</w:t>
        </w:r>
        <w:r w:rsidR="00874E88">
          <w:rPr>
            <w:noProof/>
          </w:rPr>
          <w:fldChar w:fldCharType="end"/>
        </w:r>
      </w:hyperlink>
    </w:p>
    <w:p w14:paraId="4FC003A8" w14:textId="09AC3A72"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26" w:history="1">
        <w:r w:rsidR="00874E88" w:rsidRPr="007360DD">
          <w:rPr>
            <w:rStyle w:val="Lienhypertexte"/>
            <w:noProof/>
          </w:rPr>
          <w:t>4.</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Retrait du dossier de consultation</w:t>
        </w:r>
        <w:r w:rsidR="00874E88">
          <w:rPr>
            <w:noProof/>
          </w:rPr>
          <w:tab/>
        </w:r>
        <w:r w:rsidR="00874E88">
          <w:rPr>
            <w:noProof/>
          </w:rPr>
          <w:fldChar w:fldCharType="begin"/>
        </w:r>
        <w:r w:rsidR="00874E88">
          <w:rPr>
            <w:noProof/>
          </w:rPr>
          <w:instrText xml:space="preserve"> PAGEREF _Toc207728926 \h </w:instrText>
        </w:r>
        <w:r w:rsidR="00874E88">
          <w:rPr>
            <w:noProof/>
          </w:rPr>
        </w:r>
        <w:r w:rsidR="00874E88">
          <w:rPr>
            <w:noProof/>
          </w:rPr>
          <w:fldChar w:fldCharType="separate"/>
        </w:r>
        <w:r w:rsidR="00874E88">
          <w:rPr>
            <w:noProof/>
          </w:rPr>
          <w:t>4</w:t>
        </w:r>
        <w:r w:rsidR="00874E88">
          <w:rPr>
            <w:noProof/>
          </w:rPr>
          <w:fldChar w:fldCharType="end"/>
        </w:r>
      </w:hyperlink>
    </w:p>
    <w:p w14:paraId="14592D29" w14:textId="1B093CC0"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27" w:history="1">
        <w:r w:rsidR="00874E88" w:rsidRPr="007360DD">
          <w:rPr>
            <w:rStyle w:val="Lienhypertexte"/>
            <w:noProof/>
          </w:rPr>
          <w:t>5.</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Présentation des candidatures et des offres</w:t>
        </w:r>
        <w:r w:rsidR="00874E88">
          <w:rPr>
            <w:noProof/>
          </w:rPr>
          <w:tab/>
        </w:r>
        <w:r w:rsidR="00874E88">
          <w:rPr>
            <w:noProof/>
          </w:rPr>
          <w:fldChar w:fldCharType="begin"/>
        </w:r>
        <w:r w:rsidR="00874E88">
          <w:rPr>
            <w:noProof/>
          </w:rPr>
          <w:instrText xml:space="preserve"> PAGEREF _Toc207728927 \h </w:instrText>
        </w:r>
        <w:r w:rsidR="00874E88">
          <w:rPr>
            <w:noProof/>
          </w:rPr>
        </w:r>
        <w:r w:rsidR="00874E88">
          <w:rPr>
            <w:noProof/>
          </w:rPr>
          <w:fldChar w:fldCharType="separate"/>
        </w:r>
        <w:r w:rsidR="00874E88">
          <w:rPr>
            <w:noProof/>
          </w:rPr>
          <w:t>5</w:t>
        </w:r>
        <w:r w:rsidR="00874E88">
          <w:rPr>
            <w:noProof/>
          </w:rPr>
          <w:fldChar w:fldCharType="end"/>
        </w:r>
      </w:hyperlink>
    </w:p>
    <w:p w14:paraId="3C262B4D" w14:textId="6104DEA9"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28" w:history="1">
        <w:r w:rsidR="00874E88" w:rsidRPr="007360DD">
          <w:rPr>
            <w:rStyle w:val="Lienhypertexte"/>
            <w:noProof/>
          </w:rPr>
          <w:t>5.1</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Éléments nécessaires à la sélection des candidatures :</w:t>
        </w:r>
        <w:r w:rsidR="00874E88">
          <w:rPr>
            <w:noProof/>
          </w:rPr>
          <w:tab/>
        </w:r>
        <w:r w:rsidR="00874E88">
          <w:rPr>
            <w:noProof/>
          </w:rPr>
          <w:fldChar w:fldCharType="begin"/>
        </w:r>
        <w:r w:rsidR="00874E88">
          <w:rPr>
            <w:noProof/>
          </w:rPr>
          <w:instrText xml:space="preserve"> PAGEREF _Toc207728928 \h </w:instrText>
        </w:r>
        <w:r w:rsidR="00874E88">
          <w:rPr>
            <w:noProof/>
          </w:rPr>
        </w:r>
        <w:r w:rsidR="00874E88">
          <w:rPr>
            <w:noProof/>
          </w:rPr>
          <w:fldChar w:fldCharType="separate"/>
        </w:r>
        <w:r w:rsidR="00874E88">
          <w:rPr>
            <w:noProof/>
          </w:rPr>
          <w:t>5</w:t>
        </w:r>
        <w:r w:rsidR="00874E88">
          <w:rPr>
            <w:noProof/>
          </w:rPr>
          <w:fldChar w:fldCharType="end"/>
        </w:r>
      </w:hyperlink>
    </w:p>
    <w:p w14:paraId="1F5805A9" w14:textId="42F48215"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29" w:history="1">
        <w:r w:rsidR="00874E88" w:rsidRPr="007360DD">
          <w:rPr>
            <w:rStyle w:val="Lienhypertexte"/>
            <w:noProof/>
          </w:rPr>
          <w:t>5.2</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Éléments nécessaires au choix de l’offre</w:t>
        </w:r>
        <w:r w:rsidR="00874E88">
          <w:rPr>
            <w:noProof/>
          </w:rPr>
          <w:tab/>
        </w:r>
        <w:r w:rsidR="00874E88">
          <w:rPr>
            <w:noProof/>
          </w:rPr>
          <w:fldChar w:fldCharType="begin"/>
        </w:r>
        <w:r w:rsidR="00874E88">
          <w:rPr>
            <w:noProof/>
          </w:rPr>
          <w:instrText xml:space="preserve"> PAGEREF _Toc207728929 \h </w:instrText>
        </w:r>
        <w:r w:rsidR="00874E88">
          <w:rPr>
            <w:noProof/>
          </w:rPr>
        </w:r>
        <w:r w:rsidR="00874E88">
          <w:rPr>
            <w:noProof/>
          </w:rPr>
          <w:fldChar w:fldCharType="separate"/>
        </w:r>
        <w:r w:rsidR="00874E88">
          <w:rPr>
            <w:noProof/>
          </w:rPr>
          <w:t>6</w:t>
        </w:r>
        <w:r w:rsidR="00874E88">
          <w:rPr>
            <w:noProof/>
          </w:rPr>
          <w:fldChar w:fldCharType="end"/>
        </w:r>
      </w:hyperlink>
    </w:p>
    <w:p w14:paraId="0EDDF253" w14:textId="26B06A83"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30" w:history="1">
        <w:r w:rsidR="00874E88" w:rsidRPr="007360DD">
          <w:rPr>
            <w:rStyle w:val="Lienhypertexte"/>
            <w:noProof/>
          </w:rPr>
          <w:t>6.</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Jugement des candidatures, des offres et attribution du marché</w:t>
        </w:r>
        <w:r w:rsidR="00874E88">
          <w:rPr>
            <w:noProof/>
          </w:rPr>
          <w:tab/>
        </w:r>
        <w:r w:rsidR="00874E88">
          <w:rPr>
            <w:noProof/>
          </w:rPr>
          <w:fldChar w:fldCharType="begin"/>
        </w:r>
        <w:r w:rsidR="00874E88">
          <w:rPr>
            <w:noProof/>
          </w:rPr>
          <w:instrText xml:space="preserve"> PAGEREF _Toc207728930 \h </w:instrText>
        </w:r>
        <w:r w:rsidR="00874E88">
          <w:rPr>
            <w:noProof/>
          </w:rPr>
        </w:r>
        <w:r w:rsidR="00874E88">
          <w:rPr>
            <w:noProof/>
          </w:rPr>
          <w:fldChar w:fldCharType="separate"/>
        </w:r>
        <w:r w:rsidR="00874E88">
          <w:rPr>
            <w:noProof/>
          </w:rPr>
          <w:t>6</w:t>
        </w:r>
        <w:r w:rsidR="00874E88">
          <w:rPr>
            <w:noProof/>
          </w:rPr>
          <w:fldChar w:fldCharType="end"/>
        </w:r>
      </w:hyperlink>
    </w:p>
    <w:p w14:paraId="73A60A07" w14:textId="3D16294E"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31" w:history="1">
        <w:r w:rsidR="00874E88" w:rsidRPr="007360DD">
          <w:rPr>
            <w:rStyle w:val="Lienhypertexte"/>
            <w:noProof/>
          </w:rPr>
          <w:t>6.1</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Sélection des candidatures</w:t>
        </w:r>
        <w:r w:rsidR="00874E88">
          <w:rPr>
            <w:noProof/>
          </w:rPr>
          <w:tab/>
        </w:r>
        <w:r w:rsidR="00874E88">
          <w:rPr>
            <w:noProof/>
          </w:rPr>
          <w:fldChar w:fldCharType="begin"/>
        </w:r>
        <w:r w:rsidR="00874E88">
          <w:rPr>
            <w:noProof/>
          </w:rPr>
          <w:instrText xml:space="preserve"> PAGEREF _Toc207728931 \h </w:instrText>
        </w:r>
        <w:r w:rsidR="00874E88">
          <w:rPr>
            <w:noProof/>
          </w:rPr>
        </w:r>
        <w:r w:rsidR="00874E88">
          <w:rPr>
            <w:noProof/>
          </w:rPr>
          <w:fldChar w:fldCharType="separate"/>
        </w:r>
        <w:r w:rsidR="00874E88">
          <w:rPr>
            <w:noProof/>
          </w:rPr>
          <w:t>6</w:t>
        </w:r>
        <w:r w:rsidR="00874E88">
          <w:rPr>
            <w:noProof/>
          </w:rPr>
          <w:fldChar w:fldCharType="end"/>
        </w:r>
      </w:hyperlink>
    </w:p>
    <w:p w14:paraId="43DBB15E" w14:textId="5A48745A"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32" w:history="1">
        <w:r w:rsidR="00874E88" w:rsidRPr="007360DD">
          <w:rPr>
            <w:rStyle w:val="Lienhypertexte"/>
            <w:noProof/>
          </w:rPr>
          <w:t>6.2</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Jugement des candidatures</w:t>
        </w:r>
        <w:r w:rsidR="00874E88">
          <w:rPr>
            <w:noProof/>
          </w:rPr>
          <w:tab/>
        </w:r>
        <w:r w:rsidR="00874E88">
          <w:rPr>
            <w:noProof/>
          </w:rPr>
          <w:fldChar w:fldCharType="begin"/>
        </w:r>
        <w:r w:rsidR="00874E88">
          <w:rPr>
            <w:noProof/>
          </w:rPr>
          <w:instrText xml:space="preserve"> PAGEREF _Toc207728932 \h </w:instrText>
        </w:r>
        <w:r w:rsidR="00874E88">
          <w:rPr>
            <w:noProof/>
          </w:rPr>
        </w:r>
        <w:r w:rsidR="00874E88">
          <w:rPr>
            <w:noProof/>
          </w:rPr>
          <w:fldChar w:fldCharType="separate"/>
        </w:r>
        <w:r w:rsidR="00874E88">
          <w:rPr>
            <w:noProof/>
          </w:rPr>
          <w:t>7</w:t>
        </w:r>
        <w:r w:rsidR="00874E88">
          <w:rPr>
            <w:noProof/>
          </w:rPr>
          <w:fldChar w:fldCharType="end"/>
        </w:r>
      </w:hyperlink>
    </w:p>
    <w:p w14:paraId="5E3042AE" w14:textId="5E72810F"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33" w:history="1">
        <w:r w:rsidR="00874E88" w:rsidRPr="007360DD">
          <w:rPr>
            <w:rStyle w:val="Lienhypertexte"/>
            <w:noProof/>
          </w:rPr>
          <w:t>6.3</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Jugement des offres</w:t>
        </w:r>
        <w:r w:rsidR="00874E88">
          <w:rPr>
            <w:noProof/>
          </w:rPr>
          <w:tab/>
        </w:r>
        <w:r w:rsidR="00874E88">
          <w:rPr>
            <w:noProof/>
          </w:rPr>
          <w:fldChar w:fldCharType="begin"/>
        </w:r>
        <w:r w:rsidR="00874E88">
          <w:rPr>
            <w:noProof/>
          </w:rPr>
          <w:instrText xml:space="preserve"> PAGEREF _Toc207728933 \h </w:instrText>
        </w:r>
        <w:r w:rsidR="00874E88">
          <w:rPr>
            <w:noProof/>
          </w:rPr>
        </w:r>
        <w:r w:rsidR="00874E88">
          <w:rPr>
            <w:noProof/>
          </w:rPr>
          <w:fldChar w:fldCharType="separate"/>
        </w:r>
        <w:r w:rsidR="00874E88">
          <w:rPr>
            <w:noProof/>
          </w:rPr>
          <w:t>7</w:t>
        </w:r>
        <w:r w:rsidR="00874E88">
          <w:rPr>
            <w:noProof/>
          </w:rPr>
          <w:fldChar w:fldCharType="end"/>
        </w:r>
      </w:hyperlink>
    </w:p>
    <w:p w14:paraId="7C7AFDC0" w14:textId="76950211" w:rsidR="00874E88" w:rsidRDefault="00CA437C">
      <w:pPr>
        <w:pStyle w:val="TM2"/>
        <w:tabs>
          <w:tab w:val="left" w:pos="799"/>
        </w:tabs>
        <w:rPr>
          <w:rFonts w:asciiTheme="minorHAnsi" w:eastAsiaTheme="minorEastAsia" w:hAnsiTheme="minorHAnsi" w:cstheme="minorBidi"/>
          <w:noProof/>
          <w:kern w:val="2"/>
          <w:sz w:val="24"/>
          <w:szCs w:val="24"/>
          <w14:ligatures w14:val="standardContextual"/>
        </w:rPr>
      </w:pPr>
      <w:hyperlink w:anchor="_Toc207728934" w:history="1">
        <w:r w:rsidR="00874E88" w:rsidRPr="007360DD">
          <w:rPr>
            <w:rStyle w:val="Lienhypertexte"/>
            <w:noProof/>
          </w:rPr>
          <w:t>6.4</w:t>
        </w:r>
        <w:r w:rsidR="00874E88">
          <w:rPr>
            <w:rFonts w:asciiTheme="minorHAnsi" w:eastAsiaTheme="minorEastAsia" w:hAnsiTheme="minorHAnsi" w:cstheme="minorBidi"/>
            <w:noProof/>
            <w:kern w:val="2"/>
            <w:sz w:val="24"/>
            <w:szCs w:val="24"/>
            <w14:ligatures w14:val="standardContextual"/>
          </w:rPr>
          <w:tab/>
        </w:r>
        <w:r w:rsidR="00874E88" w:rsidRPr="007360DD">
          <w:rPr>
            <w:rStyle w:val="Lienhypertexte"/>
            <w:noProof/>
          </w:rPr>
          <w:t>Attribution du marché</w:t>
        </w:r>
        <w:r w:rsidR="00874E88">
          <w:rPr>
            <w:noProof/>
          </w:rPr>
          <w:tab/>
        </w:r>
        <w:r w:rsidR="00874E88">
          <w:rPr>
            <w:noProof/>
          </w:rPr>
          <w:fldChar w:fldCharType="begin"/>
        </w:r>
        <w:r w:rsidR="00874E88">
          <w:rPr>
            <w:noProof/>
          </w:rPr>
          <w:instrText xml:space="preserve"> PAGEREF _Toc207728934 \h </w:instrText>
        </w:r>
        <w:r w:rsidR="00874E88">
          <w:rPr>
            <w:noProof/>
          </w:rPr>
        </w:r>
        <w:r w:rsidR="00874E88">
          <w:rPr>
            <w:noProof/>
          </w:rPr>
          <w:fldChar w:fldCharType="separate"/>
        </w:r>
        <w:r w:rsidR="00874E88">
          <w:rPr>
            <w:noProof/>
          </w:rPr>
          <w:t>8</w:t>
        </w:r>
        <w:r w:rsidR="00874E88">
          <w:rPr>
            <w:noProof/>
          </w:rPr>
          <w:fldChar w:fldCharType="end"/>
        </w:r>
      </w:hyperlink>
    </w:p>
    <w:p w14:paraId="1565A836" w14:textId="15944E40"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35" w:history="1">
        <w:r w:rsidR="00874E88" w:rsidRPr="007360DD">
          <w:rPr>
            <w:rStyle w:val="Lienhypertexte"/>
            <w:noProof/>
          </w:rPr>
          <w:t>7.</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Conditions d’envoi et de remise des candidatures et des offres</w:t>
        </w:r>
        <w:r w:rsidR="00874E88">
          <w:rPr>
            <w:noProof/>
          </w:rPr>
          <w:tab/>
        </w:r>
        <w:r w:rsidR="00874E88">
          <w:rPr>
            <w:noProof/>
          </w:rPr>
          <w:fldChar w:fldCharType="begin"/>
        </w:r>
        <w:r w:rsidR="00874E88">
          <w:rPr>
            <w:noProof/>
          </w:rPr>
          <w:instrText xml:space="preserve"> PAGEREF _Toc207728935 \h </w:instrText>
        </w:r>
        <w:r w:rsidR="00874E88">
          <w:rPr>
            <w:noProof/>
          </w:rPr>
        </w:r>
        <w:r w:rsidR="00874E88">
          <w:rPr>
            <w:noProof/>
          </w:rPr>
          <w:fldChar w:fldCharType="separate"/>
        </w:r>
        <w:r w:rsidR="00874E88">
          <w:rPr>
            <w:noProof/>
          </w:rPr>
          <w:t>9</w:t>
        </w:r>
        <w:r w:rsidR="00874E88">
          <w:rPr>
            <w:noProof/>
          </w:rPr>
          <w:fldChar w:fldCharType="end"/>
        </w:r>
      </w:hyperlink>
    </w:p>
    <w:p w14:paraId="77F2E406" w14:textId="306907C1"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36" w:history="1">
        <w:r w:rsidR="00874E88" w:rsidRPr="007360DD">
          <w:rPr>
            <w:rStyle w:val="Lienhypertexte"/>
            <w:noProof/>
          </w:rPr>
          <w:t>8.</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Renseignements complémentaires</w:t>
        </w:r>
        <w:r w:rsidR="00874E88">
          <w:rPr>
            <w:noProof/>
          </w:rPr>
          <w:tab/>
        </w:r>
        <w:r w:rsidR="00874E88">
          <w:rPr>
            <w:noProof/>
          </w:rPr>
          <w:fldChar w:fldCharType="begin"/>
        </w:r>
        <w:r w:rsidR="00874E88">
          <w:rPr>
            <w:noProof/>
          </w:rPr>
          <w:instrText xml:space="preserve"> PAGEREF _Toc207728936 \h </w:instrText>
        </w:r>
        <w:r w:rsidR="00874E88">
          <w:rPr>
            <w:noProof/>
          </w:rPr>
        </w:r>
        <w:r w:rsidR="00874E88">
          <w:rPr>
            <w:noProof/>
          </w:rPr>
          <w:fldChar w:fldCharType="separate"/>
        </w:r>
        <w:r w:rsidR="00874E88">
          <w:rPr>
            <w:noProof/>
          </w:rPr>
          <w:t>11</w:t>
        </w:r>
        <w:r w:rsidR="00874E88">
          <w:rPr>
            <w:noProof/>
          </w:rPr>
          <w:fldChar w:fldCharType="end"/>
        </w:r>
      </w:hyperlink>
    </w:p>
    <w:p w14:paraId="3C22B42A" w14:textId="608B1C7B"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37" w:history="1">
        <w:r w:rsidR="00874E88" w:rsidRPr="007360DD">
          <w:rPr>
            <w:rStyle w:val="Lienhypertexte"/>
            <w:noProof/>
          </w:rPr>
          <w:t>9.</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Procédures de recours</w:t>
        </w:r>
        <w:r w:rsidR="00874E88">
          <w:rPr>
            <w:noProof/>
          </w:rPr>
          <w:tab/>
        </w:r>
        <w:r w:rsidR="00874E88">
          <w:rPr>
            <w:noProof/>
          </w:rPr>
          <w:fldChar w:fldCharType="begin"/>
        </w:r>
        <w:r w:rsidR="00874E88">
          <w:rPr>
            <w:noProof/>
          </w:rPr>
          <w:instrText xml:space="preserve"> PAGEREF _Toc207728937 \h </w:instrText>
        </w:r>
        <w:r w:rsidR="00874E88">
          <w:rPr>
            <w:noProof/>
          </w:rPr>
        </w:r>
        <w:r w:rsidR="00874E88">
          <w:rPr>
            <w:noProof/>
          </w:rPr>
          <w:fldChar w:fldCharType="separate"/>
        </w:r>
        <w:r w:rsidR="00874E88">
          <w:rPr>
            <w:noProof/>
          </w:rPr>
          <w:t>11</w:t>
        </w:r>
        <w:r w:rsidR="00874E88">
          <w:rPr>
            <w:noProof/>
          </w:rPr>
          <w:fldChar w:fldCharType="end"/>
        </w:r>
      </w:hyperlink>
    </w:p>
    <w:p w14:paraId="1A667E03" w14:textId="53050F48"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38" w:history="1">
        <w:r w:rsidR="00874E88" w:rsidRPr="007360DD">
          <w:rPr>
            <w:rStyle w:val="Lienhypertexte"/>
            <w:noProof/>
          </w:rPr>
          <w:t>10.</w:t>
        </w:r>
        <w:r w:rsidR="00874E88">
          <w:rPr>
            <w:rFonts w:asciiTheme="minorHAnsi" w:eastAsiaTheme="minorEastAsia" w:hAnsiTheme="minorHAnsi" w:cstheme="minorBidi"/>
            <w:b w:val="0"/>
            <w:noProof/>
            <w:kern w:val="2"/>
            <w:szCs w:val="24"/>
            <w14:ligatures w14:val="standardContextual"/>
          </w:rPr>
          <w:tab/>
        </w:r>
        <w:r w:rsidR="00874E88" w:rsidRPr="004E28C2">
          <w:rPr>
            <w:rStyle w:val="Lienhypertexte"/>
            <w:noProof/>
          </w:rPr>
          <w:t>Annexe : Cadre de réponse imposé</w:t>
        </w:r>
        <w:r w:rsidR="00874E88">
          <w:rPr>
            <w:noProof/>
          </w:rPr>
          <w:tab/>
        </w:r>
        <w:r w:rsidR="00874E88">
          <w:rPr>
            <w:noProof/>
          </w:rPr>
          <w:fldChar w:fldCharType="begin"/>
        </w:r>
        <w:r w:rsidR="00874E88">
          <w:rPr>
            <w:noProof/>
          </w:rPr>
          <w:instrText xml:space="preserve"> PAGEREF _Toc207728938 \h </w:instrText>
        </w:r>
        <w:r w:rsidR="00874E88">
          <w:rPr>
            <w:noProof/>
          </w:rPr>
        </w:r>
        <w:r w:rsidR="00874E88">
          <w:rPr>
            <w:noProof/>
          </w:rPr>
          <w:fldChar w:fldCharType="separate"/>
        </w:r>
        <w:r w:rsidR="00874E88">
          <w:rPr>
            <w:noProof/>
          </w:rPr>
          <w:t>13</w:t>
        </w:r>
        <w:r w:rsidR="00874E88">
          <w:rPr>
            <w:noProof/>
          </w:rPr>
          <w:fldChar w:fldCharType="end"/>
        </w:r>
      </w:hyperlink>
    </w:p>
    <w:p w14:paraId="68FCE8E4" w14:textId="1F471D4A" w:rsidR="00874E88" w:rsidRDefault="00CA437C">
      <w:pPr>
        <w:pStyle w:val="TM1"/>
        <w:tabs>
          <w:tab w:val="left" w:pos="601"/>
        </w:tabs>
        <w:rPr>
          <w:rFonts w:asciiTheme="minorHAnsi" w:eastAsiaTheme="minorEastAsia" w:hAnsiTheme="minorHAnsi" w:cstheme="minorBidi"/>
          <w:b w:val="0"/>
          <w:noProof/>
          <w:kern w:val="2"/>
          <w:szCs w:val="24"/>
          <w14:ligatures w14:val="standardContextual"/>
        </w:rPr>
      </w:pPr>
      <w:hyperlink w:anchor="_Toc207728939" w:history="1">
        <w:r w:rsidR="00874E88" w:rsidRPr="007360DD">
          <w:rPr>
            <w:rStyle w:val="Lienhypertexte"/>
            <w:noProof/>
          </w:rPr>
          <w:t>11.</w:t>
        </w:r>
        <w:r w:rsidR="00874E88">
          <w:rPr>
            <w:rFonts w:asciiTheme="minorHAnsi" w:eastAsiaTheme="minorEastAsia" w:hAnsiTheme="minorHAnsi" w:cstheme="minorBidi"/>
            <w:b w:val="0"/>
            <w:noProof/>
            <w:kern w:val="2"/>
            <w:szCs w:val="24"/>
            <w14:ligatures w14:val="standardContextual"/>
          </w:rPr>
          <w:tab/>
        </w:r>
        <w:r w:rsidR="00874E88" w:rsidRPr="007360DD">
          <w:rPr>
            <w:rStyle w:val="Lienhypertexte"/>
            <w:noProof/>
          </w:rPr>
          <w:t>Annexe : Exigences relatives au certificat de signature</w:t>
        </w:r>
        <w:r w:rsidR="00874E88">
          <w:rPr>
            <w:noProof/>
          </w:rPr>
          <w:tab/>
        </w:r>
        <w:r w:rsidR="00874E88">
          <w:rPr>
            <w:noProof/>
          </w:rPr>
          <w:fldChar w:fldCharType="begin"/>
        </w:r>
        <w:r w:rsidR="00874E88">
          <w:rPr>
            <w:noProof/>
          </w:rPr>
          <w:instrText xml:space="preserve"> PAGEREF _Toc207728939 \h </w:instrText>
        </w:r>
        <w:r w:rsidR="00874E88">
          <w:rPr>
            <w:noProof/>
          </w:rPr>
        </w:r>
        <w:r w:rsidR="00874E88">
          <w:rPr>
            <w:noProof/>
          </w:rPr>
          <w:fldChar w:fldCharType="separate"/>
        </w:r>
        <w:r w:rsidR="00874E88">
          <w:rPr>
            <w:noProof/>
          </w:rPr>
          <w:t>14</w:t>
        </w:r>
        <w:r w:rsidR="00874E88">
          <w:rPr>
            <w:noProof/>
          </w:rPr>
          <w:fldChar w:fldCharType="end"/>
        </w:r>
      </w:hyperlink>
    </w:p>
    <w:p w14:paraId="36DD154A" w14:textId="497F6EAF" w:rsidR="00191E0B" w:rsidRDefault="007A32A9">
      <w:r>
        <w:rPr>
          <w:b/>
          <w:kern w:val="3"/>
          <w:sz w:val="24"/>
        </w:rPr>
        <w:fldChar w:fldCharType="end"/>
      </w:r>
    </w:p>
    <w:p w14:paraId="5A869B89" w14:textId="77777777" w:rsidR="00191E0B" w:rsidRDefault="00191E0B"/>
    <w:p w14:paraId="7909C6EF" w14:textId="77777777" w:rsidR="00191E0B" w:rsidRDefault="00191E0B">
      <w:pPr>
        <w:pStyle w:val="RedaliaNormal"/>
      </w:pPr>
    </w:p>
    <w:p w14:paraId="0721BBCF" w14:textId="77777777" w:rsidR="00191E0B" w:rsidRDefault="00191E0B">
      <w:pPr>
        <w:pStyle w:val="RedaliaNormal"/>
      </w:pPr>
    </w:p>
    <w:p w14:paraId="342EA6C7" w14:textId="77777777" w:rsidR="00191E0B" w:rsidRDefault="00191E0B">
      <w:pPr>
        <w:pStyle w:val="RedaliaNormal"/>
      </w:pPr>
    </w:p>
    <w:p w14:paraId="1A2A342A" w14:textId="601FFDC8" w:rsidR="004E28C2" w:rsidRPr="004E28C2" w:rsidRDefault="004E28C2" w:rsidP="004E28C2">
      <w:pPr>
        <w:tabs>
          <w:tab w:val="left" w:pos="2080"/>
        </w:tabs>
      </w:pPr>
      <w:r>
        <w:tab/>
      </w:r>
    </w:p>
    <w:p w14:paraId="7CC0EB11" w14:textId="77777777" w:rsidR="00191E0B" w:rsidRDefault="007A32A9">
      <w:pPr>
        <w:pStyle w:val="RedaliaTitre1"/>
      </w:pPr>
      <w:bookmarkStart w:id="9" w:name="_Toc79067688"/>
      <w:bookmarkStart w:id="10" w:name="_Toc207728914"/>
      <w:bookmarkEnd w:id="9"/>
      <w:r>
        <w:lastRenderedPageBreak/>
        <w:t>Objet du marché</w:t>
      </w:r>
      <w:bookmarkEnd w:id="10"/>
    </w:p>
    <w:p w14:paraId="1006F605" w14:textId="7D8F174D" w:rsidR="00191E0B" w:rsidRDefault="007A32A9">
      <w:pPr>
        <w:pStyle w:val="RedaliaNormal"/>
      </w:pPr>
      <w:r>
        <w:t>La consultation a pour objet l’étude de faisabilité d’une ligne de crédit pour financer les industries de la mode, du design, du textile et de la musique au Nig</w:t>
      </w:r>
      <w:r w:rsidR="008C059A">
        <w:t>é</w:t>
      </w:r>
      <w:r>
        <w:t>ria</w:t>
      </w:r>
      <w:r w:rsidR="008C059A">
        <w:t>.</w:t>
      </w:r>
    </w:p>
    <w:p w14:paraId="7618E79E" w14:textId="77777777" w:rsidR="00191E0B" w:rsidRPr="008C059A" w:rsidRDefault="00191E0B">
      <w:pPr>
        <w:pStyle w:val="RedaliaNormal"/>
        <w:rPr>
          <w:sz w:val="8"/>
          <w:szCs w:val="8"/>
        </w:rPr>
      </w:pPr>
    </w:p>
    <w:p w14:paraId="347A9561" w14:textId="77777777" w:rsidR="00191E0B" w:rsidRDefault="007A32A9">
      <w:pPr>
        <w:pStyle w:val="RedaliaNormal"/>
      </w:pPr>
      <w:r>
        <w:t>Lieu d’exécution des prestations : Nigéria.</w:t>
      </w:r>
    </w:p>
    <w:p w14:paraId="5DC1832D" w14:textId="77777777" w:rsidR="00191E0B" w:rsidRDefault="007A32A9">
      <w:pPr>
        <w:pStyle w:val="RedaliaTitre2"/>
      </w:pPr>
      <w:bookmarkStart w:id="11" w:name="_Toc207728915"/>
      <w:r>
        <w:t>Forme du marché</w:t>
      </w:r>
      <w:bookmarkEnd w:id="11"/>
    </w:p>
    <w:p w14:paraId="63D2467D" w14:textId="77777777" w:rsidR="00191E0B" w:rsidRDefault="007A32A9">
      <w:pPr>
        <w:pStyle w:val="RedaliaNormal"/>
      </w:pPr>
      <w:r>
        <w:t>La consultation ne fait pas l'objet d'une décomposition en lots. Les prestations donneront lieu à un marché unique.</w:t>
      </w:r>
    </w:p>
    <w:p w14:paraId="14E70DE4" w14:textId="77777777" w:rsidR="00191E0B" w:rsidRDefault="007A32A9">
      <w:pPr>
        <w:pStyle w:val="RedaliaNormal"/>
      </w:pPr>
      <w:r>
        <w:t>Le présent marché ne fait pas non plus l'objet d'un fractionnement en tranches ou bons de commande.</w:t>
      </w:r>
    </w:p>
    <w:p w14:paraId="7F0CAD8E" w14:textId="77777777" w:rsidR="00191E0B" w:rsidRDefault="007A32A9">
      <w:pPr>
        <w:pStyle w:val="RedaliaTitre2"/>
      </w:pPr>
      <w:bookmarkStart w:id="12" w:name="_Toc79067692"/>
      <w:bookmarkStart w:id="13" w:name="_Toc207728916"/>
      <w:r>
        <w:t>Durée du marché – Reconduction – Délais d’exécution</w:t>
      </w:r>
      <w:bookmarkEnd w:id="12"/>
      <w:bookmarkEnd w:id="13"/>
    </w:p>
    <w:p w14:paraId="246B169A" w14:textId="77777777" w:rsidR="00191E0B" w:rsidRDefault="007A32A9">
      <w:pPr>
        <w:pStyle w:val="RedaliaNormal"/>
      </w:pPr>
      <w:r>
        <w:t>La durée du marché, les modalités de reconduction et les délais d’exécution figurent au Contrat.</w:t>
      </w:r>
    </w:p>
    <w:p w14:paraId="03954FCB" w14:textId="77777777" w:rsidR="008C059A" w:rsidRDefault="008C059A">
      <w:pPr>
        <w:pStyle w:val="RedaliaNormal"/>
      </w:pPr>
    </w:p>
    <w:p w14:paraId="0C4796A2" w14:textId="77777777" w:rsidR="00715110" w:rsidRDefault="00715110">
      <w:pPr>
        <w:pStyle w:val="RedaliaNormal"/>
      </w:pPr>
    </w:p>
    <w:p w14:paraId="3B4EC8B8" w14:textId="77777777" w:rsidR="00191E0B" w:rsidRDefault="007A32A9">
      <w:pPr>
        <w:pStyle w:val="RedaliaTitre1"/>
      </w:pPr>
      <w:bookmarkStart w:id="14" w:name="_Toc79067693"/>
      <w:bookmarkStart w:id="15" w:name="_Toc207728917"/>
      <w:r>
        <w:t>Organisation de la consultation</w:t>
      </w:r>
      <w:bookmarkEnd w:id="3"/>
      <w:bookmarkEnd w:id="14"/>
      <w:bookmarkEnd w:id="15"/>
    </w:p>
    <w:p w14:paraId="58770C37" w14:textId="77777777" w:rsidR="00191E0B" w:rsidRDefault="007A32A9">
      <w:pPr>
        <w:pStyle w:val="RedaliaTitre2"/>
      </w:pPr>
      <w:bookmarkStart w:id="16" w:name="_Toc526153319"/>
      <w:bookmarkStart w:id="17" w:name="_Toc79067694"/>
      <w:bookmarkStart w:id="18" w:name="_Toc207728918"/>
      <w:r>
        <w:t xml:space="preserve">Procédure de </w:t>
      </w:r>
      <w:bookmarkEnd w:id="16"/>
      <w:r>
        <w:t>passation</w:t>
      </w:r>
      <w:bookmarkEnd w:id="17"/>
      <w:bookmarkEnd w:id="18"/>
    </w:p>
    <w:p w14:paraId="6A1C7DDC" w14:textId="77777777" w:rsidR="00191E0B" w:rsidRDefault="007A32A9">
      <w:pPr>
        <w:pStyle w:val="RedaliaNormal"/>
      </w:pPr>
      <w:r>
        <w:t>La présente consultation est passée dans le respect des dispositions des articles R. 2123-1 et R. 2123-5 du Code de la commande publique selon une procédure adaptée ouverte avec négociation éventuelle, librement définie par le pouvoir adjudicateur.</w:t>
      </w:r>
    </w:p>
    <w:p w14:paraId="62153FA1" w14:textId="77777777" w:rsidR="00191E0B" w:rsidRDefault="00191E0B">
      <w:pPr>
        <w:pStyle w:val="RedaliaNormal"/>
      </w:pPr>
    </w:p>
    <w:p w14:paraId="6436F41B" w14:textId="77777777" w:rsidR="00191E0B" w:rsidRDefault="007A32A9">
      <w:pPr>
        <w:pStyle w:val="RedaliaNormal"/>
      </w:pPr>
      <w:r>
        <w:t>En cas de négociation, le pouvoir adjudicateur procèdera à l’analyse des offres des candidats sur la base des critères de sélection des offres et sélectionnera les 3 candidats avec lesquels il négociera.</w:t>
      </w:r>
    </w:p>
    <w:p w14:paraId="2B3F89E0" w14:textId="77777777" w:rsidR="00191E0B" w:rsidRDefault="00191E0B">
      <w:pPr>
        <w:pStyle w:val="RedaliaNormal"/>
      </w:pPr>
    </w:p>
    <w:p w14:paraId="3F991697" w14:textId="77777777" w:rsidR="00191E0B" w:rsidRDefault="007A32A9">
      <w:pPr>
        <w:pStyle w:val="RedaliaNormal"/>
      </w:pPr>
      <w:r>
        <w:t>Conformément à l’article R. 2144-3 du Code de la commande publique, la vérification de l’aptitude à exercer l’activité professionnelle, de la capacité économique et financière et des capacités techniques et professionnelles des candidats pourra être effectuée à tout moment de la procédure et au plus tard avant l’attribution du marché.</w:t>
      </w:r>
    </w:p>
    <w:p w14:paraId="6F046BE1" w14:textId="77777777" w:rsidR="00191E0B" w:rsidRDefault="00191E0B">
      <w:pPr>
        <w:pStyle w:val="RedaliaNormal"/>
        <w:rPr>
          <w:shd w:val="clear" w:color="auto" w:fill="FFFF00"/>
        </w:rPr>
      </w:pPr>
    </w:p>
    <w:p w14:paraId="17AB8C74" w14:textId="77777777" w:rsidR="00191E0B" w:rsidRDefault="007A32A9">
      <w:pPr>
        <w:pStyle w:val="RedaliaNormal"/>
      </w:pPr>
      <w:r>
        <w:t>À l’issue de ces négociations, il retiendra l’offre économiquement la plus avantageuse sur la base des critères de choix des offres définis dans le présent règlement de la consultation.</w:t>
      </w:r>
    </w:p>
    <w:p w14:paraId="2B37FF68" w14:textId="77777777" w:rsidR="00191E0B" w:rsidRDefault="007A32A9">
      <w:pPr>
        <w:pStyle w:val="RedaliaTitre2"/>
      </w:pPr>
      <w:bookmarkStart w:id="19" w:name="_Toc207728919"/>
      <w:r>
        <w:t>Justification en cas de non-allotissement</w:t>
      </w:r>
      <w:bookmarkEnd w:id="19"/>
    </w:p>
    <w:p w14:paraId="1E4DF447" w14:textId="77777777" w:rsidR="00191E0B" w:rsidRDefault="007A32A9">
      <w:pPr>
        <w:pStyle w:val="RedaliaNormal"/>
      </w:pPr>
      <w:r>
        <w:t>L’objet du contrat ne permet pas l'identification de prestations distinctes.</w:t>
      </w:r>
    </w:p>
    <w:p w14:paraId="2FA103D0" w14:textId="77777777" w:rsidR="00191E0B" w:rsidRDefault="007A32A9">
      <w:pPr>
        <w:pStyle w:val="RedaliaTitre2"/>
      </w:pPr>
      <w:bookmarkStart w:id="20" w:name="_Toc207728920"/>
      <w:r>
        <w:t>Dispositions relatives aux groupements</w:t>
      </w:r>
      <w:bookmarkEnd w:id="20"/>
    </w:p>
    <w:p w14:paraId="4F1C08FF" w14:textId="77777777" w:rsidR="00191E0B" w:rsidRDefault="007A32A9">
      <w:pPr>
        <w:pStyle w:val="RedaliaNormal"/>
      </w:pPr>
      <w:r>
        <w:t>Le marché pourra être attribué à une seule entreprise ou à un groupement d’entreprises.</w:t>
      </w:r>
    </w:p>
    <w:p w14:paraId="0191EE97" w14:textId="77777777" w:rsidR="00191E0B" w:rsidRDefault="00191E0B">
      <w:pPr>
        <w:pStyle w:val="RedaliaNormal"/>
      </w:pPr>
    </w:p>
    <w:p w14:paraId="567AC310" w14:textId="77777777" w:rsidR="00191E0B" w:rsidRDefault="007A32A9">
      <w:pPr>
        <w:pStyle w:val="RedaliaNormal"/>
      </w:pPr>
      <w:r>
        <w:t>Possibilité de présenter pour le marché plusieurs offres en agissant à la fois en qualité de candidats individuels et de membres d’un ou plusieurs groupements :</w:t>
      </w:r>
    </w:p>
    <w:p w14:paraId="3E9A1D19" w14:textId="77777777" w:rsidR="00191E0B" w:rsidRDefault="007A32A9">
      <w:pPr>
        <w:pStyle w:val="RedaliaRetrait2avecpuce"/>
      </w:pPr>
      <w:bookmarkStart w:id="21" w:name="_Hlk207378942"/>
      <w:r>
        <w:rPr>
          <w:rFonts w:ascii="Wingdings" w:eastAsia="Wingdings" w:hAnsi="Wingdings" w:cs="Wingdings"/>
          <w:szCs w:val="22"/>
        </w:rPr>
        <w:lastRenderedPageBreak/>
        <w:t></w:t>
      </w:r>
      <w:r>
        <w:t xml:space="preserve"> Oui</w:t>
      </w:r>
    </w:p>
    <w:p w14:paraId="395B16AF" w14:textId="77777777" w:rsidR="00191E0B" w:rsidRDefault="007A32A9">
      <w:pPr>
        <w:pStyle w:val="RedaliaRetrait2avecpuce"/>
      </w:pPr>
      <w:r>
        <w:rPr>
          <w:rFonts w:ascii="Wingdings" w:eastAsia="Wingdings" w:hAnsi="Wingdings" w:cs="Wingdings"/>
          <w:szCs w:val="22"/>
        </w:rPr>
        <w:t></w:t>
      </w:r>
      <w:r>
        <w:t xml:space="preserve"> Non</w:t>
      </w:r>
    </w:p>
    <w:bookmarkEnd w:id="21"/>
    <w:p w14:paraId="7681FFCD" w14:textId="77777777" w:rsidR="00191E0B" w:rsidRDefault="007A32A9">
      <w:pPr>
        <w:pStyle w:val="RedaliaNormal"/>
      </w:pPr>
      <w:r>
        <w:t>Ou en qualité de membres de plusieurs groupements :</w:t>
      </w:r>
    </w:p>
    <w:p w14:paraId="743F5F92" w14:textId="77777777" w:rsidR="00191E0B" w:rsidRDefault="007A32A9">
      <w:pPr>
        <w:pStyle w:val="RedaliaRetrait2avecpuce"/>
      </w:pPr>
      <w:bookmarkStart w:id="22" w:name="_Hlk207729088"/>
      <w:bookmarkStart w:id="23" w:name="_Toc79067695"/>
      <w:bookmarkEnd w:id="4"/>
      <w:bookmarkEnd w:id="5"/>
      <w:bookmarkEnd w:id="6"/>
      <w:r>
        <w:rPr>
          <w:rFonts w:ascii="Wingdings" w:eastAsia="Wingdings" w:hAnsi="Wingdings" w:cs="Wingdings"/>
          <w:szCs w:val="22"/>
        </w:rPr>
        <w:t></w:t>
      </w:r>
      <w:r>
        <w:t xml:space="preserve"> Oui</w:t>
      </w:r>
    </w:p>
    <w:p w14:paraId="3E4246DF" w14:textId="77777777" w:rsidR="00191E0B" w:rsidRDefault="007A32A9">
      <w:pPr>
        <w:pStyle w:val="RedaliaRetrait2avecpuce"/>
      </w:pPr>
      <w:r>
        <w:rPr>
          <w:rFonts w:ascii="Wingdings" w:eastAsia="Wingdings" w:hAnsi="Wingdings" w:cs="Wingdings"/>
          <w:szCs w:val="22"/>
        </w:rPr>
        <w:t></w:t>
      </w:r>
      <w:r>
        <w:t xml:space="preserve"> Non</w:t>
      </w:r>
    </w:p>
    <w:p w14:paraId="0FA5A2F8" w14:textId="77777777" w:rsidR="00191E0B" w:rsidRDefault="007A32A9">
      <w:pPr>
        <w:pStyle w:val="RedaliaTitre2"/>
      </w:pPr>
      <w:bookmarkStart w:id="24" w:name="_Toc207728921"/>
      <w:bookmarkEnd w:id="22"/>
      <w:r>
        <w:t>Variantes</w:t>
      </w:r>
      <w:bookmarkEnd w:id="7"/>
      <w:r>
        <w:t xml:space="preserve"> libres</w:t>
      </w:r>
      <w:bookmarkEnd w:id="23"/>
      <w:bookmarkEnd w:id="24"/>
    </w:p>
    <w:p w14:paraId="6069C248" w14:textId="77777777" w:rsidR="00191E0B" w:rsidRDefault="007A32A9">
      <w:pPr>
        <w:pStyle w:val="RedaliaNormal"/>
      </w:pPr>
      <w:r>
        <w:t>Les variantes libres ne sont pas autorisées.</w:t>
      </w:r>
    </w:p>
    <w:p w14:paraId="544F3B37" w14:textId="77777777" w:rsidR="00191E0B" w:rsidRDefault="007A32A9">
      <w:pPr>
        <w:pStyle w:val="RedaliaTitre2"/>
      </w:pPr>
      <w:bookmarkStart w:id="25" w:name="_Toc79067696"/>
      <w:bookmarkStart w:id="26" w:name="_Toc207728922"/>
      <w:r>
        <w:t>Variantes imposées</w:t>
      </w:r>
      <w:bookmarkEnd w:id="25"/>
      <w:bookmarkEnd w:id="26"/>
    </w:p>
    <w:p w14:paraId="7E9F9EDE" w14:textId="77777777" w:rsidR="00191E0B" w:rsidRDefault="007A32A9">
      <w:pPr>
        <w:pStyle w:val="RedaliaNormal"/>
      </w:pPr>
      <w:r>
        <w:t>Il n’est pas prévu de PSE.</w:t>
      </w:r>
    </w:p>
    <w:p w14:paraId="4C9EAE72" w14:textId="77777777" w:rsidR="00191E0B" w:rsidRDefault="007A32A9">
      <w:pPr>
        <w:pStyle w:val="RedaliaTitre2"/>
      </w:pPr>
      <w:bookmarkStart w:id="27" w:name="_Toc207728923"/>
      <w:r>
        <w:t>Modification du DCE</w:t>
      </w:r>
      <w:bookmarkEnd w:id="27"/>
    </w:p>
    <w:p w14:paraId="7E9738BB" w14:textId="77777777" w:rsidR="00191E0B" w:rsidRDefault="007A32A9">
      <w:pPr>
        <w:pStyle w:val="RedaliaNormal"/>
      </w:pPr>
      <w:r>
        <w:t xml:space="preserve">L'AFD se réserve le droit d'apporter au plus tard </w:t>
      </w:r>
      <w:r>
        <w:rPr>
          <w:b/>
          <w:bCs/>
        </w:rPr>
        <w:t>6 jours</w:t>
      </w:r>
      <w:r>
        <w:t xml:space="preserve"> avant la date limite fixée pour la remise des offres, des modifications de détail au DCE.</w:t>
      </w:r>
    </w:p>
    <w:p w14:paraId="0A685EAA" w14:textId="77777777" w:rsidR="00191E0B" w:rsidRDefault="007A32A9">
      <w:pPr>
        <w:pStyle w:val="RedaliaNormal"/>
      </w:pPr>
      <w:r>
        <w:t>Les soumissionnaires devront alors répondre sur la base du dossier modifié sans pouvoir élever aucune réclamation à ce sujet.</w:t>
      </w:r>
    </w:p>
    <w:p w14:paraId="610455A1" w14:textId="13B2D5F0" w:rsidR="00191E0B" w:rsidRDefault="007A32A9">
      <w:pPr>
        <w:pStyle w:val="RedaliaNormal"/>
      </w:pPr>
      <w:r>
        <w:t xml:space="preserve">Si pendant l'étude du dossier par les candidats la date limite </w:t>
      </w:r>
      <w:r w:rsidR="00A63A8D">
        <w:t>de remise des offres</w:t>
      </w:r>
      <w:r>
        <w:t xml:space="preserve"> est reportée, la disposition précédente est applicable en fonction de cette nouvelle date.</w:t>
      </w:r>
    </w:p>
    <w:p w14:paraId="7E55F254" w14:textId="77777777" w:rsidR="00191E0B" w:rsidRDefault="007A32A9">
      <w:pPr>
        <w:pStyle w:val="RedaliaTitre2"/>
      </w:pPr>
      <w:bookmarkStart w:id="28" w:name="_Toc79067697"/>
      <w:bookmarkStart w:id="29" w:name="_Toc207728924"/>
      <w:r>
        <w:t>Délai de validité des offres</w:t>
      </w:r>
      <w:bookmarkEnd w:id="8"/>
      <w:bookmarkEnd w:id="28"/>
      <w:bookmarkEnd w:id="29"/>
    </w:p>
    <w:p w14:paraId="423E6F7C" w14:textId="77777777" w:rsidR="00191E0B" w:rsidRDefault="007A32A9">
      <w:pPr>
        <w:pStyle w:val="RedaliaNormal"/>
      </w:pPr>
      <w:r>
        <w:t>Le délai de validité des offres est de 120 jours à compter de la date limite de remise de l’offre finale.</w:t>
      </w:r>
    </w:p>
    <w:p w14:paraId="7047C255" w14:textId="77777777" w:rsidR="00191E0B" w:rsidRDefault="007A32A9">
      <w:pPr>
        <w:pStyle w:val="RedaliaTitre1"/>
      </w:pPr>
      <w:bookmarkStart w:id="30" w:name="_Toc79067699"/>
      <w:bookmarkStart w:id="31" w:name="_Toc207728925"/>
      <w:r>
        <w:t>Contenu du dossier de consultation</w:t>
      </w:r>
      <w:bookmarkEnd w:id="30"/>
      <w:bookmarkEnd w:id="31"/>
    </w:p>
    <w:p w14:paraId="0BF7325D" w14:textId="77777777" w:rsidR="00191E0B" w:rsidRDefault="007A32A9">
      <w:pPr>
        <w:pStyle w:val="RedaliaNormal"/>
      </w:pPr>
      <w:r>
        <w:t>Le dossier de consultation comprend les pièces suivantes :</w:t>
      </w:r>
    </w:p>
    <w:p w14:paraId="2553DA73" w14:textId="77777777" w:rsidR="00191E0B" w:rsidRDefault="007A32A9">
      <w:pPr>
        <w:pStyle w:val="RedaliaRetraitavecpuce"/>
        <w:numPr>
          <w:ilvl w:val="0"/>
          <w:numId w:val="24"/>
        </w:numPr>
      </w:pPr>
      <w:r>
        <w:t>Le présent règlement de la consultation.</w:t>
      </w:r>
    </w:p>
    <w:p w14:paraId="1CF03E41" w14:textId="77777777" w:rsidR="00191E0B" w:rsidRPr="007C18E1" w:rsidRDefault="007A32A9">
      <w:pPr>
        <w:pStyle w:val="RedaliaRetraitavecpuce"/>
        <w:numPr>
          <w:ilvl w:val="0"/>
          <w:numId w:val="14"/>
        </w:numPr>
      </w:pPr>
      <w:r w:rsidRPr="007C18E1">
        <w:t>La fiche de Candidature</w:t>
      </w:r>
    </w:p>
    <w:p w14:paraId="4790FA3C" w14:textId="77777777" w:rsidR="00191E0B" w:rsidRDefault="007A32A9">
      <w:pPr>
        <w:pStyle w:val="RedaliaRetraitavecpuce"/>
        <w:numPr>
          <w:ilvl w:val="0"/>
          <w:numId w:val="14"/>
        </w:numPr>
      </w:pPr>
      <w:r>
        <w:t>Le Contrat Unique (CU) et ses annexes éventuelles</w:t>
      </w:r>
    </w:p>
    <w:p w14:paraId="1FDCB999" w14:textId="77777777" w:rsidR="00191E0B" w:rsidRDefault="007A32A9">
      <w:pPr>
        <w:pStyle w:val="RedaliaRetraitavecpuce"/>
        <w:numPr>
          <w:ilvl w:val="0"/>
          <w:numId w:val="14"/>
        </w:numPr>
      </w:pPr>
      <w:r>
        <w:t>Le cahier des clauses techn</w:t>
      </w:r>
      <w:r w:rsidRPr="007C18E1">
        <w:t>iques</w:t>
      </w:r>
      <w:r>
        <w:t xml:space="preserve"> particulières (C.C.T.P) et ses annexes éventuelles</w:t>
      </w:r>
    </w:p>
    <w:p w14:paraId="71C8E856" w14:textId="77777777" w:rsidR="00191E0B" w:rsidRDefault="007A32A9">
      <w:pPr>
        <w:pStyle w:val="RedaliaRetraitavecpuce"/>
        <w:numPr>
          <w:ilvl w:val="0"/>
          <w:numId w:val="14"/>
        </w:numPr>
      </w:pPr>
      <w:r>
        <w:t>La décomposition du prix global et forfaitaire (DPGF).</w:t>
      </w:r>
    </w:p>
    <w:p w14:paraId="43862F91" w14:textId="77777777" w:rsidR="00191E0B" w:rsidRDefault="007A32A9">
      <w:pPr>
        <w:pStyle w:val="RedaliaTitre1"/>
      </w:pPr>
      <w:bookmarkStart w:id="32" w:name="_Toc79067700"/>
      <w:bookmarkStart w:id="33" w:name="_Toc207728926"/>
      <w:r>
        <w:t>Retrait du dossier de consultation</w:t>
      </w:r>
      <w:bookmarkEnd w:id="32"/>
      <w:bookmarkEnd w:id="33"/>
    </w:p>
    <w:p w14:paraId="0DDB9F20" w14:textId="77777777" w:rsidR="00191E0B" w:rsidRDefault="007A32A9">
      <w:pPr>
        <w:pStyle w:val="RedaliaNormal"/>
      </w:pPr>
      <w:r>
        <w:t>Le pouvoir adjudicateur informe les candidats que le dossier de consultation est dématérialisé.</w:t>
      </w:r>
    </w:p>
    <w:p w14:paraId="3D74531C" w14:textId="77777777" w:rsidR="00191E0B" w:rsidRDefault="007A32A9">
      <w:pPr>
        <w:pStyle w:val="RedaliaNormal"/>
      </w:pPr>
      <w:r>
        <w:t>Le Dossier de Consultation des Entreprises (DCE) peut être consulté et téléchargé gratuitement à l’adresse suivante :</w:t>
      </w:r>
    </w:p>
    <w:p w14:paraId="32A533C3" w14:textId="77777777" w:rsidR="00191E0B" w:rsidRDefault="007A32A9">
      <w:pPr>
        <w:pStyle w:val="RedaliaNormal"/>
        <w:jc w:val="center"/>
      </w:pPr>
      <w:r>
        <w:t>https://www.marches-publics.gouv.fr/.</w:t>
      </w:r>
    </w:p>
    <w:p w14:paraId="06BF8A79" w14:textId="77777777" w:rsidR="00191E0B" w:rsidRDefault="00191E0B">
      <w:pPr>
        <w:pStyle w:val="RedaliaNormal"/>
      </w:pPr>
    </w:p>
    <w:p w14:paraId="7D2FF422" w14:textId="77777777" w:rsidR="00191E0B" w:rsidRDefault="007A32A9">
      <w:pPr>
        <w:pStyle w:val="RedaliaNormal"/>
      </w:pPr>
      <w:r>
        <w:t>Afin de pouvoir décompresser et lire les documents mis à disposition par le pouvoir adjudicateur, les opérateurs économiques devront disposer des logiciels permettant de lire les formats suivants :</w:t>
      </w:r>
    </w:p>
    <w:p w14:paraId="33B5B4B0" w14:textId="77777777" w:rsidR="00191E0B" w:rsidRDefault="007A32A9">
      <w:pPr>
        <w:pStyle w:val="RedaliaRetraitavecpuce"/>
        <w:numPr>
          <w:ilvl w:val="0"/>
          <w:numId w:val="14"/>
        </w:numPr>
      </w:pPr>
      <w:r>
        <w:t xml:space="preserve">Fichiers compressés au standard *.zip (lisibles par </w:t>
      </w:r>
      <w:proofErr w:type="spellStart"/>
      <w:r>
        <w:t>Winzip</w:t>
      </w:r>
      <w:proofErr w:type="spellEnd"/>
      <w:r>
        <w:t xml:space="preserve">, </w:t>
      </w:r>
      <w:proofErr w:type="spellStart"/>
      <w:r>
        <w:t>Quickzip</w:t>
      </w:r>
      <w:proofErr w:type="spellEnd"/>
      <w:r>
        <w:t>) ;</w:t>
      </w:r>
    </w:p>
    <w:p w14:paraId="5CE192FC" w14:textId="77777777" w:rsidR="00191E0B" w:rsidRDefault="007A32A9">
      <w:pPr>
        <w:pStyle w:val="RedaliaRetraitavecpuce"/>
        <w:numPr>
          <w:ilvl w:val="0"/>
          <w:numId w:val="14"/>
        </w:numPr>
      </w:pPr>
      <w:r>
        <w:t>Adobe® Acrobat® *.</w:t>
      </w:r>
      <w:proofErr w:type="spellStart"/>
      <w:r>
        <w:t>pdf</w:t>
      </w:r>
      <w:proofErr w:type="spellEnd"/>
      <w:r>
        <w:t xml:space="preserve"> (lisibles par le logiciel Adobe Reader) ;</w:t>
      </w:r>
    </w:p>
    <w:p w14:paraId="54D0BF96" w14:textId="77777777" w:rsidR="00191E0B" w:rsidRDefault="007A32A9">
      <w:pPr>
        <w:pStyle w:val="RedaliaRetraitavecpuce"/>
        <w:numPr>
          <w:ilvl w:val="0"/>
          <w:numId w:val="14"/>
        </w:numPr>
      </w:pPr>
      <w:r>
        <w:lastRenderedPageBreak/>
        <w:t>*.doc ou *.</w:t>
      </w:r>
      <w:proofErr w:type="spellStart"/>
      <w:r>
        <w:t>xls</w:t>
      </w:r>
      <w:proofErr w:type="spellEnd"/>
      <w:r>
        <w:t xml:space="preserve"> version 2000-2003 (lisibles par Microsoft Office ou OpenOffice) ;</w:t>
      </w:r>
    </w:p>
    <w:p w14:paraId="6752C8DD" w14:textId="77777777" w:rsidR="00191E0B" w:rsidRDefault="007A32A9">
      <w:pPr>
        <w:pStyle w:val="RedaliaRetraitavecpuce"/>
        <w:numPr>
          <w:ilvl w:val="0"/>
          <w:numId w:val="14"/>
        </w:numPr>
      </w:pPr>
      <w:r>
        <w:t xml:space="preserve">Rich </w:t>
      </w:r>
      <w:proofErr w:type="spellStart"/>
      <w:r>
        <w:t>Text</w:t>
      </w:r>
      <w:proofErr w:type="spellEnd"/>
      <w:r>
        <w:t xml:space="preserve"> Format *.</w:t>
      </w:r>
      <w:proofErr w:type="spellStart"/>
      <w:r>
        <w:t>rtf</w:t>
      </w:r>
      <w:proofErr w:type="spellEnd"/>
      <w:r>
        <w:t> ;</w:t>
      </w:r>
    </w:p>
    <w:p w14:paraId="6DF0AB49" w14:textId="77777777" w:rsidR="00191E0B" w:rsidRDefault="007A32A9">
      <w:pPr>
        <w:pStyle w:val="RedaliaRetraitavecpuce"/>
        <w:numPr>
          <w:ilvl w:val="0"/>
          <w:numId w:val="14"/>
        </w:numPr>
      </w:pPr>
      <w:r>
        <w:t xml:space="preserve">Le cas échéant, le format DWF (lisibles par les logiciels </w:t>
      </w:r>
      <w:proofErr w:type="spellStart"/>
      <w:r>
        <w:t>Autocad</w:t>
      </w:r>
      <w:proofErr w:type="spellEnd"/>
      <w:r>
        <w:t xml:space="preserve">, ou des visionneuses telles que Autodesk DWF </w:t>
      </w:r>
      <w:proofErr w:type="spellStart"/>
      <w:r>
        <w:t>viewer</w:t>
      </w:r>
      <w:proofErr w:type="spellEnd"/>
      <w:r>
        <w:t>…).</w:t>
      </w:r>
    </w:p>
    <w:p w14:paraId="44E80A07" w14:textId="77777777" w:rsidR="00191E0B" w:rsidRDefault="00191E0B">
      <w:pPr>
        <w:pStyle w:val="RedaliaNormal"/>
      </w:pPr>
    </w:p>
    <w:p w14:paraId="14D587C9" w14:textId="77777777" w:rsidR="00191E0B" w:rsidRDefault="007A32A9">
      <w:pPr>
        <w:pStyle w:val="RedaliaNormal"/>
      </w:pPr>
      <w:r>
        <w:t>Lors du téléchargement du dossier de consultation, il est recommandé à l’entreprise de créer un compte sur la plateforme de dématérialisation où il renseignera notamment le nom de l’organisme soumissionnaire, et une adresse électronique afin de la tenir informée des modifications éventuelles intervenant en cours d’une procédure (ajout d’une pièce au DCE, envoi d’une liste de réponses aux questions reçues...).</w:t>
      </w:r>
    </w:p>
    <w:p w14:paraId="5EC6EA4E" w14:textId="77777777" w:rsidR="00191E0B" w:rsidRDefault="007A32A9">
      <w:pPr>
        <w:pStyle w:val="RedaliaNormal"/>
      </w:pPr>
      <w:r>
        <w:t>Le candidat est informé que seul l’exemplaire du dossier de consultation détenu par le pouvoir adjudicateur fait foi.</w:t>
      </w:r>
    </w:p>
    <w:p w14:paraId="1017ACB2" w14:textId="77777777" w:rsidR="00191E0B" w:rsidRDefault="007A32A9">
      <w:pPr>
        <w:pStyle w:val="RedaliaTitre1"/>
      </w:pPr>
      <w:bookmarkStart w:id="34" w:name="_Toc79067701"/>
      <w:bookmarkStart w:id="35" w:name="_Toc207728927"/>
      <w:r>
        <w:t>Présentation des candidatures et des offres</w:t>
      </w:r>
      <w:bookmarkEnd w:id="34"/>
      <w:bookmarkEnd w:id="35"/>
    </w:p>
    <w:p w14:paraId="7748F3E4" w14:textId="77777777" w:rsidR="00191E0B" w:rsidRDefault="007A32A9">
      <w:pPr>
        <w:pStyle w:val="RedaliaNormal"/>
      </w:pPr>
      <w:r w:rsidRPr="00A3250B">
        <w:rPr>
          <w:b/>
          <w:bCs/>
          <w:u w:val="single"/>
        </w:rPr>
        <w:t>Les candidats auront à produire</w:t>
      </w:r>
      <w:r w:rsidRPr="00A3250B">
        <w:rPr>
          <w:b/>
          <w:bCs/>
        </w:rPr>
        <w:t xml:space="preserve"> les pièces ci-dessous définies rédigées en langue française</w:t>
      </w:r>
      <w:r w:rsidRPr="00A3250B">
        <w:t>.</w:t>
      </w:r>
    </w:p>
    <w:p w14:paraId="44C159C1" w14:textId="77777777" w:rsidR="00191E0B" w:rsidRDefault="007A32A9">
      <w:pPr>
        <w:pStyle w:val="RedaliaTitre2"/>
      </w:pPr>
      <w:bookmarkStart w:id="36" w:name="_Toc207728928"/>
      <w:r>
        <w:t>Éléments nécessaires à la sélection des candidatures :</w:t>
      </w:r>
      <w:bookmarkEnd w:id="36"/>
    </w:p>
    <w:p w14:paraId="489D188E" w14:textId="77777777" w:rsidR="00191E0B" w:rsidRDefault="007A32A9">
      <w:pPr>
        <w:pStyle w:val="RedaliaNormal"/>
      </w:pPr>
      <w:r>
        <w:t>Chaque candidat devra produire le formulaire de candidature joint en annexe du présent document, auquel seront joint les documents suivants :</w:t>
      </w:r>
    </w:p>
    <w:p w14:paraId="4DC3D873" w14:textId="77777777" w:rsidR="00191E0B" w:rsidRDefault="007A32A9">
      <w:pPr>
        <w:pStyle w:val="RedaliaNormal"/>
      </w:pPr>
      <w:r>
        <w:t>- Déclaration sur l'honneur justifiant que le candidat n'entre dans aucun des cas mentionnés aux articles L. 2141-1 à L. 2141-5 ou aux articles L. 2141-7 à L. 2141-10 du Code de la commande publique (document en annexe)</w:t>
      </w:r>
    </w:p>
    <w:p w14:paraId="6D539DF3" w14:textId="77777777" w:rsidR="00191E0B" w:rsidRDefault="007A32A9">
      <w:pPr>
        <w:pStyle w:val="RedaliaNormal"/>
      </w:pPr>
      <w:r>
        <w:t>- Le cas échéant, le(s) document(s) relatif(s) aux pouvoirs de la personne habilitée à engager l'entreprise</w:t>
      </w:r>
    </w:p>
    <w:p w14:paraId="3BDF5BE1" w14:textId="77777777" w:rsidR="00191E0B" w:rsidRDefault="007A32A9">
      <w:pPr>
        <w:pStyle w:val="RedaliaNormal"/>
      </w:pPr>
      <w:r>
        <w:t>- En cas de groupement, le document d'habilitation du mandataire signé par les membres du groupement</w:t>
      </w:r>
    </w:p>
    <w:p w14:paraId="02D49019" w14:textId="77777777" w:rsidR="00191E0B" w:rsidRDefault="007A32A9">
      <w:pPr>
        <w:pStyle w:val="RedaliaNormal"/>
      </w:pPr>
      <w:r>
        <w:t>- En cas de sous-traitance, la déclaration de sous-traitance (modèle joint au Contrat Unique)</w:t>
      </w:r>
    </w:p>
    <w:p w14:paraId="2FA8BBE4" w14:textId="77777777" w:rsidR="00191E0B" w:rsidRDefault="00191E0B">
      <w:pPr>
        <w:pStyle w:val="RedaliaNormal"/>
      </w:pPr>
    </w:p>
    <w:p w14:paraId="773CE521" w14:textId="77777777" w:rsidR="00191E0B" w:rsidRDefault="007A32A9">
      <w:pPr>
        <w:pStyle w:val="RedaliaNormal"/>
      </w:pPr>
      <w:r>
        <w:t>Le candidat pourra prouver sa capacité par tout autre document considéré comme équivalent par le pouvoir adjudicateur s’il est objectivement dans l’impossibilité de produire l’un des renseignements demandés relatifs à sa capacité financière.</w:t>
      </w:r>
    </w:p>
    <w:p w14:paraId="762F28E2" w14:textId="77777777" w:rsidR="00191E0B" w:rsidRDefault="007A32A9">
      <w:pPr>
        <w:pStyle w:val="RedaliaNormal"/>
      </w:pPr>
      <w:r>
        <w:t>Si, pour justifier de ses capacités, le candidat souhaite faire prévaloir les capacités professionnelles, techniques et financières d’un autre intervenant quel qu’il soit (sous-traitant notamment), il devra produire les pièces relatives à cet intervenant visées au présent article ci-dessus. Il devra également justifier qu’il disposera des capacités de cet intervenant pour l’exécution du marché par un engagement écrit de l’intervenant.</w:t>
      </w:r>
    </w:p>
    <w:p w14:paraId="0A4056B9" w14:textId="77777777" w:rsidR="00191E0B" w:rsidRDefault="00191E0B">
      <w:pPr>
        <w:pStyle w:val="RedaliaNormal"/>
      </w:pPr>
    </w:p>
    <w:p w14:paraId="614BAAFB" w14:textId="77777777" w:rsidR="00191E0B" w:rsidRDefault="007A32A9">
      <w:pPr>
        <w:pStyle w:val="RedaliaNormal"/>
      </w:pPr>
      <w:r>
        <w:t>En vertu de l’article R. 2143-16 du Code de la commande publique, dans le cadre de leur candidature, il est exigé que les candidats joignent une traduction en français aux éléments rédigés dans une autre langue.</w:t>
      </w:r>
    </w:p>
    <w:p w14:paraId="2EEB4CBB" w14:textId="77777777" w:rsidR="00191E0B" w:rsidRDefault="00191E0B">
      <w:pPr>
        <w:pStyle w:val="RedaliaNormal"/>
      </w:pPr>
    </w:p>
    <w:p w14:paraId="13EB6AD8" w14:textId="77777777" w:rsidR="00191E0B" w:rsidRDefault="007A32A9">
      <w:pPr>
        <w:pStyle w:val="RedaliaNormal"/>
      </w:pPr>
      <w:r>
        <w:t>Il est porté à l’attention des candidats que, conformément aux dispositions de l’article R. 2143-13 du Code de la commande publique, ils ne sont pas tenus de fournir les documents justificatifs et moyens de preuve que l’acheteur peut obtenir directement par le biais :</w:t>
      </w:r>
    </w:p>
    <w:p w14:paraId="496E89D4" w14:textId="77777777" w:rsidR="00191E0B" w:rsidRDefault="007A32A9">
      <w:pPr>
        <w:pStyle w:val="RedaliaNormal"/>
      </w:pPr>
      <w:r>
        <w:t>- D'un système électronique de mise à disposition d'informations administré par un organisme officiel à condition que l'accès à celui-ci soit gratuit et, le cas échéant, que figurent dans le dossier de candidature toutes les informations nécessaires à sa consultation ;</w:t>
      </w:r>
    </w:p>
    <w:p w14:paraId="30AA6E0C" w14:textId="77777777" w:rsidR="00191E0B" w:rsidRDefault="007A32A9">
      <w:pPr>
        <w:pStyle w:val="RedaliaNormal"/>
      </w:pPr>
      <w:r>
        <w:t xml:space="preserve">- D'un espace de stockage numérique, à condition que figurent dans le dossier de candidature toutes les </w:t>
      </w:r>
      <w:r>
        <w:lastRenderedPageBreak/>
        <w:t>informations nécessaires à sa consultation et que l'accès à ceux-ci soit gratuit.</w:t>
      </w:r>
    </w:p>
    <w:p w14:paraId="154C88A5" w14:textId="77777777" w:rsidR="00191E0B" w:rsidRDefault="00191E0B">
      <w:pPr>
        <w:pStyle w:val="RedaliaNormal"/>
      </w:pPr>
    </w:p>
    <w:p w14:paraId="3422E3F4" w14:textId="77777777" w:rsidR="00191E0B" w:rsidRDefault="007A32A9">
      <w:pPr>
        <w:pStyle w:val="RedaliaNormal"/>
      </w:pPr>
      <w:r>
        <w:t>De plus, conformément aux dispositions de l’article R. 2143-14 du Code de la commande publique, les candidats ne sont pas tenus de fournir au pouvoir adjudicateur les documents justificatifs et moyens de preuve qui ont déjà été transmis lors d'une précédente consultation et qui demeurent valables.</w:t>
      </w:r>
    </w:p>
    <w:p w14:paraId="398FE274" w14:textId="77777777" w:rsidR="00191E0B" w:rsidRDefault="00191E0B">
      <w:pPr>
        <w:pStyle w:val="RedaliaNormal"/>
      </w:pPr>
    </w:p>
    <w:p w14:paraId="5FEF5BAC" w14:textId="77777777" w:rsidR="00191E0B" w:rsidRDefault="007A32A9">
      <w:pPr>
        <w:pStyle w:val="RedaliaNormal"/>
      </w:pPr>
      <w:r>
        <w:t>Enfin, selon les dispositions de l’article R. 2143-4 du Code de la commande publique, le pouvoir adjudicateur accepte que les candidats présentent leur candidature sous la forme d’un document unique de marché européen (DUME) établi conformément au modèle fixé par le règlement de la Commission européenne établissant le formulaire type pour le document unique de marché européen, en lieu et place de la déclaration sur l'honneur et des renseignements mentionnés à l'article R. 2143-3.</w:t>
      </w:r>
    </w:p>
    <w:p w14:paraId="7C9CC606" w14:textId="77777777" w:rsidR="00191E0B" w:rsidRDefault="007A32A9">
      <w:pPr>
        <w:pStyle w:val="RedaliaNormal"/>
      </w:pPr>
      <w:r>
        <w:t xml:space="preserve">Les candidats peuvent constituer ou réutiliser un DUME dans sa version électronique via l’une des url suivantes : </w:t>
      </w:r>
      <w:hyperlink r:id="rId9" w:history="1">
        <w:r>
          <w:rPr>
            <w:rStyle w:val="Lienhypertexte"/>
          </w:rPr>
          <w:t>https://ec.europa.eu/tools/espd/</w:t>
        </w:r>
      </w:hyperlink>
      <w:r>
        <w:t xml:space="preserve"> OU </w:t>
      </w:r>
      <w:hyperlink r:id="rId10" w:history="1">
        <w:r>
          <w:rPr>
            <w:rStyle w:val="Lienhypertexte"/>
          </w:rPr>
          <w:t>https://dume.chorus-pro.gouv.fr/</w:t>
        </w:r>
      </w:hyperlink>
    </w:p>
    <w:p w14:paraId="2565CDA4" w14:textId="77777777" w:rsidR="00191E0B" w:rsidRDefault="007A32A9">
      <w:pPr>
        <w:pStyle w:val="RedaliaNormal"/>
      </w:pPr>
      <w:r>
        <w:t>Il est précisé que le pouvoir adjudicateur n’autorise pas les candidats à se limiter à indiquer dans le document unique de marché européen qu’ils disposent de l’aptitude et des capacités requises sans fournir d’informations particulières sur celles-ci.</w:t>
      </w:r>
    </w:p>
    <w:p w14:paraId="4D8ED0FD" w14:textId="77777777" w:rsidR="00191E0B" w:rsidRDefault="007A32A9">
      <w:pPr>
        <w:pStyle w:val="RedaliaTitre2"/>
      </w:pPr>
      <w:bookmarkStart w:id="37" w:name="_Toc207728929"/>
      <w:r>
        <w:t>Éléments nécessaires au choix de l’offre</w:t>
      </w:r>
      <w:bookmarkEnd w:id="37"/>
    </w:p>
    <w:p w14:paraId="7AF44D87" w14:textId="77777777" w:rsidR="00191E0B" w:rsidRDefault="007A32A9">
      <w:pPr>
        <w:pStyle w:val="RedaliaNormal"/>
      </w:pPr>
      <w:r>
        <w:t>Pour le choix de l'offre, les candidats doivent produire les documents suivants :</w:t>
      </w:r>
    </w:p>
    <w:p w14:paraId="094F2929" w14:textId="6B4114F7" w:rsidR="00191E0B" w:rsidRDefault="007A32A9">
      <w:pPr>
        <w:pStyle w:val="Redaliapuces"/>
        <w:numPr>
          <w:ilvl w:val="0"/>
          <w:numId w:val="25"/>
        </w:numPr>
      </w:pPr>
      <w:r>
        <w:t xml:space="preserve">Un </w:t>
      </w:r>
      <w:r>
        <w:rPr>
          <w:b/>
          <w:bCs/>
        </w:rPr>
        <w:t>Contrat Unique</w:t>
      </w:r>
      <w:r>
        <w:t xml:space="preserve"> (</w:t>
      </w:r>
      <w:proofErr w:type="gramStart"/>
      <w:r>
        <w:t>CU)  (</w:t>
      </w:r>
      <w:proofErr w:type="gramEnd"/>
      <w:r>
        <w:t>ci-joint à compléter, à dater et à signer électroniquement)</w:t>
      </w:r>
    </w:p>
    <w:p w14:paraId="3CEAB9C6" w14:textId="77777777" w:rsidR="00191E0B" w:rsidRDefault="007A32A9">
      <w:pPr>
        <w:pStyle w:val="RedaliaNormal"/>
        <w:rPr>
          <w:u w:val="single"/>
        </w:rPr>
      </w:pPr>
      <w:r>
        <w:rPr>
          <w:u w:val="single"/>
        </w:rPr>
        <w:t>Information relative à l’utilisation de la signature électronique :</w:t>
      </w:r>
    </w:p>
    <w:p w14:paraId="13E5BD65" w14:textId="77777777" w:rsidR="00191E0B" w:rsidRDefault="007A32A9">
      <w:pPr>
        <w:pStyle w:val="RedaliaNormal"/>
      </w:pPr>
      <w:r>
        <w:t>Il est demandé aux soumissionnaires de ne pas utiliser une signature électronique bloquant l’ajout d’une autre signature électronique.</w:t>
      </w:r>
    </w:p>
    <w:p w14:paraId="6F9F84B6" w14:textId="77777777" w:rsidR="00191E0B" w:rsidRPr="004F623A" w:rsidRDefault="00191E0B">
      <w:pPr>
        <w:pStyle w:val="RedaliaNormal"/>
        <w:rPr>
          <w:sz w:val="8"/>
          <w:szCs w:val="8"/>
        </w:rPr>
      </w:pPr>
    </w:p>
    <w:p w14:paraId="2A363862" w14:textId="7D1DC15E" w:rsidR="007A2070" w:rsidRDefault="007A32A9">
      <w:pPr>
        <w:pStyle w:val="RedaliaNormal"/>
      </w:pPr>
      <w:r>
        <w:t>Le candidat précisera également la nature et le montant des prestations qu’il envisage de sous-traiter ainsi que la liste des sous-traitants qu'il se propose de présenter à l'agrément et à l'acceptation du pouvoir adjudicateur.</w:t>
      </w:r>
    </w:p>
    <w:p w14:paraId="13DD3D9A" w14:textId="77777777" w:rsidR="007A2070" w:rsidRPr="007A2070" w:rsidRDefault="007A2070" w:rsidP="007A2070">
      <w:pPr>
        <w:pStyle w:val="RedaliaNormal"/>
        <w:rPr>
          <w:b/>
          <w:bCs/>
          <w:sz w:val="10"/>
          <w:szCs w:val="8"/>
          <w:u w:val="single"/>
        </w:rPr>
      </w:pPr>
    </w:p>
    <w:p w14:paraId="170B74AA" w14:textId="34E6C340" w:rsidR="007A2070" w:rsidRPr="007A2070" w:rsidRDefault="007A2070" w:rsidP="007A2070">
      <w:pPr>
        <w:pStyle w:val="RedaliaNormal"/>
        <w:rPr>
          <w:b/>
          <w:bCs/>
          <w:u w:val="single"/>
        </w:rPr>
      </w:pPr>
      <w:r w:rsidRPr="007A2070">
        <w:rPr>
          <w:b/>
          <w:bCs/>
          <w:u w:val="single"/>
        </w:rPr>
        <w:t xml:space="preserve">Les candidats souhaitant compléter la version anglaise du contrat unique devront obligatoirement compléter la version française du contrat unique. En cas de contradiction entre les deux documents, </w:t>
      </w:r>
      <w:proofErr w:type="gramStart"/>
      <w:r w:rsidRPr="007A2070">
        <w:rPr>
          <w:b/>
          <w:bCs/>
          <w:u w:val="single"/>
        </w:rPr>
        <w:t>la  version</w:t>
      </w:r>
      <w:proofErr w:type="gramEnd"/>
      <w:r w:rsidRPr="007A2070">
        <w:rPr>
          <w:b/>
          <w:bCs/>
          <w:u w:val="single"/>
        </w:rPr>
        <w:t xml:space="preserve"> française prévaut.</w:t>
      </w:r>
    </w:p>
    <w:p w14:paraId="2C50F28B" w14:textId="77777777" w:rsidR="007A2070" w:rsidRPr="006600DD" w:rsidRDefault="007A2070">
      <w:pPr>
        <w:pStyle w:val="RedaliaNormal"/>
        <w:rPr>
          <w:sz w:val="8"/>
          <w:szCs w:val="8"/>
        </w:rPr>
      </w:pPr>
    </w:p>
    <w:p w14:paraId="5361C08B" w14:textId="77777777" w:rsidR="00191E0B" w:rsidRDefault="00191E0B">
      <w:pPr>
        <w:pStyle w:val="RedaliaNormal"/>
        <w:rPr>
          <w:sz w:val="10"/>
          <w:szCs w:val="8"/>
        </w:rPr>
      </w:pPr>
    </w:p>
    <w:p w14:paraId="68247E71" w14:textId="121BD3C1" w:rsidR="00191E0B" w:rsidRDefault="007A32A9">
      <w:pPr>
        <w:pStyle w:val="Redaliapuces"/>
        <w:numPr>
          <w:ilvl w:val="0"/>
          <w:numId w:val="13"/>
        </w:numPr>
      </w:pPr>
      <w:r>
        <w:t xml:space="preserve">La </w:t>
      </w:r>
      <w:r>
        <w:rPr>
          <w:b/>
          <w:bCs/>
        </w:rPr>
        <w:t>décomposition du prix global forfaitaire</w:t>
      </w:r>
      <w:r w:rsidR="004F623A">
        <w:rPr>
          <w:b/>
          <w:bCs/>
        </w:rPr>
        <w:t xml:space="preserve"> (DPGF)</w:t>
      </w:r>
      <w:r>
        <w:t>.</w:t>
      </w:r>
    </w:p>
    <w:p w14:paraId="5B13AF1C" w14:textId="77777777" w:rsidR="00191E0B" w:rsidRDefault="007A32A9">
      <w:pPr>
        <w:pStyle w:val="Redaliapuces"/>
        <w:numPr>
          <w:ilvl w:val="0"/>
          <w:numId w:val="13"/>
        </w:numPr>
      </w:pPr>
      <w:r>
        <w:t xml:space="preserve">Une </w:t>
      </w:r>
      <w:r>
        <w:rPr>
          <w:b/>
          <w:bCs/>
        </w:rPr>
        <w:t>note méthodologique</w:t>
      </w:r>
      <w:r>
        <w:t xml:space="preserve"> ou un </w:t>
      </w:r>
      <w:r>
        <w:rPr>
          <w:b/>
          <w:bCs/>
        </w:rPr>
        <w:t>mémoire technique</w:t>
      </w:r>
      <w:r>
        <w:t xml:space="preserve"> rédigé sur la base du canevas présenté dans l’annexe « Cadre de réponse imposé » au présent Règlement de la Consultation.</w:t>
      </w:r>
    </w:p>
    <w:p w14:paraId="5DFD8727" w14:textId="32A87F24" w:rsidR="007C18E1" w:rsidRPr="007C18E1" w:rsidRDefault="007C18E1" w:rsidP="007C18E1">
      <w:pPr>
        <w:pStyle w:val="Redaliapuces"/>
        <w:numPr>
          <w:ilvl w:val="0"/>
          <w:numId w:val="0"/>
        </w:numPr>
        <w:rPr>
          <w:b/>
          <w:bCs/>
          <w:u w:val="single"/>
        </w:rPr>
      </w:pPr>
      <w:r w:rsidRPr="007C18E1">
        <w:rPr>
          <w:b/>
          <w:bCs/>
          <w:u w:val="single"/>
        </w:rPr>
        <w:t xml:space="preserve">Il est </w:t>
      </w:r>
      <w:proofErr w:type="spellStart"/>
      <w:r w:rsidRPr="007C18E1">
        <w:rPr>
          <w:b/>
          <w:bCs/>
          <w:u w:val="single"/>
        </w:rPr>
        <w:t>precisé</w:t>
      </w:r>
      <w:proofErr w:type="spellEnd"/>
      <w:r w:rsidRPr="007C18E1">
        <w:rPr>
          <w:b/>
          <w:bCs/>
          <w:u w:val="single"/>
        </w:rPr>
        <w:t xml:space="preserve"> aux candidats qu’ils devront présenter cette note méthodologique ou </w:t>
      </w:r>
      <w:r w:rsidR="0091157E">
        <w:rPr>
          <w:b/>
          <w:bCs/>
          <w:u w:val="single"/>
        </w:rPr>
        <w:t xml:space="preserve">ce </w:t>
      </w:r>
      <w:r w:rsidRPr="007C18E1">
        <w:rPr>
          <w:b/>
          <w:bCs/>
          <w:u w:val="single"/>
        </w:rPr>
        <w:t xml:space="preserve">mémoire </w:t>
      </w:r>
      <w:r w:rsidR="006B5479" w:rsidRPr="007C18E1">
        <w:rPr>
          <w:b/>
          <w:bCs/>
          <w:u w:val="single"/>
        </w:rPr>
        <w:t>technique en</w:t>
      </w:r>
      <w:r w:rsidRPr="007C18E1">
        <w:rPr>
          <w:b/>
          <w:bCs/>
          <w:u w:val="single"/>
        </w:rPr>
        <w:t xml:space="preserve"> </w:t>
      </w:r>
      <w:r>
        <w:rPr>
          <w:b/>
          <w:bCs/>
          <w:u w:val="single"/>
        </w:rPr>
        <w:t xml:space="preserve">langue </w:t>
      </w:r>
      <w:r w:rsidRPr="007C18E1">
        <w:rPr>
          <w:b/>
          <w:bCs/>
          <w:u w:val="single"/>
        </w:rPr>
        <w:t>anglais</w:t>
      </w:r>
      <w:r>
        <w:rPr>
          <w:b/>
          <w:bCs/>
          <w:u w:val="single"/>
        </w:rPr>
        <w:t>e</w:t>
      </w:r>
      <w:r w:rsidRPr="007C18E1">
        <w:rPr>
          <w:b/>
          <w:bCs/>
          <w:u w:val="single"/>
        </w:rPr>
        <w:t>.</w:t>
      </w:r>
    </w:p>
    <w:p w14:paraId="1D319AE4" w14:textId="77777777" w:rsidR="00191E0B" w:rsidRDefault="00191E0B">
      <w:pPr>
        <w:pStyle w:val="RedaliaNormal"/>
      </w:pPr>
    </w:p>
    <w:p w14:paraId="130FEEE1" w14:textId="77777777" w:rsidR="00191E0B" w:rsidRDefault="007A32A9">
      <w:pPr>
        <w:pStyle w:val="RedaliaNormal"/>
      </w:pPr>
      <w:r>
        <w:t>Les documents remis par le pouvoir adjudicateur à l’exception de :</w:t>
      </w:r>
    </w:p>
    <w:p w14:paraId="654BDD3E" w14:textId="77777777" w:rsidR="00191E0B" w:rsidRDefault="007A32A9">
      <w:pPr>
        <w:pStyle w:val="RedaliaNormal"/>
      </w:pPr>
      <w:r>
        <w:t>- Ceux listés ci-dessus ainsi que leurs annexes</w:t>
      </w:r>
    </w:p>
    <w:p w14:paraId="2A737382" w14:textId="77777777" w:rsidR="00191E0B" w:rsidRDefault="007A32A9">
      <w:pPr>
        <w:pStyle w:val="RedaliaNormal"/>
      </w:pPr>
      <w:r>
        <w:t>- Le Contrat dûment complété par le soumissionnaire</w:t>
      </w:r>
    </w:p>
    <w:p w14:paraId="2A230FDB" w14:textId="77777777" w:rsidR="00191E0B" w:rsidRDefault="007A32A9">
      <w:pPr>
        <w:pStyle w:val="RedaliaNormal"/>
      </w:pPr>
      <w:r>
        <w:t>Ne sont pas à remettre dans l’offre.</w:t>
      </w:r>
    </w:p>
    <w:p w14:paraId="1E23FEEE" w14:textId="77777777" w:rsidR="00191E0B" w:rsidRDefault="007A32A9">
      <w:pPr>
        <w:pStyle w:val="RedaliaNormal"/>
      </w:pPr>
      <w:r>
        <w:t>Seuls les documents détenus par le Pouvoir Adjudicateur font foi. Y compris le Contrat si des modifications – autres que celles exigées pour son remplissage - ont été apportés par le soumissionnaire.</w:t>
      </w:r>
    </w:p>
    <w:p w14:paraId="65F7B70B" w14:textId="77777777" w:rsidR="00191E0B" w:rsidRDefault="00191E0B">
      <w:pPr>
        <w:pStyle w:val="RedaliaNormal"/>
      </w:pPr>
    </w:p>
    <w:p w14:paraId="6B35FEE1" w14:textId="77777777" w:rsidR="00191E0B" w:rsidRDefault="007A32A9">
      <w:pPr>
        <w:pStyle w:val="RedaliaNormal"/>
      </w:pPr>
      <w:r>
        <w:lastRenderedPageBreak/>
        <w:t>Il est rappelé aux candidats que la signature du Contrat vaut acceptation de toutes les pièces contractuelles.</w:t>
      </w:r>
    </w:p>
    <w:p w14:paraId="001771FC" w14:textId="77777777" w:rsidR="0091157E" w:rsidRDefault="0091157E">
      <w:pPr>
        <w:pStyle w:val="RedaliaNormal"/>
      </w:pPr>
    </w:p>
    <w:p w14:paraId="6DE4CDCD" w14:textId="5A1ECF1F" w:rsidR="007C18E1" w:rsidRPr="000F3902" w:rsidRDefault="0091157E">
      <w:pPr>
        <w:pStyle w:val="RedaliaNormal"/>
        <w:rPr>
          <w:b/>
          <w:bCs/>
          <w:u w:val="single"/>
        </w:rPr>
      </w:pPr>
      <w:bookmarkStart w:id="38" w:name="_Hlk208826646"/>
      <w:r w:rsidRPr="000F3902">
        <w:rPr>
          <w:b/>
          <w:bCs/>
          <w:u w:val="single"/>
        </w:rPr>
        <w:t>Les candidats souhaitant compléter l</w:t>
      </w:r>
      <w:r w:rsidR="000F3902" w:rsidRPr="000F3902">
        <w:rPr>
          <w:b/>
          <w:bCs/>
          <w:u w:val="single"/>
        </w:rPr>
        <w:t>a version anglaise du</w:t>
      </w:r>
      <w:r w:rsidRPr="000F3902">
        <w:rPr>
          <w:b/>
          <w:bCs/>
          <w:u w:val="single"/>
        </w:rPr>
        <w:t xml:space="preserve"> contrat unique </w:t>
      </w:r>
      <w:r w:rsidR="000F3902" w:rsidRPr="000F3902">
        <w:rPr>
          <w:b/>
          <w:bCs/>
          <w:u w:val="single"/>
        </w:rPr>
        <w:t xml:space="preserve">devront obligatoirement compléter la version française du contrat unique. En cas de contradiction entre les deux documents, </w:t>
      </w:r>
      <w:proofErr w:type="gramStart"/>
      <w:r w:rsidR="000F3902" w:rsidRPr="000F3902">
        <w:rPr>
          <w:b/>
          <w:bCs/>
          <w:u w:val="single"/>
        </w:rPr>
        <w:t>la  version</w:t>
      </w:r>
      <w:proofErr w:type="gramEnd"/>
      <w:r w:rsidR="000F3902" w:rsidRPr="000F3902">
        <w:rPr>
          <w:b/>
          <w:bCs/>
          <w:u w:val="single"/>
        </w:rPr>
        <w:t xml:space="preserve"> française prévaut.</w:t>
      </w:r>
    </w:p>
    <w:p w14:paraId="117FEE6F" w14:textId="77777777" w:rsidR="00191E0B" w:rsidRDefault="007A32A9">
      <w:pPr>
        <w:pStyle w:val="RedaliaTitre1"/>
      </w:pPr>
      <w:bookmarkStart w:id="39" w:name="_Toc79067702"/>
      <w:bookmarkStart w:id="40" w:name="_Toc207728930"/>
      <w:bookmarkEnd w:id="39"/>
      <w:bookmarkEnd w:id="38"/>
      <w:r>
        <w:t>Jugement des candidatures, des offres et attribution du marché</w:t>
      </w:r>
      <w:bookmarkEnd w:id="40"/>
    </w:p>
    <w:p w14:paraId="73EAD2FD" w14:textId="77777777" w:rsidR="00191E0B" w:rsidRDefault="007A32A9">
      <w:pPr>
        <w:pStyle w:val="RedaliaTitre2"/>
      </w:pPr>
      <w:bookmarkStart w:id="41" w:name="_Toc170898457"/>
      <w:bookmarkStart w:id="42" w:name="_Toc207728931"/>
      <w:r>
        <w:t>Sélection des candidatures</w:t>
      </w:r>
      <w:bookmarkEnd w:id="41"/>
      <w:bookmarkEnd w:id="42"/>
    </w:p>
    <w:p w14:paraId="12AD3CBB" w14:textId="77777777" w:rsidR="00191E0B" w:rsidRDefault="007A32A9">
      <w:pPr>
        <w:rPr>
          <w:b/>
        </w:rPr>
      </w:pPr>
      <w:r>
        <w:t>Les critères relatifs à la candidature et intervenant pour la sélection sont les</w:t>
      </w:r>
      <w:r>
        <w:rPr>
          <w:b/>
        </w:rPr>
        <w:t xml:space="preserve"> capacités techniques, financières et professionnelles.</w:t>
      </w:r>
    </w:p>
    <w:p w14:paraId="5050FA6A" w14:textId="77777777" w:rsidR="000F3902" w:rsidRDefault="000F3902"/>
    <w:p w14:paraId="1AFF9F7D" w14:textId="77777777" w:rsidR="00191E0B" w:rsidRDefault="007A32A9">
      <w:pPr>
        <w:pStyle w:val="RedaliaTitre2"/>
      </w:pPr>
      <w:bookmarkStart w:id="43" w:name="_Toc207728932"/>
      <w:bookmarkStart w:id="44" w:name="_Toc1708984571"/>
      <w:r>
        <w:t>Jugement des candidatures</w:t>
      </w:r>
      <w:bookmarkEnd w:id="43"/>
    </w:p>
    <w:p w14:paraId="5B9631CF" w14:textId="77777777" w:rsidR="00191E0B" w:rsidRDefault="007A32A9">
      <w:pPr>
        <w:pStyle w:val="RedaliaNormal"/>
      </w:pPr>
      <w:bookmarkStart w:id="45" w:name="_Hlk207620188"/>
      <w:r>
        <w:t>L'AFD se réserve la possibilité d’analyser les offres avant les candidatures. Dans ce cas elle peut limiter l’examen des pièces de candidature au seul candidat auquel elle envisage d’attribuer le marché.</w:t>
      </w:r>
    </w:p>
    <w:bookmarkEnd w:id="45"/>
    <w:p w14:paraId="2C01C344" w14:textId="77777777" w:rsidR="00191E0B" w:rsidRDefault="00191E0B">
      <w:pPr>
        <w:pStyle w:val="RedaliaNormal"/>
      </w:pPr>
    </w:p>
    <w:p w14:paraId="5AACE536" w14:textId="77777777" w:rsidR="00191E0B" w:rsidRDefault="007A32A9">
      <w:pPr>
        <w:pStyle w:val="RedaliaNormal"/>
      </w:pPr>
      <w:r>
        <w:t>Les critères intervenant pour la recevabilité des candidatures sont :</w:t>
      </w:r>
    </w:p>
    <w:p w14:paraId="35E23CD5" w14:textId="77777777" w:rsidR="00191E0B" w:rsidRDefault="007A32A9">
      <w:pPr>
        <w:pStyle w:val="Redaliapuces"/>
        <w:numPr>
          <w:ilvl w:val="0"/>
          <w:numId w:val="13"/>
        </w:numPr>
      </w:pPr>
      <w:r>
        <w:t>Garanties et capacités techniques et financières</w:t>
      </w:r>
    </w:p>
    <w:p w14:paraId="434486A7" w14:textId="77777777" w:rsidR="00191E0B" w:rsidRDefault="007A32A9">
      <w:pPr>
        <w:pStyle w:val="Redaliapuces"/>
        <w:numPr>
          <w:ilvl w:val="0"/>
          <w:numId w:val="13"/>
        </w:numPr>
      </w:pPr>
      <w:r>
        <w:t>Capacités professionnelles </w:t>
      </w:r>
    </w:p>
    <w:p w14:paraId="36EE9540" w14:textId="77777777" w:rsidR="00191E0B" w:rsidRDefault="00191E0B">
      <w:pPr>
        <w:pStyle w:val="RedaliaNormal"/>
      </w:pPr>
    </w:p>
    <w:p w14:paraId="79E09742" w14:textId="77777777" w:rsidR="00191E0B" w:rsidRDefault="007A32A9">
      <w:pPr>
        <w:pStyle w:val="RedaliaNormal"/>
      </w:pPr>
      <w:r>
        <w:t>Dans les conditions suivantes :</w:t>
      </w:r>
    </w:p>
    <w:p w14:paraId="3817A51B" w14:textId="77777777" w:rsidR="00191E0B" w:rsidRDefault="00191E0B">
      <w:pPr>
        <w:pStyle w:val="RedaliaNormal"/>
      </w:pPr>
    </w:p>
    <w:tbl>
      <w:tblPr>
        <w:tblW w:w="9180" w:type="dxa"/>
        <w:tblLayout w:type="fixed"/>
        <w:tblCellMar>
          <w:left w:w="10" w:type="dxa"/>
          <w:right w:w="10" w:type="dxa"/>
        </w:tblCellMar>
        <w:tblLook w:val="0000" w:firstRow="0" w:lastRow="0" w:firstColumn="0" w:lastColumn="0" w:noHBand="0" w:noVBand="0"/>
      </w:tblPr>
      <w:tblGrid>
        <w:gridCol w:w="9180"/>
      </w:tblGrid>
      <w:tr w:rsidR="00191E0B" w14:paraId="0A3B8BEA" w14:textId="77777777">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C676" w14:textId="77777777" w:rsidR="00191E0B" w:rsidRDefault="007A32A9">
            <w:pPr>
              <w:pStyle w:val="RedaliaNormal"/>
              <w:rPr>
                <w:rFonts w:cs="Calibri"/>
              </w:rPr>
            </w:pPr>
            <w:r>
              <w:rPr>
                <w:rFonts w:cs="Calibri"/>
              </w:rPr>
              <w:t>Le prestataire devra disposer d’au moins deux salariés permanents</w:t>
            </w:r>
          </w:p>
        </w:tc>
      </w:tr>
      <w:tr w:rsidR="00191E0B" w14:paraId="471030C9" w14:textId="77777777">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34AFA" w14:textId="77777777" w:rsidR="00191E0B" w:rsidRDefault="007A32A9">
            <w:pPr>
              <w:pStyle w:val="RedaliaNormal"/>
              <w:rPr>
                <w:rFonts w:cs="Calibri"/>
              </w:rPr>
            </w:pPr>
            <w:r>
              <w:rPr>
                <w:rFonts w:cs="Calibri"/>
              </w:rPr>
              <w:t>Le prestataire devra présenter au moins 3 références de prestations en zone à risque sécuritaire similaire, à savoir une zone [orange / rouge] selon la classification du MAEE</w:t>
            </w:r>
          </w:p>
        </w:tc>
      </w:tr>
    </w:tbl>
    <w:p w14:paraId="532C724C" w14:textId="77777777" w:rsidR="00191E0B" w:rsidRDefault="00191E0B">
      <w:pPr>
        <w:pStyle w:val="RedaliaNormal"/>
      </w:pPr>
    </w:p>
    <w:p w14:paraId="6B29C14C" w14:textId="77777777" w:rsidR="00191E0B" w:rsidRDefault="007A32A9">
      <w:pPr>
        <w:pStyle w:val="RedaliaNormal"/>
      </w:pPr>
      <w:r>
        <w:t>Sont déclarées comme irrecevables les candidatures ne présentant pas des garanties financières, techniques et professionnelles suffisantes au regard de l’objet de la prestation.</w:t>
      </w:r>
    </w:p>
    <w:p w14:paraId="6277445A" w14:textId="77777777" w:rsidR="000F3902" w:rsidRDefault="000F3902">
      <w:pPr>
        <w:pStyle w:val="RedaliaNormal"/>
      </w:pPr>
    </w:p>
    <w:p w14:paraId="733B82FE" w14:textId="77777777" w:rsidR="000F3902" w:rsidRDefault="000F3902">
      <w:pPr>
        <w:pStyle w:val="RedaliaNormal"/>
      </w:pPr>
    </w:p>
    <w:p w14:paraId="7B72FAE6" w14:textId="77777777" w:rsidR="000F3902" w:rsidRDefault="000F3902">
      <w:pPr>
        <w:pStyle w:val="RedaliaNormal"/>
      </w:pPr>
    </w:p>
    <w:p w14:paraId="63B3215A" w14:textId="77777777" w:rsidR="000F3902" w:rsidRDefault="000F3902">
      <w:pPr>
        <w:pStyle w:val="RedaliaNormal"/>
      </w:pPr>
    </w:p>
    <w:p w14:paraId="4DD26476" w14:textId="77777777" w:rsidR="000F3902" w:rsidRDefault="000F3902">
      <w:pPr>
        <w:pStyle w:val="RedaliaNormal"/>
      </w:pPr>
    </w:p>
    <w:p w14:paraId="4A65C81C" w14:textId="77777777" w:rsidR="000F3902" w:rsidRDefault="000F3902">
      <w:pPr>
        <w:pStyle w:val="RedaliaNormal"/>
      </w:pPr>
    </w:p>
    <w:p w14:paraId="78F34E83" w14:textId="77777777" w:rsidR="000F3902" w:rsidRDefault="000F3902">
      <w:pPr>
        <w:pStyle w:val="RedaliaNormal"/>
      </w:pPr>
    </w:p>
    <w:p w14:paraId="3A016B06" w14:textId="77777777" w:rsidR="000F3902" w:rsidRDefault="000F3902">
      <w:pPr>
        <w:pStyle w:val="RedaliaNormal"/>
      </w:pPr>
    </w:p>
    <w:p w14:paraId="4417724D" w14:textId="77777777" w:rsidR="000F3902" w:rsidRDefault="000F3902">
      <w:pPr>
        <w:pStyle w:val="RedaliaNormal"/>
      </w:pPr>
    </w:p>
    <w:p w14:paraId="5545AF85" w14:textId="77777777" w:rsidR="000F3902" w:rsidRDefault="000F3902">
      <w:pPr>
        <w:pStyle w:val="RedaliaNormal"/>
      </w:pPr>
    </w:p>
    <w:p w14:paraId="1F168D43" w14:textId="77777777" w:rsidR="000F3902" w:rsidRDefault="000F3902">
      <w:pPr>
        <w:pStyle w:val="RedaliaNormal"/>
      </w:pPr>
    </w:p>
    <w:p w14:paraId="3AA2593B" w14:textId="77777777" w:rsidR="000F3902" w:rsidRDefault="000F3902">
      <w:pPr>
        <w:pStyle w:val="RedaliaNormal"/>
      </w:pPr>
    </w:p>
    <w:p w14:paraId="0BE6B921" w14:textId="77777777" w:rsidR="000F3902" w:rsidRDefault="000F3902">
      <w:pPr>
        <w:pStyle w:val="RedaliaNormal"/>
      </w:pPr>
    </w:p>
    <w:p w14:paraId="4328083D" w14:textId="77777777" w:rsidR="000F3902" w:rsidRDefault="000F3902">
      <w:pPr>
        <w:pStyle w:val="RedaliaNormal"/>
      </w:pPr>
    </w:p>
    <w:p w14:paraId="02CBBC30" w14:textId="77777777" w:rsidR="000F3902" w:rsidRDefault="000F3902">
      <w:pPr>
        <w:pStyle w:val="RedaliaNormal"/>
      </w:pPr>
    </w:p>
    <w:p w14:paraId="12CA900B" w14:textId="77777777" w:rsidR="000F3902" w:rsidRDefault="000F3902">
      <w:pPr>
        <w:pStyle w:val="RedaliaNormal"/>
      </w:pPr>
    </w:p>
    <w:p w14:paraId="15703203" w14:textId="77777777" w:rsidR="000F3902" w:rsidRDefault="000F3902">
      <w:pPr>
        <w:pStyle w:val="RedaliaNormal"/>
      </w:pPr>
    </w:p>
    <w:p w14:paraId="492667D7" w14:textId="77777777" w:rsidR="000F3902" w:rsidRDefault="000F3902">
      <w:pPr>
        <w:pStyle w:val="RedaliaNormal"/>
      </w:pPr>
    </w:p>
    <w:p w14:paraId="611E9E8F" w14:textId="77777777" w:rsidR="000F3902" w:rsidRDefault="000F3902">
      <w:pPr>
        <w:pStyle w:val="RedaliaNormal"/>
      </w:pPr>
    </w:p>
    <w:p w14:paraId="3BE96BD5" w14:textId="77777777" w:rsidR="00191E0B" w:rsidRDefault="007A32A9">
      <w:pPr>
        <w:pStyle w:val="RedaliaTitre2"/>
      </w:pPr>
      <w:bookmarkStart w:id="46" w:name="_Toc207728933"/>
      <w:r>
        <w:t>Jugement des offres</w:t>
      </w:r>
      <w:bookmarkEnd w:id="44"/>
      <w:bookmarkEnd w:id="46"/>
    </w:p>
    <w:p w14:paraId="04DAA186" w14:textId="77777777" w:rsidR="00191E0B" w:rsidRDefault="007A32A9">
      <w:pPr>
        <w:pStyle w:val="RedaliaNormal"/>
        <w:tabs>
          <w:tab w:val="left" w:pos="1980"/>
        </w:tabs>
      </w:pPr>
      <w:r>
        <w:t xml:space="preserve">Les critères intervenant pour le jugement des offres sont pondérés de la manière suivante :  </w:t>
      </w:r>
    </w:p>
    <w:p w14:paraId="52734EAC" w14:textId="77777777" w:rsidR="00191E0B" w:rsidRDefault="00191E0B">
      <w:pPr>
        <w:pStyle w:val="RedaliaNormal"/>
        <w:tabs>
          <w:tab w:val="left" w:pos="1980"/>
        </w:tabs>
      </w:pPr>
    </w:p>
    <w:tbl>
      <w:tblPr>
        <w:tblW w:w="8500" w:type="dxa"/>
        <w:tblLayout w:type="fixed"/>
        <w:tblCellMar>
          <w:left w:w="10" w:type="dxa"/>
          <w:right w:w="10" w:type="dxa"/>
        </w:tblCellMar>
        <w:tblLook w:val="0000" w:firstRow="0" w:lastRow="0" w:firstColumn="0" w:lastColumn="0" w:noHBand="0" w:noVBand="0"/>
      </w:tblPr>
      <w:tblGrid>
        <w:gridCol w:w="6345"/>
        <w:gridCol w:w="2155"/>
      </w:tblGrid>
      <w:tr w:rsidR="00191E0B" w14:paraId="03489F23" w14:textId="77777777">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F0C8" w14:textId="77777777" w:rsidR="00191E0B" w:rsidRDefault="007A32A9">
            <w:pPr>
              <w:pStyle w:val="RedaliaNormal"/>
            </w:pPr>
            <w:r>
              <w:rPr>
                <w:b/>
                <w:bCs/>
              </w:rPr>
              <w:t>Critère prix</w:t>
            </w:r>
            <w:r>
              <w:t> :</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E965" w14:textId="77777777" w:rsidR="00191E0B" w:rsidRDefault="007A32A9">
            <w:pPr>
              <w:pStyle w:val="RedaliaNormal"/>
              <w:rPr>
                <w:b/>
                <w:bCs/>
              </w:rPr>
            </w:pPr>
            <w:r>
              <w:rPr>
                <w:b/>
                <w:bCs/>
              </w:rPr>
              <w:t>Pondéré sur 10%</w:t>
            </w:r>
          </w:p>
        </w:tc>
      </w:tr>
      <w:tr w:rsidR="00191E0B" w14:paraId="4D03E1E0" w14:textId="77777777">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B438" w14:textId="77777777" w:rsidR="00191E0B" w:rsidRDefault="007A32A9">
            <w:pPr>
              <w:pStyle w:val="RedaliaNormal"/>
            </w:pPr>
            <w:r>
              <w:rPr>
                <w:b/>
                <w:bCs/>
              </w:rPr>
              <w:t>Prix des prestations</w:t>
            </w:r>
            <w:r>
              <w:t> :</w:t>
            </w:r>
          </w:p>
          <w:p w14:paraId="6CC78C27" w14:textId="77777777" w:rsidR="00191E0B" w:rsidRDefault="007A32A9">
            <w:pPr>
              <w:pStyle w:val="RedaliaNormal"/>
            </w:pPr>
            <w:r>
              <w:t xml:space="preserve">Définition et appréciation du critère : La note maximale (NM) sera attribuée au candidat ayant remis l'offre financière la moins </w:t>
            </w:r>
            <w:proofErr w:type="spellStart"/>
            <w:r>
              <w:t>disante</w:t>
            </w:r>
            <w:proofErr w:type="spellEnd"/>
            <w:r>
              <w:t>. Les autres candidats se verront appliquer une note calculée sur la base de la formule suivante :</w:t>
            </w:r>
          </w:p>
          <w:p w14:paraId="3E58B3C5" w14:textId="77777777" w:rsidR="00191E0B" w:rsidRDefault="007A32A9">
            <w:pPr>
              <w:pStyle w:val="RedaliaNormal"/>
              <w:rPr>
                <w:lang w:val="en-US"/>
              </w:rPr>
            </w:pPr>
            <w:r>
              <w:rPr>
                <w:lang w:val="en-US"/>
              </w:rPr>
              <w:t>N = NM x (OMD/OAN)</w:t>
            </w:r>
          </w:p>
          <w:p w14:paraId="6BF5734A" w14:textId="77777777" w:rsidR="00191E0B" w:rsidRDefault="007A32A9">
            <w:pPr>
              <w:pStyle w:val="RedaliaNormal"/>
            </w:pPr>
            <w:proofErr w:type="gramStart"/>
            <w:r>
              <w:t>où</w:t>
            </w:r>
            <w:proofErr w:type="gramEnd"/>
            <w:r>
              <w:t xml:space="preserve"> N est la note du candidat, OMD le montant de l'offre la moins </w:t>
            </w:r>
            <w:proofErr w:type="spellStart"/>
            <w:r>
              <w:t>disante</w:t>
            </w:r>
            <w:proofErr w:type="spellEnd"/>
            <w:r>
              <w:t>, OAN le montant de l'offre à noter.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DF36" w14:textId="77777777" w:rsidR="00191E0B" w:rsidRDefault="007A32A9">
            <w:pPr>
              <w:pStyle w:val="RedaliaNormal"/>
            </w:pPr>
            <w:r>
              <w:t>100 points</w:t>
            </w:r>
          </w:p>
        </w:tc>
      </w:tr>
      <w:tr w:rsidR="00191E0B" w14:paraId="34BDB79A" w14:textId="77777777">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1E40" w14:textId="77777777" w:rsidR="00191E0B" w:rsidRDefault="007A32A9">
            <w:pPr>
              <w:pStyle w:val="RedaliaNormal"/>
              <w:rPr>
                <w:b/>
                <w:bCs/>
              </w:rPr>
            </w:pPr>
            <w:r>
              <w:rPr>
                <w:b/>
                <w:bCs/>
              </w:rPr>
              <w:t xml:space="preserve">Critère technique </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E48DB" w14:textId="77777777" w:rsidR="00191E0B" w:rsidRDefault="007A32A9">
            <w:pPr>
              <w:pStyle w:val="RedaliaNormal"/>
              <w:rPr>
                <w:b/>
                <w:bCs/>
              </w:rPr>
            </w:pPr>
            <w:r>
              <w:rPr>
                <w:b/>
                <w:bCs/>
              </w:rPr>
              <w:t>Pondéré sur 85 %</w:t>
            </w:r>
          </w:p>
        </w:tc>
      </w:tr>
      <w:tr w:rsidR="00191E0B" w14:paraId="4739F69C" w14:textId="77777777">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27E8" w14:textId="7BC356D1" w:rsidR="00160BC2" w:rsidRPr="00160BC2" w:rsidRDefault="007A32A9">
            <w:pPr>
              <w:pStyle w:val="RedaliaNormal"/>
              <w:rPr>
                <w:b/>
                <w:bCs/>
              </w:rPr>
            </w:pPr>
            <w:r>
              <w:rPr>
                <w:b/>
                <w:bCs/>
              </w:rPr>
              <w:t xml:space="preserve">      Sous-critère 1</w:t>
            </w:r>
            <w:r>
              <w:t xml:space="preserve"> – </w:t>
            </w:r>
            <w:r w:rsidR="00160BC2" w:rsidRPr="00160BC2">
              <w:rPr>
                <w:b/>
                <w:bCs/>
              </w:rPr>
              <w:t>Pertinence de l’expérience</w:t>
            </w:r>
          </w:p>
          <w:p w14:paraId="6D3951B4" w14:textId="35AA7EAB" w:rsidR="00191E0B" w:rsidRDefault="007A32A9">
            <w:pPr>
              <w:pStyle w:val="RedaliaNormal"/>
            </w:pPr>
            <w:r>
              <w:t>Expérience des soumissionnaires dans la livraison de missions similaires (conception de lignes de crédit, financement du secteur CCI, expérience au Nigeria et géographies similaires)</w:t>
            </w:r>
          </w:p>
          <w:p w14:paraId="4B006086" w14:textId="77777777" w:rsidR="00191E0B" w:rsidRDefault="007A32A9">
            <w:pPr>
              <w:pStyle w:val="RedaliaNormal"/>
            </w:pPr>
            <w:r>
              <w:rPr>
                <w:b/>
                <w:bCs/>
              </w:rPr>
              <w:t xml:space="preserve">      Sous-critère 2</w:t>
            </w:r>
            <w:r>
              <w:t xml:space="preserve"> – </w:t>
            </w:r>
            <w:r>
              <w:rPr>
                <w:b/>
                <w:bCs/>
              </w:rPr>
              <w:t>Qualité de la méthodologie</w:t>
            </w:r>
          </w:p>
          <w:p w14:paraId="6883D184" w14:textId="77777777" w:rsidR="00191E0B" w:rsidRDefault="007A32A9">
            <w:pPr>
              <w:pStyle w:val="RedaliaNormal"/>
            </w:pPr>
            <w:r>
              <w:rPr>
                <w:rFonts w:ascii="Century Gothic" w:eastAsia="Calibri" w:hAnsi="Century Gothic" w:cs="Times New Roman"/>
                <w:sz w:val="20"/>
              </w:rPr>
              <w:t>L’</w:t>
            </w:r>
            <w:r>
              <w:t>approche technique et la méthodologie sont claires et complètes, tandis que tous les services pertinents, y compris comment étendre l’étude au-delà de Lagos, les activités, les risques et les hypothèses sont décrits</w:t>
            </w:r>
          </w:p>
          <w:p w14:paraId="240990D1" w14:textId="77777777" w:rsidR="00191E0B" w:rsidRDefault="007A32A9">
            <w:pPr>
              <w:pStyle w:val="RedaliaNormal"/>
            </w:pPr>
            <w:r>
              <w:rPr>
                <w:b/>
                <w:bCs/>
              </w:rPr>
              <w:t xml:space="preserve">      Sous-critère 3</w:t>
            </w:r>
            <w:r>
              <w:t xml:space="preserve"> – </w:t>
            </w:r>
            <w:r>
              <w:rPr>
                <w:b/>
                <w:bCs/>
              </w:rPr>
              <w:t>Pertinence du plan de travail</w:t>
            </w:r>
          </w:p>
          <w:p w14:paraId="1E056FEE" w14:textId="77777777" w:rsidR="00191E0B" w:rsidRDefault="007A32A9">
            <w:pPr>
              <w:pStyle w:val="RedaliaNormal"/>
            </w:pPr>
            <w:r>
              <w:t>Le plan de travail est détaillé, réaliste et conforme aux termes de référence et à la méthodologie proposée</w:t>
            </w:r>
          </w:p>
          <w:p w14:paraId="51A3B44F" w14:textId="77777777" w:rsidR="00191E0B" w:rsidRDefault="007A32A9">
            <w:pPr>
              <w:pStyle w:val="RedaliaNormal"/>
            </w:pPr>
            <w:r>
              <w:rPr>
                <w:b/>
                <w:bCs/>
              </w:rPr>
              <w:t xml:space="preserve">     Sous-critère 4</w:t>
            </w:r>
            <w:r>
              <w:t xml:space="preserve"> – </w:t>
            </w:r>
            <w:r>
              <w:rPr>
                <w:b/>
                <w:bCs/>
              </w:rPr>
              <w:t>Qualité de l’organisation</w:t>
            </w:r>
          </w:p>
          <w:p w14:paraId="1049130B" w14:textId="77777777" w:rsidR="00191E0B" w:rsidRDefault="007A32A9">
            <w:pPr>
              <w:pStyle w:val="RedaliaNormal"/>
            </w:pPr>
            <w:r>
              <w:t>Organisation des ressources (nombre d’experts, jours de travail par expert, complémentarité des experts, allocation de jours pour le travail sur le terrain)</w:t>
            </w:r>
          </w:p>
          <w:p w14:paraId="5E6C4664" w14:textId="77777777" w:rsidR="00191E0B" w:rsidRDefault="007A32A9">
            <w:pPr>
              <w:pStyle w:val="RedaliaNormal"/>
            </w:pPr>
            <w:r>
              <w:rPr>
                <w:b/>
                <w:bCs/>
              </w:rPr>
              <w:t xml:space="preserve">    Sous-critère 5</w:t>
            </w:r>
            <w:r>
              <w:t xml:space="preserve"> – </w:t>
            </w:r>
            <w:r>
              <w:rPr>
                <w:b/>
                <w:bCs/>
              </w:rPr>
              <w:t>Qualité des profils</w:t>
            </w:r>
          </w:p>
          <w:p w14:paraId="7AD54969" w14:textId="77777777" w:rsidR="00191E0B" w:rsidRDefault="007A32A9">
            <w:pPr>
              <w:pStyle w:val="RedaliaNormal"/>
            </w:pPr>
            <w:r>
              <w:t>Experts clés (qualifications générales, adéquation pour les services comme indiqué à la section 4, expérience pertinente dans la région)</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E2E3D" w14:textId="77777777" w:rsidR="00191E0B" w:rsidRDefault="00191E0B">
            <w:pPr>
              <w:pStyle w:val="RedaliaNormal"/>
            </w:pPr>
          </w:p>
          <w:p w14:paraId="14F0C5FC" w14:textId="77777777" w:rsidR="00191E0B" w:rsidRDefault="007A32A9">
            <w:pPr>
              <w:pStyle w:val="RedaliaNormal"/>
            </w:pPr>
            <w:r>
              <w:t xml:space="preserve"> 10 points</w:t>
            </w:r>
          </w:p>
          <w:p w14:paraId="73E816A1" w14:textId="77777777" w:rsidR="00191E0B" w:rsidRDefault="007A32A9">
            <w:pPr>
              <w:pStyle w:val="RedaliaNormal"/>
            </w:pPr>
            <w:r>
              <w:t xml:space="preserve">                                         </w:t>
            </w:r>
          </w:p>
          <w:p w14:paraId="29B926A2" w14:textId="77777777" w:rsidR="00191E0B" w:rsidRDefault="00191E0B">
            <w:pPr>
              <w:pStyle w:val="RedaliaNormal"/>
            </w:pPr>
          </w:p>
          <w:p w14:paraId="3F0BF057" w14:textId="77777777" w:rsidR="00191E0B" w:rsidRDefault="007A32A9">
            <w:pPr>
              <w:pStyle w:val="RedaliaNormal"/>
            </w:pPr>
            <w:r>
              <w:t>35 points</w:t>
            </w:r>
          </w:p>
          <w:p w14:paraId="48100B21" w14:textId="77777777" w:rsidR="00191E0B" w:rsidRDefault="00191E0B">
            <w:pPr>
              <w:pStyle w:val="RedaliaNormal"/>
            </w:pPr>
          </w:p>
          <w:p w14:paraId="2A87BC71" w14:textId="77777777" w:rsidR="00191E0B" w:rsidRDefault="00191E0B">
            <w:pPr>
              <w:pStyle w:val="RedaliaNormal"/>
            </w:pPr>
          </w:p>
          <w:p w14:paraId="34551185" w14:textId="77777777" w:rsidR="00191E0B" w:rsidRDefault="007A32A9">
            <w:pPr>
              <w:pStyle w:val="RedaliaNormal"/>
            </w:pPr>
            <w:r>
              <w:t xml:space="preserve"> 5 points</w:t>
            </w:r>
          </w:p>
          <w:p w14:paraId="3E8DE652" w14:textId="77777777" w:rsidR="00191E0B" w:rsidRDefault="00191E0B">
            <w:pPr>
              <w:pStyle w:val="RedaliaNormal"/>
            </w:pPr>
          </w:p>
          <w:p w14:paraId="64C9AACF" w14:textId="77777777" w:rsidR="00191E0B" w:rsidRDefault="00191E0B">
            <w:pPr>
              <w:pStyle w:val="RedaliaNormal"/>
            </w:pPr>
          </w:p>
          <w:p w14:paraId="27AAAAEE" w14:textId="77777777" w:rsidR="00191E0B" w:rsidRDefault="007A32A9">
            <w:pPr>
              <w:pStyle w:val="RedaliaNormal"/>
            </w:pPr>
            <w:r>
              <w:t xml:space="preserve">20 points </w:t>
            </w:r>
          </w:p>
          <w:p w14:paraId="596C3D3B" w14:textId="77777777" w:rsidR="00191E0B" w:rsidRDefault="00191E0B">
            <w:pPr>
              <w:pStyle w:val="RedaliaNormal"/>
            </w:pPr>
          </w:p>
          <w:p w14:paraId="2875F94B" w14:textId="77777777" w:rsidR="00191E0B" w:rsidRDefault="00191E0B">
            <w:pPr>
              <w:pStyle w:val="RedaliaNormal"/>
            </w:pPr>
          </w:p>
          <w:p w14:paraId="50E98B8F" w14:textId="77777777" w:rsidR="00191E0B" w:rsidRDefault="00191E0B">
            <w:pPr>
              <w:pStyle w:val="RedaliaNormal"/>
            </w:pPr>
          </w:p>
          <w:p w14:paraId="2A9BDA92" w14:textId="77777777" w:rsidR="00191E0B" w:rsidRDefault="007A32A9">
            <w:pPr>
              <w:pStyle w:val="RedaliaNormal"/>
            </w:pPr>
            <w:r>
              <w:t>30 points</w:t>
            </w:r>
          </w:p>
          <w:p w14:paraId="381CE2EA" w14:textId="77777777" w:rsidR="00191E0B" w:rsidRDefault="00191E0B">
            <w:pPr>
              <w:pStyle w:val="RedaliaNormal"/>
            </w:pPr>
          </w:p>
        </w:tc>
      </w:tr>
      <w:tr w:rsidR="00191E0B" w14:paraId="123A25AE" w14:textId="77777777">
        <w:trPr>
          <w:trHeight w:val="1215"/>
        </w:trPr>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6A314" w14:textId="77777777" w:rsidR="00191E0B" w:rsidRDefault="007A32A9">
            <w:pPr>
              <w:pStyle w:val="RedaliaNormal"/>
            </w:pPr>
            <w:r>
              <w:rPr>
                <w:b/>
                <w:bCs/>
              </w:rPr>
              <w:t>Critère environnemental</w:t>
            </w:r>
            <w:r>
              <w:t> :</w:t>
            </w:r>
          </w:p>
          <w:p w14:paraId="46505550" w14:textId="27A3DFC3" w:rsidR="00191E0B" w:rsidRDefault="007A32A9">
            <w:pPr>
              <w:pStyle w:val="RedaliaNormal"/>
            </w:pPr>
            <w:r>
              <w:t>Définition et appréciation du critère : Appréciation de la mise en œuvre des exigences pour la réduction des émissions carbone et des consommations d'énergie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5BAC0" w14:textId="77777777" w:rsidR="00191E0B" w:rsidRDefault="007A32A9">
            <w:pPr>
              <w:pStyle w:val="RedaliaNormal"/>
              <w:rPr>
                <w:b/>
                <w:bCs/>
              </w:rPr>
            </w:pPr>
            <w:r>
              <w:rPr>
                <w:b/>
                <w:bCs/>
              </w:rPr>
              <w:t>Pondéré sur 5%</w:t>
            </w:r>
          </w:p>
        </w:tc>
      </w:tr>
    </w:tbl>
    <w:p w14:paraId="010C5FA0" w14:textId="77777777" w:rsidR="00453948" w:rsidRDefault="00453948" w:rsidP="00453948">
      <w:pPr>
        <w:pStyle w:val="RedaliaNormal"/>
      </w:pPr>
    </w:p>
    <w:p w14:paraId="5BC43417" w14:textId="0270C4D1" w:rsidR="00191E0B" w:rsidRDefault="00453948">
      <w:pPr>
        <w:pStyle w:val="RedaliaNormal"/>
      </w:pPr>
      <w:r>
        <w:lastRenderedPageBreak/>
        <w:t>Dans le cadre du critère environnemental, l</w:t>
      </w:r>
      <w:r w:rsidRPr="00453948">
        <w:t>e titulaire décrira dans son mémoire technique les mesures prises s’appliquant à l’objet du contrat, ainsi que le cas échéant le ou les indicateurs utilisés pour les suivre (1/2 à 1 page maximum).</w:t>
      </w:r>
    </w:p>
    <w:p w14:paraId="27D26C75" w14:textId="77777777" w:rsidR="00453948" w:rsidRDefault="00453948">
      <w:pPr>
        <w:pStyle w:val="RedaliaNormal"/>
        <w:rPr>
          <w:b/>
          <w:bCs/>
          <w:u w:val="single"/>
        </w:rPr>
      </w:pPr>
    </w:p>
    <w:p w14:paraId="110F32D2" w14:textId="36EFC7D8" w:rsidR="00191E0B" w:rsidRDefault="007A32A9">
      <w:pPr>
        <w:pStyle w:val="RedaliaNormal"/>
      </w:pPr>
      <w:r>
        <w:rPr>
          <w:b/>
          <w:bCs/>
          <w:u w:val="single"/>
        </w:rPr>
        <w:t>Note éliminatoire</w:t>
      </w:r>
      <w:r>
        <w:t xml:space="preserve"> : </w:t>
      </w:r>
      <w:r>
        <w:rPr>
          <w:b/>
          <w:bCs/>
        </w:rPr>
        <w:t xml:space="preserve">Il est précisé aux soumissionnaires que l’obtention d’un minimum de 60 points sur 100 points au critère technique est requise pour la poursuite de l’analyse de leurs offres et leur éventuelle participation à une phase de négociation. </w:t>
      </w:r>
    </w:p>
    <w:p w14:paraId="0F1D5B50" w14:textId="77777777" w:rsidR="00191E0B" w:rsidRDefault="00191E0B">
      <w:pPr>
        <w:pStyle w:val="RedaliaNormal"/>
      </w:pPr>
    </w:p>
    <w:p w14:paraId="7444C84D" w14:textId="77777777" w:rsidR="00191E0B" w:rsidRDefault="007A32A9">
      <w:pPr>
        <w:pStyle w:val="RedaliaNormal"/>
      </w:pPr>
      <w:r>
        <w:t xml:space="preserve">Les modalités de la négociation sont définies à l'article </w:t>
      </w:r>
      <w:r>
        <w:rPr>
          <w:i/>
        </w:rPr>
        <w:t>Procédure de passation</w:t>
      </w:r>
      <w:r>
        <w:t>.</w:t>
      </w:r>
    </w:p>
    <w:p w14:paraId="0DC533AD" w14:textId="77777777" w:rsidR="00191E0B" w:rsidRDefault="00191E0B">
      <w:pPr>
        <w:pStyle w:val="RedaliaNormal"/>
      </w:pPr>
    </w:p>
    <w:p w14:paraId="615C3782" w14:textId="77777777" w:rsidR="00191E0B" w:rsidRDefault="007A32A9">
      <w:pPr>
        <w:pStyle w:val="RedaliaNormal"/>
      </w:pPr>
      <w:r>
        <w:t>Le pouvoir adjudicateur écartera les offres inappropriées, et procédera à une sélection, après un premier classement opéré sur la base des critères définis ci-dessus, de 3 candidats qui seront éventuellement admis à négocier. Après négociation éventuelle avec ces candidats (sauf insuffisance de candidats), le pouvoir adjudicateur choisira l’offre économiquement la plus avantageuse.</w:t>
      </w:r>
    </w:p>
    <w:p w14:paraId="29CA50E4" w14:textId="77777777" w:rsidR="00191E0B" w:rsidRDefault="00191E0B">
      <w:pPr>
        <w:pStyle w:val="RedaliaNormal"/>
      </w:pPr>
    </w:p>
    <w:p w14:paraId="518E0C6D" w14:textId="77777777" w:rsidR="00191E0B" w:rsidRDefault="007A32A9">
      <w:pPr>
        <w:pStyle w:val="RedaliaNormal"/>
      </w:pPr>
      <w:r>
        <w:t>Dans le cadre de ces négociations, les candidats retenus peuvent être invités autant de fois que nécessaire par le pouvoir adjudicateur, et ce dans les strictes conditions d’égalité, à préciser, compléter ou modifier leur offre sans pour autant qu’il soit apporté de modifications substantielles au cahier des charges.</w:t>
      </w:r>
    </w:p>
    <w:p w14:paraId="517F8405" w14:textId="77777777" w:rsidR="00191E0B" w:rsidRDefault="00191E0B">
      <w:pPr>
        <w:pStyle w:val="RedaliaNormal"/>
      </w:pPr>
    </w:p>
    <w:p w14:paraId="23F8862A" w14:textId="77777777" w:rsidR="00191E0B" w:rsidRDefault="007A32A9">
      <w:pPr>
        <w:pStyle w:val="RedaliaNormal"/>
      </w:pPr>
      <w:r>
        <w:t>L'AFD se réserve le droit d’organiser plusieurs tours de négociation avec les candidats retenus.</w:t>
      </w:r>
    </w:p>
    <w:p w14:paraId="103FC4A4" w14:textId="77777777" w:rsidR="00191E0B" w:rsidRDefault="00191E0B">
      <w:pPr>
        <w:pStyle w:val="RedaliaNormal"/>
      </w:pPr>
    </w:p>
    <w:p w14:paraId="796770B6" w14:textId="77777777" w:rsidR="00191E0B" w:rsidRDefault="007A32A9">
      <w:pPr>
        <w:pStyle w:val="RedaliaNormal"/>
      </w:pPr>
      <w:r>
        <w:t>L'AFD se réserve également le droit d’attribuer le marché sur la base de l’offre initiale, sans négociation.</w:t>
      </w:r>
    </w:p>
    <w:p w14:paraId="105BEB9C" w14:textId="77777777" w:rsidR="00191E0B" w:rsidRDefault="007A32A9">
      <w:pPr>
        <w:pStyle w:val="RedaliaTitre2"/>
      </w:pPr>
      <w:bookmarkStart w:id="47" w:name="_Toc170898458"/>
      <w:bookmarkStart w:id="48" w:name="_Toc207728934"/>
      <w:bookmarkEnd w:id="47"/>
      <w:r>
        <w:t>Attribution du marché</w:t>
      </w:r>
      <w:bookmarkEnd w:id="48"/>
    </w:p>
    <w:p w14:paraId="316A6BF5" w14:textId="77777777" w:rsidR="00191E0B" w:rsidRDefault="007A32A9">
      <w:pPr>
        <w:pStyle w:val="RedaliaNormal"/>
      </w:pPr>
      <w:r>
        <w:t xml:space="preserve">Préalablement à la signature du contrat par le Pouvoir Adjudicateur, et conformément à l’article R2144-7 du Code de la commande publique, l’attributaire (ou l’ensemble des membres du groupement attributaire, y compris les éventuels sous-traitants) devra transmettre sur l’outil de recueil des attestations fournisseurs dont s’est doté le Pouvoir Adjudicateur (outil </w:t>
      </w:r>
      <w:proofErr w:type="spellStart"/>
      <w:r>
        <w:t>Provigis</w:t>
      </w:r>
      <w:proofErr w:type="spellEnd"/>
      <w:r>
        <w:t>) les documents ci-dessous demandés :</w:t>
      </w:r>
    </w:p>
    <w:p w14:paraId="5ABC56E4" w14:textId="77777777" w:rsidR="00191E0B" w:rsidRDefault="007A32A9">
      <w:pPr>
        <w:pStyle w:val="RedaliaNormal"/>
      </w:pPr>
      <w:r>
        <w:t>• Un document en cours de validité attestant de l’immatriculation effective de la structure (extrait K-bis ou équivalent) ;</w:t>
      </w:r>
    </w:p>
    <w:p w14:paraId="065E4E36" w14:textId="77777777" w:rsidR="00191E0B" w:rsidRDefault="007A32A9">
      <w:pPr>
        <w:pStyle w:val="RedaliaNormal"/>
      </w:pPr>
      <w:r>
        <w:t>• Une attestation en cours de validité délivrée par les autorités compétentes certifiant que le candidat est à jour de ses obligations sociales (URSSAF, RSI, AGESSA, MDA...) ;</w:t>
      </w:r>
    </w:p>
    <w:p w14:paraId="6AEB17E0" w14:textId="77777777" w:rsidR="00191E0B" w:rsidRDefault="007A32A9">
      <w:pPr>
        <w:pStyle w:val="RedaliaNormal"/>
      </w:pPr>
      <w:r>
        <w:t>• La liste nominative des travailleurs étrangers hors CE ou détachés, employés par la structure ou à défaut une attestation sur l’honneur de non emploi de travailleurs étrangers hors CE (daté de moins de 6 mois) ;</w:t>
      </w:r>
    </w:p>
    <w:p w14:paraId="57FFD74C" w14:textId="77777777" w:rsidR="00191E0B" w:rsidRDefault="007A32A9">
      <w:pPr>
        <w:pStyle w:val="RedaliaNormal"/>
      </w:pPr>
      <w:r>
        <w:t>• Une attestation fiscale en cours de validité délivrée par les autorités compétentes certifiant que le candidat est à jour de ses obligations fiscales ;</w:t>
      </w:r>
    </w:p>
    <w:p w14:paraId="0CF3603F" w14:textId="77777777" w:rsidR="00191E0B" w:rsidRDefault="007A32A9">
      <w:pPr>
        <w:pStyle w:val="RedaliaNormal"/>
      </w:pPr>
      <w:r>
        <w:t>• Une attestation d’assurances de responsabilité civile et / ou professionnelle en cours de validité.</w:t>
      </w:r>
    </w:p>
    <w:p w14:paraId="6FBFF7FF" w14:textId="77777777" w:rsidR="00191E0B" w:rsidRDefault="00191E0B">
      <w:pPr>
        <w:pStyle w:val="RedaliaNormal"/>
      </w:pPr>
    </w:p>
    <w:p w14:paraId="3299EACC" w14:textId="77777777" w:rsidR="00191E0B" w:rsidRDefault="007A32A9">
      <w:pPr>
        <w:pStyle w:val="RedaliaNormal"/>
      </w:pPr>
      <w:r>
        <w:t>Afin de satisfaire à cette dernière obligation, le candidat établi dans un autre Etat que la France doit produire un certificat établi par les administrations et organismes du pays d’origine.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14:paraId="55D16302" w14:textId="77777777" w:rsidR="00191E0B" w:rsidRDefault="00191E0B">
      <w:pPr>
        <w:pStyle w:val="RedaliaNormal"/>
      </w:pPr>
    </w:p>
    <w:p w14:paraId="5CD027D4" w14:textId="77777777" w:rsidR="00191E0B" w:rsidRDefault="007A32A9">
      <w:pPr>
        <w:pStyle w:val="RedaliaNormal"/>
      </w:pPr>
      <w:r>
        <w:t xml:space="preserve">À défaut de produire ces documents dans le délai fixé, l’offre du candidat attributaire sera rejetée et il sera </w:t>
      </w:r>
      <w:r>
        <w:lastRenderedPageBreak/>
        <w:t>éliminé.</w:t>
      </w:r>
    </w:p>
    <w:p w14:paraId="3894E3A1" w14:textId="77777777" w:rsidR="00191E0B" w:rsidRDefault="007A32A9">
      <w:pPr>
        <w:pStyle w:val="RedaliaNormal"/>
      </w:pPr>
      <w:r>
        <w:t>Le candidat suivant sera alors sollicité pour produire les certificats et attestations nécessaires avant que le marché ne lui soit attribué.</w:t>
      </w:r>
    </w:p>
    <w:p w14:paraId="42ED7BBE" w14:textId="77777777" w:rsidR="00191E0B" w:rsidRDefault="007A32A9">
      <w:pPr>
        <w:pStyle w:val="RedaliaTitre1"/>
      </w:pPr>
      <w:bookmarkStart w:id="49" w:name="_Toc79067703"/>
      <w:bookmarkStart w:id="50" w:name="_Toc207728935"/>
      <w:r>
        <w:t>Conditions d’envoi et de remise des candidatures et des offres</w:t>
      </w:r>
      <w:bookmarkEnd w:id="49"/>
      <w:bookmarkEnd w:id="50"/>
    </w:p>
    <w:p w14:paraId="2BB10336" w14:textId="77777777" w:rsidR="00191E0B" w:rsidRDefault="007A32A9">
      <w:pPr>
        <w:pStyle w:val="RedaliaNormal"/>
      </w:pPr>
      <w:r>
        <w:t>La transmission des documents par voie électronique ne peut être réalisée qu’à l’adresse suivante : https://www.marches-publics.gouv.fr/.</w:t>
      </w:r>
    </w:p>
    <w:p w14:paraId="40D50AA1" w14:textId="77777777" w:rsidR="00191E0B" w:rsidRDefault="00191E0B">
      <w:pPr>
        <w:pStyle w:val="RedaliaNormal"/>
      </w:pPr>
    </w:p>
    <w:p w14:paraId="48059E6D" w14:textId="77777777" w:rsidR="00191E0B" w:rsidRDefault="007A32A9">
      <w:pPr>
        <w:pStyle w:val="RedaliaNormal"/>
      </w:pPr>
      <w:r>
        <w:t>Le fuseau horaire de référence sera celui de (GMT+</w:t>
      </w:r>
      <w:proofErr w:type="gramStart"/>
      <w:r>
        <w:t>01:</w:t>
      </w:r>
      <w:proofErr w:type="gramEnd"/>
      <w:r>
        <w:t>00) Paris, Bruxelles, Copenhague, Madrid.</w:t>
      </w:r>
    </w:p>
    <w:p w14:paraId="1A9B9092" w14:textId="77777777" w:rsidR="00191E0B" w:rsidRDefault="007A32A9">
      <w:pPr>
        <w:pStyle w:val="RedaliaNormal"/>
      </w:pPr>
      <w:r>
        <w:t>Chaque transmission fera l’objet d’une date certaine de réception et d’un accusé de réception électronique.</w:t>
      </w:r>
    </w:p>
    <w:p w14:paraId="5D05E3C4" w14:textId="77777777" w:rsidR="00191E0B" w:rsidRDefault="007A32A9">
      <w:pPr>
        <w:pStyle w:val="RedaliaNormal"/>
      </w:pPr>
      <w:r>
        <w:t xml:space="preserve">Il est fortement recommandé d’initier le dépôt d’offre </w:t>
      </w:r>
      <w:r>
        <w:rPr>
          <w:b/>
          <w:sz w:val="24"/>
        </w:rPr>
        <w:t>au moins 2 heures avant la DLRO</w:t>
      </w:r>
      <w:r>
        <w:t>.</w:t>
      </w:r>
    </w:p>
    <w:p w14:paraId="45FFAEEB" w14:textId="77777777" w:rsidR="00191E0B" w:rsidRDefault="007A32A9">
      <w:pPr>
        <w:pStyle w:val="RedaliaNormal"/>
      </w:pPr>
      <w:r>
        <w:t>En cas de problèmes, veuillez contacter le support de la plateforme PLACE (</w:t>
      </w:r>
      <w:hyperlink r:id="rId11" w:history="1">
        <w:r>
          <w:rPr>
            <w:rStyle w:val="Lienhypertexte"/>
          </w:rPr>
          <w:t>https://www.marches-publics.gouv.fr/</w:t>
        </w:r>
      </w:hyperlink>
      <w:r>
        <w:t>)</w:t>
      </w:r>
    </w:p>
    <w:p w14:paraId="7CE6499B" w14:textId="77777777" w:rsidR="00191E0B" w:rsidRDefault="007A32A9">
      <w:pPr>
        <w:pStyle w:val="RedaliaNormal"/>
        <w:pBdr>
          <w:top w:val="single" w:sz="4" w:space="1" w:color="000000"/>
          <w:left w:val="single" w:sz="4" w:space="4" w:color="000000"/>
          <w:bottom w:val="single" w:sz="4" w:space="1" w:color="000000"/>
          <w:right w:val="single" w:sz="4" w:space="4" w:color="000000"/>
        </w:pBdr>
      </w:pPr>
      <w:r>
        <w:rPr>
          <w:u w:val="single"/>
        </w:rPr>
        <w:t>Se préparer à l’avance</w:t>
      </w:r>
      <w:r>
        <w:t xml:space="preserve"> :</w:t>
      </w:r>
    </w:p>
    <w:p w14:paraId="29A2B027" w14:textId="77777777" w:rsidR="00191E0B" w:rsidRDefault="00191E0B">
      <w:pPr>
        <w:pStyle w:val="RedaliaNormal"/>
        <w:pBdr>
          <w:top w:val="single" w:sz="4" w:space="1" w:color="000000"/>
          <w:left w:val="single" w:sz="4" w:space="4" w:color="000000"/>
          <w:bottom w:val="single" w:sz="4" w:space="1" w:color="000000"/>
          <w:right w:val="single" w:sz="4" w:space="4" w:color="000000"/>
        </w:pBdr>
      </w:pPr>
    </w:p>
    <w:p w14:paraId="614C90EC" w14:textId="77777777" w:rsidR="00191E0B" w:rsidRDefault="007A32A9">
      <w:pPr>
        <w:pStyle w:val="RedaliaNormal"/>
        <w:pBdr>
          <w:top w:val="single" w:sz="4" w:space="1" w:color="000000"/>
          <w:left w:val="single" w:sz="4" w:space="4" w:color="000000"/>
          <w:bottom w:val="single" w:sz="4" w:space="1" w:color="000000"/>
          <w:right w:val="single" w:sz="4" w:space="4" w:color="000000"/>
        </w:pBdr>
      </w:pPr>
      <w:r>
        <w:t>Nécessité de certificat numérique - Configuration à l’avance du poste de travail - recommandation de se préparer avec la Consultation de test.</w:t>
      </w:r>
    </w:p>
    <w:p w14:paraId="516095E2" w14:textId="77777777" w:rsidR="00191E0B" w:rsidRDefault="00191E0B">
      <w:pPr>
        <w:pStyle w:val="RedaliaNormal"/>
        <w:pBdr>
          <w:top w:val="single" w:sz="4" w:space="1" w:color="000000"/>
          <w:left w:val="single" w:sz="4" w:space="4" w:color="000000"/>
          <w:bottom w:val="single" w:sz="4" w:space="1" w:color="000000"/>
          <w:right w:val="single" w:sz="4" w:space="4" w:color="000000"/>
        </w:pBdr>
      </w:pPr>
    </w:p>
    <w:p w14:paraId="0162EB61" w14:textId="77777777" w:rsidR="00191E0B" w:rsidRDefault="007A32A9">
      <w:pPr>
        <w:pStyle w:val="RedaliaNormal"/>
        <w:pBdr>
          <w:top w:val="single" w:sz="4" w:space="1" w:color="000000"/>
          <w:left w:val="single" w:sz="4" w:space="4" w:color="000000"/>
          <w:bottom w:val="single" w:sz="4" w:space="1" w:color="000000"/>
          <w:right w:val="single" w:sz="4" w:space="4" w:color="000000"/>
        </w:pBdr>
      </w:pPr>
      <w:r>
        <w:t>En cas de réponse électronique, la signature électronique de certaines pièces est requise.</w:t>
      </w:r>
    </w:p>
    <w:p w14:paraId="4AEC8768" w14:textId="77777777" w:rsidR="00191E0B" w:rsidRDefault="00191E0B">
      <w:pPr>
        <w:pStyle w:val="RedaliaNormal"/>
        <w:pBdr>
          <w:top w:val="single" w:sz="4" w:space="1" w:color="000000"/>
          <w:left w:val="single" w:sz="4" w:space="4" w:color="000000"/>
          <w:bottom w:val="single" w:sz="4" w:space="1" w:color="000000"/>
          <w:right w:val="single" w:sz="4" w:space="4" w:color="000000"/>
        </w:pBdr>
      </w:pPr>
    </w:p>
    <w:p w14:paraId="6F139033" w14:textId="77777777" w:rsidR="00191E0B" w:rsidRDefault="007A32A9">
      <w:pPr>
        <w:pStyle w:val="RedaliaNormal"/>
        <w:pBdr>
          <w:top w:val="single" w:sz="4" w:space="1" w:color="000000"/>
          <w:left w:val="single" w:sz="4" w:space="4" w:color="000000"/>
          <w:bottom w:val="single" w:sz="4" w:space="1" w:color="000000"/>
          <w:right w:val="single" w:sz="4" w:space="4" w:color="000000"/>
        </w:pBdr>
      </w:pPr>
      <w:r>
        <w:t>Le soumissionnaire doit avoir au préalable fait l’acquisition d’un certificat électronique. Obtenir un certificat électronique prend plusieurs jours, voire plusieurs semaines. Si le soumissionnaire ne possède pas de certificat électronique valable dans le cadre de la réponse à un marché dématérialisé, il est impératif qu’il en fasse la demande en avance.</w:t>
      </w:r>
    </w:p>
    <w:p w14:paraId="5C8FDDA6" w14:textId="77777777" w:rsidR="00191E0B" w:rsidRDefault="00191E0B">
      <w:pPr>
        <w:pStyle w:val="RedaliaNormal"/>
        <w:pBdr>
          <w:top w:val="single" w:sz="4" w:space="1" w:color="000000"/>
          <w:left w:val="single" w:sz="4" w:space="4" w:color="000000"/>
          <w:bottom w:val="single" w:sz="4" w:space="1" w:color="000000"/>
          <w:right w:val="single" w:sz="4" w:space="4" w:color="000000"/>
        </w:pBdr>
      </w:pPr>
    </w:p>
    <w:p w14:paraId="16372384" w14:textId="77777777" w:rsidR="00191E0B" w:rsidRDefault="007A32A9">
      <w:pPr>
        <w:pStyle w:val="RedaliaNormal"/>
        <w:pBdr>
          <w:top w:val="single" w:sz="4" w:space="1" w:color="000000"/>
          <w:left w:val="single" w:sz="4" w:space="4" w:color="000000"/>
          <w:bottom w:val="single" w:sz="4" w:space="1" w:color="000000"/>
          <w:right w:val="single" w:sz="4" w:space="4" w:color="000000"/>
        </w:pBdr>
      </w:pPr>
      <w:r>
        <w:t>Il est également fortement recommandé au soumissionnaire de prendre ses dispositions de manière à ce que sa réponse électronique soit déposée dans les délais impartis. Un test de configuration du poste de travail ainsi que des consultations de test sont mis à sa disposition sur la plateforme.</w:t>
      </w:r>
    </w:p>
    <w:p w14:paraId="5C5A3C3E" w14:textId="77777777" w:rsidR="00191E0B" w:rsidRDefault="00191E0B">
      <w:pPr>
        <w:pStyle w:val="RedaliaNormal"/>
      </w:pPr>
    </w:p>
    <w:p w14:paraId="0CC606B2" w14:textId="77777777" w:rsidR="00191E0B" w:rsidRDefault="007A32A9">
      <w:pPr>
        <w:pStyle w:val="RedaliaNormal"/>
      </w:pPr>
      <w:r>
        <w:rPr>
          <w:u w:val="single"/>
        </w:rPr>
        <w:t>Formats de fichiers acceptés</w:t>
      </w:r>
      <w:r>
        <w:t xml:space="preserve"> :</w:t>
      </w:r>
    </w:p>
    <w:p w14:paraId="23FB8AEC" w14:textId="77777777" w:rsidR="00191E0B" w:rsidRDefault="00191E0B">
      <w:pPr>
        <w:pStyle w:val="RedaliaNormal"/>
      </w:pPr>
    </w:p>
    <w:p w14:paraId="040D3251" w14:textId="77777777" w:rsidR="00191E0B" w:rsidRDefault="007A32A9">
      <w:pPr>
        <w:pStyle w:val="RedaliaNormal"/>
      </w:pPr>
      <w:r>
        <w:t>En cas de transmission de réponse par voie électronique, les documents fournis doivent être dans l’un des formats suivants, sous peine d’irrecevabilité de l’offre :</w:t>
      </w:r>
    </w:p>
    <w:p w14:paraId="094FF1D8" w14:textId="77777777" w:rsidR="00191E0B" w:rsidRDefault="007A32A9">
      <w:pPr>
        <w:pStyle w:val="RdaliaRetraitniveau1"/>
        <w:numPr>
          <w:ilvl w:val="0"/>
          <w:numId w:val="26"/>
        </w:numPr>
      </w:pPr>
      <w:r>
        <w:t>Format bureautique propriétaire de Microsoft compatible version 2003 (.doc, .</w:t>
      </w:r>
      <w:proofErr w:type="spellStart"/>
      <w:r>
        <w:t>xls</w:t>
      </w:r>
      <w:proofErr w:type="spellEnd"/>
      <w:r>
        <w:t xml:space="preserve"> et .</w:t>
      </w:r>
      <w:proofErr w:type="spellStart"/>
      <w:r>
        <w:t>ppt</w:t>
      </w:r>
      <w:proofErr w:type="spellEnd"/>
      <w:r>
        <w:t>),</w:t>
      </w:r>
    </w:p>
    <w:p w14:paraId="5AFDA995" w14:textId="77777777" w:rsidR="00191E0B" w:rsidRDefault="007A32A9">
      <w:pPr>
        <w:pStyle w:val="RdaliaRetraitniveau1"/>
        <w:numPr>
          <w:ilvl w:val="0"/>
          <w:numId w:val="10"/>
        </w:numPr>
      </w:pPr>
      <w:r>
        <w:t>Format texte universel (.</w:t>
      </w:r>
      <w:proofErr w:type="spellStart"/>
      <w:r>
        <w:t>rtf</w:t>
      </w:r>
      <w:proofErr w:type="spellEnd"/>
      <w:r>
        <w:t>),</w:t>
      </w:r>
    </w:p>
    <w:p w14:paraId="505FA939" w14:textId="77777777" w:rsidR="00191E0B" w:rsidRDefault="007A32A9">
      <w:pPr>
        <w:pStyle w:val="RdaliaRetraitniveau1"/>
        <w:numPr>
          <w:ilvl w:val="0"/>
          <w:numId w:val="10"/>
        </w:numPr>
      </w:pPr>
      <w:r>
        <w:t>Format PDF (.</w:t>
      </w:r>
      <w:proofErr w:type="spellStart"/>
      <w:r>
        <w:t>pdf</w:t>
      </w:r>
      <w:proofErr w:type="spellEnd"/>
      <w:r>
        <w:t>),</w:t>
      </w:r>
    </w:p>
    <w:p w14:paraId="00EBBF5C" w14:textId="77777777" w:rsidR="00191E0B" w:rsidRDefault="007A32A9">
      <w:pPr>
        <w:pStyle w:val="RdaliaRetraitniveau1"/>
        <w:numPr>
          <w:ilvl w:val="0"/>
          <w:numId w:val="10"/>
        </w:numPr>
      </w:pPr>
      <w:r>
        <w:t>Formats images (.gif, .jpg et .png),</w:t>
      </w:r>
    </w:p>
    <w:p w14:paraId="6F18E31E" w14:textId="77777777" w:rsidR="00191E0B" w:rsidRDefault="007A32A9">
      <w:pPr>
        <w:pStyle w:val="RdaliaRetraitniveau1"/>
        <w:numPr>
          <w:ilvl w:val="0"/>
          <w:numId w:val="10"/>
        </w:numPr>
      </w:pPr>
      <w:r>
        <w:t>Format pour les plans (.</w:t>
      </w:r>
      <w:proofErr w:type="spellStart"/>
      <w:r>
        <w:t>dxf</w:t>
      </w:r>
      <w:proofErr w:type="spellEnd"/>
      <w:r>
        <w:t xml:space="preserve"> et .</w:t>
      </w:r>
      <w:proofErr w:type="spellStart"/>
      <w:r>
        <w:t>dwg</w:t>
      </w:r>
      <w:proofErr w:type="spellEnd"/>
      <w:r>
        <w:t>).</w:t>
      </w:r>
    </w:p>
    <w:p w14:paraId="28CDE6AB" w14:textId="77777777" w:rsidR="00191E0B" w:rsidRDefault="00191E0B">
      <w:pPr>
        <w:pStyle w:val="RedaliaNormal"/>
      </w:pPr>
    </w:p>
    <w:p w14:paraId="7E16FB5E" w14:textId="77777777" w:rsidR="00191E0B" w:rsidRDefault="007A32A9">
      <w:pPr>
        <w:pStyle w:val="RedaliaNormal"/>
      </w:pPr>
      <w: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52B64FC4" w14:textId="77777777" w:rsidR="00191E0B" w:rsidRDefault="00191E0B">
      <w:pPr>
        <w:pStyle w:val="RedaliaNormal"/>
      </w:pPr>
    </w:p>
    <w:p w14:paraId="371EED8B" w14:textId="77777777" w:rsidR="00191E0B" w:rsidRDefault="007A32A9">
      <w:pPr>
        <w:pStyle w:val="RedaliaNormal"/>
      </w:pPr>
      <w:r>
        <w:rPr>
          <w:u w:val="single"/>
        </w:rPr>
        <w:lastRenderedPageBreak/>
        <w:t>Signature électronique des fichiers de la réponse</w:t>
      </w:r>
      <w:r>
        <w:t xml:space="preserve"> :</w:t>
      </w:r>
    </w:p>
    <w:p w14:paraId="388BB115" w14:textId="77777777" w:rsidR="00191E0B" w:rsidRDefault="00191E0B">
      <w:pPr>
        <w:pStyle w:val="RedaliaNormal"/>
      </w:pPr>
    </w:p>
    <w:p w14:paraId="62154652" w14:textId="77777777" w:rsidR="00191E0B" w:rsidRDefault="007A32A9">
      <w:pPr>
        <w:pStyle w:val="RedaliaNormal"/>
      </w:pPr>
      <w:r>
        <w:t>Les documents du soumissionnaire doivent être signés électroniquement, selon les modalités détaillées ci-dessous.</w:t>
      </w:r>
    </w:p>
    <w:p w14:paraId="6537B3DE" w14:textId="77777777" w:rsidR="00191E0B" w:rsidRDefault="00191E0B">
      <w:pPr>
        <w:pStyle w:val="RedaliaNormal"/>
      </w:pPr>
    </w:p>
    <w:p w14:paraId="24FC440F" w14:textId="77777777" w:rsidR="00191E0B" w:rsidRDefault="007A32A9">
      <w:pPr>
        <w:pStyle w:val="RedaliaNormal"/>
      </w:pPr>
      <w:r>
        <w:t>Par application de l’arrêté du 22 mars 2019 relatif à la signature électronique des contrats de la commande publique, le candidat doit respecter les conditions relatives :</w:t>
      </w:r>
    </w:p>
    <w:p w14:paraId="7CCBC950" w14:textId="77777777" w:rsidR="00191E0B" w:rsidRDefault="007A32A9">
      <w:pPr>
        <w:pStyle w:val="RdaliaRetraitniveau1"/>
        <w:numPr>
          <w:ilvl w:val="0"/>
          <w:numId w:val="10"/>
        </w:numPr>
      </w:pPr>
      <w:proofErr w:type="gramStart"/>
      <w:r>
        <w:t>au</w:t>
      </w:r>
      <w:proofErr w:type="gramEnd"/>
      <w:r>
        <w:t xml:space="preserve"> certificat de signature du signataire,</w:t>
      </w:r>
    </w:p>
    <w:p w14:paraId="30F70869" w14:textId="77777777" w:rsidR="00191E0B" w:rsidRDefault="007A32A9">
      <w:pPr>
        <w:pStyle w:val="RdaliaRetraitniveau1"/>
        <w:numPr>
          <w:ilvl w:val="0"/>
          <w:numId w:val="10"/>
        </w:numPr>
      </w:pPr>
      <w:proofErr w:type="gramStart"/>
      <w:r>
        <w:t>à</w:t>
      </w:r>
      <w:proofErr w:type="gramEnd"/>
      <w:r>
        <w:t xml:space="preserve"> l’outil de signature utilisé (logiciel, service en ligne, parapheur le cas échéant), devant produire des signatures électroniques conformes aux formats réglementaires. (</w:t>
      </w:r>
      <w:proofErr w:type="gramStart"/>
      <w:r>
        <w:t>cf.</w:t>
      </w:r>
      <w:proofErr w:type="gramEnd"/>
      <w:r>
        <w:t xml:space="preserve"> annexe)</w:t>
      </w:r>
    </w:p>
    <w:p w14:paraId="100A71D9" w14:textId="77777777" w:rsidR="00191E0B" w:rsidRDefault="00191E0B">
      <w:pPr>
        <w:pStyle w:val="RedaliaNormal"/>
      </w:pPr>
    </w:p>
    <w:p w14:paraId="7BBE532B" w14:textId="77777777" w:rsidR="00191E0B" w:rsidRDefault="007A32A9">
      <w:pPr>
        <w:pStyle w:val="RedaliaNormal"/>
      </w:pPr>
      <w:r>
        <w:rPr>
          <w:u w:val="single"/>
        </w:rPr>
        <w:t>Rappels généraux : Dossier ZIP et signature scannée</w:t>
      </w:r>
      <w:r>
        <w:t> :</w:t>
      </w:r>
    </w:p>
    <w:p w14:paraId="4F898172" w14:textId="77777777" w:rsidR="00191E0B" w:rsidRDefault="00191E0B">
      <w:pPr>
        <w:pStyle w:val="RedaliaNormal"/>
      </w:pPr>
    </w:p>
    <w:p w14:paraId="6937D0BF" w14:textId="77777777" w:rsidR="00191E0B" w:rsidRDefault="007A32A9">
      <w:pPr>
        <w:pStyle w:val="RedaliaNormal"/>
      </w:pPr>
      <w:r>
        <w:t xml:space="preserve">Les documents transmis par voie électronique seront </w:t>
      </w:r>
      <w:proofErr w:type="spellStart"/>
      <w:r>
        <w:t>re-matérialisés</w:t>
      </w:r>
      <w:proofErr w:type="spellEnd"/>
      <w:r>
        <w:t xml:space="preserve"> après l’ouverture des plis. Les candidats sont informés que l’attribution du marché pourra donner lieu à la signature manuscrite du marché papier.</w:t>
      </w:r>
    </w:p>
    <w:p w14:paraId="1D502387" w14:textId="77777777" w:rsidR="00191E0B" w:rsidRDefault="00191E0B">
      <w:pPr>
        <w:pStyle w:val="RedaliaNormal"/>
      </w:pPr>
    </w:p>
    <w:p w14:paraId="266FBA5A" w14:textId="77777777" w:rsidR="00191E0B" w:rsidRDefault="007A32A9">
      <w:pPr>
        <w:pStyle w:val="RdaliaRetraitniveau1"/>
        <w:numPr>
          <w:ilvl w:val="0"/>
          <w:numId w:val="10"/>
        </w:numPr>
      </w:pPr>
      <w:r>
        <w:t>Chaque fichier à signer doit être signé individuellement, de telle sorte que chaque signature puisse être vérifiée indépendamment des autres,</w:t>
      </w:r>
    </w:p>
    <w:p w14:paraId="274CCD0A" w14:textId="77777777" w:rsidR="00191E0B" w:rsidRDefault="007A32A9">
      <w:pPr>
        <w:pStyle w:val="RdaliaRetraitniveau1"/>
        <w:numPr>
          <w:ilvl w:val="0"/>
          <w:numId w:val="10"/>
        </w:numPr>
      </w:pPr>
      <w:r>
        <w:t>Un dossier zip signé n’est pas accepté comme équivalent à la signature de chaque document qui constitue le dossier zip,</w:t>
      </w:r>
    </w:p>
    <w:p w14:paraId="4862B0E7" w14:textId="77777777" w:rsidR="00191E0B" w:rsidRDefault="007A32A9">
      <w:pPr>
        <w:pStyle w:val="RdaliaRetraitniveau1"/>
        <w:numPr>
          <w:ilvl w:val="0"/>
          <w:numId w:val="10"/>
        </w:numPr>
      </w:pPr>
      <w:r>
        <w:t>Une signature manuscrite scannée n’a pas d’autre valeur que celle d’une copie et ne peut pas remplacer la signature électronique.</w:t>
      </w:r>
    </w:p>
    <w:p w14:paraId="0D297792" w14:textId="77777777" w:rsidR="00191E0B" w:rsidRDefault="00191E0B">
      <w:pPr>
        <w:pStyle w:val="RedaliaNormal"/>
      </w:pPr>
    </w:p>
    <w:p w14:paraId="0ADCD3DD" w14:textId="77777777" w:rsidR="00191E0B" w:rsidRDefault="007A32A9">
      <w:pPr>
        <w:pStyle w:val="RedaliaNormal"/>
      </w:pPr>
      <w:r>
        <w:rPr>
          <w:u w:val="single"/>
        </w:rPr>
        <w:t>Copie de sauvegarde</w:t>
      </w:r>
      <w:r>
        <w:t xml:space="preserve"> :</w:t>
      </w:r>
    </w:p>
    <w:p w14:paraId="54B88520" w14:textId="77777777" w:rsidR="00191E0B" w:rsidRDefault="00191E0B">
      <w:pPr>
        <w:pStyle w:val="RedaliaNormal"/>
      </w:pPr>
    </w:p>
    <w:p w14:paraId="45D7ED2C" w14:textId="77777777" w:rsidR="00191E0B" w:rsidRDefault="007A32A9">
      <w:pPr>
        <w:pStyle w:val="RedaliaNormal"/>
      </w:pPr>
      <w:r>
        <w:t xml:space="preserve">Les candidats peuvent également transmettre, dans les délais impartis pour la remise des plis, une copie de sauvegarde sur support physique électronique (CD-Rom, </w:t>
      </w:r>
      <w:proofErr w:type="spellStart"/>
      <w:r>
        <w:t>DVD-Rom</w:t>
      </w:r>
      <w:proofErr w:type="spellEnd"/>
      <w:r>
        <w:t>, clé USB) ou sur support papier. Cette copie est transmise à l’adresse ci-dessous, sous pli scellé et comporte obligatoirement la mention : « copie de sauvegarde », l’identification de la procédure concernée et les coordonnées de l’entreprise :</w:t>
      </w:r>
    </w:p>
    <w:p w14:paraId="07B294F1" w14:textId="77777777" w:rsidR="00191E0B" w:rsidRDefault="00191E0B">
      <w:pPr>
        <w:pStyle w:val="RedaliaNormal"/>
        <w:jc w:val="center"/>
      </w:pPr>
    </w:p>
    <w:p w14:paraId="6908A0DD" w14:textId="77777777" w:rsidR="00191E0B" w:rsidRDefault="007A32A9">
      <w:pPr>
        <w:pStyle w:val="RedaliaNormal"/>
        <w:jc w:val="center"/>
      </w:pPr>
      <w:r>
        <w:t>Département des Achats Groupe (DAG)</w:t>
      </w:r>
    </w:p>
    <w:p w14:paraId="0B102AC9" w14:textId="77777777" w:rsidR="00191E0B" w:rsidRDefault="007A32A9">
      <w:pPr>
        <w:pStyle w:val="RedaliaNormal"/>
        <w:jc w:val="center"/>
      </w:pPr>
      <w:r>
        <w:t>Procédure n°CLS-2025-0321</w:t>
      </w:r>
    </w:p>
    <w:p w14:paraId="06461519" w14:textId="77777777" w:rsidR="00191E0B" w:rsidRDefault="007A32A9">
      <w:pPr>
        <w:pStyle w:val="RedaliaNormal"/>
        <w:jc w:val="center"/>
      </w:pPr>
      <w:r>
        <w:t>5 Rue Roland Barthes</w:t>
      </w:r>
    </w:p>
    <w:p w14:paraId="49A41CC6" w14:textId="77777777" w:rsidR="00191E0B" w:rsidRDefault="007A32A9">
      <w:pPr>
        <w:pStyle w:val="RedaliaNormal"/>
        <w:jc w:val="center"/>
      </w:pPr>
      <w:r>
        <w:t>75012 Paris</w:t>
      </w:r>
    </w:p>
    <w:p w14:paraId="37F0B6B7" w14:textId="77777777" w:rsidR="00191E0B" w:rsidRDefault="007A32A9">
      <w:pPr>
        <w:pStyle w:val="RedaliaNormal"/>
        <w:jc w:val="center"/>
      </w:pPr>
      <w:r>
        <w:t>FRANCE</w:t>
      </w:r>
    </w:p>
    <w:p w14:paraId="289E5BB4" w14:textId="77777777" w:rsidR="00191E0B" w:rsidRDefault="00191E0B">
      <w:pPr>
        <w:pStyle w:val="RedaliaNormal"/>
        <w:jc w:val="center"/>
      </w:pPr>
    </w:p>
    <w:p w14:paraId="5E30DE55" w14:textId="77777777" w:rsidR="00191E0B" w:rsidRDefault="00191E0B">
      <w:pPr>
        <w:pStyle w:val="RedaliaNormal"/>
      </w:pPr>
    </w:p>
    <w:p w14:paraId="13CE49D5" w14:textId="77777777" w:rsidR="00191E0B" w:rsidRDefault="007A32A9">
      <w:pPr>
        <w:pStyle w:val="RedaliaNormal"/>
      </w:pPr>
      <w:r>
        <w:t>Les documents de la copie de sauvegarde doivent être signés (pour les documents dont la signature est obligatoire). Si le support physique choisi est le support papier, la signature est manuscrite. Si le support physique choisi est électronique, la signature est électronique.</w:t>
      </w:r>
    </w:p>
    <w:p w14:paraId="6BF339E2" w14:textId="77777777" w:rsidR="00191E0B" w:rsidRDefault="00191E0B">
      <w:pPr>
        <w:pStyle w:val="RedaliaNormal"/>
      </w:pPr>
    </w:p>
    <w:p w14:paraId="6D007435" w14:textId="77777777" w:rsidR="00191E0B" w:rsidRDefault="007A32A9">
      <w:pPr>
        <w:pStyle w:val="RedaliaNormal"/>
      </w:pPr>
      <w:r>
        <w:t>Cette copie de sauvegarde pourra être ouverte dans les cas décrits à l’article 2 II de l’arrêté du 22 mars 2019 fixant les modalités de mise à disposition des documents de la consultation et de la copie de sauvegarde.</w:t>
      </w:r>
    </w:p>
    <w:p w14:paraId="4576FEAE" w14:textId="77777777" w:rsidR="00191E0B" w:rsidRDefault="00191E0B">
      <w:pPr>
        <w:pStyle w:val="RedaliaNormal"/>
      </w:pPr>
    </w:p>
    <w:p w14:paraId="01152292" w14:textId="77777777" w:rsidR="00191E0B" w:rsidRDefault="007A32A9">
      <w:pPr>
        <w:pStyle w:val="RedaliaNormal"/>
      </w:pPr>
      <w:r>
        <w:lastRenderedPageBreak/>
        <w:t>Les plis contenant la copie de sauvegarde, non ouverts, seront détruits à l’issue de la procédure par le pouvoir adjudicateur.</w:t>
      </w:r>
    </w:p>
    <w:p w14:paraId="22DBE7D9" w14:textId="77777777" w:rsidR="00191E0B" w:rsidRDefault="007A32A9">
      <w:pPr>
        <w:pStyle w:val="RedaliaTitre1"/>
      </w:pPr>
      <w:bookmarkStart w:id="51" w:name="_Toc79067704"/>
      <w:bookmarkStart w:id="52" w:name="_Toc207728936"/>
      <w:r>
        <w:t>Renseignements complémentaires</w:t>
      </w:r>
      <w:bookmarkEnd w:id="51"/>
      <w:bookmarkEnd w:id="52"/>
    </w:p>
    <w:p w14:paraId="695A3B22" w14:textId="77777777" w:rsidR="00191E0B" w:rsidRDefault="007A32A9">
      <w:pPr>
        <w:pStyle w:val="RedaliaNormal"/>
      </w:pPr>
      <w:r>
        <w:t>Pour obtenir tous les renseignements complémentaires relatifs à cette consultation, les candidats devront faire parvenir en temps utile leur demande :</w:t>
      </w:r>
    </w:p>
    <w:p w14:paraId="459B81BF" w14:textId="77777777" w:rsidR="00191E0B" w:rsidRDefault="007A32A9">
      <w:pPr>
        <w:pStyle w:val="RdaliaRetraitniveau2"/>
        <w:numPr>
          <w:ilvl w:val="0"/>
          <w:numId w:val="27"/>
        </w:numPr>
      </w:pPr>
      <w:r>
        <w:t>De manière électronique, exclusivement sur la plateforme de dématérialisation, sur l’URL suivante : https://www.marches-publics.gouv.fr/</w:t>
      </w:r>
    </w:p>
    <w:p w14:paraId="79CD5E3D" w14:textId="77777777" w:rsidR="00191E0B" w:rsidRDefault="00191E0B">
      <w:pPr>
        <w:pStyle w:val="RedaliaNormal"/>
      </w:pPr>
    </w:p>
    <w:p w14:paraId="56A552E7" w14:textId="678B0CEB" w:rsidR="00191E0B" w:rsidRDefault="007A32A9">
      <w:pPr>
        <w:pStyle w:val="RedaliaNormal"/>
      </w:pPr>
      <w:r>
        <w:t xml:space="preserve">Seules les demandes adressées au moins </w:t>
      </w:r>
      <w:r w:rsidR="000F3902">
        <w:t>8</w:t>
      </w:r>
      <w:r>
        <w:t xml:space="preserve"> jours avant la date limite de réception des offres feront l’objet d’une réponse de la part du pouvoir adjudicateur.</w:t>
      </w:r>
    </w:p>
    <w:p w14:paraId="1F6A54CB" w14:textId="77777777" w:rsidR="00191E0B" w:rsidRDefault="007A32A9">
      <w:pPr>
        <w:pStyle w:val="RedaliaNormal"/>
      </w:pPr>
      <w:r>
        <w:t>Une réponse sera adressée au plus tard 6 jours avant la date fixée pour la réception des offres aux candidats ayant téléchargé le dossier de consultation sur la plateforme de dématérialisation après s'être préalablement identifiés</w:t>
      </w:r>
    </w:p>
    <w:p w14:paraId="4D43A04D" w14:textId="77777777" w:rsidR="00191E0B" w:rsidRDefault="007A32A9">
      <w:pPr>
        <w:pStyle w:val="RedaliaNormal"/>
      </w:pPr>
      <w:r>
        <w:t xml:space="preserve">Concernant les informations relatives à la remise des offres dématérialisées, il convient de se reporter à l’article </w:t>
      </w:r>
      <w:r>
        <w:rPr>
          <w:i/>
          <w:iCs/>
        </w:rPr>
        <w:t>Conditions d’envoi et de remise des candidatures et/ou des offres</w:t>
      </w:r>
      <w:r>
        <w:t xml:space="preserve"> du présent document.</w:t>
      </w:r>
    </w:p>
    <w:p w14:paraId="3669786C" w14:textId="77777777" w:rsidR="00191E0B" w:rsidRDefault="007A32A9">
      <w:pPr>
        <w:pStyle w:val="RedaliaTitre1"/>
      </w:pPr>
      <w:bookmarkStart w:id="53" w:name="_Toc207728937"/>
      <w:r>
        <w:t>Procédures de recours</w:t>
      </w:r>
      <w:bookmarkEnd w:id="53"/>
    </w:p>
    <w:p w14:paraId="073DA7E5" w14:textId="77777777" w:rsidR="00191E0B" w:rsidRDefault="007A32A9">
      <w:pPr>
        <w:pStyle w:val="RedaliaNormal"/>
      </w:pPr>
      <w:r>
        <w:t>Cette décision peut faire l’objet d’un recours devant le Tribunal administratif de Paris.</w:t>
      </w:r>
    </w:p>
    <w:p w14:paraId="635EBBCE" w14:textId="77777777" w:rsidR="00191E0B" w:rsidRDefault="007A32A9">
      <w:pPr>
        <w:pStyle w:val="RedaliaNormal"/>
      </w:pPr>
      <w:r>
        <w:t>Les voies et délais des recours dont dispose le candidat sont :</w:t>
      </w:r>
    </w:p>
    <w:p w14:paraId="4457AFD8" w14:textId="77777777" w:rsidR="00191E0B" w:rsidRDefault="007A32A9">
      <w:pPr>
        <w:pStyle w:val="RedaliaNormal"/>
      </w:pPr>
      <w:r>
        <w:t>- Référé précontractuel prévu aux articles L. 551-1 à L. 551-12 et R. 551-1 à R. 551-6 du Code de justice administrative (CJA), et pouvant être exercé avant la signature du contrat.</w:t>
      </w:r>
    </w:p>
    <w:p w14:paraId="7301BB6C" w14:textId="77777777" w:rsidR="00191E0B" w:rsidRDefault="007A32A9">
      <w:pPr>
        <w:pStyle w:val="RedaliaNormal"/>
      </w:pPr>
      <w:r>
        <w:t>- Référé contractuel prévu aux articles L. 551-13 à L. 551-23 et R. 551-7 à R. 551-10 du CJA, et pouvant être exercé dans les délais prévus à l'article R. 551-7 du CJA, après la signature du contrat.</w:t>
      </w:r>
    </w:p>
    <w:p w14:paraId="248002CA" w14:textId="77777777" w:rsidR="00191E0B" w:rsidRDefault="007A32A9">
      <w:pPr>
        <w:pStyle w:val="RedaliaNormal"/>
      </w:pPr>
      <w:r>
        <w:t>- Recours de pleine juridiction en contestation de la validité du contrat, ouvert aux tiers dans le délai de 2 mois à compter de l’accomplissement des mesures de publicité appropriées.</w:t>
      </w:r>
    </w:p>
    <w:p w14:paraId="5DF7D03B" w14:textId="77777777" w:rsidR="00191E0B" w:rsidRDefault="00191E0B">
      <w:pPr>
        <w:pStyle w:val="RedaliaNormal"/>
        <w:pageBreakBefore/>
      </w:pPr>
    </w:p>
    <w:p w14:paraId="06FC40E7" w14:textId="77777777" w:rsidR="00191E0B" w:rsidRDefault="00191E0B">
      <w:pPr>
        <w:pStyle w:val="RedaliaNormal"/>
      </w:pPr>
    </w:p>
    <w:p w14:paraId="16528CC0" w14:textId="77777777" w:rsidR="00191E0B" w:rsidRDefault="007A32A9">
      <w:pPr>
        <w:pStyle w:val="RdaliaTitredossier"/>
      </w:pPr>
      <w:bookmarkStart w:id="54" w:name="_Toc170898465"/>
      <w:r>
        <w:t>ANNEXE : DECLARATION SUR L'HONNEUR</w:t>
      </w:r>
      <w:bookmarkEnd w:id="54"/>
    </w:p>
    <w:p w14:paraId="77EE6961" w14:textId="77777777" w:rsidR="00191E0B" w:rsidRDefault="00191E0B">
      <w:pPr>
        <w:pStyle w:val="RedaliaNormal"/>
      </w:pPr>
    </w:p>
    <w:p w14:paraId="104DA0F5" w14:textId="77777777" w:rsidR="00191E0B" w:rsidRDefault="00191E0B">
      <w:pPr>
        <w:pStyle w:val="RedaliaNormal"/>
      </w:pPr>
    </w:p>
    <w:p w14:paraId="0D248E14" w14:textId="77777777" w:rsidR="00191E0B" w:rsidRDefault="007A32A9">
      <w:pPr>
        <w:pStyle w:val="RedaliaNormal"/>
      </w:pPr>
      <w:r>
        <w:t>Je soussigné(e)</w:t>
      </w:r>
      <w:r>
        <w:tab/>
      </w:r>
    </w:p>
    <w:p w14:paraId="4E6B5C26" w14:textId="77777777" w:rsidR="00191E0B" w:rsidRDefault="007A32A9">
      <w:pPr>
        <w:pStyle w:val="RedaliaNormal"/>
      </w:pPr>
      <w:r>
        <w:t>Agissant en qualité de</w:t>
      </w:r>
      <w:r>
        <w:tab/>
      </w:r>
    </w:p>
    <w:p w14:paraId="07BAF134" w14:textId="77777777" w:rsidR="00191E0B" w:rsidRDefault="007A32A9">
      <w:pPr>
        <w:pStyle w:val="RedaliaNormal"/>
      </w:pPr>
      <w:r>
        <w:t>Nom et adresse de l’entreprise :</w:t>
      </w:r>
      <w:r>
        <w:tab/>
      </w:r>
    </w:p>
    <w:p w14:paraId="29C411BD" w14:textId="77777777" w:rsidR="00191E0B" w:rsidRDefault="007A32A9">
      <w:pPr>
        <w:pStyle w:val="RedaliaNormal"/>
      </w:pPr>
      <w:r>
        <w:tab/>
      </w:r>
    </w:p>
    <w:p w14:paraId="61E93BD3" w14:textId="77777777" w:rsidR="00191E0B" w:rsidRDefault="007A32A9">
      <w:pPr>
        <w:pStyle w:val="RedaliaNormal"/>
      </w:pPr>
      <w:r>
        <w:tab/>
      </w:r>
    </w:p>
    <w:p w14:paraId="4BA90862" w14:textId="77777777" w:rsidR="00191E0B" w:rsidRDefault="007A32A9">
      <w:pPr>
        <w:pStyle w:val="RedaliaNormal"/>
        <w:rPr>
          <w:b/>
          <w:bCs/>
        </w:rPr>
      </w:pPr>
      <w:r>
        <w:rPr>
          <w:b/>
          <w:bCs/>
        </w:rPr>
        <w:t>a) déclare sur l’honneur :</w:t>
      </w:r>
    </w:p>
    <w:p w14:paraId="2EB385AC" w14:textId="77777777" w:rsidR="00191E0B" w:rsidRDefault="007A32A9">
      <w:pPr>
        <w:pStyle w:val="RedaliaNormal"/>
      </w:pPr>
      <w:r>
        <w:t>☐ soit être le représentant légal de l’entreprise identifié dans les documents légaux</w:t>
      </w:r>
    </w:p>
    <w:p w14:paraId="381BEACE" w14:textId="77777777" w:rsidR="00191E0B" w:rsidRDefault="007A32A9">
      <w:pPr>
        <w:pStyle w:val="RedaliaNormal"/>
      </w:pPr>
      <w:r>
        <w:t>☐ soit détenir une habilitation l’autorisant à engager l’entreprise dans le cadre de la présente   consultation (délégation de signature communiquée)</w:t>
      </w:r>
    </w:p>
    <w:p w14:paraId="220BBA14" w14:textId="77777777" w:rsidR="00191E0B" w:rsidRDefault="00191E0B">
      <w:pPr>
        <w:pStyle w:val="RedaliaNormal"/>
        <w:rPr>
          <w:b/>
          <w:bCs/>
        </w:rPr>
      </w:pPr>
    </w:p>
    <w:p w14:paraId="36EE518E" w14:textId="77777777" w:rsidR="00191E0B" w:rsidRDefault="007A32A9">
      <w:pPr>
        <w:pStyle w:val="RedaliaNormal"/>
        <w:rPr>
          <w:b/>
          <w:bCs/>
        </w:rPr>
      </w:pPr>
      <w:r>
        <w:rPr>
          <w:b/>
          <w:bCs/>
        </w:rPr>
        <w:t>b) déclare sur l’honneur ne pas entrer dans l’un des cas d’exclusion prévus aux articles L. 2141-1 à L. 2141-5 ou aux articles L. 2141-7 à L. 2141-10 du Code de la commande publique.</w:t>
      </w:r>
    </w:p>
    <w:p w14:paraId="6FBB8894" w14:textId="77777777" w:rsidR="00191E0B" w:rsidRDefault="00191E0B">
      <w:pPr>
        <w:pStyle w:val="RedaliaNormal"/>
      </w:pPr>
    </w:p>
    <w:p w14:paraId="0873875C" w14:textId="77777777" w:rsidR="00191E0B" w:rsidRDefault="007A32A9">
      <w:pPr>
        <w:pStyle w:val="RdaliaLgende"/>
        <w:ind w:left="0" w:firstLine="0"/>
      </w:pPr>
      <w:r>
        <w:t>N.B. : Lorsqu'un opérateur économique est, au cours de la procédure de passation d'un marché, placé dans l'un des cas d'exclusion mentionnés aux articles L. 2141-1 à L. 2141-5, aux articles L. 2141-7 à L. 2141-10 ou aux articles L. 2341-1 à L. 2341-3 du Code de la commande publique, il informe sans délai l'acheteur de ce changement de situation.</w:t>
      </w:r>
    </w:p>
    <w:p w14:paraId="531C95FC" w14:textId="77777777" w:rsidR="00191E0B" w:rsidRDefault="00191E0B">
      <w:pPr>
        <w:pStyle w:val="RedaliaNormal"/>
      </w:pPr>
    </w:p>
    <w:p w14:paraId="0AB2BBEB" w14:textId="77777777" w:rsidR="00191E0B" w:rsidRDefault="007A32A9">
      <w:pPr>
        <w:pStyle w:val="RedaliaNormal"/>
        <w:tabs>
          <w:tab w:val="clear" w:pos="8505"/>
          <w:tab w:val="left" w:leader="dot" w:pos="9638"/>
        </w:tabs>
      </w:pPr>
      <w:r>
        <w:rPr>
          <w:b/>
        </w:rPr>
        <w:t>Documents de preuve disponibles en ligne </w:t>
      </w:r>
      <w:r>
        <w:t>:</w:t>
      </w:r>
    </w:p>
    <w:p w14:paraId="05DFD1E9" w14:textId="77777777" w:rsidR="00191E0B" w:rsidRDefault="00191E0B">
      <w:pPr>
        <w:pStyle w:val="RedaliaNormal"/>
      </w:pPr>
    </w:p>
    <w:p w14:paraId="76847936" w14:textId="77777777" w:rsidR="00191E0B" w:rsidRDefault="007A32A9">
      <w:pPr>
        <w:pStyle w:val="RedaliaNormal"/>
      </w:pPr>
      <w:r>
        <w:t>Adresse internet à laquelle les documents justificatifs et moyens de preuve sont accessibles directement et gratuitement, ainsi que l’ensemble des renseignements nécessaires pour y accéder :</w:t>
      </w:r>
    </w:p>
    <w:p w14:paraId="532AF4D7" w14:textId="77777777" w:rsidR="00191E0B" w:rsidRDefault="007A32A9">
      <w:pPr>
        <w:pStyle w:val="RedaliaNormal"/>
      </w:pPr>
      <w:r>
        <w:t xml:space="preserve">- Adresse internet : </w:t>
      </w:r>
      <w:r>
        <w:tab/>
      </w:r>
    </w:p>
    <w:p w14:paraId="31FFCF6C" w14:textId="77777777" w:rsidR="00191E0B" w:rsidRDefault="007A32A9">
      <w:pPr>
        <w:pStyle w:val="RedaliaNormal"/>
      </w:pPr>
      <w:r>
        <w:t> </w:t>
      </w:r>
    </w:p>
    <w:p w14:paraId="3DC52A9E" w14:textId="77777777" w:rsidR="00191E0B" w:rsidRDefault="007A32A9">
      <w:pPr>
        <w:pStyle w:val="RedaliaNormal"/>
      </w:pPr>
      <w:r>
        <w:t xml:space="preserve">- Renseignements nécessaires pour y accéder : </w:t>
      </w:r>
      <w:r>
        <w:tab/>
      </w:r>
    </w:p>
    <w:p w14:paraId="5000B4B5" w14:textId="77777777" w:rsidR="00191E0B" w:rsidRDefault="007A32A9">
      <w:pPr>
        <w:pStyle w:val="RedaliaNormal"/>
      </w:pPr>
      <w:r>
        <w:tab/>
      </w:r>
    </w:p>
    <w:p w14:paraId="46215E44" w14:textId="77777777" w:rsidR="00191E0B" w:rsidRDefault="007A32A9">
      <w:pPr>
        <w:pStyle w:val="RedaliaNormal"/>
      </w:pPr>
      <w:r>
        <w:tab/>
      </w:r>
    </w:p>
    <w:p w14:paraId="092A40BB" w14:textId="77777777" w:rsidR="00191E0B" w:rsidRDefault="00191E0B">
      <w:pPr>
        <w:pStyle w:val="RedaliaNormal"/>
      </w:pPr>
    </w:p>
    <w:p w14:paraId="3501FA3C" w14:textId="77777777" w:rsidR="00191E0B" w:rsidRDefault="007A32A9">
      <w:pPr>
        <w:pStyle w:val="RedaliaNormal"/>
        <w:rPr>
          <w:b/>
          <w:bCs/>
        </w:rPr>
      </w:pPr>
      <w:r>
        <w:rPr>
          <w:b/>
          <w:bCs/>
        </w:rPr>
        <w:t>c) déclare sur l’honneur que je ne suis pas, et qu'aucun des membres de mon groupement, ni de mes fournisseurs, entrepreneurs, consultants et sous-traitants ne figurent sur les listes de sanctions financières adoptées par les Nations Unies, l'Union Européenne et/ou la France, notamment au titre de la lutte contre le financement du terrorisme et contre les atteintes à la paix et à la sécurité internationales et m’engage à informer, sans délais l'Agence de tout changement de situation</w:t>
      </w:r>
    </w:p>
    <w:p w14:paraId="27E9A165" w14:textId="77777777" w:rsidR="00191E0B" w:rsidRDefault="00191E0B">
      <w:pPr>
        <w:pStyle w:val="RedaliaNormal"/>
      </w:pPr>
    </w:p>
    <w:p w14:paraId="48E1721D" w14:textId="77777777" w:rsidR="00191E0B" w:rsidRDefault="007A32A9">
      <w:pPr>
        <w:pStyle w:val="RedaliaNormal"/>
        <w:tabs>
          <w:tab w:val="left" w:leader="dot" w:pos="4140"/>
        </w:tabs>
      </w:pPr>
      <w:r>
        <w:t>Fait à</w:t>
      </w:r>
      <w:r>
        <w:tab/>
      </w:r>
    </w:p>
    <w:p w14:paraId="0BE394E3" w14:textId="77777777" w:rsidR="00191E0B" w:rsidRDefault="007A32A9">
      <w:pPr>
        <w:pStyle w:val="RedaliaNormal"/>
        <w:tabs>
          <w:tab w:val="left" w:leader="dot" w:pos="4140"/>
        </w:tabs>
      </w:pPr>
      <w:r>
        <w:t>Le</w:t>
      </w:r>
      <w:r>
        <w:tab/>
      </w:r>
    </w:p>
    <w:p w14:paraId="34D36D7B" w14:textId="77777777" w:rsidR="00191E0B" w:rsidRDefault="007A32A9">
      <w:pPr>
        <w:pStyle w:val="RedaliaNormal"/>
      </w:pPr>
      <w:r>
        <w:t>Signature</w:t>
      </w:r>
      <w:r>
        <w:tab/>
      </w:r>
    </w:p>
    <w:p w14:paraId="2E1BD72F" w14:textId="77777777" w:rsidR="00191E0B" w:rsidRDefault="007A32A9">
      <w:pPr>
        <w:pStyle w:val="RedaliaNormal"/>
      </w:pPr>
      <w:r>
        <w:tab/>
      </w:r>
    </w:p>
    <w:p w14:paraId="7D1AF532" w14:textId="77777777" w:rsidR="00191E0B" w:rsidRDefault="00191E0B">
      <w:pPr>
        <w:pStyle w:val="RedaliaNormal"/>
        <w:jc w:val="left"/>
      </w:pPr>
    </w:p>
    <w:p w14:paraId="0E3D782D" w14:textId="77777777" w:rsidR="00191E0B" w:rsidRPr="00BB3CEB" w:rsidRDefault="007A32A9">
      <w:pPr>
        <w:pStyle w:val="RedaliaTitre1"/>
      </w:pPr>
      <w:bookmarkStart w:id="55" w:name="_Toc207728938"/>
      <w:r w:rsidRPr="00BB3CEB">
        <w:lastRenderedPageBreak/>
        <w:t>Annexe : Cadre de réponse imposé</w:t>
      </w:r>
      <w:bookmarkEnd w:id="55"/>
    </w:p>
    <w:p w14:paraId="6738174F" w14:textId="77777777" w:rsidR="00191E0B" w:rsidRDefault="00191E0B">
      <w:pPr>
        <w:pStyle w:val="RedaliaNormal"/>
      </w:pPr>
    </w:p>
    <w:p w14:paraId="6DE31E0B" w14:textId="77777777" w:rsidR="00191E0B" w:rsidRDefault="007A32A9">
      <w:pPr>
        <w:pStyle w:val="RedaliaNormal"/>
      </w:pPr>
      <w:r>
        <w:t>Les réponses du Prestataire ne devront pas dépasser</w:t>
      </w:r>
      <w:r>
        <w:rPr>
          <w:color w:val="000000"/>
        </w:rPr>
        <w:t xml:space="preserve"> </w:t>
      </w:r>
      <w:r>
        <w:rPr>
          <w:b/>
          <w:bCs/>
          <w:color w:val="000000"/>
        </w:rPr>
        <w:t>20</w:t>
      </w:r>
      <w:r>
        <w:rPr>
          <w:color w:val="000000"/>
        </w:rPr>
        <w:t xml:space="preserve"> </w:t>
      </w:r>
      <w:r>
        <w:t>pages (hors annexes et CV).</w:t>
      </w:r>
    </w:p>
    <w:p w14:paraId="3D047EDD" w14:textId="77777777" w:rsidR="00191E0B" w:rsidRDefault="007A32A9">
      <w:pPr>
        <w:pStyle w:val="RedaliaNormal"/>
      </w:pPr>
      <w:r>
        <w:t>Les CV ne doivent pas dépasser 2 pages.</w:t>
      </w:r>
    </w:p>
    <w:p w14:paraId="7083A94B" w14:textId="77777777" w:rsidR="00191E0B" w:rsidRDefault="00191E0B">
      <w:pPr>
        <w:pStyle w:val="RedaliaNormal"/>
      </w:pPr>
    </w:p>
    <w:p w14:paraId="06028741" w14:textId="77777777" w:rsidR="00191E0B" w:rsidRDefault="007A32A9">
      <w:pPr>
        <w:pStyle w:val="RedaliaNormal"/>
      </w:pPr>
      <w:r>
        <w:t xml:space="preserve">Ces réponses devront impérativement respecter le canevas suivant : </w:t>
      </w:r>
    </w:p>
    <w:p w14:paraId="2A0B7665" w14:textId="77777777" w:rsidR="00191E0B" w:rsidRDefault="00191E0B">
      <w:pPr>
        <w:pStyle w:val="RedaliaNormal"/>
      </w:pPr>
    </w:p>
    <w:p w14:paraId="14C9D9DC" w14:textId="77777777" w:rsidR="00191E0B" w:rsidRDefault="007A32A9">
      <w:pPr>
        <w:pStyle w:val="RedaliaNormal"/>
        <w:shd w:val="clear" w:color="auto" w:fill="C5E0B3"/>
        <w:rPr>
          <w:b/>
          <w:bCs/>
          <w:sz w:val="24"/>
          <w:szCs w:val="24"/>
        </w:rPr>
      </w:pPr>
      <w:r>
        <w:rPr>
          <w:b/>
          <w:bCs/>
          <w:sz w:val="24"/>
          <w:szCs w:val="24"/>
        </w:rPr>
        <w:t>A - Résumé de votre offre</w:t>
      </w:r>
    </w:p>
    <w:p w14:paraId="1EB7863F" w14:textId="77777777" w:rsidR="00191E0B" w:rsidRDefault="00191E0B">
      <w:pPr>
        <w:pStyle w:val="RedaliaNormal"/>
      </w:pPr>
    </w:p>
    <w:p w14:paraId="01A5D0A5" w14:textId="77777777" w:rsidR="00191E0B" w:rsidRDefault="007A32A9">
      <w:pPr>
        <w:pStyle w:val="RedaliaNormal"/>
      </w:pPr>
      <w:r>
        <w:rPr>
          <w:b/>
          <w:bCs/>
        </w:rPr>
        <w:t>A.1</w:t>
      </w:r>
      <w:r>
        <w:t xml:space="preserve"> – Présentation du service et compréhension des attentes de l'AFD</w:t>
      </w:r>
    </w:p>
    <w:p w14:paraId="5141EE6E" w14:textId="77777777" w:rsidR="00191E0B" w:rsidRDefault="007A32A9">
      <w:pPr>
        <w:pStyle w:val="RedaliaNormal"/>
      </w:pPr>
      <w:r>
        <w:rPr>
          <w:b/>
          <w:bCs/>
        </w:rPr>
        <w:t>A.2</w:t>
      </w:r>
      <w:r>
        <w:t xml:space="preserve"> - Synthèse des étapes de votre intervention</w:t>
      </w:r>
    </w:p>
    <w:p w14:paraId="6964DD68" w14:textId="77777777" w:rsidR="00191E0B" w:rsidRDefault="007A32A9">
      <w:pPr>
        <w:pStyle w:val="RedaliaNormal"/>
      </w:pPr>
      <w:r>
        <w:rPr>
          <w:b/>
          <w:bCs/>
        </w:rPr>
        <w:t>A.3</w:t>
      </w:r>
      <w:r>
        <w:t xml:space="preserve"> - Calendrier général de la mission</w:t>
      </w:r>
    </w:p>
    <w:p w14:paraId="5D8ED637" w14:textId="77777777" w:rsidR="00191E0B" w:rsidRDefault="00191E0B">
      <w:pPr>
        <w:pStyle w:val="RedaliaNormal"/>
      </w:pPr>
    </w:p>
    <w:p w14:paraId="4BBCEA59" w14:textId="77777777" w:rsidR="00191E0B" w:rsidRDefault="007A32A9">
      <w:pPr>
        <w:pStyle w:val="RedaliaNormal"/>
        <w:shd w:val="clear" w:color="auto" w:fill="C5E0B3"/>
        <w:rPr>
          <w:b/>
          <w:bCs/>
          <w:sz w:val="24"/>
          <w:szCs w:val="24"/>
        </w:rPr>
      </w:pPr>
      <w:r>
        <w:rPr>
          <w:b/>
          <w:bCs/>
          <w:sz w:val="24"/>
          <w:szCs w:val="24"/>
        </w:rPr>
        <w:t>B - Points forts et valeur ajoutée de votre offre pour effectuer cette mission</w:t>
      </w:r>
    </w:p>
    <w:p w14:paraId="29774787" w14:textId="77777777" w:rsidR="00191E0B" w:rsidRDefault="00191E0B">
      <w:pPr>
        <w:pStyle w:val="RedaliaNormal"/>
      </w:pPr>
    </w:p>
    <w:p w14:paraId="5FFFCECC" w14:textId="77777777" w:rsidR="00191E0B" w:rsidRDefault="00191E0B">
      <w:pPr>
        <w:pStyle w:val="RedaliaNormal"/>
      </w:pPr>
    </w:p>
    <w:p w14:paraId="73AD5042" w14:textId="77777777" w:rsidR="00191E0B" w:rsidRDefault="007A32A9">
      <w:pPr>
        <w:pStyle w:val="RedaliaNormal"/>
        <w:shd w:val="clear" w:color="auto" w:fill="C5E0B3"/>
        <w:rPr>
          <w:b/>
          <w:bCs/>
          <w:sz w:val="24"/>
          <w:szCs w:val="24"/>
        </w:rPr>
      </w:pPr>
      <w:r>
        <w:rPr>
          <w:b/>
          <w:bCs/>
          <w:sz w:val="24"/>
          <w:szCs w:val="24"/>
        </w:rPr>
        <w:t>C - Description détaillée de votre offre</w:t>
      </w:r>
    </w:p>
    <w:p w14:paraId="5AECE03F" w14:textId="77777777" w:rsidR="00191E0B" w:rsidRDefault="00191E0B">
      <w:pPr>
        <w:pStyle w:val="RedaliaNormal"/>
      </w:pPr>
    </w:p>
    <w:p w14:paraId="4C63BCDC" w14:textId="77777777" w:rsidR="00191E0B" w:rsidRDefault="007A32A9">
      <w:pPr>
        <w:pStyle w:val="RedaliaNormal"/>
      </w:pPr>
      <w:r>
        <w:rPr>
          <w:b/>
          <w:bCs/>
        </w:rPr>
        <w:t>C</w:t>
      </w:r>
      <w:r w:rsidRPr="00877E9B">
        <w:t xml:space="preserve">.1 - Description détaillée du contenu des étapes proposées (diagnostic, analyses, scenarii, plan d’action, </w:t>
      </w:r>
      <w:proofErr w:type="spellStart"/>
      <w:r w:rsidRPr="00877E9B">
        <w:t>reporting</w:t>
      </w:r>
      <w:proofErr w:type="spellEnd"/>
      <w:r w:rsidRPr="00877E9B">
        <w:t>…)</w:t>
      </w:r>
    </w:p>
    <w:p w14:paraId="295113F2" w14:textId="77777777" w:rsidR="00191E0B" w:rsidRDefault="007A32A9">
      <w:pPr>
        <w:pStyle w:val="RedaliaNormal"/>
      </w:pPr>
      <w:r w:rsidRPr="00877E9B">
        <w:rPr>
          <w:b/>
          <w:bCs/>
        </w:rPr>
        <w:t>C.2</w:t>
      </w:r>
      <w:r w:rsidRPr="00877E9B">
        <w:t xml:space="preserve"> - Moyens mis en œuvre</w:t>
      </w:r>
    </w:p>
    <w:p w14:paraId="26770475" w14:textId="77777777" w:rsidR="00191E0B" w:rsidRDefault="007A32A9">
      <w:pPr>
        <w:pStyle w:val="RedaliaNormal"/>
      </w:pPr>
      <w:r w:rsidRPr="00877E9B">
        <w:rPr>
          <w:b/>
          <w:bCs/>
        </w:rPr>
        <w:t>C.3</w:t>
      </w:r>
      <w:r w:rsidRPr="00877E9B">
        <w:t xml:space="preserve"> - Instances et modalités pratiques de pilotage de la mission</w:t>
      </w:r>
    </w:p>
    <w:p w14:paraId="3EF2B24E" w14:textId="77777777" w:rsidR="00191E0B" w:rsidRDefault="007A32A9">
      <w:pPr>
        <w:pStyle w:val="RedaliaNormal"/>
      </w:pPr>
      <w:r w:rsidRPr="00877E9B">
        <w:rPr>
          <w:b/>
          <w:bCs/>
        </w:rPr>
        <w:t>C.4</w:t>
      </w:r>
      <w:r w:rsidRPr="00877E9B">
        <w:t xml:space="preserve"> - Tableau détaillé des livrables</w:t>
      </w:r>
    </w:p>
    <w:p w14:paraId="7FAF1DD8" w14:textId="77777777" w:rsidR="00191E0B" w:rsidRDefault="007A32A9">
      <w:pPr>
        <w:pStyle w:val="RedaliaNormal"/>
      </w:pPr>
      <w:r w:rsidRPr="00877E9B">
        <w:rPr>
          <w:b/>
          <w:bCs/>
        </w:rPr>
        <w:t>C.5</w:t>
      </w:r>
      <w:r w:rsidRPr="00877E9B">
        <w:t xml:space="preserve"> - Planning détaillé</w:t>
      </w:r>
    </w:p>
    <w:p w14:paraId="7C18DA8E" w14:textId="77777777" w:rsidR="00191E0B" w:rsidRDefault="00191E0B">
      <w:pPr>
        <w:pStyle w:val="RedaliaNormal"/>
      </w:pPr>
    </w:p>
    <w:p w14:paraId="608579C9" w14:textId="77777777" w:rsidR="00191E0B" w:rsidRDefault="007A32A9">
      <w:pPr>
        <w:pStyle w:val="RedaliaNormal"/>
        <w:shd w:val="clear" w:color="auto" w:fill="C5E0B3"/>
        <w:rPr>
          <w:b/>
          <w:bCs/>
          <w:sz w:val="24"/>
          <w:szCs w:val="24"/>
        </w:rPr>
      </w:pPr>
      <w:r>
        <w:rPr>
          <w:b/>
          <w:bCs/>
          <w:sz w:val="24"/>
          <w:szCs w:val="24"/>
        </w:rPr>
        <w:t>D - Recommandations du prestataire pour la bonne réalisation de la mission</w:t>
      </w:r>
    </w:p>
    <w:p w14:paraId="7B9E0C20" w14:textId="77777777" w:rsidR="00191E0B" w:rsidRDefault="00191E0B">
      <w:pPr>
        <w:pStyle w:val="RedaliaNormal"/>
      </w:pPr>
    </w:p>
    <w:p w14:paraId="79442E58" w14:textId="77777777" w:rsidR="00191E0B" w:rsidRDefault="00191E0B">
      <w:pPr>
        <w:pStyle w:val="RedaliaNormal"/>
      </w:pPr>
    </w:p>
    <w:p w14:paraId="47B2D696" w14:textId="77777777" w:rsidR="00191E0B" w:rsidRDefault="007A32A9">
      <w:pPr>
        <w:pStyle w:val="RedaliaNormal"/>
        <w:shd w:val="clear" w:color="auto" w:fill="C5E0B3"/>
        <w:rPr>
          <w:b/>
          <w:bCs/>
          <w:sz w:val="24"/>
          <w:szCs w:val="24"/>
        </w:rPr>
      </w:pPr>
      <w:r>
        <w:rPr>
          <w:b/>
          <w:bCs/>
          <w:sz w:val="24"/>
          <w:szCs w:val="24"/>
        </w:rPr>
        <w:t>E - Présentation de l’équipe qui interviendra sur la présente mission et références</w:t>
      </w:r>
    </w:p>
    <w:p w14:paraId="32DF12A2" w14:textId="77777777" w:rsidR="00191E0B" w:rsidRDefault="00191E0B">
      <w:pPr>
        <w:pStyle w:val="RedaliaNormal"/>
      </w:pPr>
    </w:p>
    <w:p w14:paraId="32DA9809" w14:textId="77777777" w:rsidR="00191E0B" w:rsidRDefault="007A32A9">
      <w:pPr>
        <w:pStyle w:val="RedaliaNormal"/>
      </w:pPr>
      <w:r>
        <w:rPr>
          <w:b/>
          <w:bCs/>
        </w:rPr>
        <w:t>E.1</w:t>
      </w:r>
      <w:r>
        <w:t xml:space="preserve"> – Constitution de l’équipe et répartition des responsabilités entre ses membres</w:t>
      </w:r>
    </w:p>
    <w:p w14:paraId="07075A2E" w14:textId="77777777" w:rsidR="00191E0B" w:rsidRDefault="007A32A9">
      <w:pPr>
        <w:pStyle w:val="RedaliaNormal"/>
      </w:pPr>
      <w:r>
        <w:rPr>
          <w:b/>
          <w:bCs/>
        </w:rPr>
        <w:t>E.2</w:t>
      </w:r>
      <w:r>
        <w:t xml:space="preserve"> – CV des intervenants (2 pages maximum par intervenant)</w:t>
      </w:r>
    </w:p>
    <w:p w14:paraId="401B4012" w14:textId="77777777" w:rsidR="00191E0B" w:rsidRDefault="007A32A9">
      <w:pPr>
        <w:pStyle w:val="RedaliaNormal"/>
      </w:pPr>
      <w:r>
        <w:rPr>
          <w:b/>
          <w:bCs/>
        </w:rPr>
        <w:t>E.3 -</w:t>
      </w:r>
      <w:r>
        <w:t xml:space="preserve"> Références pour le type de service correspondant à la mission du présent marché</w:t>
      </w:r>
    </w:p>
    <w:p w14:paraId="7075D691" w14:textId="77777777" w:rsidR="00191E0B" w:rsidRDefault="00191E0B">
      <w:pPr>
        <w:pStyle w:val="RedaliaNormal"/>
      </w:pPr>
    </w:p>
    <w:p w14:paraId="73B56552" w14:textId="77777777" w:rsidR="00191E0B" w:rsidRDefault="007A32A9">
      <w:pPr>
        <w:pStyle w:val="RedaliaNormal"/>
        <w:shd w:val="clear" w:color="auto" w:fill="C5E0B3"/>
        <w:rPr>
          <w:b/>
          <w:bCs/>
          <w:sz w:val="24"/>
          <w:szCs w:val="24"/>
        </w:rPr>
      </w:pPr>
      <w:r>
        <w:rPr>
          <w:b/>
          <w:bCs/>
          <w:sz w:val="24"/>
          <w:szCs w:val="24"/>
        </w:rPr>
        <w:t>F – Considération RSE (Critère RSE)</w:t>
      </w:r>
    </w:p>
    <w:p w14:paraId="10FCE351" w14:textId="77777777" w:rsidR="00191E0B" w:rsidRDefault="00191E0B">
      <w:pPr>
        <w:pStyle w:val="RedaliaNormal"/>
      </w:pPr>
    </w:p>
    <w:p w14:paraId="50A95CE3" w14:textId="77777777" w:rsidR="00191E0B" w:rsidRDefault="007A32A9">
      <w:pPr>
        <w:pStyle w:val="RedaliaNormal"/>
      </w:pPr>
      <w:r>
        <w:rPr>
          <w:b/>
          <w:bCs/>
        </w:rPr>
        <w:t>E.1</w:t>
      </w:r>
      <w:r>
        <w:t xml:space="preserve"> – Action environnementale mise en place pour la prestation : mise en œuvre des exigences pour la réduction des émissions carbone et des consommations d'énergie</w:t>
      </w:r>
    </w:p>
    <w:p w14:paraId="0C5D4EBA" w14:textId="77777777" w:rsidR="00191E0B" w:rsidRDefault="00191E0B">
      <w:pPr>
        <w:pStyle w:val="RedaliaNormal"/>
      </w:pPr>
    </w:p>
    <w:p w14:paraId="72A1FC60" w14:textId="77777777" w:rsidR="00191E0B" w:rsidRDefault="00191E0B">
      <w:pPr>
        <w:pStyle w:val="RedaliaNormal"/>
      </w:pPr>
    </w:p>
    <w:p w14:paraId="4B5BE1AA" w14:textId="77777777" w:rsidR="00191E0B" w:rsidRDefault="00191E0B">
      <w:pPr>
        <w:pStyle w:val="RedaliaNormal"/>
      </w:pPr>
    </w:p>
    <w:p w14:paraId="1EED1B17" w14:textId="77777777" w:rsidR="00191E0B" w:rsidRDefault="007A32A9">
      <w:pPr>
        <w:pStyle w:val="RedaliaTitre1"/>
      </w:pPr>
      <w:bookmarkStart w:id="56" w:name="_Toc1708984651"/>
      <w:bookmarkStart w:id="57" w:name="_Toc207728939"/>
      <w:r>
        <w:lastRenderedPageBreak/>
        <w:t>Annexe : Exigences relatives au certificat de signature</w:t>
      </w:r>
      <w:bookmarkEnd w:id="56"/>
      <w:bookmarkEnd w:id="57"/>
    </w:p>
    <w:p w14:paraId="0934FD27" w14:textId="77777777" w:rsidR="00191E0B" w:rsidRDefault="00191E0B">
      <w:pPr>
        <w:pStyle w:val="RedaliaNormal"/>
      </w:pPr>
    </w:p>
    <w:p w14:paraId="50E072B2" w14:textId="77777777" w:rsidR="00191E0B" w:rsidRDefault="00191E0B">
      <w:pPr>
        <w:pStyle w:val="RedaliaNormal"/>
      </w:pPr>
    </w:p>
    <w:p w14:paraId="4D9CF2FA" w14:textId="77777777" w:rsidR="00191E0B" w:rsidRDefault="007A32A9">
      <w:pPr>
        <w:pStyle w:val="RedaliaNormal"/>
      </w:pPr>
      <w:r>
        <w:rPr>
          <w:u w:val="single"/>
        </w:rPr>
        <w:t>Certificat de signature</w:t>
      </w:r>
      <w:r>
        <w:t xml:space="preserve"> :</w:t>
      </w:r>
    </w:p>
    <w:p w14:paraId="19223245" w14:textId="77777777" w:rsidR="00191E0B" w:rsidRDefault="00191E0B">
      <w:pPr>
        <w:pStyle w:val="RedaliaNormal"/>
      </w:pPr>
    </w:p>
    <w:p w14:paraId="4FEF458D" w14:textId="77777777" w:rsidR="00191E0B" w:rsidRDefault="007A32A9">
      <w:pPr>
        <w:pStyle w:val="RedaliaNormal"/>
      </w:pPr>
      <w:r>
        <w:t xml:space="preserve">Le certificat de signature du signataire doit être conforme au règlement « </w:t>
      </w:r>
      <w:proofErr w:type="spellStart"/>
      <w:r>
        <w:t>eIDAS</w:t>
      </w:r>
      <w:proofErr w:type="spellEnd"/>
      <w:r>
        <w:t xml:space="preserve"> » ou équivalent et respecter le niveau de sécurité exigé. Le RGS (référentiel général de sécurité) est remplacé par le règlement « </w:t>
      </w:r>
      <w:proofErr w:type="spellStart"/>
      <w:r>
        <w:t>eIDAS</w:t>
      </w:r>
      <w:proofErr w:type="spellEnd"/>
      <w:r>
        <w:t xml:space="preserve"> » depuis le 1er octobre 2018.</w:t>
      </w:r>
    </w:p>
    <w:p w14:paraId="294C0CD0" w14:textId="77777777" w:rsidR="00191E0B" w:rsidRDefault="007A32A9">
      <w:pPr>
        <w:pStyle w:val="RedaliaNormal"/>
      </w:pPr>
      <w:r>
        <w:t>Néanmoins, les candidats disposant déjà d’un certificat « RGS », celui-ci reste utilisable jusqu’au terme de sa période de validité.</w:t>
      </w:r>
    </w:p>
    <w:p w14:paraId="65945230" w14:textId="77777777" w:rsidR="00191E0B" w:rsidRDefault="00191E0B">
      <w:pPr>
        <w:pStyle w:val="RedaliaNormal"/>
      </w:pPr>
    </w:p>
    <w:p w14:paraId="0621F859" w14:textId="77777777" w:rsidR="00191E0B" w:rsidRDefault="007A32A9">
      <w:pPr>
        <w:pStyle w:val="RedaliaNormal"/>
      </w:pPr>
      <w:r>
        <w:rPr>
          <w:b/>
        </w:rPr>
        <w:t>- Cas 1 : Certificat émis par une Autorité de certification « reconnue » - Aucun justificatif à fournir</w:t>
      </w:r>
    </w:p>
    <w:p w14:paraId="604119F0" w14:textId="77777777" w:rsidR="00191E0B" w:rsidRDefault="00191E0B">
      <w:pPr>
        <w:pStyle w:val="RedaliaNormal"/>
      </w:pPr>
    </w:p>
    <w:p w14:paraId="3C8D0173" w14:textId="77777777" w:rsidR="00191E0B" w:rsidRDefault="007A32A9">
      <w:pPr>
        <w:pStyle w:val="RedaliaNormal"/>
      </w:pPr>
      <w:r>
        <w:t>Le certificat de signature est émis par une Autorité de certification mentionnée dans la liste de confiance suivante :</w:t>
      </w:r>
    </w:p>
    <w:p w14:paraId="087D7CE3" w14:textId="77777777" w:rsidR="00191E0B" w:rsidRDefault="007A32A9">
      <w:pPr>
        <w:pStyle w:val="RedaliaNormal"/>
        <w:jc w:val="center"/>
      </w:pPr>
      <w:r>
        <w:t>https://www.ssi.gouv.fr/administration/visa-de-securite/</w:t>
      </w:r>
    </w:p>
    <w:p w14:paraId="512CB75A" w14:textId="77777777" w:rsidR="00191E0B" w:rsidRDefault="00191E0B">
      <w:pPr>
        <w:pStyle w:val="RedaliaNormal"/>
      </w:pPr>
    </w:p>
    <w:p w14:paraId="3B82DBF3" w14:textId="77777777" w:rsidR="00191E0B" w:rsidRDefault="007A32A9">
      <w:pPr>
        <w:pStyle w:val="RedaliaNormal"/>
      </w:pPr>
      <w:r>
        <w:t>Les candidats européens trouveront également la liste complète des prestataires sur la liste de confiance tenue par la Commission européenne :</w:t>
      </w:r>
    </w:p>
    <w:p w14:paraId="263CD478" w14:textId="77777777" w:rsidR="00191E0B" w:rsidRDefault="00CA437C">
      <w:pPr>
        <w:pStyle w:val="RedaliaNormal"/>
        <w:jc w:val="center"/>
      </w:pPr>
      <w:hyperlink r:id="rId12" w:anchor="/tl/FR" w:history="1">
        <w:r w:rsidR="007A32A9">
          <w:rPr>
            <w:rStyle w:val="Lienhypertexte"/>
          </w:rPr>
          <w:t>https://webgate.ec.europa.eu/tl-browser/#/tl/FR</w:t>
        </w:r>
      </w:hyperlink>
    </w:p>
    <w:p w14:paraId="06AFB53F" w14:textId="77777777" w:rsidR="00191E0B" w:rsidRDefault="00191E0B">
      <w:pPr>
        <w:pStyle w:val="RedaliaNormal"/>
      </w:pPr>
    </w:p>
    <w:p w14:paraId="1DC8E776" w14:textId="77777777" w:rsidR="00191E0B" w:rsidRDefault="007A32A9">
      <w:pPr>
        <w:pStyle w:val="RedaliaNormal"/>
      </w:pPr>
      <w:r>
        <w:t>Dans ce cas, le soumissionnaire n’a aucun justificatif à fournir sur le certificat de signature utilisé pour signer sa réponse.</w:t>
      </w:r>
    </w:p>
    <w:p w14:paraId="3F646ED6" w14:textId="77777777" w:rsidR="00191E0B" w:rsidRDefault="00191E0B">
      <w:pPr>
        <w:pStyle w:val="RedaliaNormal"/>
      </w:pPr>
    </w:p>
    <w:p w14:paraId="0AFCE0D6" w14:textId="77777777" w:rsidR="00191E0B" w:rsidRDefault="007A32A9">
      <w:pPr>
        <w:pStyle w:val="RedaliaNormal"/>
      </w:pPr>
      <w:r>
        <w:rPr>
          <w:b/>
        </w:rPr>
        <w:t>- Cas 2 : Le certificat de signature électronique n’est pas référencé sur une liste de confiance - Différents justificatifs à fournir</w:t>
      </w:r>
    </w:p>
    <w:p w14:paraId="224A2419" w14:textId="77777777" w:rsidR="00191E0B" w:rsidRDefault="00191E0B">
      <w:pPr>
        <w:pStyle w:val="RedaliaNormal"/>
      </w:pPr>
    </w:p>
    <w:p w14:paraId="115788F5" w14:textId="77777777" w:rsidR="00191E0B" w:rsidRDefault="007A32A9">
      <w:pPr>
        <w:pStyle w:val="RedaliaNormal"/>
      </w:pPr>
      <w:r>
        <w:t>La plateforme de dématérialisation accepte tous les certificats de signature électronique présentant des conditions de sécurité équivalentes à celles du Référentiel général de sécurité (RGS) et « </w:t>
      </w:r>
      <w:proofErr w:type="spellStart"/>
      <w:r>
        <w:t>eIDAS</w:t>
      </w:r>
      <w:proofErr w:type="spellEnd"/>
      <w:r>
        <w:t> ».</w:t>
      </w:r>
    </w:p>
    <w:p w14:paraId="662DE97B" w14:textId="77777777" w:rsidR="00191E0B" w:rsidRDefault="007A32A9">
      <w:pPr>
        <w:pStyle w:val="RedaliaNormal"/>
      </w:pPr>
      <w:r>
        <w:t>Le candidat s’assure par lui-même que le certificat qu’il utilise est au moins conforme au niveau de sécurité défini par le Référentiel général de sécurité (RGS) ou « </w:t>
      </w:r>
      <w:proofErr w:type="spellStart"/>
      <w:r>
        <w:t>eIDAS</w:t>
      </w:r>
      <w:proofErr w:type="spellEnd"/>
      <w:r>
        <w:t> », et en fournit les justificatifs dans sa réponse électronique.</w:t>
      </w:r>
    </w:p>
    <w:p w14:paraId="0A6302A8" w14:textId="77777777" w:rsidR="00191E0B" w:rsidRDefault="007A32A9">
      <w:pPr>
        <w:pStyle w:val="RedaliaNormal"/>
      </w:pPr>
      <w:r>
        <w:t>Le candidat fournit également tous les éléments techniques permettant au pouvoir adjudicateur de s’assurer de la bonne validité technique du certificat utilisé.</w:t>
      </w:r>
    </w:p>
    <w:p w14:paraId="13699AE2" w14:textId="77777777" w:rsidR="00191E0B" w:rsidRDefault="00191E0B">
      <w:pPr>
        <w:pStyle w:val="RedaliaNormal"/>
      </w:pPr>
    </w:p>
    <w:p w14:paraId="55679E40" w14:textId="77777777" w:rsidR="00191E0B" w:rsidRDefault="007A32A9">
      <w:pPr>
        <w:pStyle w:val="RedaliaNormal"/>
      </w:pPr>
      <w:r>
        <w:t>Ainsi, le signataire doit transmettre avec sa réponse électronique les éléments suivants :</w:t>
      </w:r>
    </w:p>
    <w:p w14:paraId="032EE867" w14:textId="77777777" w:rsidR="00191E0B" w:rsidRDefault="00191E0B">
      <w:pPr>
        <w:pStyle w:val="RedaliaNormal"/>
      </w:pPr>
    </w:p>
    <w:p w14:paraId="39966127" w14:textId="77777777" w:rsidR="00191E0B" w:rsidRDefault="007A32A9">
      <w:pPr>
        <w:pStyle w:val="RedaliaNormal"/>
      </w:pPr>
      <w:r>
        <w:t xml:space="preserve">     a) tout élément permettant la vérification de la qualité et du niveau de sécurité du certificat de signature (preuve de la qualification de l’Autorité de certification, politique de certification, adresse du site internet du référencement de l’Autorité de certification),</w:t>
      </w:r>
    </w:p>
    <w:p w14:paraId="5919F5AD" w14:textId="77777777" w:rsidR="00191E0B" w:rsidRDefault="007A32A9">
      <w:pPr>
        <w:pStyle w:val="RedaliaNormal"/>
      </w:pPr>
      <w:r>
        <w:t xml:space="preserve">     b) les outils techniques de vérification du certificat (chaîne de certification complète jusqu’à l’Autorité de Certification racine, adresse de téléchargement de la dernière mise à jour de la liste de révocation des certificats).</w:t>
      </w:r>
    </w:p>
    <w:p w14:paraId="53F2DCE4" w14:textId="77777777" w:rsidR="00191E0B" w:rsidRDefault="00191E0B">
      <w:pPr>
        <w:pStyle w:val="RedaliaNormal"/>
      </w:pPr>
    </w:p>
    <w:p w14:paraId="2710F803" w14:textId="77777777" w:rsidR="00191E0B" w:rsidRDefault="007A32A9">
      <w:pPr>
        <w:pStyle w:val="RedaliaNormal"/>
      </w:pPr>
      <w:r>
        <w:t>Il est précisé que tous ces éléments doivent être d’accès et d’utilisation gratuits pour l’acheteur, et être accompagnés le cas échéant de notices d’utilisation claires.</w:t>
      </w:r>
    </w:p>
    <w:p w14:paraId="5107551E" w14:textId="77777777" w:rsidR="00191E0B" w:rsidRDefault="00191E0B">
      <w:pPr>
        <w:pStyle w:val="RedaliaNormal"/>
      </w:pPr>
    </w:p>
    <w:p w14:paraId="21594B6C" w14:textId="77777777" w:rsidR="00191E0B" w:rsidRDefault="007A32A9">
      <w:pPr>
        <w:pStyle w:val="RedaliaNormal"/>
      </w:pPr>
      <w:r>
        <w:rPr>
          <w:u w:val="single"/>
        </w:rPr>
        <w:t>Outil de signature utilisé pour signer les fichiers</w:t>
      </w:r>
      <w:r>
        <w:t xml:space="preserve"> :</w:t>
      </w:r>
    </w:p>
    <w:p w14:paraId="79AF3ACF" w14:textId="77777777" w:rsidR="00191E0B" w:rsidRDefault="00191E0B">
      <w:pPr>
        <w:pStyle w:val="RedaliaNormal"/>
      </w:pPr>
    </w:p>
    <w:p w14:paraId="52700977" w14:textId="77777777" w:rsidR="00191E0B" w:rsidRDefault="007A32A9">
      <w:pPr>
        <w:pStyle w:val="RedaliaNormal"/>
      </w:pPr>
      <w:r>
        <w:t>La réglementation autorise le soumissionnaire à utiliser l’outil de signature de son choix.</w:t>
      </w:r>
    </w:p>
    <w:p w14:paraId="2F27F438" w14:textId="77777777" w:rsidR="00191E0B" w:rsidRDefault="00191E0B">
      <w:pPr>
        <w:pStyle w:val="RedaliaNormal"/>
      </w:pPr>
    </w:p>
    <w:p w14:paraId="2AD0E7F4" w14:textId="77777777" w:rsidR="00191E0B" w:rsidRDefault="007A32A9">
      <w:pPr>
        <w:pStyle w:val="RedaliaNormal"/>
      </w:pPr>
      <w:r>
        <w:rPr>
          <w:b/>
        </w:rPr>
        <w:t>- Cas 1 : Le soumissionnaire utilise l’outil de signature de la plate-forme - Aucun justificatif à fournir</w:t>
      </w:r>
    </w:p>
    <w:p w14:paraId="2B5F4CCA" w14:textId="77777777" w:rsidR="00191E0B" w:rsidRDefault="00191E0B">
      <w:pPr>
        <w:pStyle w:val="RedaliaNormal"/>
      </w:pPr>
    </w:p>
    <w:p w14:paraId="0211B05D" w14:textId="77777777" w:rsidR="00191E0B" w:rsidRDefault="007A32A9">
      <w:pPr>
        <w:pStyle w:val="RedaliaNormal"/>
      </w:pPr>
      <w:r>
        <w:t xml:space="preserve">La plate-forme intègre un outil de signature électronique, qui réalise des Jetons de signature au format réglementaire </w:t>
      </w:r>
      <w:proofErr w:type="spellStart"/>
      <w:r>
        <w:t>XAdES</w:t>
      </w:r>
      <w:proofErr w:type="spellEnd"/>
      <w:r>
        <w:t>.</w:t>
      </w:r>
    </w:p>
    <w:p w14:paraId="7BA77E21" w14:textId="77777777" w:rsidR="00191E0B" w:rsidRDefault="00191E0B">
      <w:pPr>
        <w:pStyle w:val="RedaliaNormal"/>
      </w:pPr>
    </w:p>
    <w:p w14:paraId="639EA77B" w14:textId="77777777" w:rsidR="00191E0B" w:rsidRDefault="007A32A9">
      <w:pPr>
        <w:pStyle w:val="RedaliaNormal"/>
      </w:pPr>
      <w:r>
        <w:t>Dans ce cas, le soumissionnaire n’a aucun justificatif à fournir sur les signatures électroniques transmises et l’outil de signature utilisé.</w:t>
      </w:r>
    </w:p>
    <w:p w14:paraId="588C1564" w14:textId="77777777" w:rsidR="00191E0B" w:rsidRDefault="00191E0B">
      <w:pPr>
        <w:pStyle w:val="RedaliaNormal"/>
      </w:pPr>
    </w:p>
    <w:p w14:paraId="111D72E6" w14:textId="77777777" w:rsidR="00191E0B" w:rsidRDefault="007A32A9">
      <w:pPr>
        <w:pStyle w:val="RedaliaNormal"/>
      </w:pPr>
      <w:r>
        <w:rPr>
          <w:b/>
        </w:rPr>
        <w:t>- Cas 2 : Le soumissionnaire utilise un autre outil de signature que celui intégré à la plate-forme - Différents justificatifs à fournir</w:t>
      </w:r>
    </w:p>
    <w:p w14:paraId="31CDA5AA" w14:textId="77777777" w:rsidR="00191E0B" w:rsidRDefault="00191E0B">
      <w:pPr>
        <w:pStyle w:val="RedaliaNormal"/>
      </w:pPr>
    </w:p>
    <w:p w14:paraId="395948DE" w14:textId="77777777" w:rsidR="00191E0B" w:rsidRDefault="007A32A9">
      <w:pPr>
        <w:pStyle w:val="RedaliaNormal"/>
      </w:pPr>
      <w:r>
        <w:t>Lorsque le candidat utilise un autre outil de signature que celui de la plate-forme, il doit respecter les deux obligations suivantes :</w:t>
      </w:r>
    </w:p>
    <w:p w14:paraId="314D4BE2" w14:textId="77777777" w:rsidR="00191E0B" w:rsidRDefault="00191E0B">
      <w:pPr>
        <w:pStyle w:val="RedaliaNormal"/>
      </w:pPr>
    </w:p>
    <w:p w14:paraId="7D64F1C4" w14:textId="77777777" w:rsidR="00191E0B" w:rsidRDefault="007A32A9">
      <w:pPr>
        <w:pStyle w:val="RedaliaNormal"/>
      </w:pPr>
      <w:r>
        <w:t xml:space="preserve">     a) Produire des formats de signature </w:t>
      </w:r>
      <w:proofErr w:type="spellStart"/>
      <w:r>
        <w:t>XAdES</w:t>
      </w:r>
      <w:proofErr w:type="spellEnd"/>
      <w:r>
        <w:t xml:space="preserve">, </w:t>
      </w:r>
      <w:proofErr w:type="spellStart"/>
      <w:r>
        <w:t>CAdES</w:t>
      </w:r>
      <w:proofErr w:type="spellEnd"/>
      <w:r>
        <w:t xml:space="preserve"> ou </w:t>
      </w:r>
      <w:proofErr w:type="spellStart"/>
      <w:r>
        <w:t>PAdES</w:t>
      </w:r>
      <w:proofErr w:type="spellEnd"/>
      <w:r>
        <w:t>.</w:t>
      </w:r>
    </w:p>
    <w:p w14:paraId="249BF626" w14:textId="77777777" w:rsidR="00191E0B" w:rsidRDefault="007A32A9">
      <w:pPr>
        <w:pStyle w:val="RedaliaNormal"/>
      </w:pPr>
      <w:r>
        <w:t xml:space="preserve">     b) Permettre la vérification en transmettant en parallèle les éléments nécessaires pour procéder à la vérification de la validité de la signature et de l’intégrité du document, et ce, gratuitement.</w:t>
      </w:r>
    </w:p>
    <w:p w14:paraId="0E3ED2B8" w14:textId="77777777" w:rsidR="00191E0B" w:rsidRDefault="007A32A9">
      <w:pPr>
        <w:pStyle w:val="RedaliaNormal"/>
      </w:pPr>
      <w:r>
        <w:rPr>
          <w:b/>
          <w:u w:val="single"/>
        </w:rPr>
        <w:t>ATTENTION :</w:t>
      </w:r>
      <w:r>
        <w:t xml:space="preserve"> Il est porté à l’attention des candidats que l’utilisation d’une signature électronique ne doit pas entrer en contradiction avec l’article « Conditions d’envoi et de remise des candidatures et des offres », alinéas « Formats de fichiers acceptés ». A ce titre, il est recommandé d’utiliser une signature « détachée » lorsque l’outil de signature le permet ; afin de remettre un document dans un format accepté.</w:t>
      </w:r>
    </w:p>
    <w:p w14:paraId="1B269831" w14:textId="77777777" w:rsidR="00191E0B" w:rsidRDefault="00191E0B">
      <w:pPr>
        <w:pStyle w:val="RedaliaNormal"/>
      </w:pPr>
    </w:p>
    <w:p w14:paraId="32A93DE2" w14:textId="77777777" w:rsidR="00191E0B" w:rsidRDefault="007A32A9">
      <w:pPr>
        <w:pStyle w:val="RedaliaNormal"/>
      </w:pPr>
      <w:r>
        <w:t>Il est précisé que tous ces éléments doivent être d’accès et d’utilisation gratuits pour l’acheteur, et être accompagnés le cas échéant de notices d’utilisation claires.</w:t>
      </w:r>
    </w:p>
    <w:p w14:paraId="21B7D5C7" w14:textId="77777777" w:rsidR="00191E0B" w:rsidRDefault="00191E0B">
      <w:pPr>
        <w:pStyle w:val="RedaliaNormal"/>
      </w:pPr>
    </w:p>
    <w:sectPr w:rsidR="00191E0B">
      <w:headerReference w:type="default" r:id="rId13"/>
      <w:footerReference w:type="default" r:id="rId14"/>
      <w:pgSz w:w="11906" w:h="16838"/>
      <w:pgMar w:top="1843" w:right="1134" w:bottom="184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DE68" w14:textId="77777777" w:rsidR="007A32A9" w:rsidRDefault="007A32A9">
      <w:r>
        <w:separator/>
      </w:r>
    </w:p>
  </w:endnote>
  <w:endnote w:type="continuationSeparator" w:id="0">
    <w:p w14:paraId="5835DFF3" w14:textId="77777777" w:rsidR="007A32A9" w:rsidRDefault="007A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ITC Avant Garde Std Bk">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278B" w14:textId="77777777" w:rsidR="007A32A9" w:rsidRDefault="007A32A9">
    <w:pPr>
      <w:pStyle w:val="RedaliaNormal"/>
      <w:jc w:val="right"/>
    </w:pPr>
    <w:r>
      <w:rPr>
        <w:sz w:val="18"/>
        <w:szCs w:val="18"/>
      </w:rPr>
      <w:t xml:space="preserve">Page </w:t>
    </w:r>
    <w:r>
      <w:rPr>
        <w:b/>
        <w:bCs/>
        <w:sz w:val="18"/>
        <w:szCs w:val="18"/>
      </w:rPr>
      <w:fldChar w:fldCharType="begin"/>
    </w:r>
    <w:r>
      <w:rPr>
        <w:b/>
        <w:bCs/>
        <w:sz w:val="18"/>
        <w:szCs w:val="18"/>
      </w:rPr>
      <w:instrText xml:space="preserve"> PAGE \* ARABIC </w:instrText>
    </w:r>
    <w:r>
      <w:rPr>
        <w:b/>
        <w:bCs/>
        <w:sz w:val="18"/>
        <w:szCs w:val="18"/>
      </w:rPr>
      <w:fldChar w:fldCharType="separate"/>
    </w:r>
    <w:r>
      <w:rPr>
        <w:b/>
        <w:bCs/>
        <w:sz w:val="18"/>
        <w:szCs w:val="18"/>
      </w:rPr>
      <w:t>17</w:t>
    </w:r>
    <w:r>
      <w:rPr>
        <w:b/>
        <w:bCs/>
        <w:sz w:val="18"/>
        <w:szCs w:val="18"/>
      </w:rPr>
      <w:fldChar w:fldCharType="end"/>
    </w:r>
    <w:r>
      <w:rPr>
        <w:sz w:val="18"/>
        <w:szCs w:val="18"/>
      </w:rPr>
      <w:t xml:space="preserve"> sur </w:t>
    </w:r>
    <w:r>
      <w:rPr>
        <w:b/>
        <w:bCs/>
        <w:sz w:val="18"/>
        <w:szCs w:val="18"/>
      </w:rPr>
      <w:fldChar w:fldCharType="begin"/>
    </w:r>
    <w:r>
      <w:rPr>
        <w:b/>
        <w:bCs/>
        <w:sz w:val="18"/>
        <w:szCs w:val="18"/>
      </w:rPr>
      <w:instrText xml:space="preserve"> NUMPAGES \* ARABIC </w:instrText>
    </w:r>
    <w:r>
      <w:rPr>
        <w:b/>
        <w:bCs/>
        <w:sz w:val="18"/>
        <w:szCs w:val="18"/>
      </w:rPr>
      <w:fldChar w:fldCharType="separate"/>
    </w:r>
    <w:r>
      <w:rPr>
        <w:b/>
        <w:bCs/>
        <w:sz w:val="18"/>
        <w:szCs w:val="18"/>
      </w:rPr>
      <w:t>17</w:t>
    </w:r>
    <w:r>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9078" w14:textId="77777777" w:rsidR="007A32A9" w:rsidRDefault="007A32A9">
      <w:r>
        <w:rPr>
          <w:color w:val="000000"/>
        </w:rPr>
        <w:separator/>
      </w:r>
    </w:p>
  </w:footnote>
  <w:footnote w:type="continuationSeparator" w:id="0">
    <w:p w14:paraId="23B2B896" w14:textId="77777777" w:rsidR="007A32A9" w:rsidRDefault="007A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2" w:type="dxa"/>
      <w:tblLayout w:type="fixed"/>
      <w:tblCellMar>
        <w:left w:w="10" w:type="dxa"/>
        <w:right w:w="10" w:type="dxa"/>
      </w:tblCellMar>
      <w:tblLook w:val="0000" w:firstRow="0" w:lastRow="0" w:firstColumn="0" w:lastColumn="0" w:noHBand="0" w:noVBand="0"/>
    </w:tblPr>
    <w:tblGrid>
      <w:gridCol w:w="1384"/>
      <w:gridCol w:w="7828"/>
    </w:tblGrid>
    <w:tr w:rsidR="00514278" w14:paraId="65742D36" w14:textId="77777777">
      <w:tc>
        <w:tcPr>
          <w:tcW w:w="1384" w:type="dxa"/>
          <w:shd w:val="clear" w:color="auto" w:fill="auto"/>
          <w:tcMar>
            <w:top w:w="0" w:type="dxa"/>
            <w:left w:w="108" w:type="dxa"/>
            <w:bottom w:w="0" w:type="dxa"/>
            <w:right w:w="108" w:type="dxa"/>
          </w:tcMar>
        </w:tcPr>
        <w:p w14:paraId="378A9E37" w14:textId="77777777" w:rsidR="007A32A9" w:rsidRDefault="007A32A9">
          <w:pPr>
            <w:pStyle w:val="RedaliaNormal"/>
          </w:pPr>
        </w:p>
      </w:tc>
      <w:tc>
        <w:tcPr>
          <w:tcW w:w="7828" w:type="dxa"/>
          <w:tcBorders>
            <w:bottom w:val="single" w:sz="4" w:space="0" w:color="000000"/>
          </w:tcBorders>
          <w:shd w:val="clear" w:color="auto" w:fill="auto"/>
          <w:tcMar>
            <w:top w:w="0" w:type="dxa"/>
            <w:left w:w="108" w:type="dxa"/>
            <w:bottom w:w="0" w:type="dxa"/>
            <w:right w:w="108" w:type="dxa"/>
          </w:tcMar>
        </w:tcPr>
        <w:p w14:paraId="5BE46E9C" w14:textId="77777777" w:rsidR="007A32A9" w:rsidRDefault="007A32A9">
          <w:pPr>
            <w:pStyle w:val="RdaliaLgende"/>
            <w:jc w:val="right"/>
          </w:pPr>
          <w:r>
            <w:t xml:space="preserve"> CLS-2025-0321</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5195"/>
    <w:multiLevelType w:val="multilevel"/>
    <w:tmpl w:val="F9C2287E"/>
    <w:styleLink w:val="LFO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84D7C1C"/>
    <w:multiLevelType w:val="multilevel"/>
    <w:tmpl w:val="007CD59E"/>
    <w:styleLink w:val="LFO26"/>
    <w:lvl w:ilvl="0">
      <w:numFmt w:val="bullet"/>
      <w:pStyle w:val="RdaliaTableau"/>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189C53C0"/>
    <w:multiLevelType w:val="multilevel"/>
    <w:tmpl w:val="817027D8"/>
    <w:styleLink w:val="WWOutlineListStyle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9911186"/>
    <w:multiLevelType w:val="multilevel"/>
    <w:tmpl w:val="C8E6D688"/>
    <w:styleLink w:val="LFO35"/>
    <w:lvl w:ilvl="0">
      <w:start w:val="1"/>
      <w:numFmt w:val="upperLetter"/>
      <w:pStyle w:val="LIAParagrapheA"/>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A3630F0"/>
    <w:multiLevelType w:val="multilevel"/>
    <w:tmpl w:val="33407796"/>
    <w:styleLink w:val="WWOutlineListStyle1"/>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D770AF0"/>
    <w:multiLevelType w:val="multilevel"/>
    <w:tmpl w:val="B7783008"/>
    <w:styleLink w:val="List1"/>
    <w:lvl w:ilvl="0">
      <w:numFmt w:val="bullet"/>
      <w:pStyle w:val="Redaliapuces"/>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0">
    <w:nsid w:val="23203041"/>
    <w:multiLevelType w:val="multilevel"/>
    <w:tmpl w:val="E7509882"/>
    <w:styleLink w:val="WWOutlineListStyle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A0B2FFE"/>
    <w:multiLevelType w:val="multilevel"/>
    <w:tmpl w:val="AF5E5F58"/>
    <w:styleLink w:val="WWOutlineListStyle5"/>
    <w:lvl w:ilvl="0">
      <w:start w:val="1"/>
      <w:numFmt w:val="decimal"/>
      <w:pStyle w:val="RedaliaTitre1"/>
      <w:lvlText w:val="%1."/>
      <w:lvlJc w:val="left"/>
      <w:pPr>
        <w:ind w:left="360" w:hanging="360"/>
      </w:pPr>
    </w:lvl>
    <w:lvl w:ilvl="1">
      <w:start w:val="1"/>
      <w:numFmt w:val="decimal"/>
      <w:pStyle w:val="RedaliaTitre2"/>
      <w:lvlText w:val="%1.%2"/>
      <w:lvlJc w:val="left"/>
      <w:pPr>
        <w:ind w:left="720" w:hanging="360"/>
      </w:pPr>
    </w:lvl>
    <w:lvl w:ilvl="2">
      <w:start w:val="1"/>
      <w:numFmt w:val="decimal"/>
      <w:pStyle w:val="RedaliaTitre3"/>
      <w:lvlText w:val="%1.%2.%3"/>
      <w:lvlJc w:val="left"/>
      <w:pPr>
        <w:ind w:left="1080" w:hanging="360"/>
      </w:pPr>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CB2CE6"/>
    <w:multiLevelType w:val="multilevel"/>
    <w:tmpl w:val="7BDC4324"/>
    <w:styleLink w:val="LFO20"/>
    <w:lvl w:ilvl="0">
      <w:numFmt w:val="bullet"/>
      <w:lvlText w:val=""/>
      <w:lvlJc w:val="left"/>
      <w:pPr>
        <w:ind w:left="284" w:hanging="11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2CF208C4"/>
    <w:multiLevelType w:val="multilevel"/>
    <w:tmpl w:val="E61C3E24"/>
    <w:styleLink w:val="WWOutlineListStyle3"/>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D2A55D8"/>
    <w:multiLevelType w:val="multilevel"/>
    <w:tmpl w:val="EF8ECF9A"/>
    <w:styleLink w:val="LFO22"/>
    <w:lvl w:ilvl="0">
      <w:numFmt w:val="bullet"/>
      <w:pStyle w:val="StyleAvecPuceGras"/>
      <w:lvlText w:val="•"/>
      <w:lvlJc w:val="left"/>
      <w:pPr>
        <w:ind w:left="284" w:hanging="114"/>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600" w:hanging="360"/>
      </w:pPr>
      <w:rPr>
        <w:rFonts w:ascii="OpenSymbol" w:eastAsia="OpenSymbol" w:hAnsi="OpenSymbol" w:cs="OpenSymbol"/>
      </w:rPr>
    </w:lvl>
    <w:lvl w:ilvl="5">
      <w:numFmt w:val="bullet"/>
      <w:lvlText w:val="•"/>
      <w:lvlJc w:val="left"/>
      <w:pPr>
        <w:ind w:left="4320" w:hanging="360"/>
      </w:pPr>
      <w:rPr>
        <w:rFonts w:ascii="OpenSymbol" w:eastAsia="OpenSymbol" w:hAnsi="OpenSymbol" w:cs="OpenSymbol"/>
      </w:rPr>
    </w:lvl>
    <w:lvl w:ilvl="6">
      <w:numFmt w:val="bullet"/>
      <w:lvlText w:val="•"/>
      <w:lvlJc w:val="left"/>
      <w:pPr>
        <w:ind w:left="5040" w:hanging="360"/>
      </w:pPr>
      <w:rPr>
        <w:rFonts w:ascii="OpenSymbol" w:eastAsia="OpenSymbol" w:hAnsi="OpenSymbol" w:cs="OpenSymbol"/>
      </w:rPr>
    </w:lvl>
    <w:lvl w:ilvl="7">
      <w:numFmt w:val="bullet"/>
      <w:lvlText w:val="•"/>
      <w:lvlJc w:val="left"/>
      <w:pPr>
        <w:ind w:left="5760" w:hanging="360"/>
      </w:pPr>
      <w:rPr>
        <w:rFonts w:ascii="OpenSymbol" w:eastAsia="OpenSymbol" w:hAnsi="OpenSymbol" w:cs="OpenSymbol"/>
      </w:rPr>
    </w:lvl>
    <w:lvl w:ilvl="8">
      <w:numFmt w:val="bullet"/>
      <w:lvlText w:val="•"/>
      <w:lvlJc w:val="left"/>
      <w:pPr>
        <w:ind w:left="6480" w:hanging="360"/>
      </w:pPr>
      <w:rPr>
        <w:rFonts w:ascii="OpenSymbol" w:eastAsia="OpenSymbol" w:hAnsi="OpenSymbol" w:cs="OpenSymbol"/>
      </w:rPr>
    </w:lvl>
  </w:abstractNum>
  <w:abstractNum w:abstractNumId="11" w15:restartNumberingAfterBreak="0">
    <w:nsid w:val="3D1051E1"/>
    <w:multiLevelType w:val="multilevel"/>
    <w:tmpl w:val="E5EC186C"/>
    <w:styleLink w:val="LFO23"/>
    <w:lvl w:ilvl="0">
      <w:numFmt w:val="bullet"/>
      <w:pStyle w:val="Chapitre2"/>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12" w15:restartNumberingAfterBreak="0">
    <w:nsid w:val="3D75759C"/>
    <w:multiLevelType w:val="multilevel"/>
    <w:tmpl w:val="40B26014"/>
    <w:styleLink w:val="LFO33"/>
    <w:lvl w:ilvl="0">
      <w:start w:val="1"/>
      <w:numFmt w:val="decimal"/>
      <w:pStyle w:val="LIAParagraphe1"/>
      <w:lvlText w:val="%1."/>
      <w:lvlJc w:val="left"/>
      <w:pPr>
        <w:ind w:left="360" w:hanging="360"/>
      </w:p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3" w15:restartNumberingAfterBreak="0">
    <w:nsid w:val="45213EBD"/>
    <w:multiLevelType w:val="multilevel"/>
    <w:tmpl w:val="37E824FC"/>
    <w:styleLink w:val="LFO29"/>
    <w:lvl w:ilvl="0">
      <w:start w:val="1"/>
      <w:numFmt w:val="upperLetter"/>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4" w15:restartNumberingAfterBreak="0">
    <w:nsid w:val="4551774D"/>
    <w:multiLevelType w:val="multilevel"/>
    <w:tmpl w:val="14E4B2E2"/>
    <w:styleLink w:val="LFO5"/>
    <w:lvl w:ilvl="0">
      <w:numFmt w:val="bullet"/>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74846ED"/>
    <w:multiLevelType w:val="multilevel"/>
    <w:tmpl w:val="6114993E"/>
    <w:styleLink w:val="LFO28"/>
    <w:lvl w:ilvl="0">
      <w:start w:val="1"/>
      <w:numFmt w:val="decimal"/>
      <w:lvlText w:val="%1."/>
      <w:lvlJc w:val="left"/>
      <w:pPr>
        <w:ind w:left="36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6" w15:restartNumberingAfterBreak="0">
    <w:nsid w:val="511D085F"/>
    <w:multiLevelType w:val="multilevel"/>
    <w:tmpl w:val="C7EC4F10"/>
    <w:styleLink w:val="LFO4"/>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526D79A3"/>
    <w:multiLevelType w:val="multilevel"/>
    <w:tmpl w:val="7CB6B8EC"/>
    <w:styleLink w:val="LFO1"/>
    <w:lvl w:ilvl="0">
      <w:numFmt w:val="bullet"/>
      <w:lvlText w:val=""/>
      <w:lvlJc w:val="left"/>
      <w:pPr>
        <w:ind w:left="360" w:hanging="360"/>
      </w:pPr>
      <w:rPr>
        <w:rFonts w:ascii="Symbol" w:hAnsi="Symbol"/>
        <w:color w:val="auto"/>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15:restartNumberingAfterBreak="0">
    <w:nsid w:val="66F51540"/>
    <w:multiLevelType w:val="multilevel"/>
    <w:tmpl w:val="FDF40964"/>
    <w:styleLink w:val="Outlin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CB648E6"/>
    <w:multiLevelType w:val="multilevel"/>
    <w:tmpl w:val="E084D572"/>
    <w:styleLink w:val="LFO24"/>
    <w:lvl w:ilvl="0">
      <w:numFmt w:val="bullet"/>
      <w:pStyle w:val="Elmentrecens"/>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9BB5A0D"/>
    <w:multiLevelType w:val="multilevel"/>
    <w:tmpl w:val="00C61104"/>
    <w:styleLink w:val="LFO25"/>
    <w:lvl w:ilvl="0">
      <w:numFmt w:val="bullet"/>
      <w:pStyle w:val="RdaliaRetraitniveau2"/>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AFF4FAA"/>
    <w:multiLevelType w:val="multilevel"/>
    <w:tmpl w:val="EDA8DB70"/>
    <w:styleLink w:val="LFO18"/>
    <w:lvl w:ilvl="0">
      <w:start w:val="1"/>
      <w:numFmt w:val="decimal"/>
      <w:suff w:val="space"/>
      <w:lvlText w:val="%1."/>
      <w:lvlJc w:val="left"/>
      <w:pPr>
        <w:ind w:left="360" w:hanging="360"/>
      </w:pPr>
      <w:rPr>
        <w:rFonts w:cs="Times New Roman"/>
      </w:rPr>
    </w:lvl>
    <w:lvl w:ilvl="1">
      <w:start w:val="1"/>
      <w:numFmt w:val="decimal"/>
      <w:suff w:val="space"/>
      <w:lvlText w:val="%1.%2"/>
      <w:lvlJc w:val="left"/>
      <w:pPr>
        <w:ind w:left="785" w:hanging="360"/>
      </w:pPr>
      <w:rPr>
        <w:rFonts w:cs="Times New Roman"/>
      </w:rPr>
    </w:lvl>
    <w:lvl w:ilvl="2">
      <w:start w:val="1"/>
      <w:numFmt w:val="decimal"/>
      <w:suff w:val="space"/>
      <w:lvlText w:val="%1.%2.%3"/>
      <w:lvlJc w:val="left"/>
      <w:pPr>
        <w:ind w:left="1080" w:hanging="360"/>
      </w:pPr>
      <w:rPr>
        <w:rFonts w:cs="Times New Roman"/>
      </w:rPr>
    </w:lvl>
    <w:lvl w:ilvl="3">
      <w:start w:val="1"/>
      <w:numFmt w:val="decimal"/>
      <w:lvlText w:val="()"/>
      <w:lvlJc w:val="left"/>
      <w:pPr>
        <w:ind w:left="1440" w:hanging="360"/>
      </w:pPr>
      <w:rPr>
        <w:rFonts w:cs="Times New Roman"/>
      </w:rPr>
    </w:lvl>
    <w:lvl w:ilvl="4">
      <w:start w:val="1"/>
      <w:numFmt w:val="lowerLetter"/>
      <w:lvlText w:val="()"/>
      <w:lvlJc w:val="left"/>
      <w:pPr>
        <w:ind w:left="1800" w:hanging="360"/>
      </w:pPr>
      <w:rPr>
        <w:rFonts w:cs="Times New Roman"/>
      </w:rPr>
    </w:lvl>
    <w:lvl w:ilvl="5">
      <w:start w:val="1"/>
      <w:numFmt w:val="lowerRoman"/>
      <w:lvlText w:val="()"/>
      <w:lvlJc w:val="left"/>
      <w:pPr>
        <w:ind w:left="2160" w:hanging="360"/>
      </w:pPr>
      <w:rPr>
        <w:rFonts w:cs="Times New Roman"/>
      </w:rPr>
    </w:lvl>
    <w:lvl w:ilvl="6">
      <w:start w:val="1"/>
      <w:numFmt w:val="decimal"/>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22" w15:restartNumberingAfterBreak="0">
    <w:nsid w:val="7EBF4160"/>
    <w:multiLevelType w:val="multilevel"/>
    <w:tmpl w:val="7BCA5808"/>
    <w:styleLink w:val="WWOutlineListStyl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54747267">
    <w:abstractNumId w:val="7"/>
  </w:num>
  <w:num w:numId="2" w16cid:durableId="409080510">
    <w:abstractNumId w:val="6"/>
  </w:num>
  <w:num w:numId="3" w16cid:durableId="915625833">
    <w:abstractNumId w:val="9"/>
  </w:num>
  <w:num w:numId="4" w16cid:durableId="54281737">
    <w:abstractNumId w:val="2"/>
  </w:num>
  <w:num w:numId="5" w16cid:durableId="576130264">
    <w:abstractNumId w:val="4"/>
  </w:num>
  <w:num w:numId="6" w16cid:durableId="1121457282">
    <w:abstractNumId w:val="22"/>
  </w:num>
  <w:num w:numId="7" w16cid:durableId="1318800292">
    <w:abstractNumId w:val="18"/>
  </w:num>
  <w:num w:numId="8" w16cid:durableId="71709017">
    <w:abstractNumId w:val="5"/>
  </w:num>
  <w:num w:numId="9" w16cid:durableId="1552960525">
    <w:abstractNumId w:val="17"/>
  </w:num>
  <w:num w:numId="10" w16cid:durableId="1073087779">
    <w:abstractNumId w:val="16"/>
  </w:num>
  <w:num w:numId="11" w16cid:durableId="487597214">
    <w:abstractNumId w:val="14"/>
  </w:num>
  <w:num w:numId="12" w16cid:durableId="1937978892">
    <w:abstractNumId w:val="21"/>
  </w:num>
  <w:num w:numId="13" w16cid:durableId="291057196">
    <w:abstractNumId w:val="8"/>
  </w:num>
  <w:num w:numId="14" w16cid:durableId="1920867834">
    <w:abstractNumId w:val="0"/>
  </w:num>
  <w:num w:numId="15" w16cid:durableId="61753453">
    <w:abstractNumId w:val="10"/>
  </w:num>
  <w:num w:numId="16" w16cid:durableId="370882372">
    <w:abstractNumId w:val="11"/>
  </w:num>
  <w:num w:numId="17" w16cid:durableId="188682849">
    <w:abstractNumId w:val="19"/>
  </w:num>
  <w:num w:numId="18" w16cid:durableId="967005044">
    <w:abstractNumId w:val="15"/>
  </w:num>
  <w:num w:numId="19" w16cid:durableId="493035451">
    <w:abstractNumId w:val="13"/>
  </w:num>
  <w:num w:numId="20" w16cid:durableId="207499861">
    <w:abstractNumId w:val="20"/>
  </w:num>
  <w:num w:numId="21" w16cid:durableId="1723361758">
    <w:abstractNumId w:val="1"/>
  </w:num>
  <w:num w:numId="22" w16cid:durableId="682366397">
    <w:abstractNumId w:val="12"/>
  </w:num>
  <w:num w:numId="23" w16cid:durableId="1857574203">
    <w:abstractNumId w:val="3"/>
  </w:num>
  <w:num w:numId="24" w16cid:durableId="1627275594">
    <w:abstractNumId w:val="0"/>
  </w:num>
  <w:num w:numId="25" w16cid:durableId="783695520">
    <w:abstractNumId w:val="8"/>
  </w:num>
  <w:num w:numId="26" w16cid:durableId="781076940">
    <w:abstractNumId w:val="16"/>
  </w:num>
  <w:num w:numId="27" w16cid:durableId="166213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0B"/>
    <w:rsid w:val="000F3902"/>
    <w:rsid w:val="00160BC2"/>
    <w:rsid w:val="00191E0B"/>
    <w:rsid w:val="00251B16"/>
    <w:rsid w:val="00453948"/>
    <w:rsid w:val="004E28C2"/>
    <w:rsid w:val="004F623A"/>
    <w:rsid w:val="006600DD"/>
    <w:rsid w:val="006B5479"/>
    <w:rsid w:val="00715110"/>
    <w:rsid w:val="007168BC"/>
    <w:rsid w:val="007A2070"/>
    <w:rsid w:val="007A32A9"/>
    <w:rsid w:val="007C0502"/>
    <w:rsid w:val="007C18E1"/>
    <w:rsid w:val="00864937"/>
    <w:rsid w:val="00874E88"/>
    <w:rsid w:val="00877E9B"/>
    <w:rsid w:val="008C059A"/>
    <w:rsid w:val="008D16D5"/>
    <w:rsid w:val="0091157E"/>
    <w:rsid w:val="00955E35"/>
    <w:rsid w:val="00972FDA"/>
    <w:rsid w:val="00A3250B"/>
    <w:rsid w:val="00A63A8D"/>
    <w:rsid w:val="00AA2B2D"/>
    <w:rsid w:val="00AD273A"/>
    <w:rsid w:val="00B10B37"/>
    <w:rsid w:val="00BB3CEB"/>
    <w:rsid w:val="00CA437C"/>
    <w:rsid w:val="00D326D8"/>
    <w:rsid w:val="00FF2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2E3D"/>
  <w15:docId w15:val="{FB67775D-FCAD-4159-8775-5A83AF03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ITC Avant Garde Std Bk" w:eastAsia="ITC Avant Garde Std Bk" w:hAnsi="ITC Avant Garde Std Bk" w:cs="ITC Avant Garde Std Bk"/>
      <w:sz w:val="22"/>
    </w:rPr>
  </w:style>
  <w:style w:type="paragraph" w:styleId="Titre1">
    <w:name w:val="heading 1"/>
    <w:basedOn w:val="Normal"/>
    <w:next w:val="Normal"/>
    <w:uiPriority w:val="9"/>
    <w:qFormat/>
    <w:pPr>
      <w:keepNext/>
      <w:spacing w:before="240" w:after="160"/>
      <w:outlineLvl w:val="0"/>
    </w:pPr>
    <w:rPr>
      <w:b/>
      <w:kern w:val="3"/>
      <w:sz w:val="32"/>
    </w:rPr>
  </w:style>
  <w:style w:type="paragraph" w:styleId="Titre2">
    <w:name w:val="heading 2"/>
    <w:basedOn w:val="Normal"/>
    <w:next w:val="Normal"/>
    <w:uiPriority w:val="9"/>
    <w:semiHidden/>
    <w:unhideWhenUsed/>
    <w:qFormat/>
    <w:pPr>
      <w:keepNext/>
      <w:spacing w:before="240" w:after="160"/>
      <w:outlineLvl w:val="1"/>
    </w:pPr>
    <w:rPr>
      <w:sz w:val="28"/>
      <w:u w:val="single"/>
    </w:rPr>
  </w:style>
  <w:style w:type="paragraph" w:styleId="Titre3">
    <w:name w:val="heading 3"/>
    <w:basedOn w:val="Normal"/>
    <w:next w:val="Normal"/>
    <w:uiPriority w:val="9"/>
    <w:semiHidden/>
    <w:unhideWhenUsed/>
    <w:qFormat/>
    <w:pPr>
      <w:keepNext/>
      <w:spacing w:before="240" w:after="160"/>
      <w:outlineLvl w:val="2"/>
    </w:pPr>
    <w:rPr>
      <w:sz w:val="24"/>
      <w:u w:val="single"/>
    </w:rPr>
  </w:style>
  <w:style w:type="paragraph" w:styleId="Titre4">
    <w:name w:val="heading 4"/>
    <w:basedOn w:val="Normal"/>
    <w:next w:val="Normal"/>
    <w:uiPriority w:val="9"/>
    <w:semiHidden/>
    <w:unhideWhenUsed/>
    <w:qFormat/>
    <w:pPr>
      <w:keepNext/>
      <w:spacing w:before="240" w:after="60"/>
      <w:ind w:left="567"/>
      <w:outlineLvl w:val="3"/>
    </w:pPr>
    <w:rPr>
      <w:i/>
      <w:sz w:val="24"/>
    </w:rPr>
  </w:style>
  <w:style w:type="paragraph" w:styleId="Titre5">
    <w:name w:val="heading 5"/>
    <w:basedOn w:val="Normal"/>
    <w:next w:val="Normal"/>
    <w:uiPriority w:val="9"/>
    <w:semiHidden/>
    <w:unhideWhenUsed/>
    <w:qFormat/>
    <w:pPr>
      <w:spacing w:before="240" w:after="60"/>
      <w:ind w:left="1134"/>
      <w:outlineLvl w:val="4"/>
    </w:pPr>
    <w:rPr>
      <w:i/>
    </w:rPr>
  </w:style>
  <w:style w:type="paragraph" w:styleId="Titre6">
    <w:name w:val="heading 6"/>
    <w:basedOn w:val="Normal"/>
    <w:next w:val="Normal"/>
    <w:uiPriority w:val="9"/>
    <w:semiHidden/>
    <w:unhideWhenUsed/>
    <w:qFormat/>
    <w:pPr>
      <w:keepNext/>
      <w:spacing w:before="120" w:after="120"/>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5">
    <w:name w:val="WW_OutlineListStyle_5"/>
    <w:basedOn w:val="Aucuneliste"/>
    <w:pPr>
      <w:numPr>
        <w:numId w:val="1"/>
      </w:numPr>
    </w:pPr>
  </w:style>
  <w:style w:type="paragraph" w:customStyle="1" w:styleId="RedaliaTitre1">
    <w:name w:val="Redalia Titre 1"/>
    <w:basedOn w:val="Normal"/>
    <w:pPr>
      <w:numPr>
        <w:numId w:val="1"/>
      </w:numPr>
      <w:spacing w:before="240" w:after="160"/>
      <w:outlineLvl w:val="0"/>
    </w:pPr>
    <w:rPr>
      <w:b/>
      <w:sz w:val="32"/>
    </w:rPr>
  </w:style>
  <w:style w:type="paragraph" w:customStyle="1" w:styleId="RedaliaTitre2">
    <w:name w:val="Redalia Titre 2"/>
    <w:basedOn w:val="Normal"/>
    <w:next w:val="Normal"/>
    <w:pPr>
      <w:numPr>
        <w:ilvl w:val="1"/>
        <w:numId w:val="1"/>
      </w:numPr>
      <w:spacing w:before="240" w:after="160"/>
      <w:outlineLvl w:val="1"/>
    </w:pPr>
    <w:rPr>
      <w:sz w:val="28"/>
      <w:u w:val="single"/>
    </w:rPr>
  </w:style>
  <w:style w:type="paragraph" w:customStyle="1" w:styleId="RedaliaTitre3">
    <w:name w:val="Redalia Titre 3"/>
    <w:basedOn w:val="Normal"/>
    <w:pPr>
      <w:numPr>
        <w:ilvl w:val="2"/>
        <w:numId w:val="1"/>
      </w:numPr>
      <w:overflowPunct w:val="0"/>
      <w:autoSpaceDE w:val="0"/>
      <w:spacing w:before="240" w:after="160"/>
      <w:jc w:val="both"/>
      <w:outlineLvl w:val="2"/>
    </w:pPr>
    <w:rPr>
      <w:sz w:val="24"/>
      <w:u w:val="single"/>
    </w:rPr>
  </w:style>
  <w:style w:type="paragraph" w:customStyle="1" w:styleId="TitreN4">
    <w:name w:val="Titre N4"/>
    <w:basedOn w:val="Titre4"/>
    <w:pPr>
      <w:ind w:left="850" w:hanging="283"/>
    </w:pPr>
  </w:style>
  <w:style w:type="paragraph" w:customStyle="1" w:styleId="TitreN5">
    <w:name w:val="Titre N5"/>
    <w:basedOn w:val="Titre5"/>
    <w:pPr>
      <w:ind w:left="1417" w:hanging="283"/>
    </w:pPr>
  </w:style>
  <w:style w:type="paragraph" w:customStyle="1" w:styleId="Standard">
    <w:name w:val="Standard"/>
  </w:style>
  <w:style w:type="paragraph" w:customStyle="1" w:styleId="RedaliaTitredocument">
    <w:name w:val="Redalia : Titre document"/>
    <w:basedOn w:val="RedaliaNormal"/>
    <w:pPr>
      <w:jc w:val="center"/>
    </w:pPr>
    <w:rPr>
      <w:b/>
      <w:sz w:val="40"/>
    </w:rPr>
  </w:style>
  <w:style w:type="paragraph" w:customStyle="1" w:styleId="Courriercivilit">
    <w:name w:val="Courrier civilité"/>
    <w:basedOn w:val="Normal"/>
    <w:pPr>
      <w:tabs>
        <w:tab w:val="left" w:pos="1134"/>
      </w:tabs>
    </w:pPr>
  </w:style>
  <w:style w:type="paragraph" w:customStyle="1" w:styleId="Courrierdate">
    <w:name w:val="Courrier date"/>
    <w:basedOn w:val="Normal"/>
    <w:pPr>
      <w:jc w:val="right"/>
    </w:pPr>
  </w:style>
  <w:style w:type="paragraph" w:customStyle="1" w:styleId="Courrierdest">
    <w:name w:val="Courrier dest"/>
    <w:basedOn w:val="Normal"/>
  </w:style>
  <w:style w:type="paragraph" w:customStyle="1" w:styleId="Courriersign">
    <w:name w:val="Courrier sign"/>
    <w:basedOn w:val="Courrierdest"/>
    <w:rPr>
      <w:caps/>
    </w:rPr>
  </w:style>
  <w:style w:type="paragraph" w:customStyle="1" w:styleId="Courriertext">
    <w:name w:val="Courrier text"/>
    <w:basedOn w:val="Normal"/>
    <w:pPr>
      <w:jc w:val="both"/>
    </w:pPr>
  </w:style>
  <w:style w:type="paragraph" w:customStyle="1" w:styleId="Dossierune">
    <w:name w:val="Dossier une"/>
    <w:basedOn w:val="Normal"/>
    <w:pPr>
      <w:jc w:val="center"/>
    </w:pPr>
    <w:rPr>
      <w:sz w:val="72"/>
    </w:rPr>
  </w:style>
  <w:style w:type="paragraph" w:customStyle="1" w:styleId="Dossierobjet">
    <w:name w:val="Dossier objet"/>
    <w:basedOn w:val="Dossierune"/>
    <w:rPr>
      <w:sz w:val="48"/>
    </w:rPr>
  </w:style>
  <w:style w:type="paragraph" w:customStyle="1" w:styleId="DossierobjetRdalia">
    <w:name w:val="Dossier objet Rédalia"/>
    <w:basedOn w:val="Dossierobjet"/>
    <w:next w:val="Normal"/>
    <w:rPr>
      <w:sz w:val="36"/>
    </w:rPr>
  </w:style>
  <w:style w:type="paragraph" w:customStyle="1" w:styleId="Dossiertitre">
    <w:name w:val="Dossier titre"/>
    <w:basedOn w:val="Dossierobjet"/>
    <w:pPr>
      <w:pBdr>
        <w:bottom w:val="single" w:sz="6" w:space="1" w:color="000000"/>
      </w:pBdr>
    </w:pPr>
    <w:rPr>
      <w:sz w:val="40"/>
    </w:rPr>
  </w:style>
  <w:style w:type="paragraph" w:customStyle="1" w:styleId="DossiertitreRedalia">
    <w:name w:val="Dossier titre Redalia"/>
    <w:basedOn w:val="Dossiertitre"/>
    <w:pPr>
      <w:jc w:val="left"/>
    </w:pPr>
    <w:rPr>
      <w:sz w:val="32"/>
    </w:rPr>
  </w:style>
  <w:style w:type="paragraph" w:customStyle="1" w:styleId="Enttecentre">
    <w:name w:val="Entête centre"/>
    <w:basedOn w:val="Normal"/>
    <w:pPr>
      <w:jc w:val="center"/>
    </w:pPr>
  </w:style>
  <w:style w:type="paragraph" w:customStyle="1" w:styleId="Enttedrte">
    <w:name w:val="Entête drte"/>
    <w:basedOn w:val="Normal"/>
    <w:pPr>
      <w:jc w:val="right"/>
    </w:pPr>
  </w:style>
  <w:style w:type="paragraph" w:customStyle="1" w:styleId="Enttegche">
    <w:name w:val="Entête gche"/>
    <w:basedOn w:val="Normal"/>
  </w:style>
  <w:style w:type="paragraph" w:customStyle="1" w:styleId="Enttemilieu">
    <w:name w:val="Entête milieu"/>
    <w:basedOn w:val="Normal"/>
    <w:pPr>
      <w:jc w:val="center"/>
    </w:pPr>
    <w:rPr>
      <w:sz w:val="28"/>
    </w:rPr>
  </w:style>
  <w:style w:type="paragraph" w:customStyle="1" w:styleId="PagedegardeRdalia">
    <w:name w:val="Page de garde Rédalia"/>
    <w:basedOn w:val="Normal"/>
    <w:next w:val="Normal"/>
    <w:rPr>
      <w:b/>
      <w:sz w:val="28"/>
    </w:rPr>
  </w:style>
  <w:style w:type="paragraph" w:customStyle="1" w:styleId="Piedpagecentre">
    <w:name w:val="Piedpage centre"/>
    <w:basedOn w:val="Normal"/>
    <w:pPr>
      <w:jc w:val="center"/>
    </w:pPr>
  </w:style>
  <w:style w:type="paragraph" w:customStyle="1" w:styleId="Piedpagedrte">
    <w:name w:val="Piedpage drte"/>
    <w:basedOn w:val="Normal"/>
    <w:pPr>
      <w:jc w:val="right"/>
    </w:pPr>
  </w:style>
  <w:style w:type="paragraph" w:customStyle="1" w:styleId="Piedpagegche">
    <w:name w:val="Piedpage gche"/>
    <w:basedOn w:val="Normal"/>
  </w:style>
  <w:style w:type="paragraph" w:customStyle="1" w:styleId="Tableau10centre">
    <w:name w:val="Tableau 10 centre"/>
    <w:basedOn w:val="Normal"/>
    <w:pPr>
      <w:jc w:val="center"/>
    </w:pPr>
  </w:style>
  <w:style w:type="paragraph" w:customStyle="1" w:styleId="Tableau10drte">
    <w:name w:val="Tableau 10 drte"/>
    <w:basedOn w:val="Normal"/>
    <w:pPr>
      <w:jc w:val="right"/>
    </w:pPr>
  </w:style>
  <w:style w:type="paragraph" w:customStyle="1" w:styleId="Tableau10gche">
    <w:name w:val="Tableau 10 gche"/>
    <w:basedOn w:val="Normal"/>
  </w:style>
  <w:style w:type="paragraph" w:customStyle="1" w:styleId="Tableau11centre">
    <w:name w:val="Tableau 11 centre"/>
    <w:basedOn w:val="Normal"/>
    <w:pPr>
      <w:jc w:val="center"/>
    </w:pPr>
  </w:style>
  <w:style w:type="paragraph" w:customStyle="1" w:styleId="Tableau11drte">
    <w:name w:val="Tableau 11 drte"/>
    <w:basedOn w:val="Normal"/>
    <w:pPr>
      <w:jc w:val="right"/>
    </w:pPr>
  </w:style>
  <w:style w:type="paragraph" w:customStyle="1" w:styleId="Tableau11gche">
    <w:name w:val="Tableau 11 gche"/>
    <w:basedOn w:val="Normal"/>
  </w:style>
  <w:style w:type="paragraph" w:customStyle="1" w:styleId="Tableau8centre">
    <w:name w:val="Tableau 8 centre"/>
    <w:basedOn w:val="Normal"/>
    <w:pPr>
      <w:jc w:val="center"/>
    </w:pPr>
    <w:rPr>
      <w:sz w:val="16"/>
    </w:rPr>
  </w:style>
  <w:style w:type="paragraph" w:customStyle="1" w:styleId="Tableau8drte">
    <w:name w:val="Tableau 8 drte"/>
    <w:basedOn w:val="Normal"/>
    <w:pPr>
      <w:jc w:val="right"/>
    </w:pPr>
    <w:rPr>
      <w:sz w:val="16"/>
    </w:rPr>
  </w:style>
  <w:style w:type="paragraph" w:customStyle="1" w:styleId="Tableau8gche">
    <w:name w:val="Tableau 8 gche"/>
    <w:basedOn w:val="Normal"/>
    <w:rPr>
      <w:sz w:val="16"/>
    </w:rPr>
  </w:style>
  <w:style w:type="paragraph" w:customStyle="1" w:styleId="Titredetableau">
    <w:name w:val="Titre de tableau"/>
    <w:basedOn w:val="Tableau11centre"/>
    <w:rPr>
      <w:b/>
    </w:rPr>
  </w:style>
  <w:style w:type="paragraph" w:customStyle="1" w:styleId="TitreN1">
    <w:name w:val="Titre N1"/>
    <w:basedOn w:val="Titre1"/>
    <w:pPr>
      <w:ind w:left="283" w:hanging="283"/>
    </w:pPr>
  </w:style>
  <w:style w:type="paragraph" w:customStyle="1" w:styleId="TitreN2">
    <w:name w:val="Titre N2"/>
    <w:basedOn w:val="Titre2"/>
    <w:pPr>
      <w:ind w:left="283" w:hanging="283"/>
    </w:pPr>
  </w:style>
  <w:style w:type="paragraph" w:customStyle="1" w:styleId="TitreN3">
    <w:name w:val="Titre N3"/>
    <w:basedOn w:val="Titre3"/>
    <w:pPr>
      <w:ind w:left="283" w:hanging="283"/>
    </w:pPr>
  </w:style>
  <w:style w:type="paragraph" w:styleId="TM1">
    <w:name w:val="toc 1"/>
    <w:basedOn w:val="Titre1"/>
    <w:next w:val="Normal"/>
    <w:uiPriority w:val="39"/>
    <w:pPr>
      <w:keepNext w:val="0"/>
      <w:tabs>
        <w:tab w:val="right" w:leader="dot" w:pos="9072"/>
      </w:tabs>
      <w:spacing w:before="120" w:after="0"/>
    </w:pPr>
    <w:rPr>
      <w:sz w:val="24"/>
    </w:rPr>
  </w:style>
  <w:style w:type="paragraph" w:styleId="TM2">
    <w:name w:val="toc 2"/>
    <w:basedOn w:val="Titre2"/>
    <w:next w:val="Normal"/>
    <w:uiPriority w:val="39"/>
    <w:pPr>
      <w:keepNext w:val="0"/>
      <w:tabs>
        <w:tab w:val="right" w:leader="dot" w:pos="9072"/>
      </w:tabs>
      <w:spacing w:before="120" w:after="0"/>
      <w:ind w:left="198"/>
    </w:pPr>
    <w:rPr>
      <w:sz w:val="22"/>
      <w:u w:val="none"/>
    </w:rPr>
  </w:style>
  <w:style w:type="paragraph" w:styleId="TM3">
    <w:name w:val="toc 3"/>
    <w:basedOn w:val="Titre3"/>
    <w:next w:val="Normal"/>
    <w:pPr>
      <w:keepNext w:val="0"/>
      <w:tabs>
        <w:tab w:val="right" w:leader="dot" w:pos="9072"/>
      </w:tabs>
      <w:spacing w:before="120" w:after="0"/>
      <w:ind w:left="403"/>
    </w:pPr>
    <w:rPr>
      <w:sz w:val="20"/>
      <w:u w:val="none"/>
    </w:rPr>
  </w:style>
  <w:style w:type="paragraph" w:styleId="TM4">
    <w:name w:val="toc 4"/>
    <w:basedOn w:val="Titre4"/>
    <w:next w:val="Normal"/>
    <w:pPr>
      <w:keepNext w:val="0"/>
      <w:tabs>
        <w:tab w:val="right" w:leader="dot" w:pos="9072"/>
      </w:tabs>
      <w:spacing w:before="120" w:after="0"/>
      <w:ind w:left="601"/>
    </w:pPr>
    <w:rPr>
      <w:sz w:val="22"/>
    </w:rPr>
  </w:style>
  <w:style w:type="paragraph" w:styleId="TM5">
    <w:name w:val="toc 5"/>
    <w:basedOn w:val="Titre5"/>
    <w:next w:val="Normal"/>
    <w:pPr>
      <w:tabs>
        <w:tab w:val="right" w:leader="dot" w:pos="9072"/>
      </w:tabs>
      <w:spacing w:before="120" w:after="0"/>
      <w:ind w:left="799"/>
    </w:pPr>
  </w:style>
  <w:style w:type="paragraph" w:customStyle="1" w:styleId="CondInsert">
    <w:name w:val="Cond Insert"/>
    <w:basedOn w:val="Normal"/>
    <w:next w:val="Normal"/>
    <w:pPr>
      <w:tabs>
        <w:tab w:val="right" w:leader="dot" w:pos="9000"/>
      </w:tabs>
    </w:pPr>
    <w:rPr>
      <w:rFonts w:cs="Arial"/>
      <w:b/>
      <w:bCs/>
      <w:color w:val="0000FF"/>
    </w:rPr>
  </w:style>
  <w:style w:type="paragraph" w:customStyle="1" w:styleId="RdaliaCondens">
    <w:name w:val="Rédalia : Condensé"/>
    <w:basedOn w:val="Normal"/>
    <w:pPr>
      <w:spacing w:before="40"/>
      <w:jc w:val="both"/>
    </w:pPr>
    <w:rPr>
      <w:sz w:val="16"/>
    </w:rPr>
  </w:style>
  <w:style w:type="paragraph" w:customStyle="1" w:styleId="RdaliaLgende">
    <w:name w:val="Rédalia : Légende"/>
    <w:basedOn w:val="Normal"/>
    <w:pPr>
      <w:ind w:left="284" w:hanging="284"/>
      <w:jc w:val="both"/>
    </w:pPr>
    <w:rPr>
      <w:i/>
      <w:sz w:val="16"/>
    </w:rPr>
  </w:style>
  <w:style w:type="paragraph" w:customStyle="1" w:styleId="RedaliaNormal">
    <w:name w:val="Redalia : Normal"/>
    <w:basedOn w:val="Normal"/>
    <w:pPr>
      <w:tabs>
        <w:tab w:val="left" w:leader="dot" w:pos="8505"/>
      </w:tabs>
      <w:spacing w:before="40"/>
      <w:jc w:val="both"/>
    </w:pPr>
  </w:style>
  <w:style w:type="paragraph" w:customStyle="1" w:styleId="RdaliaRetraitniveau1">
    <w:name w:val="Rédalia : Retrait niveau 1"/>
    <w:basedOn w:val="RedaliaNormal"/>
  </w:style>
  <w:style w:type="paragraph" w:customStyle="1" w:styleId="RdaliaRetraitniveau2">
    <w:name w:val="Rédalia : Retrait niveau 2"/>
    <w:basedOn w:val="RedaliaNormal"/>
    <w:pPr>
      <w:numPr>
        <w:numId w:val="20"/>
      </w:numPr>
    </w:pPr>
  </w:style>
  <w:style w:type="paragraph" w:customStyle="1" w:styleId="RdaliaTableau">
    <w:name w:val="Rédalia : Tableau"/>
    <w:basedOn w:val="RedaliaNormal"/>
    <w:pPr>
      <w:numPr>
        <w:numId w:val="21"/>
      </w:numPr>
    </w:pPr>
    <w:rPr>
      <w:b/>
      <w:color w:val="0000FF"/>
    </w:rPr>
  </w:style>
  <w:style w:type="paragraph" w:customStyle="1" w:styleId="RdaliaTextemasqu">
    <w:name w:val="Rédalia : Texte masqué"/>
    <w:basedOn w:val="RdaliaRetraitniveau1"/>
    <w:pPr>
      <w:shd w:val="clear" w:color="auto" w:fill="FFFFFF"/>
    </w:pPr>
    <w:rPr>
      <w:vanish/>
      <w:sz w:val="20"/>
    </w:rPr>
  </w:style>
  <w:style w:type="paragraph" w:customStyle="1" w:styleId="RdaliaTitredestableaux">
    <w:name w:val="Rédalia : Titre des tableaux"/>
    <w:basedOn w:val="RedaliaNormal"/>
    <w:pPr>
      <w:jc w:val="center"/>
    </w:pPr>
    <w:rPr>
      <w:b/>
    </w:rPr>
  </w:style>
  <w:style w:type="paragraph" w:customStyle="1" w:styleId="RdaliaTitredossier">
    <w:name w:val="Rédalia : Titre dossier"/>
    <w:basedOn w:val="Dossierune"/>
    <w:rPr>
      <w:sz w:val="48"/>
    </w:rPr>
  </w:style>
  <w:style w:type="paragraph" w:customStyle="1" w:styleId="RdaliaTitreparagraphe">
    <w:name w:val="Rédalia : Titre paragraphe"/>
    <w:basedOn w:val="Dossiertitre"/>
    <w:pPr>
      <w:spacing w:before="320" w:after="240"/>
      <w:jc w:val="left"/>
    </w:pPr>
    <w:rPr>
      <w:sz w:val="32"/>
    </w:rPr>
  </w:style>
  <w:style w:type="paragraph" w:customStyle="1" w:styleId="RdaliaTitretableaucondens">
    <w:name w:val="Rédalia : Titre tableau condensé"/>
    <w:basedOn w:val="Normal"/>
    <w:pPr>
      <w:spacing w:before="40"/>
      <w:jc w:val="both"/>
    </w:pPr>
    <w:rPr>
      <w:b/>
      <w:sz w:val="18"/>
    </w:rPr>
  </w:style>
  <w:style w:type="paragraph" w:customStyle="1" w:styleId="RdaliaZonecandidat">
    <w:name w:val="Rédalia : Zone candidat"/>
    <w:basedOn w:val="Normal"/>
    <w:pPr>
      <w:shd w:val="clear" w:color="auto" w:fill="00FFFF"/>
      <w:spacing w:before="40"/>
      <w:jc w:val="center"/>
    </w:pPr>
    <w:rPr>
      <w:sz w:val="18"/>
    </w:rPr>
  </w:style>
  <w:style w:type="paragraph" w:customStyle="1" w:styleId="Concilianormal">
    <w:name w:val="Concilia normal"/>
    <w:basedOn w:val="Normal"/>
    <w:rPr>
      <w:rFonts w:cs="Arial"/>
      <w:szCs w:val="22"/>
    </w:rPr>
  </w:style>
  <w:style w:type="paragraph" w:customStyle="1" w:styleId="Conciliatitre">
    <w:name w:val="Concilia titre"/>
    <w:basedOn w:val="Concilianormal"/>
    <w:pPr>
      <w:jc w:val="center"/>
    </w:pPr>
    <w:rPr>
      <w:b/>
      <w:bCs/>
      <w:sz w:val="32"/>
      <w:szCs w:val="32"/>
    </w:rPr>
  </w:style>
  <w:style w:type="paragraph" w:customStyle="1" w:styleId="LIANormal">
    <w:name w:val="LIA : Normal"/>
    <w:basedOn w:val="Normal"/>
    <w:pPr>
      <w:overflowPunct w:val="0"/>
      <w:autoSpaceDE w:val="0"/>
      <w:jc w:val="both"/>
    </w:pPr>
    <w:rPr>
      <w:szCs w:val="18"/>
    </w:rPr>
  </w:style>
  <w:style w:type="paragraph" w:customStyle="1" w:styleId="LIACasecocher">
    <w:name w:val="LIA : Case à cocher"/>
    <w:basedOn w:val="LIANormal"/>
    <w:rPr>
      <w:rFonts w:cs="Wingdings"/>
    </w:rPr>
  </w:style>
  <w:style w:type="paragraph" w:customStyle="1" w:styleId="LIACondense">
    <w:name w:val="LIA : Condense"/>
    <w:basedOn w:val="LIANormal"/>
    <w:autoRedefine/>
    <w:pPr>
      <w:spacing w:before="120" w:after="120"/>
    </w:pPr>
    <w:rPr>
      <w:sz w:val="18"/>
      <w:szCs w:val="16"/>
    </w:rPr>
  </w:style>
  <w:style w:type="paragraph" w:customStyle="1" w:styleId="LiaTitre">
    <w:name w:val="Lia : Titre"/>
    <w:basedOn w:val="Normal"/>
    <w:pPr>
      <w:tabs>
        <w:tab w:val="left" w:leader="dot" w:pos="8505"/>
      </w:tabs>
      <w:overflowPunct w:val="0"/>
      <w:autoSpaceDE w:val="0"/>
      <w:spacing w:before="40"/>
      <w:jc w:val="both"/>
    </w:pPr>
    <w:rPr>
      <w:b/>
      <w:bCs/>
      <w:i/>
      <w:iCs/>
    </w:rPr>
  </w:style>
  <w:style w:type="paragraph" w:customStyle="1" w:styleId="LIAErreur">
    <w:name w:val="LIA : Erreur"/>
    <w:basedOn w:val="LIANormal"/>
    <w:pPr>
      <w:jc w:val="center"/>
    </w:pPr>
    <w:rPr>
      <w:b/>
      <w:bCs/>
      <w:i/>
      <w:iCs/>
      <w:sz w:val="24"/>
      <w:szCs w:val="24"/>
    </w:rPr>
  </w:style>
  <w:style w:type="paragraph" w:customStyle="1" w:styleId="LILIATitre1">
    <w:name w:val="LILIA : Titre 1"/>
    <w:basedOn w:val="LiaTitre"/>
    <w:pPr>
      <w:jc w:val="center"/>
    </w:pPr>
    <w:rPr>
      <w:caps/>
    </w:rPr>
  </w:style>
  <w:style w:type="paragraph" w:customStyle="1" w:styleId="LILIATitre2">
    <w:name w:val="LILIA : Titre 2"/>
    <w:basedOn w:val="LILIATitre1"/>
    <w:next w:val="Normal"/>
    <w:pPr>
      <w:jc w:val="left"/>
    </w:pPr>
  </w:style>
  <w:style w:type="paragraph" w:customStyle="1" w:styleId="STabCentre">
    <w:name w:val="STab Centre"/>
    <w:basedOn w:val="Normal"/>
    <w:pPr>
      <w:jc w:val="center"/>
    </w:pPr>
  </w:style>
  <w:style w:type="paragraph" w:customStyle="1" w:styleId="LiaLibell">
    <w:name w:val="Lia_Libellé"/>
    <w:basedOn w:val="Normal"/>
    <w:rPr>
      <w:b/>
    </w:rPr>
  </w:style>
  <w:style w:type="paragraph" w:customStyle="1" w:styleId="LiaDescription">
    <w:name w:val="Lia_Description"/>
    <w:basedOn w:val="Normal"/>
  </w:style>
  <w:style w:type="paragraph" w:customStyle="1" w:styleId="LiaUnit">
    <w:name w:val="Lia_Unité"/>
    <w:basedOn w:val="Normal"/>
    <w:rPr>
      <w:i/>
    </w:rPr>
  </w:style>
  <w:style w:type="paragraph" w:customStyle="1" w:styleId="DCENormal">
    <w:name w:val="DCE Normal"/>
    <w:basedOn w:val="Normal"/>
    <w:pPr>
      <w:jc w:val="both"/>
    </w:pPr>
    <w:rPr>
      <w:sz w:val="24"/>
    </w:rPr>
  </w:style>
  <w:style w:type="paragraph" w:customStyle="1" w:styleId="DCETableau">
    <w:name w:val="DCE Tableau"/>
    <w:basedOn w:val="Normal"/>
  </w:style>
  <w:style w:type="paragraph" w:customStyle="1" w:styleId="DCETitreTableau">
    <w:name w:val="DCE TitreTableau"/>
    <w:basedOn w:val="Normal"/>
    <w:pPr>
      <w:jc w:val="center"/>
    </w:pPr>
    <w:rPr>
      <w:b/>
    </w:rPr>
  </w:style>
  <w:style w:type="paragraph" w:customStyle="1" w:styleId="GnliaMarquedeparagraphe">
    <w:name w:val="Génélia : Marque de paragraphe"/>
    <w:basedOn w:val="Normal"/>
    <w:pPr>
      <w:keepNext/>
      <w:keepLines/>
      <w:tabs>
        <w:tab w:val="right" w:leader="dot" w:pos="10205"/>
      </w:tabs>
      <w:spacing w:before="40"/>
      <w:ind w:left="-1134"/>
      <w:jc w:val="both"/>
    </w:pPr>
    <w:rPr>
      <w:b/>
      <w:color w:val="008080"/>
    </w:rPr>
  </w:style>
  <w:style w:type="paragraph" w:customStyle="1" w:styleId="DGATitre1">
    <w:name w:val="DGA Titre1"/>
    <w:basedOn w:val="Titre1"/>
    <w:pPr>
      <w:tabs>
        <w:tab w:val="left" w:pos="360"/>
      </w:tabs>
      <w:overflowPunct w:val="0"/>
      <w:autoSpaceDE w:val="0"/>
      <w:ind w:left="360" w:hanging="360"/>
    </w:pPr>
    <w:rPr>
      <w:sz w:val="28"/>
    </w:rPr>
  </w:style>
  <w:style w:type="paragraph" w:customStyle="1" w:styleId="Redaliapuces">
    <w:name w:val="Redalia : puces"/>
    <w:basedOn w:val="RedaliaNormal"/>
    <w:pPr>
      <w:numPr>
        <w:numId w:val="8"/>
      </w:numPr>
      <w:tabs>
        <w:tab w:val="clear" w:pos="8505"/>
        <w:tab w:val="left" w:pos="-852"/>
        <w:tab w:val="left" w:pos="7370"/>
      </w:tabs>
    </w:pPr>
  </w:style>
  <w:style w:type="paragraph" w:customStyle="1" w:styleId="RedaliaContenudetableau">
    <w:name w:val="Redalia : Contenu de tableau"/>
    <w:basedOn w:val="RedaliaNormal"/>
    <w:rPr>
      <w:sz w:val="18"/>
      <w:szCs w:val="18"/>
    </w:rPr>
  </w:style>
  <w:style w:type="paragraph" w:customStyle="1" w:styleId="RedaliaPartievaloriser">
    <w:name w:val="Redalia : Partie à valoriser"/>
    <w:basedOn w:val="RedaliaNormal"/>
    <w:next w:val="RedaliaNormal"/>
    <w:pPr>
      <w:tabs>
        <w:tab w:val="left" w:leader="dot" w:pos="8820"/>
      </w:tabs>
      <w:spacing w:before="240" w:line="360" w:lineRule="auto"/>
    </w:pPr>
  </w:style>
  <w:style w:type="paragraph" w:customStyle="1" w:styleId="RedaliaRetraitavecpuce">
    <w:name w:val="Redalia : Retrait avec puce"/>
    <w:basedOn w:val="RedaliaNormal"/>
  </w:style>
  <w:style w:type="paragraph" w:customStyle="1" w:styleId="RedaliaCentr">
    <w:name w:val="Redalia : Centré"/>
    <w:basedOn w:val="RedaliaNormal"/>
    <w:next w:val="RedaliaNormal"/>
    <w:pPr>
      <w:jc w:val="center"/>
    </w:pPr>
  </w:style>
  <w:style w:type="paragraph" w:customStyle="1" w:styleId="RedaliaRetrait2avecpuce">
    <w:name w:val="Redalia : Retrait 2 avec puce"/>
    <w:basedOn w:val="RedaliaRetraitavecpuce"/>
    <w:pPr>
      <w:tabs>
        <w:tab w:val="left" w:pos="1701"/>
      </w:tabs>
      <w:ind w:left="1701" w:hanging="567"/>
    </w:pPr>
  </w:style>
  <w:style w:type="paragraph" w:customStyle="1" w:styleId="RdaliaDrogations">
    <w:name w:val="Rédalia : Dérogations"/>
    <w:basedOn w:val="RedaliaNormal"/>
    <w:next w:val="RedaliaNormal"/>
    <w:rPr>
      <w:sz w:val="18"/>
      <w:szCs w:val="18"/>
    </w:rPr>
  </w:style>
  <w:style w:type="paragraph" w:customStyle="1" w:styleId="RdaliaCommentairesAE">
    <w:name w:val="Rédalia : Commentaires AE"/>
    <w:basedOn w:val="RedaliaNormal"/>
    <w:pPr>
      <w:overflowPunct w:val="0"/>
      <w:autoSpaceDE w:val="0"/>
    </w:pPr>
    <w:rPr>
      <w:rFonts w:ascii="Verdana" w:eastAsia="Verdana" w:hAnsi="Verdana" w:cs="Verdana"/>
      <w:i/>
      <w:iCs/>
      <w:color w:val="808080"/>
      <w:sz w:val="14"/>
      <w:szCs w:val="14"/>
    </w:rPr>
  </w:style>
  <w:style w:type="paragraph" w:styleId="TM6">
    <w:name w:val="toc 6"/>
    <w:basedOn w:val="Normal"/>
    <w:next w:val="Normal"/>
    <w:autoRedefine/>
    <w:pPr>
      <w:ind w:left="960"/>
    </w:pPr>
  </w:style>
  <w:style w:type="paragraph" w:styleId="TM7">
    <w:name w:val="toc 7"/>
    <w:basedOn w:val="Normal"/>
    <w:next w:val="Normal"/>
    <w:autoRedefine/>
    <w:pPr>
      <w:ind w:left="1200"/>
    </w:pPr>
  </w:style>
  <w:style w:type="paragraph" w:styleId="TM8">
    <w:name w:val="toc 8"/>
    <w:basedOn w:val="Normal"/>
    <w:next w:val="Normal"/>
    <w:autoRedefine/>
    <w:pPr>
      <w:ind w:left="1440"/>
    </w:pPr>
  </w:style>
  <w:style w:type="paragraph" w:styleId="TM9">
    <w:name w:val="toc 9"/>
    <w:basedOn w:val="Normal"/>
    <w:next w:val="Normal"/>
    <w:autoRedefine/>
    <w:pPr>
      <w:ind w:left="1680"/>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daliaSoustitredocument">
    <w:name w:val="Redalia : Sous titre document"/>
    <w:basedOn w:val="RedaliaNormal"/>
    <w:next w:val="RedaliaNormal"/>
    <w:pPr>
      <w:jc w:val="center"/>
    </w:pPr>
    <w:rPr>
      <w:sz w:val="28"/>
    </w:rPr>
  </w:style>
  <w:style w:type="paragraph" w:customStyle="1" w:styleId="AvecPuce">
    <w:name w:val="Avec Puce"/>
    <w:basedOn w:val="Normal"/>
    <w:pPr>
      <w:tabs>
        <w:tab w:val="left" w:pos="2596"/>
      </w:tabs>
      <w:spacing w:after="120"/>
    </w:pPr>
  </w:style>
  <w:style w:type="paragraph" w:customStyle="1" w:styleId="Chapitre">
    <w:name w:val="Chapitre"/>
    <w:basedOn w:val="Normal"/>
    <w:pPr>
      <w:tabs>
        <w:tab w:val="left" w:pos="0"/>
      </w:tabs>
      <w:spacing w:before="240" w:after="240"/>
    </w:pPr>
    <w:rPr>
      <w:rFonts w:ascii="Arial Narrow" w:eastAsia="Arial Narrow" w:hAnsi="Arial Narrow" w:cs="Arial Narrow"/>
      <w:color w:val="003366"/>
      <w:sz w:val="36"/>
      <w:szCs w:val="36"/>
    </w:rPr>
  </w:style>
  <w:style w:type="paragraph" w:customStyle="1" w:styleId="Chapitre2">
    <w:name w:val="Chapitre 2"/>
    <w:basedOn w:val="Chapitre"/>
    <w:pPr>
      <w:numPr>
        <w:numId w:val="16"/>
      </w:numPr>
      <w:pBdr>
        <w:top w:val="single" w:sz="12" w:space="1" w:color="003366"/>
        <w:left w:val="single" w:sz="12" w:space="4" w:color="003366"/>
        <w:bottom w:val="single" w:sz="12" w:space="1" w:color="003366"/>
        <w:right w:val="single" w:sz="12" w:space="4" w:color="003366"/>
      </w:pBdr>
      <w:shd w:val="clear" w:color="auto" w:fill="E0E0E0"/>
      <w:tabs>
        <w:tab w:val="clear" w:pos="0"/>
      </w:tabs>
      <w:spacing w:before="360" w:after="0"/>
    </w:pPr>
    <w:rPr>
      <w:rFonts w:ascii="Tahoma" w:eastAsia="Tahoma" w:hAnsi="Tahoma" w:cs="Tahoma"/>
      <w:b/>
      <w:bCs/>
      <w:sz w:val="24"/>
      <w:szCs w:val="24"/>
    </w:rPr>
  </w:style>
  <w:style w:type="paragraph" w:styleId="Commentaire">
    <w:name w:val="annotation text"/>
    <w:basedOn w:val="Normal"/>
  </w:style>
  <w:style w:type="paragraph" w:styleId="Corpsdetexte">
    <w:name w:val="Body Text"/>
    <w:basedOn w:val="Normal"/>
  </w:style>
  <w:style w:type="paragraph" w:styleId="Corpsdetexte2">
    <w:name w:val="Body Text 2"/>
    <w:basedOn w:val="Normal"/>
    <w:pPr>
      <w:jc w:val="center"/>
    </w:pPr>
    <w:rPr>
      <w:sz w:val="16"/>
      <w:szCs w:val="16"/>
    </w:rPr>
  </w:style>
  <w:style w:type="paragraph" w:styleId="Corpsdetexte3">
    <w:name w:val="Body Text 3"/>
    <w:basedOn w:val="Normal"/>
    <w:rPr>
      <w:i/>
      <w:iCs/>
    </w:rPr>
  </w:style>
  <w:style w:type="paragraph" w:customStyle="1" w:styleId="Elmentrecens">
    <w:name w:val="Elément recensé"/>
    <w:basedOn w:val="Normal"/>
    <w:pPr>
      <w:numPr>
        <w:numId w:val="17"/>
      </w:numPr>
      <w:tabs>
        <w:tab w:val="left" w:pos="-3676"/>
      </w:tabs>
    </w:pPr>
  </w:style>
  <w:style w:type="paragraph" w:styleId="NormalWeb">
    <w:name w:val="Normal (Web)"/>
    <w:basedOn w:val="Normal"/>
    <w:pPr>
      <w:spacing w:before="100" w:after="100"/>
    </w:pPr>
  </w:style>
  <w:style w:type="paragraph" w:styleId="Retraitcorpsdetexte">
    <w:name w:val="Body Text Indent"/>
    <w:basedOn w:val="Normal"/>
    <w:pPr>
      <w:ind w:left="540"/>
    </w:pPr>
  </w:style>
  <w:style w:type="paragraph" w:customStyle="1" w:styleId="StyleAvecPuceGras">
    <w:name w:val="Style Avec Puce + Gras"/>
    <w:basedOn w:val="AvecPuce"/>
    <w:pPr>
      <w:numPr>
        <w:numId w:val="15"/>
      </w:numPr>
    </w:pPr>
    <w:rPr>
      <w:b/>
      <w:bCs/>
    </w:rPr>
  </w:style>
  <w:style w:type="paragraph" w:styleId="Textedebulles">
    <w:name w:val="Balloon Text"/>
    <w:basedOn w:val="Normal"/>
    <w:rPr>
      <w:rFonts w:ascii="Tahoma" w:eastAsia="Tahoma" w:hAnsi="Tahoma" w:cs="Tahoma"/>
      <w:sz w:val="16"/>
      <w:szCs w:val="16"/>
    </w:rPr>
  </w:style>
  <w:style w:type="paragraph" w:styleId="Titre">
    <w:name w:val="Title"/>
    <w:basedOn w:val="Normal"/>
    <w:uiPriority w:val="10"/>
    <w:qFormat/>
    <w:pPr>
      <w:jc w:val="center"/>
    </w:pPr>
    <w:rPr>
      <w:rFonts w:ascii="Tahoma" w:eastAsia="Tahoma" w:hAnsi="Tahoma" w:cs="Tahoma"/>
      <w:b/>
      <w:bCs/>
      <w:sz w:val="28"/>
      <w:szCs w:val="28"/>
    </w:rPr>
  </w:style>
  <w:style w:type="paragraph" w:customStyle="1" w:styleId="xl24">
    <w:name w:val="xl24"/>
    <w:basedOn w:val="Normal"/>
    <w:pPr>
      <w:pBdr>
        <w:top w:val="single" w:sz="4" w:space="0" w:color="000000"/>
        <w:left w:val="single" w:sz="4" w:space="0" w:color="000000"/>
        <w:bottom w:val="single" w:sz="4" w:space="0" w:color="000000"/>
        <w:right w:val="single" w:sz="4" w:space="0" w:color="000000"/>
      </w:pBdr>
      <w:spacing w:before="100" w:after="100"/>
      <w:textAlignment w:val="top"/>
    </w:pPr>
    <w:rPr>
      <w:sz w:val="12"/>
      <w:szCs w:val="12"/>
    </w:rPr>
  </w:style>
  <w:style w:type="paragraph" w:customStyle="1" w:styleId="xl25">
    <w:name w:val="xl25"/>
    <w:basedOn w:val="Normal"/>
    <w:pPr>
      <w:spacing w:before="100" w:after="100"/>
    </w:pPr>
    <w:rPr>
      <w:sz w:val="12"/>
      <w:szCs w:val="12"/>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textAlignment w:val="top"/>
    </w:pPr>
    <w:rPr>
      <w:b/>
      <w:bCs/>
      <w:sz w:val="12"/>
      <w:szCs w:val="12"/>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pPr>
    <w:rPr>
      <w:sz w:val="12"/>
      <w:szCs w:val="12"/>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textAlignment w:val="center"/>
    </w:pPr>
    <w:rPr>
      <w:sz w:val="12"/>
      <w:szCs w:val="12"/>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CCFFCC"/>
      <w:spacing w:before="100" w:after="100"/>
    </w:pPr>
    <w:rPr>
      <w:sz w:val="12"/>
      <w:szCs w:val="12"/>
    </w:r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hd w:val="clear" w:color="auto" w:fill="CCFFFF"/>
      <w:spacing w:before="100" w:after="100"/>
    </w:pPr>
    <w:rPr>
      <w:sz w:val="12"/>
      <w:szCs w:val="12"/>
    </w:r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pPr>
    <w:rPr>
      <w:b/>
      <w:bCs/>
      <w:sz w:val="12"/>
      <w:szCs w:val="12"/>
    </w:rPr>
  </w:style>
  <w:style w:type="paragraph" w:customStyle="1" w:styleId="xl34">
    <w:name w:val="xl34"/>
    <w:basedOn w:val="Normal"/>
    <w:pPr>
      <w:spacing w:before="100" w:after="100"/>
      <w:textAlignment w:val="top"/>
    </w:pPr>
    <w:rPr>
      <w:sz w:val="12"/>
      <w:szCs w:val="12"/>
    </w:rPr>
  </w:style>
  <w:style w:type="paragraph" w:customStyle="1" w:styleId="xl35">
    <w:name w:val="xl35"/>
    <w:basedOn w:val="Normal"/>
    <w:pPr>
      <w:spacing w:before="100" w:after="100"/>
    </w:pPr>
    <w:rPr>
      <w:sz w:val="12"/>
      <w:szCs w:val="12"/>
    </w:rPr>
  </w:style>
  <w:style w:type="paragraph" w:customStyle="1" w:styleId="xl36">
    <w:name w:val="xl36"/>
    <w:basedOn w:val="Normal"/>
    <w:pPr>
      <w:shd w:val="clear" w:color="auto" w:fill="00CCFF"/>
      <w:spacing w:before="100" w:after="100"/>
      <w:jc w:val="center"/>
    </w:pPr>
    <w:rPr>
      <w:b/>
      <w:bCs/>
      <w:sz w:val="12"/>
      <w:szCs w:val="12"/>
    </w:rPr>
  </w:style>
  <w:style w:type="paragraph" w:customStyle="1" w:styleId="xl37">
    <w:name w:val="xl37"/>
    <w:basedOn w:val="Normal"/>
    <w:pPr>
      <w:shd w:val="clear" w:color="auto" w:fill="00CCFF"/>
      <w:spacing w:before="100" w:after="100"/>
      <w:jc w:val="center"/>
    </w:pPr>
    <w:rPr>
      <w:b/>
      <w:bCs/>
      <w:sz w:val="12"/>
      <w:szCs w:val="12"/>
    </w:rPr>
  </w:style>
  <w:style w:type="paragraph" w:customStyle="1" w:styleId="adresse">
    <w:name w:val="adresse"/>
    <w:basedOn w:val="Normal"/>
    <w:pPr>
      <w:overflowPunct w:val="0"/>
      <w:autoSpaceDE w:val="0"/>
    </w:pPr>
    <w:rPr>
      <w:color w:val="000000"/>
    </w:rPr>
  </w:style>
  <w:style w:type="paragraph" w:styleId="Date">
    <w:name w:val="Date"/>
    <w:basedOn w:val="Normal"/>
    <w:pPr>
      <w:overflowPunct w:val="0"/>
      <w:autoSpaceDE w:val="0"/>
      <w:spacing w:after="3940"/>
      <w:ind w:right="1701"/>
      <w:jc w:val="right"/>
    </w:pPr>
    <w:rPr>
      <w:color w:val="000000"/>
    </w:rPr>
  </w:style>
  <w:style w:type="paragraph" w:customStyle="1" w:styleId="Etat-icone">
    <w:name w:val="Etat - icone"/>
    <w:basedOn w:val="Normal"/>
    <w:rPr>
      <w:rFonts w:cs="Webdings"/>
    </w:rPr>
  </w:style>
  <w:style w:type="paragraph" w:customStyle="1" w:styleId="LIARetrait">
    <w:name w:val="LIA : Retrait"/>
    <w:basedOn w:val="LIANormal"/>
    <w:pPr>
      <w:ind w:firstLine="709"/>
    </w:pPr>
    <w:rPr>
      <w:sz w:val="20"/>
      <w:szCs w:val="20"/>
    </w:rPr>
  </w:style>
  <w:style w:type="paragraph" w:customStyle="1" w:styleId="LIATOTAL">
    <w:name w:val="LIA : TOTAL"/>
    <w:basedOn w:val="Normal"/>
    <w:pPr>
      <w:jc w:val="right"/>
    </w:pPr>
    <w:rPr>
      <w:b/>
      <w:bCs/>
    </w:rPr>
  </w:style>
  <w:style w:type="paragraph" w:customStyle="1" w:styleId="rfrence">
    <w:name w:val="référence"/>
    <w:basedOn w:val="Normal"/>
    <w:pPr>
      <w:overflowPunct w:val="0"/>
      <w:autoSpaceDE w:val="0"/>
    </w:pPr>
    <w:rPr>
      <w:color w:val="000000"/>
      <w:sz w:val="16"/>
      <w:szCs w:val="16"/>
    </w:rPr>
  </w:style>
  <w:style w:type="paragraph" w:customStyle="1" w:styleId="Tableau">
    <w:name w:val="Tableau"/>
    <w:basedOn w:val="Normal"/>
    <w:rPr>
      <w:sz w:val="16"/>
      <w:szCs w:val="16"/>
    </w:rPr>
  </w:style>
  <w:style w:type="paragraph" w:customStyle="1" w:styleId="texte">
    <w:name w:val="texte"/>
    <w:basedOn w:val="Normal"/>
    <w:pPr>
      <w:overflowPunct w:val="0"/>
      <w:autoSpaceDE w:val="0"/>
      <w:spacing w:before="120" w:after="120"/>
      <w:ind w:firstLine="680"/>
      <w:jc w:val="both"/>
    </w:pPr>
    <w:rPr>
      <w:color w:val="000000"/>
    </w:rPr>
  </w:style>
  <w:style w:type="paragraph" w:customStyle="1" w:styleId="Textepardfaut">
    <w:name w:val="Texte par défaut"/>
    <w:basedOn w:val="Normal"/>
    <w:pPr>
      <w:overflowPunct w:val="0"/>
      <w:autoSpaceDE w:val="0"/>
    </w:pPr>
    <w:rPr>
      <w:color w:val="000000"/>
    </w:rPr>
  </w:style>
  <w:style w:type="paragraph" w:customStyle="1" w:styleId="LIANomdecolonne">
    <w:name w:val="LIA : Nom de colonne"/>
    <w:basedOn w:val="LIANormal"/>
    <w:autoRedefine/>
    <w:pPr>
      <w:spacing w:before="120" w:after="120"/>
      <w:jc w:val="center"/>
    </w:pPr>
    <w:rPr>
      <w:rFonts w:cs="Verdana"/>
      <w:b/>
      <w:bCs/>
      <w:sz w:val="18"/>
      <w:szCs w:val="22"/>
    </w:rPr>
  </w:style>
  <w:style w:type="paragraph" w:customStyle="1" w:styleId="titre1c">
    <w:name w:val="titre 1c"/>
    <w:basedOn w:val="Normal"/>
    <w:next w:val="Normal"/>
    <w:pPr>
      <w:keepLines/>
      <w:spacing w:before="1920"/>
      <w:jc w:val="center"/>
    </w:pPr>
    <w:rPr>
      <w:rFonts w:ascii="Verdana" w:eastAsia="Verdana" w:hAnsi="Verdana" w:cs="Verdana"/>
      <w:sz w:val="28"/>
      <w:szCs w:val="28"/>
    </w:rPr>
  </w:style>
  <w:style w:type="paragraph" w:customStyle="1" w:styleId="LIATITREPPAL">
    <w:name w:val="LIA : TITRE PPAL"/>
    <w:basedOn w:val="LIANormal"/>
    <w:autoRedefine/>
    <w:pPr>
      <w:jc w:val="center"/>
    </w:pPr>
    <w:rPr>
      <w:b/>
      <w:bCs/>
      <w:sz w:val="40"/>
      <w:szCs w:val="40"/>
    </w:rPr>
  </w:style>
  <w:style w:type="paragraph" w:customStyle="1" w:styleId="LIATitre0">
    <w:name w:val="LIA : Titre"/>
    <w:basedOn w:val="LIANormal"/>
    <w:next w:val="LIANormal"/>
    <w:autoRedefine/>
    <w:rPr>
      <w:b/>
      <w:sz w:val="24"/>
      <w:szCs w:val="24"/>
    </w:rPr>
  </w:style>
  <w:style w:type="paragraph" w:customStyle="1" w:styleId="LIAParagrapheA">
    <w:name w:val="LIA Paragraphe A"/>
    <w:basedOn w:val="Normal"/>
    <w:autoRedefine/>
    <w:pPr>
      <w:numPr>
        <w:numId w:val="23"/>
      </w:numPr>
      <w:tabs>
        <w:tab w:val="left" w:pos="-4473"/>
      </w:tabs>
      <w:spacing w:before="120" w:after="120"/>
      <w:jc w:val="both"/>
    </w:pPr>
    <w:rPr>
      <w:rFonts w:cs="Calibri"/>
      <w:b/>
      <w:bCs/>
      <w:sz w:val="24"/>
      <w:szCs w:val="28"/>
    </w:rPr>
  </w:style>
  <w:style w:type="paragraph" w:customStyle="1" w:styleId="LIALgende">
    <w:name w:val="LIA : Légende"/>
    <w:basedOn w:val="LIANormal"/>
    <w:autoRedefine/>
    <w:rPr>
      <w:rFonts w:cs="Calibri"/>
      <w:i/>
      <w:iCs/>
      <w:sz w:val="16"/>
      <w:szCs w:val="16"/>
    </w:rPr>
  </w:style>
  <w:style w:type="paragraph" w:customStyle="1" w:styleId="LIASSTITRE">
    <w:name w:val="LIA : SS TITRE"/>
    <w:basedOn w:val="LIATITREPPAL"/>
    <w:autoRedefine/>
    <w:pPr>
      <w:jc w:val="right"/>
    </w:pPr>
    <w:rPr>
      <w:sz w:val="28"/>
      <w:szCs w:val="28"/>
      <w:u w:val="single"/>
    </w:rPr>
  </w:style>
  <w:style w:type="paragraph" w:customStyle="1" w:styleId="LIAParagraphe1">
    <w:name w:val="LIA Paragraphe 1"/>
    <w:basedOn w:val="Normal"/>
    <w:autoRedefine/>
    <w:pPr>
      <w:numPr>
        <w:numId w:val="22"/>
      </w:numPr>
      <w:tabs>
        <w:tab w:val="left" w:pos="-1953"/>
      </w:tabs>
      <w:spacing w:before="120" w:after="120"/>
      <w:jc w:val="both"/>
    </w:pPr>
    <w:rPr>
      <w:rFonts w:cs="Calibri"/>
      <w:b/>
      <w:bCs/>
      <w:sz w:val="24"/>
      <w:szCs w:val="28"/>
    </w:rPr>
  </w:style>
  <w:style w:type="paragraph" w:customStyle="1" w:styleId="redaliatitre20">
    <w:name w:val="redaliatitre2"/>
    <w:basedOn w:val="Normal"/>
    <w:pPr>
      <w:spacing w:before="100" w:after="100"/>
    </w:pPr>
    <w:rPr>
      <w:rFonts w:ascii="Times New Roman" w:eastAsia="Times New Roman" w:hAnsi="Times New Roman" w:cs="Times New Roman"/>
      <w:sz w:val="24"/>
      <w:szCs w:val="24"/>
    </w:rPr>
  </w:style>
  <w:style w:type="paragraph" w:customStyle="1" w:styleId="redalianormal0">
    <w:name w:val="redalianormal"/>
    <w:basedOn w:val="Normal"/>
    <w:pPr>
      <w:spacing w:before="100" w:after="100"/>
    </w:pPr>
    <w:rPr>
      <w:rFonts w:ascii="Times New Roman" w:eastAsia="Times New Roman" w:hAnsi="Times New Roman" w:cs="Times New Roman"/>
      <w:sz w:val="24"/>
      <w:szCs w:val="24"/>
    </w:rPr>
  </w:style>
  <w:style w:type="paragraph" w:customStyle="1" w:styleId="redaliapuces0">
    <w:name w:val="redaliapuces"/>
    <w:basedOn w:val="Normal"/>
    <w:pPr>
      <w:spacing w:before="100" w:after="100"/>
    </w:pPr>
    <w:rPr>
      <w:rFonts w:ascii="Times New Roman" w:eastAsia="Times New Roman" w:hAnsi="Times New Roman" w:cs="Times New Roman"/>
      <w:sz w:val="24"/>
      <w:szCs w:val="24"/>
    </w:rPr>
  </w:style>
  <w:style w:type="paragraph" w:customStyle="1" w:styleId="rdaliaretraitniveau10">
    <w:name w:val="rdaliaretraitniveau1"/>
    <w:basedOn w:val="Normal"/>
    <w:pPr>
      <w:spacing w:before="100" w:after="100"/>
    </w:pPr>
    <w:rPr>
      <w:rFonts w:ascii="Times New Roman" w:eastAsia="Times New Roman" w:hAnsi="Times New Roman" w:cs="Times New Roman"/>
      <w:sz w:val="24"/>
      <w:szCs w:val="24"/>
    </w:rPr>
  </w:style>
  <w:style w:type="paragraph" w:styleId="Sansinterligne">
    <w:name w:val="No Spacing"/>
    <w:pPr>
      <w:suppressAutoHyphens/>
    </w:pPr>
    <w:rPr>
      <w:rFonts w:ascii="Arial" w:eastAsia="Arial" w:hAnsi="Arial" w:cs="Arial"/>
      <w:sz w:val="22"/>
      <w:szCs w:val="22"/>
      <w:lang w:eastAsia="en-US"/>
    </w:rPr>
  </w:style>
  <w:style w:type="paragraph" w:styleId="Paragraphedeliste">
    <w:name w:val="List Paragraph"/>
    <w:basedOn w:val="Normal"/>
    <w:pPr>
      <w:ind w:left="720"/>
    </w:pPr>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customStyle="1" w:styleId="TableContents">
    <w:name w:val="Table Contents"/>
    <w:basedOn w:val="Standard"/>
    <w:pPr>
      <w:suppressLineNumbers/>
    </w:pPr>
  </w:style>
  <w:style w:type="paragraph" w:customStyle="1" w:styleId="TableHeading">
    <w:name w:val="Table Heading"/>
    <w:basedOn w:val="Tableau11centre"/>
    <w:rPr>
      <w:b/>
    </w:rPr>
  </w:style>
  <w:style w:type="paragraph" w:styleId="Lgende">
    <w:name w:val="caption"/>
    <w:basedOn w:val="Standard"/>
    <w:pPr>
      <w:suppressLineNumbers/>
      <w:spacing w:before="120" w:after="120"/>
    </w:pPr>
    <w:rPr>
      <w:i/>
      <w:iCs/>
    </w:rPr>
  </w:style>
  <w:style w:type="paragraph" w:customStyle="1" w:styleId="Table">
    <w:name w:val="Table"/>
    <w:basedOn w:val="Normal"/>
    <w:rPr>
      <w:sz w:val="16"/>
      <w:szCs w:val="16"/>
    </w:rPr>
  </w:style>
  <w:style w:type="character" w:customStyle="1" w:styleId="Titre1Car">
    <w:name w:val="Titre 1 Car"/>
    <w:rPr>
      <w:rFonts w:ascii="Arial" w:eastAsia="Arial" w:hAnsi="Arial" w:cs="Arial"/>
      <w:b/>
      <w:kern w:val="3"/>
      <w:sz w:val="32"/>
    </w:rPr>
  </w:style>
  <w:style w:type="character" w:customStyle="1" w:styleId="Titre2Car">
    <w:name w:val="Titre 2 Car"/>
    <w:rPr>
      <w:rFonts w:ascii="Arial" w:eastAsia="Arial" w:hAnsi="Arial" w:cs="Arial"/>
      <w:sz w:val="28"/>
      <w:u w:val="single"/>
    </w:rPr>
  </w:style>
  <w:style w:type="character" w:customStyle="1" w:styleId="Titre3Car">
    <w:name w:val="Titre 3 Car"/>
    <w:rPr>
      <w:rFonts w:ascii="Arial" w:eastAsia="Arial" w:hAnsi="Arial" w:cs="Arial"/>
      <w:sz w:val="24"/>
      <w:u w:val="single"/>
    </w:rPr>
  </w:style>
  <w:style w:type="character" w:customStyle="1" w:styleId="Titre4Car">
    <w:name w:val="Titre 4 Car"/>
    <w:rPr>
      <w:rFonts w:ascii="Arial" w:eastAsia="Arial" w:hAnsi="Arial" w:cs="Arial"/>
      <w:i/>
      <w:sz w:val="24"/>
    </w:rPr>
  </w:style>
  <w:style w:type="character" w:customStyle="1" w:styleId="Titre5Car">
    <w:name w:val="Titre 5 Car"/>
    <w:rPr>
      <w:rFonts w:ascii="Arial" w:eastAsia="Arial" w:hAnsi="Arial" w:cs="Arial"/>
      <w:i/>
      <w:sz w:val="22"/>
    </w:rPr>
  </w:style>
  <w:style w:type="character" w:customStyle="1" w:styleId="Titre6Car">
    <w:name w:val="Titre 6 Car"/>
    <w:rPr>
      <w:rFonts w:ascii="Arial" w:eastAsia="Arial" w:hAnsi="Arial" w:cs="Arial"/>
      <w:b/>
      <w:bCs/>
      <w:sz w:val="22"/>
    </w:rPr>
  </w:style>
  <w:style w:type="character" w:customStyle="1" w:styleId="Titre7Car">
    <w:name w:val="Titre 7 Car"/>
    <w:rPr>
      <w:rFonts w:ascii="Calibri Light" w:eastAsia="Calibri Light" w:hAnsi="Calibri Light" w:cs="Calibri Light"/>
      <w:i/>
      <w:color w:val="404040"/>
      <w:sz w:val="22"/>
      <w:lang w:eastAsia="en-US"/>
    </w:rPr>
  </w:style>
  <w:style w:type="character" w:customStyle="1" w:styleId="Titre8Car">
    <w:name w:val="Titre 8 Car"/>
    <w:rPr>
      <w:rFonts w:ascii="Calibri Light" w:eastAsia="Calibri Light" w:hAnsi="Calibri Light" w:cs="Calibri Light"/>
      <w:color w:val="404040"/>
      <w:lang w:eastAsia="en-US"/>
    </w:rPr>
  </w:style>
  <w:style w:type="character" w:customStyle="1" w:styleId="Titre9Car">
    <w:name w:val="Titre 9 Car"/>
    <w:rPr>
      <w:rFonts w:ascii="Calibri Light" w:eastAsia="Calibri Light" w:hAnsi="Calibri Light" w:cs="Calibri Light"/>
      <w:i/>
      <w:color w:val="404040"/>
      <w:lang w:eastAsia="en-US"/>
    </w:rPr>
  </w:style>
  <w:style w:type="character" w:styleId="Lienhypertexte">
    <w:name w:val="Hyperlink"/>
    <w:uiPriority w:val="99"/>
    <w:rPr>
      <w:color w:val="003366"/>
      <w:u w:val="none"/>
    </w:rPr>
  </w:style>
  <w:style w:type="character" w:customStyle="1" w:styleId="En-tteCar">
    <w:name w:val="En-tête Car"/>
    <w:rPr>
      <w:rFonts w:ascii="Arial" w:eastAsia="Arial" w:hAnsi="Arial" w:cs="Arial"/>
      <w:sz w:val="22"/>
    </w:rPr>
  </w:style>
  <w:style w:type="character" w:customStyle="1" w:styleId="PieddepageCar">
    <w:name w:val="Pied de page Car"/>
    <w:rPr>
      <w:rFonts w:ascii="Arial" w:eastAsia="Arial" w:hAnsi="Arial" w:cs="Arial"/>
      <w:sz w:val="22"/>
    </w:rPr>
  </w:style>
  <w:style w:type="character" w:customStyle="1" w:styleId="AvecPuceCar">
    <w:name w:val="Avec Puce Car"/>
    <w:rPr>
      <w:sz w:val="24"/>
      <w:lang w:val="fr-FR" w:eastAsia="fr-FR"/>
    </w:rPr>
  </w:style>
  <w:style w:type="character" w:customStyle="1" w:styleId="CommentaireCar">
    <w:name w:val="Commentaire Car"/>
    <w:rPr>
      <w:sz w:val="20"/>
    </w:rPr>
  </w:style>
  <w:style w:type="character" w:customStyle="1" w:styleId="CorpsdetexteCar">
    <w:name w:val="Corps de texte Car"/>
    <w:rPr>
      <w:sz w:val="20"/>
    </w:rPr>
  </w:style>
  <w:style w:type="character" w:customStyle="1" w:styleId="Corpsdetexte2Car">
    <w:name w:val="Corps de texte 2 Car"/>
    <w:rPr>
      <w:sz w:val="20"/>
    </w:rPr>
  </w:style>
  <w:style w:type="character" w:customStyle="1" w:styleId="Corpsdetexte3Car">
    <w:name w:val="Corps de texte 3 Car"/>
    <w:rPr>
      <w:sz w:val="16"/>
    </w:rPr>
  </w:style>
  <w:style w:type="character" w:styleId="Lienhypertextesuivivisit">
    <w:name w:val="FollowedHyperlink"/>
    <w:rPr>
      <w:color w:val="800080"/>
      <w:u w:val="single"/>
    </w:rPr>
  </w:style>
  <w:style w:type="character" w:styleId="Marquedecommentaire">
    <w:name w:val="annotation reference"/>
    <w:rPr>
      <w:sz w:val="16"/>
    </w:rPr>
  </w:style>
  <w:style w:type="character" w:styleId="Numrodepage">
    <w:name w:val="page number"/>
    <w:rPr>
      <w:rFonts w:ascii="Times New Roman" w:eastAsia="Times New Roman" w:hAnsi="Times New Roman" w:cs="Times New Roman"/>
    </w:rPr>
  </w:style>
  <w:style w:type="character" w:customStyle="1" w:styleId="RetraitcorpsdetexteCar">
    <w:name w:val="Retrait corps de texte Car"/>
    <w:rPr>
      <w:sz w:val="20"/>
    </w:rPr>
  </w:style>
  <w:style w:type="character" w:customStyle="1" w:styleId="StyleAvecPuceGrasCar">
    <w:name w:val="Style Avec Puce + Gras Car"/>
    <w:rPr>
      <w:b/>
      <w:sz w:val="24"/>
      <w:lang w:val="fr-FR" w:eastAsia="fr-FR"/>
    </w:rPr>
  </w:style>
  <w:style w:type="character" w:customStyle="1" w:styleId="TextedebullesCar">
    <w:name w:val="Texte de bulles Car"/>
    <w:rPr>
      <w:rFonts w:ascii="Tahoma" w:eastAsia="Tahoma" w:hAnsi="Tahoma" w:cs="Tahoma"/>
      <w:sz w:val="16"/>
    </w:rPr>
  </w:style>
  <w:style w:type="character" w:customStyle="1" w:styleId="TitreCar">
    <w:name w:val="Titre Car"/>
    <w:rPr>
      <w:rFonts w:ascii="Cambria" w:eastAsia="Cambria" w:hAnsi="Cambria" w:cs="Cambria"/>
      <w:b/>
      <w:kern w:val="3"/>
      <w:sz w:val="32"/>
    </w:rPr>
  </w:style>
  <w:style w:type="character" w:customStyle="1" w:styleId="DateCar">
    <w:name w:val="Date Car"/>
    <w:rPr>
      <w:rFonts w:ascii="Arial" w:eastAsia="Arial" w:hAnsi="Arial" w:cs="Arial"/>
      <w:sz w:val="22"/>
    </w:rPr>
  </w:style>
  <w:style w:type="character" w:customStyle="1" w:styleId="IconeWeb">
    <w:name w:val="IconeWeb"/>
    <w:rPr>
      <w:rFonts w:ascii="Webdings" w:eastAsia="Webdings" w:hAnsi="Webdings" w:cs="Webdings"/>
    </w:rPr>
  </w:style>
  <w:style w:type="character" w:customStyle="1" w:styleId="EmailStyle175">
    <w:name w:val="EmailStyle175"/>
    <w:rPr>
      <w:rFonts w:ascii="Century Gothic" w:eastAsia="Century Gothic" w:hAnsi="Century Gothic" w:cs="Century Gothic"/>
      <w:color w:val="auto"/>
      <w:sz w:val="20"/>
    </w:rPr>
  </w:style>
  <w:style w:type="character" w:customStyle="1" w:styleId="EmailStyle176">
    <w:name w:val="EmailStyle176"/>
    <w:rPr>
      <w:rFonts w:ascii="Arial" w:eastAsia="Arial" w:hAnsi="Arial" w:cs="Arial"/>
      <w:color w:val="auto"/>
      <w:sz w:val="16"/>
    </w:rPr>
  </w:style>
  <w:style w:type="character" w:customStyle="1" w:styleId="EmailStyle177">
    <w:name w:val="EmailStyle177"/>
    <w:rPr>
      <w:rFonts w:ascii="Century Gothic" w:eastAsia="Century Gothic" w:hAnsi="Century Gothic" w:cs="Century Gothic"/>
      <w:color w:val="auto"/>
      <w:sz w:val="20"/>
    </w:rPr>
  </w:style>
  <w:style w:type="character" w:customStyle="1" w:styleId="EmailStyle178">
    <w:name w:val="EmailStyle178"/>
    <w:rPr>
      <w:rFonts w:ascii="Arial" w:eastAsia="Arial" w:hAnsi="Arial" w:cs="Arial"/>
      <w:color w:val="auto"/>
      <w:sz w:val="16"/>
    </w:rPr>
  </w:style>
  <w:style w:type="character" w:customStyle="1" w:styleId="EmailStyle179">
    <w:name w:val="EmailStyle179"/>
    <w:rPr>
      <w:rFonts w:ascii="Century Gothic" w:eastAsia="Century Gothic" w:hAnsi="Century Gothic" w:cs="Century Gothic"/>
      <w:color w:val="auto"/>
      <w:sz w:val="20"/>
    </w:rPr>
  </w:style>
  <w:style w:type="character" w:customStyle="1" w:styleId="EmailStyle180">
    <w:name w:val="EmailStyle180"/>
    <w:rPr>
      <w:rFonts w:ascii="Arial" w:eastAsia="Arial" w:hAnsi="Arial" w:cs="Arial"/>
      <w:color w:val="auto"/>
      <w:sz w:val="16"/>
    </w:rPr>
  </w:style>
  <w:style w:type="character" w:customStyle="1" w:styleId="EmailStyle181">
    <w:name w:val="EmailStyle181"/>
    <w:rPr>
      <w:rFonts w:ascii="Century Gothic" w:eastAsia="Century Gothic" w:hAnsi="Century Gothic" w:cs="Century Gothic"/>
      <w:color w:val="auto"/>
      <w:sz w:val="20"/>
    </w:rPr>
  </w:style>
  <w:style w:type="character" w:customStyle="1" w:styleId="EmailStyle182">
    <w:name w:val="EmailStyle182"/>
    <w:rPr>
      <w:rFonts w:ascii="Arial" w:eastAsia="Arial" w:hAnsi="Arial" w:cs="Arial"/>
      <w:color w:val="auto"/>
      <w:sz w:val="16"/>
    </w:rPr>
  </w:style>
  <w:style w:type="character" w:customStyle="1" w:styleId="EmailStyle183">
    <w:name w:val="EmailStyle183"/>
    <w:rPr>
      <w:rFonts w:ascii="Century Gothic" w:eastAsia="Century Gothic" w:hAnsi="Century Gothic" w:cs="Century Gothic"/>
      <w:color w:val="auto"/>
      <w:sz w:val="20"/>
    </w:rPr>
  </w:style>
  <w:style w:type="character" w:customStyle="1" w:styleId="EmailStyle184">
    <w:name w:val="EmailStyle184"/>
    <w:rPr>
      <w:rFonts w:ascii="Arial" w:eastAsia="Arial" w:hAnsi="Arial" w:cs="Arial"/>
      <w:color w:val="auto"/>
      <w:sz w:val="16"/>
    </w:rPr>
  </w:style>
  <w:style w:type="character" w:customStyle="1" w:styleId="EmailStyle185">
    <w:name w:val="EmailStyle185"/>
    <w:rPr>
      <w:rFonts w:ascii="Century Gothic" w:eastAsia="Century Gothic" w:hAnsi="Century Gothic" w:cs="Century Gothic"/>
      <w:color w:val="auto"/>
      <w:sz w:val="20"/>
    </w:rPr>
  </w:style>
  <w:style w:type="character" w:customStyle="1" w:styleId="EmailStyle186">
    <w:name w:val="EmailStyle186"/>
    <w:rPr>
      <w:rFonts w:ascii="Arial" w:eastAsia="Arial" w:hAnsi="Arial" w:cs="Arial"/>
      <w:color w:val="auto"/>
      <w:sz w:val="16"/>
    </w:rPr>
  </w:style>
  <w:style w:type="character" w:customStyle="1" w:styleId="EmailStyle187">
    <w:name w:val="EmailStyle187"/>
    <w:rPr>
      <w:rFonts w:ascii="Century Gothic" w:eastAsia="Century Gothic" w:hAnsi="Century Gothic" w:cs="Century Gothic"/>
      <w:color w:val="auto"/>
      <w:sz w:val="20"/>
    </w:rPr>
  </w:style>
  <w:style w:type="character" w:customStyle="1" w:styleId="EmailStyle188">
    <w:name w:val="EmailStyle188"/>
    <w:rPr>
      <w:rFonts w:ascii="Arial" w:eastAsia="Arial" w:hAnsi="Arial" w:cs="Arial"/>
      <w:color w:val="auto"/>
      <w:sz w:val="16"/>
    </w:rPr>
  </w:style>
  <w:style w:type="character" w:customStyle="1" w:styleId="EmailStyle189">
    <w:name w:val="EmailStyle189"/>
    <w:rPr>
      <w:rFonts w:ascii="Century Gothic" w:eastAsia="Century Gothic" w:hAnsi="Century Gothic" w:cs="Century Gothic"/>
      <w:color w:val="auto"/>
      <w:sz w:val="20"/>
    </w:rPr>
  </w:style>
  <w:style w:type="character" w:customStyle="1" w:styleId="EmailStyle190">
    <w:name w:val="EmailStyle190"/>
    <w:rPr>
      <w:rFonts w:ascii="Arial" w:eastAsia="Arial" w:hAnsi="Arial" w:cs="Arial"/>
      <w:color w:val="auto"/>
      <w:sz w:val="16"/>
    </w:rPr>
  </w:style>
  <w:style w:type="character" w:customStyle="1" w:styleId="EmailStyle191">
    <w:name w:val="EmailStyle191"/>
    <w:rPr>
      <w:rFonts w:ascii="Century Gothic" w:eastAsia="Century Gothic" w:hAnsi="Century Gothic" w:cs="Century Gothic"/>
      <w:color w:val="auto"/>
      <w:sz w:val="20"/>
    </w:rPr>
  </w:style>
  <w:style w:type="character" w:customStyle="1" w:styleId="EmailStyle192">
    <w:name w:val="EmailStyle192"/>
    <w:rPr>
      <w:rFonts w:ascii="Arial" w:eastAsia="Arial" w:hAnsi="Arial" w:cs="Arial"/>
      <w:color w:val="auto"/>
      <w:sz w:val="16"/>
    </w:rPr>
  </w:style>
  <w:style w:type="character" w:customStyle="1" w:styleId="EmailStyle193">
    <w:name w:val="EmailStyle193"/>
    <w:rPr>
      <w:rFonts w:ascii="Century Gothic" w:eastAsia="Century Gothic" w:hAnsi="Century Gothic" w:cs="Century Gothic"/>
      <w:color w:val="auto"/>
      <w:sz w:val="20"/>
    </w:rPr>
  </w:style>
  <w:style w:type="character" w:customStyle="1" w:styleId="EmailStyle194">
    <w:name w:val="EmailStyle194"/>
    <w:rPr>
      <w:rFonts w:ascii="Arial" w:eastAsia="Arial" w:hAnsi="Arial" w:cs="Arial"/>
      <w:color w:val="auto"/>
      <w:sz w:val="16"/>
    </w:rPr>
  </w:style>
  <w:style w:type="character" w:customStyle="1" w:styleId="EmailStyle195">
    <w:name w:val="EmailStyle195"/>
    <w:rPr>
      <w:rFonts w:ascii="Century Gothic" w:eastAsia="Century Gothic" w:hAnsi="Century Gothic" w:cs="Century Gothic"/>
      <w:color w:val="auto"/>
      <w:sz w:val="20"/>
    </w:rPr>
  </w:style>
  <w:style w:type="character" w:customStyle="1" w:styleId="EmailStyle196">
    <w:name w:val="EmailStyle196"/>
    <w:rPr>
      <w:rFonts w:ascii="Arial" w:eastAsia="Arial" w:hAnsi="Arial" w:cs="Arial"/>
      <w:color w:val="auto"/>
      <w:sz w:val="16"/>
    </w:rPr>
  </w:style>
  <w:style w:type="character" w:customStyle="1" w:styleId="EmailStyle197">
    <w:name w:val="EmailStyle197"/>
    <w:rPr>
      <w:rFonts w:ascii="Century Gothic" w:eastAsia="Century Gothic" w:hAnsi="Century Gothic" w:cs="Century Gothic"/>
      <w:color w:val="auto"/>
      <w:sz w:val="20"/>
    </w:rPr>
  </w:style>
  <w:style w:type="character" w:customStyle="1" w:styleId="EmailStyle198">
    <w:name w:val="EmailStyle198"/>
    <w:rPr>
      <w:rFonts w:ascii="Arial" w:eastAsia="Arial" w:hAnsi="Arial" w:cs="Arial"/>
      <w:color w:val="auto"/>
      <w:sz w:val="16"/>
    </w:rPr>
  </w:style>
  <w:style w:type="character" w:customStyle="1" w:styleId="EmailStyle199">
    <w:name w:val="EmailStyle199"/>
    <w:rPr>
      <w:rFonts w:ascii="Century Gothic" w:eastAsia="Century Gothic" w:hAnsi="Century Gothic" w:cs="Century Gothic"/>
      <w:color w:val="auto"/>
      <w:sz w:val="20"/>
    </w:rPr>
  </w:style>
  <w:style w:type="character" w:customStyle="1" w:styleId="EmailStyle200">
    <w:name w:val="EmailStyle200"/>
    <w:rPr>
      <w:rFonts w:ascii="Arial" w:eastAsia="Arial" w:hAnsi="Arial" w:cs="Arial"/>
      <w:color w:val="auto"/>
      <w:sz w:val="16"/>
    </w:rPr>
  </w:style>
  <w:style w:type="character" w:customStyle="1" w:styleId="EmailStyle201">
    <w:name w:val="EmailStyle201"/>
    <w:rPr>
      <w:rFonts w:ascii="Century Gothic" w:eastAsia="Century Gothic" w:hAnsi="Century Gothic" w:cs="Century Gothic"/>
      <w:color w:val="auto"/>
      <w:sz w:val="20"/>
    </w:rPr>
  </w:style>
  <w:style w:type="character" w:customStyle="1" w:styleId="EmailStyle202">
    <w:name w:val="EmailStyle202"/>
    <w:rPr>
      <w:rFonts w:ascii="Arial" w:eastAsia="Arial" w:hAnsi="Arial" w:cs="Arial"/>
      <w:color w:val="auto"/>
      <w:sz w:val="16"/>
    </w:rPr>
  </w:style>
  <w:style w:type="character" w:customStyle="1" w:styleId="EmailStyle203">
    <w:name w:val="EmailStyle203"/>
    <w:rPr>
      <w:rFonts w:ascii="Century Gothic" w:eastAsia="Century Gothic" w:hAnsi="Century Gothic" w:cs="Century Gothic"/>
      <w:color w:val="auto"/>
      <w:sz w:val="20"/>
    </w:rPr>
  </w:style>
  <w:style w:type="character" w:customStyle="1" w:styleId="EmailStyle204">
    <w:name w:val="EmailStyle204"/>
    <w:rPr>
      <w:rFonts w:ascii="Arial" w:eastAsia="Arial" w:hAnsi="Arial" w:cs="Arial"/>
      <w:color w:val="auto"/>
      <w:sz w:val="16"/>
    </w:rPr>
  </w:style>
  <w:style w:type="character" w:customStyle="1" w:styleId="EmailStyle205">
    <w:name w:val="EmailStyle205"/>
    <w:rPr>
      <w:rFonts w:ascii="Century Gothic" w:eastAsia="Century Gothic" w:hAnsi="Century Gothic" w:cs="Century Gothic"/>
      <w:color w:val="auto"/>
      <w:sz w:val="20"/>
    </w:rPr>
  </w:style>
  <w:style w:type="character" w:customStyle="1" w:styleId="EmailStyle206">
    <w:name w:val="EmailStyle206"/>
    <w:rPr>
      <w:rFonts w:ascii="Arial" w:eastAsia="Arial" w:hAnsi="Arial" w:cs="Arial"/>
      <w:color w:val="auto"/>
      <w:sz w:val="16"/>
    </w:rPr>
  </w:style>
  <w:style w:type="character" w:customStyle="1" w:styleId="EmailStyle207">
    <w:name w:val="EmailStyle207"/>
    <w:rPr>
      <w:rFonts w:ascii="Century Gothic" w:eastAsia="Century Gothic" w:hAnsi="Century Gothic" w:cs="Century Gothic"/>
      <w:color w:val="auto"/>
      <w:sz w:val="20"/>
    </w:rPr>
  </w:style>
  <w:style w:type="character" w:customStyle="1" w:styleId="EmailStyle208">
    <w:name w:val="EmailStyle208"/>
    <w:rPr>
      <w:rFonts w:ascii="Arial" w:eastAsia="Arial" w:hAnsi="Arial" w:cs="Arial"/>
      <w:color w:val="auto"/>
      <w:sz w:val="16"/>
    </w:rPr>
  </w:style>
  <w:style w:type="character" w:customStyle="1" w:styleId="EmailStyle209">
    <w:name w:val="EmailStyle209"/>
    <w:rPr>
      <w:rFonts w:ascii="Century Gothic" w:eastAsia="Century Gothic" w:hAnsi="Century Gothic" w:cs="Century Gothic"/>
      <w:color w:val="auto"/>
      <w:sz w:val="20"/>
    </w:rPr>
  </w:style>
  <w:style w:type="character" w:customStyle="1" w:styleId="EmailStyle210">
    <w:name w:val="EmailStyle210"/>
    <w:rPr>
      <w:rFonts w:ascii="Arial" w:eastAsia="Arial" w:hAnsi="Arial" w:cs="Arial"/>
      <w:color w:val="auto"/>
      <w:sz w:val="16"/>
    </w:rPr>
  </w:style>
  <w:style w:type="character" w:customStyle="1" w:styleId="EmailStyle211">
    <w:name w:val="EmailStyle211"/>
    <w:rPr>
      <w:rFonts w:ascii="Century Gothic" w:eastAsia="Century Gothic" w:hAnsi="Century Gothic" w:cs="Century Gothic"/>
      <w:color w:val="auto"/>
      <w:sz w:val="20"/>
    </w:rPr>
  </w:style>
  <w:style w:type="character" w:customStyle="1" w:styleId="EmailStyle212">
    <w:name w:val="EmailStyle212"/>
    <w:rPr>
      <w:rFonts w:ascii="Arial" w:eastAsia="Arial" w:hAnsi="Arial" w:cs="Arial"/>
      <w:color w:val="auto"/>
      <w:sz w:val="16"/>
    </w:rPr>
  </w:style>
  <w:style w:type="character" w:customStyle="1" w:styleId="EmailStyle213">
    <w:name w:val="EmailStyle213"/>
    <w:rPr>
      <w:rFonts w:ascii="Century Gothic" w:eastAsia="Century Gothic" w:hAnsi="Century Gothic" w:cs="Century Gothic"/>
      <w:color w:val="auto"/>
      <w:sz w:val="20"/>
    </w:rPr>
  </w:style>
  <w:style w:type="character" w:customStyle="1" w:styleId="EmailStyle214">
    <w:name w:val="EmailStyle214"/>
    <w:rPr>
      <w:rFonts w:ascii="Arial" w:eastAsia="Arial" w:hAnsi="Arial" w:cs="Arial"/>
      <w:color w:val="auto"/>
      <w:sz w:val="16"/>
    </w:rPr>
  </w:style>
  <w:style w:type="character" w:customStyle="1" w:styleId="EmailStyle215">
    <w:name w:val="EmailStyle215"/>
    <w:rPr>
      <w:rFonts w:ascii="Century Gothic" w:eastAsia="Century Gothic" w:hAnsi="Century Gothic" w:cs="Century Gothic"/>
      <w:color w:val="auto"/>
      <w:sz w:val="20"/>
    </w:rPr>
  </w:style>
  <w:style w:type="character" w:customStyle="1" w:styleId="EmailStyle216">
    <w:name w:val="EmailStyle216"/>
    <w:rPr>
      <w:rFonts w:ascii="Arial" w:eastAsia="Arial" w:hAnsi="Arial" w:cs="Arial"/>
      <w:color w:val="auto"/>
      <w:sz w:val="16"/>
    </w:rPr>
  </w:style>
  <w:style w:type="character" w:customStyle="1" w:styleId="EmailStyle217">
    <w:name w:val="EmailStyle217"/>
    <w:rPr>
      <w:rFonts w:ascii="Century Gothic" w:eastAsia="Century Gothic" w:hAnsi="Century Gothic" w:cs="Century Gothic"/>
      <w:color w:val="auto"/>
      <w:sz w:val="20"/>
    </w:rPr>
  </w:style>
  <w:style w:type="character" w:customStyle="1" w:styleId="EmailStyle218">
    <w:name w:val="EmailStyle218"/>
    <w:rPr>
      <w:rFonts w:ascii="Arial" w:eastAsia="Arial" w:hAnsi="Arial" w:cs="Arial"/>
      <w:color w:val="auto"/>
      <w:sz w:val="16"/>
    </w:rPr>
  </w:style>
  <w:style w:type="character" w:customStyle="1" w:styleId="EmailStyle781">
    <w:name w:val="EmailStyle781"/>
    <w:rPr>
      <w:rFonts w:ascii="Century Gothic" w:eastAsia="Century Gothic" w:hAnsi="Century Gothic" w:cs="Century Gothic"/>
      <w:color w:val="auto"/>
      <w:sz w:val="20"/>
    </w:rPr>
  </w:style>
  <w:style w:type="character" w:customStyle="1" w:styleId="EmailStyle791">
    <w:name w:val="EmailStyle791"/>
    <w:rPr>
      <w:rFonts w:ascii="Arial" w:eastAsia="Arial" w:hAnsi="Arial" w:cs="Arial"/>
      <w:color w:val="auto"/>
      <w:sz w:val="16"/>
    </w:rPr>
  </w:style>
  <w:style w:type="character" w:customStyle="1" w:styleId="EmailStyle110">
    <w:name w:val="EmailStyle110"/>
    <w:rPr>
      <w:rFonts w:ascii="Century Gothic" w:eastAsia="Century Gothic" w:hAnsi="Century Gothic" w:cs="Century Gothic"/>
      <w:color w:val="auto"/>
      <w:sz w:val="20"/>
    </w:rPr>
  </w:style>
  <w:style w:type="character" w:customStyle="1" w:styleId="EmailStyle111">
    <w:name w:val="EmailStyle111"/>
    <w:rPr>
      <w:rFonts w:ascii="Arial" w:eastAsia="Arial" w:hAnsi="Arial" w:cs="Arial"/>
      <w:color w:val="auto"/>
      <w:sz w:val="16"/>
    </w:rPr>
  </w:style>
  <w:style w:type="character" w:customStyle="1" w:styleId="EmailStyle1271">
    <w:name w:val="EmailStyle1271"/>
    <w:rPr>
      <w:rFonts w:ascii="Century Gothic" w:eastAsia="Century Gothic" w:hAnsi="Century Gothic" w:cs="Century Gothic"/>
      <w:color w:val="auto"/>
      <w:sz w:val="20"/>
    </w:rPr>
  </w:style>
  <w:style w:type="character" w:customStyle="1" w:styleId="EmailStyle1281">
    <w:name w:val="EmailStyle1281"/>
    <w:rPr>
      <w:rFonts w:ascii="Arial" w:eastAsia="Arial" w:hAnsi="Arial" w:cs="Arial"/>
      <w:color w:val="auto"/>
      <w:sz w:val="16"/>
    </w:rPr>
  </w:style>
  <w:style w:type="character" w:customStyle="1" w:styleId="EmailStyle129">
    <w:name w:val="EmailStyle129"/>
    <w:rPr>
      <w:rFonts w:ascii="Century Gothic" w:eastAsia="Century Gothic" w:hAnsi="Century Gothic" w:cs="Century Gothic"/>
      <w:color w:val="auto"/>
      <w:sz w:val="20"/>
    </w:rPr>
  </w:style>
  <w:style w:type="character" w:customStyle="1" w:styleId="EmailStyle130">
    <w:name w:val="EmailStyle130"/>
    <w:rPr>
      <w:rFonts w:ascii="Arial" w:eastAsia="Arial" w:hAnsi="Arial" w:cs="Arial"/>
      <w:color w:val="auto"/>
      <w:sz w:val="16"/>
    </w:rPr>
  </w:style>
  <w:style w:type="character" w:customStyle="1" w:styleId="EmailStyle1311">
    <w:name w:val="EmailStyle1311"/>
    <w:rPr>
      <w:rFonts w:ascii="Century Gothic" w:eastAsia="Century Gothic" w:hAnsi="Century Gothic" w:cs="Century Gothic"/>
      <w:color w:val="auto"/>
      <w:sz w:val="20"/>
    </w:rPr>
  </w:style>
  <w:style w:type="character" w:customStyle="1" w:styleId="EmailStyle1321">
    <w:name w:val="EmailStyle1321"/>
    <w:rPr>
      <w:rFonts w:ascii="Arial" w:eastAsia="Arial" w:hAnsi="Arial" w:cs="Arial"/>
      <w:color w:val="auto"/>
      <w:sz w:val="16"/>
    </w:rPr>
  </w:style>
  <w:style w:type="character" w:customStyle="1" w:styleId="EmailStyle133">
    <w:name w:val="EmailStyle133"/>
    <w:rPr>
      <w:rFonts w:ascii="Century Gothic" w:eastAsia="Century Gothic" w:hAnsi="Century Gothic" w:cs="Century Gothic"/>
      <w:color w:val="auto"/>
      <w:sz w:val="20"/>
    </w:rPr>
  </w:style>
  <w:style w:type="character" w:customStyle="1" w:styleId="EmailStyle134">
    <w:name w:val="EmailStyle134"/>
    <w:rPr>
      <w:rFonts w:ascii="Arial" w:eastAsia="Arial" w:hAnsi="Arial" w:cs="Arial"/>
      <w:color w:val="auto"/>
      <w:sz w:val="16"/>
    </w:rPr>
  </w:style>
  <w:style w:type="character" w:customStyle="1" w:styleId="EmailStyle1351">
    <w:name w:val="EmailStyle1351"/>
    <w:rPr>
      <w:rFonts w:ascii="Century Gothic" w:eastAsia="Century Gothic" w:hAnsi="Century Gothic" w:cs="Century Gothic"/>
      <w:color w:val="auto"/>
      <w:sz w:val="20"/>
    </w:rPr>
  </w:style>
  <w:style w:type="character" w:customStyle="1" w:styleId="EmailStyle1361">
    <w:name w:val="EmailStyle1361"/>
    <w:rPr>
      <w:rFonts w:ascii="Arial" w:eastAsia="Arial" w:hAnsi="Arial" w:cs="Arial"/>
      <w:color w:val="auto"/>
      <w:sz w:val="16"/>
    </w:rPr>
  </w:style>
  <w:style w:type="character" w:customStyle="1" w:styleId="EmailStyle137">
    <w:name w:val="EmailStyle137"/>
    <w:rPr>
      <w:rFonts w:ascii="Century Gothic" w:eastAsia="Century Gothic" w:hAnsi="Century Gothic" w:cs="Century Gothic"/>
      <w:color w:val="auto"/>
      <w:sz w:val="20"/>
    </w:rPr>
  </w:style>
  <w:style w:type="character" w:customStyle="1" w:styleId="EmailStyle138">
    <w:name w:val="EmailStyle138"/>
    <w:rPr>
      <w:rFonts w:ascii="Arial" w:eastAsia="Arial" w:hAnsi="Arial" w:cs="Arial"/>
      <w:color w:val="auto"/>
      <w:sz w:val="16"/>
    </w:rPr>
  </w:style>
  <w:style w:type="character" w:customStyle="1" w:styleId="EmailStyle1391">
    <w:name w:val="EmailStyle1391"/>
    <w:rPr>
      <w:rFonts w:ascii="Century Gothic" w:eastAsia="Century Gothic" w:hAnsi="Century Gothic" w:cs="Century Gothic"/>
      <w:color w:val="auto"/>
      <w:sz w:val="20"/>
    </w:rPr>
  </w:style>
  <w:style w:type="character" w:customStyle="1" w:styleId="EmailStyle1401">
    <w:name w:val="EmailStyle1401"/>
    <w:rPr>
      <w:rFonts w:ascii="Arial" w:eastAsia="Arial" w:hAnsi="Arial" w:cs="Arial"/>
      <w:color w:val="auto"/>
      <w:sz w:val="16"/>
    </w:rPr>
  </w:style>
  <w:style w:type="character" w:customStyle="1" w:styleId="EmailStyle141">
    <w:name w:val="EmailStyle141"/>
    <w:rPr>
      <w:rFonts w:ascii="Century Gothic" w:eastAsia="Century Gothic" w:hAnsi="Century Gothic" w:cs="Century Gothic"/>
      <w:color w:val="auto"/>
      <w:sz w:val="20"/>
    </w:rPr>
  </w:style>
  <w:style w:type="character" w:customStyle="1" w:styleId="EmailStyle142">
    <w:name w:val="EmailStyle142"/>
    <w:rPr>
      <w:rFonts w:ascii="Arial" w:eastAsia="Arial" w:hAnsi="Arial" w:cs="Arial"/>
      <w:color w:val="auto"/>
      <w:sz w:val="16"/>
    </w:rPr>
  </w:style>
  <w:style w:type="character" w:customStyle="1" w:styleId="EmailStyle1431">
    <w:name w:val="EmailStyle1431"/>
    <w:rPr>
      <w:rFonts w:ascii="Century Gothic" w:eastAsia="Century Gothic" w:hAnsi="Century Gothic" w:cs="Century Gothic"/>
      <w:color w:val="auto"/>
      <w:sz w:val="20"/>
    </w:rPr>
  </w:style>
  <w:style w:type="character" w:customStyle="1" w:styleId="EmailStyle1441">
    <w:name w:val="EmailStyle1441"/>
    <w:rPr>
      <w:rFonts w:ascii="Arial" w:eastAsia="Arial" w:hAnsi="Arial" w:cs="Arial"/>
      <w:color w:val="auto"/>
      <w:sz w:val="16"/>
    </w:rPr>
  </w:style>
  <w:style w:type="character" w:customStyle="1" w:styleId="EmailStyle145">
    <w:name w:val="EmailStyle145"/>
    <w:rPr>
      <w:rFonts w:ascii="Century Gothic" w:eastAsia="Century Gothic" w:hAnsi="Century Gothic" w:cs="Century Gothic"/>
      <w:color w:val="auto"/>
      <w:sz w:val="20"/>
    </w:rPr>
  </w:style>
  <w:style w:type="character" w:customStyle="1" w:styleId="EmailStyle146">
    <w:name w:val="EmailStyle146"/>
    <w:rPr>
      <w:rFonts w:ascii="Arial" w:eastAsia="Arial" w:hAnsi="Arial" w:cs="Arial"/>
      <w:color w:val="auto"/>
      <w:sz w:val="16"/>
    </w:rPr>
  </w:style>
  <w:style w:type="character" w:customStyle="1" w:styleId="EmailStyle1471">
    <w:name w:val="EmailStyle1471"/>
    <w:rPr>
      <w:rFonts w:ascii="Century Gothic" w:eastAsia="Century Gothic" w:hAnsi="Century Gothic" w:cs="Century Gothic"/>
      <w:color w:val="auto"/>
      <w:sz w:val="20"/>
    </w:rPr>
  </w:style>
  <w:style w:type="character" w:customStyle="1" w:styleId="EmailStyle1481">
    <w:name w:val="EmailStyle1481"/>
    <w:rPr>
      <w:rFonts w:ascii="Arial" w:eastAsia="Arial" w:hAnsi="Arial" w:cs="Arial"/>
      <w:color w:val="auto"/>
      <w:sz w:val="16"/>
    </w:rPr>
  </w:style>
  <w:style w:type="character" w:customStyle="1" w:styleId="EmailStyle149">
    <w:name w:val="EmailStyle149"/>
    <w:rPr>
      <w:rFonts w:ascii="Century Gothic" w:eastAsia="Century Gothic" w:hAnsi="Century Gothic" w:cs="Century Gothic"/>
      <w:color w:val="auto"/>
      <w:sz w:val="20"/>
    </w:rPr>
  </w:style>
  <w:style w:type="character" w:customStyle="1" w:styleId="EmailStyle150">
    <w:name w:val="EmailStyle150"/>
    <w:rPr>
      <w:rFonts w:ascii="Arial" w:eastAsia="Arial" w:hAnsi="Arial" w:cs="Arial"/>
      <w:color w:val="auto"/>
      <w:sz w:val="16"/>
    </w:rPr>
  </w:style>
  <w:style w:type="character" w:customStyle="1" w:styleId="EmailStyle1511">
    <w:name w:val="EmailStyle1511"/>
    <w:rPr>
      <w:rFonts w:ascii="Century Gothic" w:eastAsia="Century Gothic" w:hAnsi="Century Gothic" w:cs="Century Gothic"/>
      <w:color w:val="auto"/>
      <w:sz w:val="20"/>
    </w:rPr>
  </w:style>
  <w:style w:type="character" w:customStyle="1" w:styleId="EmailStyle1521">
    <w:name w:val="EmailStyle1521"/>
    <w:rPr>
      <w:rFonts w:ascii="Arial" w:eastAsia="Arial" w:hAnsi="Arial" w:cs="Arial"/>
      <w:color w:val="auto"/>
      <w:sz w:val="16"/>
    </w:rPr>
  </w:style>
  <w:style w:type="character" w:customStyle="1" w:styleId="EmailStyle153">
    <w:name w:val="EmailStyle153"/>
    <w:rPr>
      <w:rFonts w:ascii="Century Gothic" w:eastAsia="Century Gothic" w:hAnsi="Century Gothic" w:cs="Century Gothic"/>
      <w:color w:val="auto"/>
      <w:sz w:val="20"/>
    </w:rPr>
  </w:style>
  <w:style w:type="character" w:customStyle="1" w:styleId="EmailStyle154">
    <w:name w:val="EmailStyle154"/>
    <w:rPr>
      <w:rFonts w:ascii="Arial" w:eastAsia="Arial" w:hAnsi="Arial" w:cs="Arial"/>
      <w:color w:val="auto"/>
      <w:sz w:val="16"/>
    </w:rPr>
  </w:style>
  <w:style w:type="character" w:customStyle="1" w:styleId="EmailStyle1551">
    <w:name w:val="EmailStyle1551"/>
    <w:rPr>
      <w:rFonts w:ascii="Century Gothic" w:eastAsia="Century Gothic" w:hAnsi="Century Gothic" w:cs="Century Gothic"/>
      <w:color w:val="auto"/>
      <w:sz w:val="20"/>
    </w:rPr>
  </w:style>
  <w:style w:type="character" w:customStyle="1" w:styleId="EmailStyle1561">
    <w:name w:val="EmailStyle1561"/>
    <w:rPr>
      <w:rFonts w:ascii="Arial" w:eastAsia="Arial" w:hAnsi="Arial" w:cs="Arial"/>
      <w:color w:val="auto"/>
      <w:sz w:val="16"/>
    </w:rPr>
  </w:style>
  <w:style w:type="character" w:customStyle="1" w:styleId="EmailStyle157">
    <w:name w:val="EmailStyle157"/>
    <w:rPr>
      <w:rFonts w:ascii="Century Gothic" w:eastAsia="Century Gothic" w:hAnsi="Century Gothic" w:cs="Century Gothic"/>
      <w:color w:val="auto"/>
      <w:sz w:val="20"/>
    </w:rPr>
  </w:style>
  <w:style w:type="character" w:customStyle="1" w:styleId="EmailStyle158">
    <w:name w:val="EmailStyle158"/>
    <w:rPr>
      <w:rFonts w:ascii="Arial" w:eastAsia="Arial" w:hAnsi="Arial" w:cs="Arial"/>
      <w:color w:val="auto"/>
      <w:sz w:val="16"/>
    </w:rPr>
  </w:style>
  <w:style w:type="character" w:customStyle="1" w:styleId="EmailStyle1591">
    <w:name w:val="EmailStyle1591"/>
    <w:rPr>
      <w:rFonts w:ascii="Century Gothic" w:eastAsia="Century Gothic" w:hAnsi="Century Gothic" w:cs="Century Gothic"/>
      <w:color w:val="auto"/>
      <w:sz w:val="20"/>
    </w:rPr>
  </w:style>
  <w:style w:type="character" w:customStyle="1" w:styleId="EmailStyle1601">
    <w:name w:val="EmailStyle1601"/>
    <w:rPr>
      <w:rFonts w:ascii="Arial" w:eastAsia="Arial" w:hAnsi="Arial" w:cs="Arial"/>
      <w:color w:val="auto"/>
      <w:sz w:val="16"/>
    </w:rPr>
  </w:style>
  <w:style w:type="character" w:customStyle="1" w:styleId="EmailStyle161">
    <w:name w:val="EmailStyle161"/>
    <w:rPr>
      <w:rFonts w:ascii="Century Gothic" w:eastAsia="Century Gothic" w:hAnsi="Century Gothic" w:cs="Century Gothic"/>
      <w:color w:val="auto"/>
      <w:sz w:val="20"/>
    </w:rPr>
  </w:style>
  <w:style w:type="character" w:customStyle="1" w:styleId="EmailStyle162">
    <w:name w:val="EmailStyle162"/>
    <w:rPr>
      <w:rFonts w:ascii="Arial" w:eastAsia="Arial" w:hAnsi="Arial" w:cs="Arial"/>
      <w:color w:val="auto"/>
      <w:sz w:val="16"/>
    </w:rPr>
  </w:style>
  <w:style w:type="character" w:customStyle="1" w:styleId="EmailStyle1631">
    <w:name w:val="EmailStyle1631"/>
    <w:rPr>
      <w:rFonts w:ascii="Century Gothic" w:eastAsia="Century Gothic" w:hAnsi="Century Gothic" w:cs="Century Gothic"/>
      <w:color w:val="auto"/>
      <w:sz w:val="20"/>
    </w:rPr>
  </w:style>
  <w:style w:type="character" w:customStyle="1" w:styleId="EmailStyle1641">
    <w:name w:val="EmailStyle1641"/>
    <w:rPr>
      <w:rFonts w:ascii="Arial" w:eastAsia="Arial" w:hAnsi="Arial" w:cs="Arial"/>
      <w:color w:val="auto"/>
      <w:sz w:val="16"/>
    </w:rPr>
  </w:style>
  <w:style w:type="character" w:customStyle="1" w:styleId="EmailStyle165">
    <w:name w:val="EmailStyle165"/>
    <w:rPr>
      <w:rFonts w:ascii="Century Gothic" w:eastAsia="Century Gothic" w:hAnsi="Century Gothic" w:cs="Century Gothic"/>
      <w:color w:val="auto"/>
      <w:sz w:val="20"/>
    </w:rPr>
  </w:style>
  <w:style w:type="character" w:customStyle="1" w:styleId="EmailStyle166">
    <w:name w:val="EmailStyle166"/>
    <w:rPr>
      <w:rFonts w:ascii="Arial" w:eastAsia="Arial" w:hAnsi="Arial" w:cs="Arial"/>
      <w:color w:val="auto"/>
      <w:sz w:val="16"/>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paragraph" w:styleId="Objetducommentaire">
    <w:name w:val="annotation subject"/>
    <w:basedOn w:val="Commentaire"/>
    <w:next w:val="Commentaire"/>
    <w:rPr>
      <w:b/>
      <w:bCs/>
      <w:sz w:val="20"/>
    </w:rPr>
  </w:style>
  <w:style w:type="character" w:customStyle="1" w:styleId="CommentaireCar1">
    <w:name w:val="Commentaire Car1"/>
    <w:basedOn w:val="Policepardfaut"/>
    <w:rPr>
      <w:rFonts w:ascii="ITC Avant Garde Std Bk" w:eastAsia="ITC Avant Garde Std Bk" w:hAnsi="ITC Avant Garde Std Bk" w:cs="ITC Avant Garde Std Bk"/>
      <w:sz w:val="22"/>
    </w:rPr>
  </w:style>
  <w:style w:type="character" w:customStyle="1" w:styleId="ObjetducommentaireCar">
    <w:name w:val="Objet du commentaire Car"/>
    <w:basedOn w:val="CommentaireCar1"/>
    <w:rPr>
      <w:rFonts w:ascii="ITC Avant Garde Std Bk" w:eastAsia="ITC Avant Garde Std Bk" w:hAnsi="ITC Avant Garde Std Bk" w:cs="ITC Avant Garde Std Bk"/>
      <w:b/>
      <w:bCs/>
      <w:sz w:val="22"/>
    </w:rPr>
  </w:style>
  <w:style w:type="numbering" w:customStyle="1" w:styleId="WWOutlineListStyle4">
    <w:name w:val="WW_OutlineListStyle_4"/>
    <w:basedOn w:val="Aucuneliste"/>
    <w:pPr>
      <w:numPr>
        <w:numId w:val="2"/>
      </w:numPr>
    </w:pPr>
  </w:style>
  <w:style w:type="numbering" w:customStyle="1" w:styleId="WWOutlineListStyle3">
    <w:name w:val="WW_OutlineListStyle_3"/>
    <w:basedOn w:val="Aucuneliste"/>
    <w:pPr>
      <w:numPr>
        <w:numId w:val="3"/>
      </w:numPr>
    </w:pPr>
  </w:style>
  <w:style w:type="numbering" w:customStyle="1" w:styleId="WWOutlineListStyle2">
    <w:name w:val="WW_OutlineListStyle_2"/>
    <w:basedOn w:val="Aucuneliste"/>
    <w:pPr>
      <w:numPr>
        <w:numId w:val="4"/>
      </w:numPr>
    </w:pPr>
  </w:style>
  <w:style w:type="numbering" w:customStyle="1" w:styleId="WWOutlineListStyle1">
    <w:name w:val="WW_OutlineListStyle_1"/>
    <w:basedOn w:val="Aucuneliste"/>
    <w:pPr>
      <w:numPr>
        <w:numId w:val="5"/>
      </w:numPr>
    </w:pPr>
  </w:style>
  <w:style w:type="numbering" w:customStyle="1" w:styleId="WWOutlineListStyle">
    <w:name w:val="WW_OutlineListStyle"/>
    <w:basedOn w:val="Aucuneliste"/>
    <w:pPr>
      <w:numPr>
        <w:numId w:val="6"/>
      </w:numPr>
    </w:pPr>
  </w:style>
  <w:style w:type="numbering" w:customStyle="1" w:styleId="Outline">
    <w:name w:val="Outline"/>
    <w:basedOn w:val="Aucuneliste"/>
    <w:pPr>
      <w:numPr>
        <w:numId w:val="7"/>
      </w:numPr>
    </w:pPr>
  </w:style>
  <w:style w:type="numbering" w:customStyle="1" w:styleId="List1">
    <w:name w:val="List 1"/>
    <w:basedOn w:val="Aucuneliste"/>
    <w:pPr>
      <w:numPr>
        <w:numId w:val="8"/>
      </w:numPr>
    </w:pPr>
  </w:style>
  <w:style w:type="numbering" w:customStyle="1" w:styleId="LFO1">
    <w:name w:val="LFO1"/>
    <w:basedOn w:val="Aucuneliste"/>
    <w:pPr>
      <w:numPr>
        <w:numId w:val="9"/>
      </w:numPr>
    </w:pPr>
  </w:style>
  <w:style w:type="numbering" w:customStyle="1" w:styleId="LFO4">
    <w:name w:val="LFO4"/>
    <w:basedOn w:val="Aucuneliste"/>
    <w:pPr>
      <w:numPr>
        <w:numId w:val="10"/>
      </w:numPr>
    </w:pPr>
  </w:style>
  <w:style w:type="numbering" w:customStyle="1" w:styleId="LFO5">
    <w:name w:val="LFO5"/>
    <w:basedOn w:val="Aucuneliste"/>
    <w:pPr>
      <w:numPr>
        <w:numId w:val="11"/>
      </w:numPr>
    </w:pPr>
  </w:style>
  <w:style w:type="numbering" w:customStyle="1" w:styleId="LFO18">
    <w:name w:val="LFO18"/>
    <w:basedOn w:val="Aucuneliste"/>
    <w:pPr>
      <w:numPr>
        <w:numId w:val="12"/>
      </w:numPr>
    </w:pPr>
  </w:style>
  <w:style w:type="numbering" w:customStyle="1" w:styleId="LFO20">
    <w:name w:val="LFO20"/>
    <w:basedOn w:val="Aucuneliste"/>
    <w:pPr>
      <w:numPr>
        <w:numId w:val="13"/>
      </w:numPr>
    </w:pPr>
  </w:style>
  <w:style w:type="numbering" w:customStyle="1" w:styleId="LFO21">
    <w:name w:val="LFO21"/>
    <w:basedOn w:val="Aucuneliste"/>
    <w:pPr>
      <w:numPr>
        <w:numId w:val="14"/>
      </w:numPr>
    </w:pPr>
  </w:style>
  <w:style w:type="numbering" w:customStyle="1" w:styleId="LFO22">
    <w:name w:val="LFO22"/>
    <w:basedOn w:val="Aucuneliste"/>
    <w:pPr>
      <w:numPr>
        <w:numId w:val="15"/>
      </w:numPr>
    </w:pPr>
  </w:style>
  <w:style w:type="numbering" w:customStyle="1" w:styleId="LFO23">
    <w:name w:val="LFO23"/>
    <w:basedOn w:val="Aucuneliste"/>
    <w:pPr>
      <w:numPr>
        <w:numId w:val="16"/>
      </w:numPr>
    </w:pPr>
  </w:style>
  <w:style w:type="numbering" w:customStyle="1" w:styleId="LFO24">
    <w:name w:val="LFO24"/>
    <w:basedOn w:val="Aucuneliste"/>
    <w:pPr>
      <w:numPr>
        <w:numId w:val="17"/>
      </w:numPr>
    </w:pPr>
  </w:style>
  <w:style w:type="numbering" w:customStyle="1" w:styleId="LFO28">
    <w:name w:val="LFO28"/>
    <w:basedOn w:val="Aucuneliste"/>
    <w:pPr>
      <w:numPr>
        <w:numId w:val="18"/>
      </w:numPr>
    </w:pPr>
  </w:style>
  <w:style w:type="numbering" w:customStyle="1" w:styleId="LFO29">
    <w:name w:val="LFO29"/>
    <w:basedOn w:val="Aucuneliste"/>
    <w:pPr>
      <w:numPr>
        <w:numId w:val="19"/>
      </w:numPr>
    </w:pPr>
  </w:style>
  <w:style w:type="numbering" w:customStyle="1" w:styleId="LFO25">
    <w:name w:val="LFO25"/>
    <w:basedOn w:val="Aucuneliste"/>
    <w:pPr>
      <w:numPr>
        <w:numId w:val="20"/>
      </w:numPr>
    </w:pPr>
  </w:style>
  <w:style w:type="numbering" w:customStyle="1" w:styleId="LFO26">
    <w:name w:val="LFO26"/>
    <w:basedOn w:val="Aucuneliste"/>
    <w:pPr>
      <w:numPr>
        <w:numId w:val="21"/>
      </w:numPr>
    </w:pPr>
  </w:style>
  <w:style w:type="numbering" w:customStyle="1" w:styleId="LFO33">
    <w:name w:val="LFO33"/>
    <w:basedOn w:val="Aucuneliste"/>
    <w:pPr>
      <w:numPr>
        <w:numId w:val="22"/>
      </w:numPr>
    </w:pPr>
  </w:style>
  <w:style w:type="numbering" w:customStyle="1" w:styleId="LFO35">
    <w:name w:val="LFO35"/>
    <w:basedOn w:val="Aucunelist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gate.ec.europa.eu/tl-brows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ume.chorus-pro.gouv.fr/" TargetMode="External"/><Relationship Id="rId4" Type="http://schemas.openxmlformats.org/officeDocument/2006/relationships/settings" Target="settings.xml"/><Relationship Id="rId9" Type="http://schemas.openxmlformats.org/officeDocument/2006/relationships/hyperlink" Target="https://ec.europa.eu/tools/espd/"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7E1E6-8105-4740-892A-68F7E462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5180</Words>
  <Characters>28495</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&gt;&gt;&gt; Debut du paragraphe</vt:lpstr>
    </vt:vector>
  </TitlesOfParts>
  <Company>Office_2024_X64_FR_EN-2409-17932.20328-v3</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&gt;&gt;&gt; Debut du paragraphe</dc:title>
  <dc:subject/>
  <dc:creator>CEB</dc:creator>
  <dc:description/>
  <cp:lastModifiedBy>MBENZA Ophélie</cp:lastModifiedBy>
  <cp:revision>23</cp:revision>
  <dcterms:created xsi:type="dcterms:W3CDTF">2025-09-01T09:47:00Z</dcterms:created>
  <dcterms:modified xsi:type="dcterms:W3CDTF">2025-09-15T09:06:00Z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AD2E</vt:lpwstr>
  </property>
  <property fmtid="{D5CDD505-2E9C-101B-9397-08002B2CF9AE}" pid="3" name="CheminDoctype">
    <vt:lpwstr>C:\Users\supiotd\AppData\Local\Temp</vt:lpwstr>
  </property>
  <property fmtid="{D5CDD505-2E9C-101B-9397-08002B2CF9AE}" pid="4" name="DernierElement">
    <vt:lpwstr/>
  </property>
  <property fmtid="{D5CDD505-2E9C-101B-9397-08002B2CF9AE}" pid="5" name="ElementContenant">
    <vt:lpwstr>ProcedureAvecMiseEnConc</vt:lpwstr>
  </property>
  <property fmtid="{D5CDD505-2E9C-101B-9397-08002B2CF9AE}" pid="6" name="ElementPrecedent">
    <vt:lpwstr/>
  </property>
  <property fmtid="{D5CDD505-2E9C-101B-9397-08002B2CF9AE}" pid="7" name="IdentifiantEdition">
    <vt:lpwstr>RC_COM</vt:lpwstr>
  </property>
  <property fmtid="{D5CDD505-2E9C-101B-9397-08002B2CF9AE}" pid="8" name="NomSegment">
    <vt:lpwstr>RC_COM_Annexe_signature_electronique</vt:lpwstr>
  </property>
  <property fmtid="{D5CDD505-2E9C-101B-9397-08002B2CF9AE}" pid="9" name="NouveauElement">
    <vt:lpwstr>PrestationsIdentiques</vt:lpwstr>
  </property>
  <property fmtid="{D5CDD505-2E9C-101B-9397-08002B2CF9AE}" pid="10" name="ResultatCommande">
    <vt:lpwstr>Ok</vt:lpwstr>
  </property>
</Properties>
</file>