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spacing w:line="240" w:lineRule="auto"/>
        <w:jc w:val="center"/>
        <w:rPr>
          <w:rFonts w:ascii="Arial" w:eastAsia="Times New Roman" w:hAnsi="Arial" w:cs="Arial"/>
          <w:color w:val="000000"/>
          <w:szCs w:val="20"/>
          <w:lang w:eastAsia="fr-FR"/>
        </w:rPr>
      </w:pPr>
    </w:p>
    <w:p>
      <w:pPr>
        <w:spacing w:line="240" w:lineRule="auto"/>
        <w:rPr>
          <w:rFonts w:ascii="Arial" w:eastAsia="Times New Roman" w:hAnsi="Arial" w:cs="Arial"/>
          <w:b/>
          <w:szCs w:val="20"/>
          <w:lang w:eastAsia="fr-FR"/>
        </w:rPr>
      </w:pPr>
      <w:r>
        <w:rPr>
          <w:rFonts w:ascii="Calibri" w:eastAsia="Calibri" w:hAnsi="Calibri" w:cs="Times New Roman"/>
          <w:noProof/>
          <w:lang w:eastAsia="fr-FR"/>
        </w:rPr>
        <w:drawing>
          <wp:anchor distT="0" distB="0" distL="114300" distR="114300" simplePos="0" relativeHeight="251659264" behindDoc="0" locked="0" layoutInCell="1" allowOverlap="1">
            <wp:simplePos x="0" y="0"/>
            <wp:positionH relativeFrom="column">
              <wp:posOffset>-417195</wp:posOffset>
            </wp:positionH>
            <wp:positionV relativeFrom="paragraph">
              <wp:posOffset>-429895</wp:posOffset>
            </wp:positionV>
            <wp:extent cx="6330950" cy="1018540"/>
            <wp:effectExtent l="0" t="0" r="0" b="0"/>
            <wp:wrapNone/>
            <wp:docPr id="3" name="Image 3" descr="Nouvelle image bit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uvelle image bitma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30950" cy="1018540"/>
                    </a:xfrm>
                    <a:prstGeom prst="rect">
                      <a:avLst/>
                    </a:prstGeom>
                    <a:noFill/>
                    <a:ln>
                      <a:noFill/>
                    </a:ln>
                  </pic:spPr>
                </pic:pic>
              </a:graphicData>
            </a:graphic>
            <wp14:sizeRelH relativeFrom="page">
              <wp14:pctWidth>0</wp14:pctWidth>
            </wp14:sizeRelH>
            <wp14:sizeRelV relativeFrom="page">
              <wp14:pctHeight>0</wp14:pctHeight>
            </wp14:sizeRelV>
          </wp:anchor>
        </w:drawing>
      </w:r>
    </w:p>
    <w:p>
      <w:pPr>
        <w:spacing w:line="240" w:lineRule="auto"/>
        <w:rPr>
          <w:rFonts w:ascii="Arial" w:eastAsia="Times New Roman" w:hAnsi="Arial" w:cs="Arial"/>
          <w:b/>
          <w:szCs w:val="20"/>
          <w:lang w:eastAsia="fr-FR"/>
        </w:rPr>
      </w:pPr>
    </w:p>
    <w:p>
      <w:pPr>
        <w:spacing w:line="240" w:lineRule="auto"/>
        <w:rPr>
          <w:rFonts w:ascii="Arial" w:eastAsia="Times New Roman" w:hAnsi="Arial" w:cs="Arial"/>
          <w:b/>
          <w:szCs w:val="20"/>
          <w:lang w:eastAsia="fr-FR"/>
        </w:rPr>
      </w:pPr>
    </w:p>
    <w:p>
      <w:pPr>
        <w:spacing w:line="240" w:lineRule="auto"/>
        <w:rPr>
          <w:rFonts w:ascii="Arial" w:eastAsia="Times New Roman" w:hAnsi="Arial" w:cs="Arial"/>
          <w:b/>
          <w:szCs w:val="20"/>
          <w:lang w:eastAsia="fr-FR"/>
        </w:rPr>
      </w:pPr>
    </w:p>
    <w:p>
      <w:pPr>
        <w:spacing w:line="240" w:lineRule="auto"/>
        <w:rPr>
          <w:rFonts w:ascii="Arial" w:eastAsia="Times New Roman" w:hAnsi="Arial" w:cs="Arial"/>
          <w:b/>
          <w:szCs w:val="20"/>
          <w:lang w:eastAsia="fr-FR"/>
        </w:rPr>
      </w:pPr>
    </w:p>
    <w:p>
      <w:pPr>
        <w:tabs>
          <w:tab w:val="center" w:pos="4962"/>
        </w:tabs>
        <w:spacing w:line="240" w:lineRule="auto"/>
        <w:jc w:val="center"/>
        <w:rPr>
          <w:rFonts w:ascii="Arial" w:eastAsia="Times New Roman" w:hAnsi="Arial" w:cs="Arial"/>
          <w:b/>
          <w:sz w:val="36"/>
          <w:szCs w:val="36"/>
          <w:lang w:eastAsia="fr-FR"/>
        </w:rPr>
      </w:pPr>
    </w:p>
    <w:p>
      <w:pPr>
        <w:tabs>
          <w:tab w:val="center" w:pos="4962"/>
        </w:tabs>
        <w:spacing w:line="240" w:lineRule="auto"/>
        <w:jc w:val="center"/>
        <w:rPr>
          <w:rFonts w:ascii="Arial" w:eastAsia="Times New Roman" w:hAnsi="Arial" w:cs="Arial"/>
          <w:b/>
          <w:sz w:val="36"/>
          <w:szCs w:val="36"/>
          <w:lang w:eastAsia="fr-FR"/>
        </w:rPr>
      </w:pPr>
      <w:r>
        <w:rPr>
          <w:rFonts w:ascii="Arial" w:eastAsia="Times New Roman" w:hAnsi="Arial" w:cs="Arial"/>
          <w:b/>
          <w:sz w:val="36"/>
          <w:szCs w:val="36"/>
          <w:lang w:eastAsia="fr-FR"/>
        </w:rPr>
        <w:t>Cahier des Clauses Techniques Particulières</w:t>
      </w:r>
    </w:p>
    <w:p>
      <w:pPr>
        <w:tabs>
          <w:tab w:val="center" w:pos="4962"/>
        </w:tabs>
        <w:spacing w:line="240" w:lineRule="auto"/>
        <w:jc w:val="center"/>
        <w:rPr>
          <w:rFonts w:ascii="Arial" w:eastAsia="Times New Roman" w:hAnsi="Arial" w:cs="Arial"/>
          <w:b/>
          <w:sz w:val="36"/>
          <w:szCs w:val="36"/>
          <w:lang w:eastAsia="fr-FR"/>
        </w:rPr>
      </w:pPr>
    </w:p>
    <w:p>
      <w:pPr>
        <w:tabs>
          <w:tab w:val="center" w:pos="4962"/>
        </w:tabs>
        <w:spacing w:line="240" w:lineRule="auto"/>
        <w:jc w:val="center"/>
        <w:rPr>
          <w:rFonts w:ascii="Arial" w:eastAsia="Times New Roman" w:hAnsi="Arial" w:cs="Arial"/>
          <w:b/>
          <w:sz w:val="36"/>
          <w:szCs w:val="36"/>
          <w:lang w:eastAsia="fr-FR"/>
        </w:rPr>
      </w:pPr>
      <w:r>
        <w:rPr>
          <w:rFonts w:ascii="Arial" w:eastAsia="Times New Roman" w:hAnsi="Arial" w:cs="Arial"/>
          <w:b/>
          <w:sz w:val="36"/>
          <w:szCs w:val="36"/>
          <w:lang w:eastAsia="fr-FR"/>
        </w:rPr>
        <w:t>(C.C.T.P)</w:t>
      </w:r>
    </w:p>
    <w:p>
      <w:pPr>
        <w:spacing w:line="240" w:lineRule="auto"/>
        <w:jc w:val="center"/>
        <w:rPr>
          <w:rFonts w:ascii="Arial" w:eastAsia="Times New Roman" w:hAnsi="Arial" w:cs="Arial"/>
          <w:b/>
          <w:szCs w:val="20"/>
          <w:lang w:eastAsia="fr-FR"/>
        </w:rPr>
      </w:pPr>
    </w:p>
    <w:p>
      <w:pPr>
        <w:spacing w:line="240" w:lineRule="auto"/>
        <w:rPr>
          <w:rFonts w:ascii="Arial" w:eastAsia="Times New Roman" w:hAnsi="Arial" w:cs="Arial"/>
          <w:b/>
          <w:color w:val="000000"/>
          <w:szCs w:val="20"/>
          <w:lang w:eastAsia="fr-FR"/>
        </w:rPr>
      </w:pPr>
    </w:p>
    <w:tbl>
      <w:tblPr>
        <w:tblpPr w:leftFromText="141" w:rightFromText="141" w:vertAnchor="text" w:horzAnchor="page" w:tblpX="2015" w:tblpY="-57"/>
        <w:tblW w:w="0" w:type="auto"/>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firstRow="0" w:lastRow="0" w:firstColumn="0" w:lastColumn="0" w:noHBand="0" w:noVBand="0"/>
      </w:tblPr>
      <w:tblGrid>
        <w:gridCol w:w="8323"/>
      </w:tblGrid>
      <w:tr>
        <w:trPr>
          <w:cantSplit/>
          <w:trHeight w:val="1099"/>
        </w:trPr>
        <w:tc>
          <w:tcPr>
            <w:tcW w:w="8323" w:type="dxa"/>
          </w:tcPr>
          <w:p>
            <w:pPr>
              <w:spacing w:after="32" w:line="240" w:lineRule="auto"/>
              <w:jc w:val="center"/>
              <w:rPr>
                <w:rFonts w:ascii="Arial" w:eastAsia="Times New Roman" w:hAnsi="Arial" w:cs="Arial"/>
                <w:b/>
                <w:color w:val="000000"/>
                <w:sz w:val="32"/>
                <w:szCs w:val="20"/>
                <w:lang w:eastAsia="fr-FR"/>
              </w:rPr>
            </w:pPr>
          </w:p>
          <w:p>
            <w:pPr>
              <w:spacing w:after="32" w:line="240" w:lineRule="auto"/>
              <w:jc w:val="center"/>
              <w:rPr>
                <w:rFonts w:ascii="Arial" w:eastAsia="Times New Roman" w:hAnsi="Arial" w:cs="Arial"/>
                <w:color w:val="000000"/>
                <w:sz w:val="28"/>
                <w:szCs w:val="28"/>
                <w:lang w:eastAsia="fr-FR"/>
              </w:rPr>
            </w:pPr>
            <w:r>
              <w:rPr>
                <w:rFonts w:ascii="Arial" w:eastAsia="Times New Roman" w:hAnsi="Arial" w:cs="Arial"/>
                <w:color w:val="000000"/>
                <w:sz w:val="28"/>
                <w:szCs w:val="28"/>
                <w:lang w:eastAsia="fr-FR"/>
              </w:rPr>
              <w:t xml:space="preserve">Prestation d’audit des risques psychosociaux pour le Centre Hospitalier de Novillars </w:t>
            </w:r>
          </w:p>
          <w:p>
            <w:pPr>
              <w:spacing w:after="32" w:line="240" w:lineRule="auto"/>
              <w:rPr>
                <w:rFonts w:ascii="Arial" w:eastAsia="Times New Roman" w:hAnsi="Arial" w:cs="Arial"/>
                <w:color w:val="000000"/>
                <w:sz w:val="28"/>
                <w:szCs w:val="28"/>
                <w:lang w:eastAsia="fr-FR"/>
              </w:rPr>
            </w:pPr>
          </w:p>
        </w:tc>
      </w:tr>
    </w:tbl>
    <w:p>
      <w:pPr>
        <w:tabs>
          <w:tab w:val="center" w:pos="4962"/>
        </w:tabs>
        <w:spacing w:line="240" w:lineRule="auto"/>
        <w:jc w:val="center"/>
        <w:rPr>
          <w:rFonts w:ascii="Arial" w:eastAsia="Times New Roman" w:hAnsi="Arial" w:cs="Arial"/>
          <w:b/>
          <w:szCs w:val="20"/>
          <w:lang w:eastAsia="fr-FR"/>
        </w:rPr>
      </w:pPr>
    </w:p>
    <w:p>
      <w:pPr>
        <w:keepNext/>
        <w:spacing w:line="240" w:lineRule="auto"/>
        <w:jc w:val="center"/>
        <w:outlineLvl w:val="1"/>
        <w:rPr>
          <w:rFonts w:ascii="Arial" w:eastAsia="Times New Roman" w:hAnsi="Arial" w:cs="Arial"/>
          <w:bCs/>
          <w:sz w:val="28"/>
          <w:szCs w:val="28"/>
          <w:lang w:eastAsia="fr-FR"/>
        </w:rPr>
      </w:pPr>
    </w:p>
    <w:p>
      <w:pPr>
        <w:keepNext/>
        <w:spacing w:line="240" w:lineRule="auto"/>
        <w:jc w:val="center"/>
        <w:outlineLvl w:val="1"/>
        <w:rPr>
          <w:rFonts w:ascii="Arial" w:eastAsia="Times New Roman" w:hAnsi="Arial" w:cs="Arial"/>
          <w:bCs/>
          <w:sz w:val="28"/>
          <w:szCs w:val="28"/>
          <w:lang w:eastAsia="fr-FR"/>
        </w:rPr>
      </w:pPr>
    </w:p>
    <w:p>
      <w:pPr>
        <w:keepNext/>
        <w:spacing w:line="240" w:lineRule="auto"/>
        <w:jc w:val="center"/>
        <w:outlineLvl w:val="1"/>
        <w:rPr>
          <w:rFonts w:ascii="Arial" w:eastAsia="Times New Roman" w:hAnsi="Arial" w:cs="Arial"/>
          <w:bCs/>
          <w:sz w:val="28"/>
          <w:szCs w:val="28"/>
          <w:lang w:eastAsia="fr-FR"/>
        </w:rPr>
      </w:pPr>
    </w:p>
    <w:p>
      <w:pPr>
        <w:keepNext/>
        <w:spacing w:line="240" w:lineRule="auto"/>
        <w:jc w:val="center"/>
        <w:outlineLvl w:val="1"/>
        <w:rPr>
          <w:rFonts w:ascii="Arial" w:eastAsia="Times New Roman" w:hAnsi="Arial" w:cs="Arial"/>
          <w:bCs/>
          <w:sz w:val="28"/>
          <w:szCs w:val="28"/>
          <w:lang w:eastAsia="fr-FR"/>
        </w:rPr>
      </w:pPr>
    </w:p>
    <w:p>
      <w:pPr>
        <w:keepNext/>
        <w:spacing w:line="240" w:lineRule="auto"/>
        <w:jc w:val="center"/>
        <w:outlineLvl w:val="1"/>
        <w:rPr>
          <w:rFonts w:ascii="Arial" w:eastAsia="Times New Roman" w:hAnsi="Arial" w:cs="Arial"/>
          <w:bCs/>
          <w:sz w:val="28"/>
          <w:szCs w:val="28"/>
          <w:lang w:eastAsia="fr-FR"/>
        </w:rPr>
      </w:pPr>
    </w:p>
    <w:p>
      <w:pPr>
        <w:keepNext/>
        <w:spacing w:line="240" w:lineRule="auto"/>
        <w:jc w:val="center"/>
        <w:outlineLvl w:val="1"/>
        <w:rPr>
          <w:rFonts w:ascii="Arial" w:eastAsia="Times New Roman" w:hAnsi="Arial" w:cs="Arial"/>
          <w:bCs/>
          <w:sz w:val="28"/>
          <w:szCs w:val="28"/>
          <w:lang w:eastAsia="fr-FR"/>
        </w:rPr>
      </w:pPr>
    </w:p>
    <w:p>
      <w:pPr>
        <w:keepNext/>
        <w:spacing w:line="240" w:lineRule="auto"/>
        <w:jc w:val="center"/>
        <w:outlineLvl w:val="1"/>
        <w:rPr>
          <w:rFonts w:ascii="Arial" w:eastAsia="Times New Roman" w:hAnsi="Arial" w:cs="Arial"/>
          <w:bCs/>
          <w:sz w:val="28"/>
          <w:szCs w:val="28"/>
          <w:lang w:eastAsia="fr-FR"/>
        </w:rPr>
      </w:pPr>
      <w:r>
        <w:rPr>
          <w:rFonts w:ascii="Arial" w:eastAsia="Times New Roman" w:hAnsi="Arial" w:cs="Arial"/>
          <w:bCs/>
          <w:sz w:val="28"/>
          <w:szCs w:val="28"/>
          <w:lang w:eastAsia="fr-FR"/>
        </w:rPr>
        <w:t>Marché à procédure adaptée n°2025-52</w:t>
      </w:r>
    </w:p>
    <w:p>
      <w:pPr>
        <w:spacing w:line="240" w:lineRule="auto"/>
        <w:rPr>
          <w:rFonts w:ascii="Arial" w:eastAsia="Times New Roman" w:hAnsi="Arial" w:cs="Arial"/>
          <w:b/>
          <w:color w:val="000000"/>
          <w:szCs w:val="20"/>
          <w:lang w:eastAsia="fr-FR"/>
        </w:rPr>
      </w:pPr>
    </w:p>
    <w:tbl>
      <w:tblPr>
        <w:tblW w:w="90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5"/>
        <w:gridCol w:w="4678"/>
      </w:tblGrid>
      <w:tr>
        <w:trPr>
          <w:jc w:val="center"/>
        </w:trPr>
        <w:tc>
          <w:tcPr>
            <w:tcW w:w="4395" w:type="dxa"/>
            <w:shd w:val="clear" w:color="auto" w:fill="auto"/>
          </w:tcPr>
          <w:p>
            <w:pPr>
              <w:spacing w:line="20" w:lineRule="atLeast"/>
              <w:jc w:val="center"/>
              <w:rPr>
                <w:rFonts w:ascii="Arial" w:eastAsia="Calibri" w:hAnsi="Arial" w:cs="Arial"/>
                <w:lang w:eastAsia="fr-FR"/>
              </w:rPr>
            </w:pPr>
            <w:r>
              <w:rPr>
                <w:rFonts w:ascii="Arial" w:eastAsia="Calibri" w:hAnsi="Arial" w:cs="Arial"/>
                <w:u w:val="single"/>
                <w:lang w:eastAsia="fr-FR"/>
              </w:rPr>
              <w:t>Etablissement support</w:t>
            </w:r>
            <w:r>
              <w:rPr>
                <w:rFonts w:ascii="Arial" w:eastAsia="Calibri" w:hAnsi="Arial" w:cs="Arial"/>
                <w:lang w:eastAsia="fr-FR"/>
              </w:rPr>
              <w:t> :</w:t>
            </w:r>
          </w:p>
        </w:tc>
        <w:tc>
          <w:tcPr>
            <w:tcW w:w="4678" w:type="dxa"/>
          </w:tcPr>
          <w:p>
            <w:pPr>
              <w:spacing w:line="20" w:lineRule="atLeast"/>
              <w:jc w:val="center"/>
              <w:rPr>
                <w:rFonts w:ascii="Arial" w:eastAsia="Calibri" w:hAnsi="Arial" w:cs="Arial"/>
                <w:lang w:eastAsia="fr-FR"/>
              </w:rPr>
            </w:pPr>
            <w:r>
              <w:rPr>
                <w:rFonts w:ascii="Arial" w:eastAsia="Calibri" w:hAnsi="Arial" w:cs="Arial"/>
                <w:u w:val="single"/>
                <w:lang w:eastAsia="fr-FR"/>
              </w:rPr>
              <w:t>Etablissement partie</w:t>
            </w:r>
            <w:r>
              <w:rPr>
                <w:rFonts w:ascii="Arial" w:eastAsia="Calibri" w:hAnsi="Arial" w:cs="Arial"/>
                <w:lang w:eastAsia="fr-FR"/>
              </w:rPr>
              <w:t> :</w:t>
            </w:r>
          </w:p>
        </w:tc>
      </w:tr>
      <w:tr>
        <w:trPr>
          <w:jc w:val="center"/>
        </w:trPr>
        <w:tc>
          <w:tcPr>
            <w:tcW w:w="4395" w:type="dxa"/>
            <w:shd w:val="clear" w:color="auto" w:fill="auto"/>
          </w:tcPr>
          <w:p>
            <w:pPr>
              <w:spacing w:line="20" w:lineRule="atLeast"/>
              <w:jc w:val="center"/>
              <w:rPr>
                <w:rFonts w:ascii="Arial" w:eastAsia="Calibri" w:hAnsi="Arial" w:cs="Arial"/>
                <w:lang w:eastAsia="fr-FR"/>
              </w:rPr>
            </w:pPr>
          </w:p>
          <w:p>
            <w:pPr>
              <w:spacing w:line="20" w:lineRule="atLeast"/>
              <w:jc w:val="center"/>
              <w:rPr>
                <w:rFonts w:ascii="Arial" w:eastAsia="Calibri" w:hAnsi="Arial" w:cs="Arial"/>
                <w:lang w:eastAsia="fr-FR"/>
              </w:rPr>
            </w:pPr>
            <w:r>
              <w:rPr>
                <w:rFonts w:ascii="Arial" w:eastAsia="Calibri" w:hAnsi="Arial" w:cs="Arial"/>
                <w:lang w:eastAsia="fr-FR"/>
              </w:rPr>
              <w:t>CHU de Besançon</w:t>
            </w:r>
          </w:p>
          <w:p>
            <w:pPr>
              <w:spacing w:line="20" w:lineRule="atLeast"/>
              <w:jc w:val="center"/>
              <w:rPr>
                <w:rFonts w:ascii="Arial" w:eastAsia="Calibri" w:hAnsi="Arial" w:cs="Arial"/>
                <w:lang w:eastAsia="fr-FR"/>
              </w:rPr>
            </w:pPr>
            <w:r>
              <w:rPr>
                <w:rFonts w:ascii="Arial" w:eastAsia="Calibri" w:hAnsi="Arial" w:cs="Arial"/>
                <w:lang w:eastAsia="fr-FR"/>
              </w:rPr>
              <w:t xml:space="preserve">Direction des Services Hôteliers et des Achats </w:t>
            </w:r>
          </w:p>
          <w:p>
            <w:pPr>
              <w:spacing w:line="20" w:lineRule="atLeast"/>
              <w:jc w:val="center"/>
              <w:rPr>
                <w:rFonts w:ascii="Arial" w:eastAsia="Calibri" w:hAnsi="Arial" w:cs="Arial"/>
                <w:lang w:eastAsia="fr-FR"/>
              </w:rPr>
            </w:pPr>
            <w:r>
              <w:rPr>
                <w:rFonts w:ascii="Arial" w:eastAsia="Calibri" w:hAnsi="Arial" w:cs="Arial"/>
                <w:lang w:eastAsia="fr-FR"/>
              </w:rPr>
              <w:t>3 Boulevard Fleming</w:t>
            </w:r>
          </w:p>
          <w:p>
            <w:pPr>
              <w:spacing w:line="20" w:lineRule="atLeast"/>
              <w:jc w:val="center"/>
              <w:rPr>
                <w:rFonts w:ascii="Arial" w:eastAsia="Calibri" w:hAnsi="Arial" w:cs="Arial"/>
                <w:lang w:eastAsia="fr-FR"/>
              </w:rPr>
            </w:pPr>
            <w:r>
              <w:rPr>
                <w:rFonts w:ascii="Arial" w:eastAsia="Calibri" w:hAnsi="Arial" w:cs="Arial"/>
                <w:lang w:eastAsia="fr-FR"/>
              </w:rPr>
              <w:t>25030 Besançon Cedex</w:t>
            </w:r>
          </w:p>
          <w:p>
            <w:pPr>
              <w:spacing w:line="20" w:lineRule="atLeast"/>
              <w:jc w:val="center"/>
              <w:rPr>
                <w:rFonts w:ascii="Arial" w:eastAsia="Calibri" w:hAnsi="Arial" w:cs="Arial"/>
                <w:lang w:eastAsia="fr-FR"/>
              </w:rPr>
            </w:pPr>
            <w:r>
              <w:rPr>
                <w:rFonts w:ascii="Arial" w:eastAsia="Calibri" w:hAnsi="Arial" w:cs="Arial"/>
                <w:lang w:eastAsia="fr-FR"/>
              </w:rPr>
              <w:t>Tél : 03 81 21 80 47</w:t>
            </w:r>
          </w:p>
          <w:p>
            <w:pPr>
              <w:spacing w:line="20" w:lineRule="atLeast"/>
              <w:jc w:val="center"/>
              <w:rPr>
                <w:rFonts w:ascii="Arial" w:eastAsia="Calibri" w:hAnsi="Arial" w:cs="Arial"/>
                <w:lang w:eastAsia="fr-FR"/>
              </w:rPr>
            </w:pPr>
            <w:r>
              <w:rPr>
                <w:rFonts w:ascii="Arial" w:eastAsia="Calibri" w:hAnsi="Arial" w:cs="Arial"/>
                <w:lang w:eastAsia="fr-FR"/>
              </w:rPr>
              <w:t xml:space="preserve">Courriel : </w:t>
            </w:r>
            <w:r>
              <w:rPr>
                <w:rFonts w:ascii="Arial" w:eastAsia="Calibri" w:hAnsi="Arial" w:cs="Arial"/>
              </w:rPr>
              <w:t>mblandin@chu-besancon.fr</w:t>
            </w:r>
          </w:p>
          <w:p>
            <w:pPr>
              <w:spacing w:line="20" w:lineRule="atLeast"/>
              <w:jc w:val="left"/>
              <w:rPr>
                <w:rFonts w:ascii="Arial" w:eastAsia="Calibri" w:hAnsi="Arial" w:cs="Arial"/>
                <w:u w:val="single"/>
                <w:lang w:eastAsia="fr-FR"/>
              </w:rPr>
            </w:pPr>
          </w:p>
        </w:tc>
        <w:tc>
          <w:tcPr>
            <w:tcW w:w="4678" w:type="dxa"/>
          </w:tcPr>
          <w:p>
            <w:pPr>
              <w:spacing w:line="20" w:lineRule="atLeast"/>
              <w:jc w:val="center"/>
              <w:rPr>
                <w:rFonts w:ascii="Arial" w:eastAsia="Calibri" w:hAnsi="Arial" w:cs="Arial"/>
                <w:u w:val="single"/>
                <w:lang w:eastAsia="fr-FR"/>
              </w:rPr>
            </w:pPr>
          </w:p>
          <w:p>
            <w:pPr>
              <w:spacing w:line="20" w:lineRule="atLeast"/>
              <w:jc w:val="center"/>
              <w:rPr>
                <w:rFonts w:ascii="Arial" w:eastAsia="Calibri" w:hAnsi="Arial" w:cs="Arial"/>
                <w:lang w:eastAsia="fr-FR"/>
              </w:rPr>
            </w:pPr>
            <w:r>
              <w:rPr>
                <w:rFonts w:ascii="Arial" w:eastAsia="Calibri" w:hAnsi="Arial" w:cs="Arial"/>
                <w:lang w:eastAsia="fr-FR"/>
              </w:rPr>
              <w:t>CH de Novillars</w:t>
            </w:r>
          </w:p>
          <w:p>
            <w:pPr>
              <w:spacing w:line="20" w:lineRule="atLeast"/>
              <w:jc w:val="center"/>
              <w:rPr>
                <w:rFonts w:ascii="Arial" w:eastAsia="Calibri" w:hAnsi="Arial" w:cs="Arial"/>
                <w:lang w:eastAsia="fr-FR"/>
              </w:rPr>
            </w:pPr>
            <w:r>
              <w:rPr>
                <w:rFonts w:ascii="Arial" w:eastAsia="Calibri" w:hAnsi="Arial" w:cs="Arial"/>
                <w:lang w:eastAsia="fr-FR"/>
              </w:rPr>
              <w:t>Direction économat finances</w:t>
            </w:r>
          </w:p>
          <w:p>
            <w:pPr>
              <w:spacing w:line="20" w:lineRule="atLeast"/>
              <w:jc w:val="center"/>
              <w:rPr>
                <w:rFonts w:ascii="Arial" w:eastAsia="Calibri" w:hAnsi="Arial" w:cs="Arial"/>
                <w:lang w:eastAsia="fr-FR"/>
              </w:rPr>
            </w:pPr>
            <w:r>
              <w:rPr>
                <w:rFonts w:ascii="Arial" w:eastAsia="Calibri" w:hAnsi="Arial" w:cs="Arial"/>
                <w:lang w:eastAsia="fr-FR"/>
              </w:rPr>
              <w:t>4 rue du Dr Martin Charcot</w:t>
            </w:r>
          </w:p>
          <w:p>
            <w:pPr>
              <w:spacing w:line="20" w:lineRule="atLeast"/>
              <w:jc w:val="center"/>
              <w:rPr>
                <w:rFonts w:ascii="Arial" w:eastAsia="Calibri" w:hAnsi="Arial" w:cs="Arial"/>
                <w:lang w:eastAsia="fr-FR"/>
              </w:rPr>
            </w:pPr>
            <w:r>
              <w:rPr>
                <w:rFonts w:ascii="Arial" w:eastAsia="Calibri" w:hAnsi="Arial" w:cs="Arial"/>
                <w:lang w:eastAsia="fr-FR"/>
              </w:rPr>
              <w:t>25220 Novillars</w:t>
            </w:r>
          </w:p>
          <w:p>
            <w:pPr>
              <w:spacing w:line="20" w:lineRule="atLeast"/>
              <w:jc w:val="center"/>
              <w:rPr>
                <w:rFonts w:ascii="Arial" w:eastAsia="Calibri" w:hAnsi="Arial" w:cs="Arial"/>
                <w:lang w:eastAsia="fr-FR"/>
              </w:rPr>
            </w:pPr>
            <w:r>
              <w:rPr>
                <w:rFonts w:ascii="Arial" w:eastAsia="Calibri" w:hAnsi="Arial" w:cs="Arial"/>
                <w:lang w:eastAsia="fr-FR"/>
              </w:rPr>
              <w:t>Tél : 03 81 60 58 03</w:t>
            </w:r>
          </w:p>
          <w:p>
            <w:pPr>
              <w:spacing w:line="20" w:lineRule="atLeast"/>
              <w:jc w:val="center"/>
              <w:rPr>
                <w:rFonts w:ascii="Arial" w:eastAsia="Calibri" w:hAnsi="Arial" w:cs="Arial"/>
                <w:lang w:eastAsia="fr-FR"/>
              </w:rPr>
            </w:pPr>
            <w:r>
              <w:rPr>
                <w:rFonts w:ascii="Arial" w:eastAsia="Calibri" w:hAnsi="Arial" w:cs="Arial"/>
                <w:lang w:eastAsia="fr-FR"/>
              </w:rPr>
              <w:t xml:space="preserve">Courriel : </w:t>
            </w:r>
            <w:hyperlink r:id="rId9" w:history="1">
              <w:r>
                <w:rPr>
                  <w:rFonts w:ascii="Arial" w:eastAsia="Calibri" w:hAnsi="Arial" w:cs="Arial"/>
                  <w:color w:val="0000FF"/>
                  <w:u w:val="single"/>
                  <w:lang w:eastAsia="fr-FR"/>
                </w:rPr>
                <w:t>pierre.mondoloni@gpmsdoubsjura.fr</w:t>
              </w:r>
            </w:hyperlink>
          </w:p>
          <w:p>
            <w:pPr>
              <w:spacing w:line="20" w:lineRule="atLeast"/>
              <w:jc w:val="center"/>
              <w:rPr>
                <w:rFonts w:ascii="Arial" w:eastAsia="Calibri" w:hAnsi="Arial" w:cs="Arial"/>
                <w:lang w:eastAsia="fr-FR"/>
              </w:rPr>
            </w:pPr>
          </w:p>
        </w:tc>
      </w:tr>
    </w:tbl>
    <w:p>
      <w:pPr>
        <w:tabs>
          <w:tab w:val="left" w:pos="6270"/>
        </w:tabs>
        <w:spacing w:line="20" w:lineRule="atLeast"/>
        <w:rPr>
          <w:rFonts w:ascii="Arial" w:eastAsia="Times New Roman" w:hAnsi="Arial" w:cs="Arial"/>
          <w:color w:val="000000"/>
          <w:szCs w:val="20"/>
          <w:lang w:eastAsia="fr-FR"/>
        </w:rPr>
      </w:pPr>
      <w:r>
        <w:rPr>
          <w:rFonts w:ascii="Arial" w:eastAsia="Times New Roman" w:hAnsi="Arial" w:cs="Arial"/>
          <w:color w:val="000000"/>
          <w:szCs w:val="20"/>
          <w:lang w:eastAsia="fr-FR"/>
        </w:rPr>
        <w:tab/>
      </w:r>
    </w:p>
    <w:p>
      <w:pPr>
        <w:spacing w:line="20" w:lineRule="atLeast"/>
        <w:jc w:val="center"/>
        <w:rPr>
          <w:rFonts w:ascii="Arial" w:eastAsia="Times New Roman" w:hAnsi="Arial" w:cs="Arial"/>
          <w:b/>
          <w:color w:val="000000"/>
          <w:sz w:val="24"/>
          <w:szCs w:val="20"/>
          <w:lang w:eastAsia="fr-FR"/>
        </w:rPr>
      </w:pPr>
    </w:p>
    <w:p>
      <w:pPr>
        <w:spacing w:line="240" w:lineRule="auto"/>
        <w:jc w:val="center"/>
        <w:rPr>
          <w:rFonts w:ascii="Arial" w:eastAsia="Times New Roman" w:hAnsi="Arial" w:cs="Arial"/>
          <w:color w:val="000000"/>
          <w:szCs w:val="20"/>
          <w:lang w:eastAsia="fr-FR"/>
        </w:rPr>
      </w:pPr>
    </w:p>
    <w:p>
      <w:pPr>
        <w:spacing w:line="240" w:lineRule="auto"/>
        <w:jc w:val="center"/>
        <w:rPr>
          <w:rFonts w:ascii="Arial" w:eastAsia="Times New Roman" w:hAnsi="Arial" w:cs="Arial"/>
          <w:color w:val="000000"/>
          <w:szCs w:val="20"/>
          <w:lang w:eastAsia="fr-FR"/>
        </w:rPr>
      </w:pPr>
    </w:p>
    <w:p>
      <w:pPr>
        <w:spacing w:line="240" w:lineRule="auto"/>
        <w:jc w:val="center"/>
        <w:rPr>
          <w:rFonts w:ascii="Arial" w:eastAsia="Times New Roman" w:hAnsi="Arial" w:cs="Arial"/>
          <w:color w:val="000000"/>
          <w:szCs w:val="20"/>
          <w:lang w:eastAsia="fr-FR"/>
        </w:rPr>
      </w:pPr>
    </w:p>
    <w:p>
      <w:pPr>
        <w:spacing w:line="240" w:lineRule="auto"/>
        <w:jc w:val="center"/>
        <w:rPr>
          <w:rFonts w:ascii="Arial" w:eastAsia="Times New Roman" w:hAnsi="Arial" w:cs="Arial"/>
          <w:color w:val="000000"/>
          <w:szCs w:val="20"/>
          <w:lang w:eastAsia="fr-FR"/>
        </w:rPr>
      </w:pPr>
    </w:p>
    <w:p>
      <w:pPr>
        <w:spacing w:line="240" w:lineRule="auto"/>
        <w:jc w:val="center"/>
        <w:rPr>
          <w:rFonts w:ascii="Arial" w:eastAsia="Times New Roman" w:hAnsi="Arial" w:cs="Arial"/>
          <w:color w:val="000000"/>
          <w:szCs w:val="20"/>
          <w:lang w:eastAsia="fr-FR"/>
        </w:rPr>
      </w:pPr>
    </w:p>
    <w:p>
      <w:pPr>
        <w:spacing w:line="240" w:lineRule="auto"/>
        <w:rPr>
          <w:rFonts w:ascii="Arial" w:eastAsia="Times New Roman" w:hAnsi="Arial" w:cs="Arial"/>
          <w:color w:val="000000"/>
          <w:szCs w:val="20"/>
          <w:lang w:eastAsia="fr-FR"/>
        </w:rPr>
      </w:pPr>
    </w:p>
    <w:p>
      <w:pPr>
        <w:spacing w:line="240" w:lineRule="auto"/>
        <w:rPr>
          <w:rFonts w:ascii="Arial" w:eastAsia="Times New Roman" w:hAnsi="Arial" w:cs="Arial"/>
          <w:color w:val="000000"/>
          <w:szCs w:val="20"/>
          <w:lang w:eastAsia="fr-FR"/>
        </w:rPr>
      </w:pPr>
    </w:p>
    <w:p>
      <w:pPr>
        <w:spacing w:line="240" w:lineRule="auto"/>
        <w:rPr>
          <w:rFonts w:ascii="Arial" w:eastAsia="Times New Roman" w:hAnsi="Arial" w:cs="Arial"/>
          <w:color w:val="000000"/>
          <w:szCs w:val="20"/>
          <w:lang w:eastAsia="fr-FR"/>
        </w:rPr>
      </w:pPr>
    </w:p>
    <w:p>
      <w:pPr>
        <w:spacing w:line="240" w:lineRule="auto"/>
        <w:rPr>
          <w:rFonts w:ascii="Arial" w:eastAsia="Times New Roman" w:hAnsi="Arial" w:cs="Arial"/>
          <w:color w:val="000000"/>
          <w:szCs w:val="20"/>
          <w:lang w:eastAsia="fr-FR"/>
        </w:rPr>
      </w:pPr>
    </w:p>
    <w:p>
      <w:pPr>
        <w:spacing w:line="240" w:lineRule="auto"/>
        <w:rPr>
          <w:rFonts w:ascii="Arial" w:eastAsia="Times New Roman" w:hAnsi="Arial" w:cs="Arial"/>
          <w:color w:val="000000"/>
          <w:szCs w:val="20"/>
          <w:lang w:eastAsia="fr-FR"/>
        </w:rPr>
      </w:pPr>
    </w:p>
    <w:p>
      <w:pPr>
        <w:spacing w:line="240" w:lineRule="auto"/>
        <w:rPr>
          <w:rFonts w:ascii="Arial" w:eastAsia="Times New Roman" w:hAnsi="Arial" w:cs="Arial"/>
          <w:color w:val="000000"/>
          <w:szCs w:val="20"/>
          <w:lang w:eastAsia="fr-FR"/>
        </w:rPr>
      </w:pPr>
    </w:p>
    <w:p>
      <w:pPr>
        <w:spacing w:line="240" w:lineRule="auto"/>
        <w:rPr>
          <w:rFonts w:ascii="Arial" w:eastAsia="Times New Roman" w:hAnsi="Arial" w:cs="Arial"/>
          <w:color w:val="000000"/>
          <w:szCs w:val="20"/>
          <w:lang w:eastAsia="fr-FR"/>
        </w:rPr>
      </w:pPr>
    </w:p>
    <w:p>
      <w:pPr>
        <w:spacing w:line="240" w:lineRule="auto"/>
        <w:rPr>
          <w:rFonts w:ascii="Arial" w:eastAsia="Times New Roman" w:hAnsi="Arial" w:cs="Arial"/>
          <w:color w:val="000000"/>
          <w:szCs w:val="20"/>
          <w:lang w:eastAsia="fr-FR"/>
        </w:rPr>
      </w:pPr>
    </w:p>
    <w:p>
      <w:pPr>
        <w:spacing w:line="240" w:lineRule="auto"/>
        <w:jc w:val="center"/>
        <w:rPr>
          <w:rFonts w:ascii="Arial" w:eastAsia="Times New Roman" w:hAnsi="Arial" w:cs="Arial"/>
          <w:color w:val="000000"/>
          <w:szCs w:val="20"/>
          <w:lang w:eastAsia="fr-FR"/>
        </w:rPr>
      </w:pPr>
      <w:r>
        <w:rPr>
          <w:rFonts w:ascii="Arial" w:eastAsia="Times New Roman" w:hAnsi="Arial" w:cs="Arial"/>
          <w:color w:val="000000"/>
          <w:szCs w:val="20"/>
          <w:lang w:eastAsia="fr-FR"/>
        </w:rPr>
        <w:t>Ce document comporte 6 pages numérotées de 1 à 6.</w:t>
      </w:r>
    </w:p>
    <w:p>
      <w:pPr>
        <w:rPr>
          <w:rFonts w:ascii="Calibri" w:hAnsi="Calibri" w:cs="Arial"/>
          <w:b/>
          <w:sz w:val="24"/>
          <w:szCs w:val="24"/>
          <w:u w:val="single"/>
        </w:rPr>
      </w:pPr>
      <w:r>
        <w:rPr>
          <w:rFonts w:ascii="Calibri" w:hAnsi="Calibri" w:cs="Arial"/>
          <w:b/>
          <w:sz w:val="24"/>
          <w:szCs w:val="24"/>
          <w:u w:val="single"/>
        </w:rPr>
        <w:br w:type="page"/>
      </w:r>
    </w:p>
    <w:p>
      <w:pPr>
        <w:pStyle w:val="Titre2"/>
        <w:spacing w:line="20" w:lineRule="atLeast"/>
      </w:pPr>
      <w:r>
        <w:lastRenderedPageBreak/>
        <w:t>CH Novillars - AUDIT risques psychosociaux dans les unités d’admission</w:t>
      </w:r>
    </w:p>
    <w:p>
      <w:pPr>
        <w:pStyle w:val="Titre2"/>
        <w:spacing w:line="20" w:lineRule="atLeast"/>
        <w:rPr>
          <w:rFonts w:asciiTheme="minorHAnsi" w:hAnsiTheme="minorHAnsi" w:cstheme="minorHAnsi"/>
          <w:color w:val="auto"/>
          <w:sz w:val="22"/>
          <w:szCs w:val="22"/>
        </w:rPr>
      </w:pPr>
      <w:r>
        <w:rPr>
          <w:rFonts w:asciiTheme="minorHAnsi" w:hAnsiTheme="minorHAnsi" w:cstheme="minorHAnsi"/>
          <w:color w:val="auto"/>
          <w:sz w:val="22"/>
          <w:szCs w:val="22"/>
        </w:rPr>
        <w:t xml:space="preserve">La prestation se déroule sur 4 ans, correspondant à 4 phases d’audit. </w:t>
      </w:r>
    </w:p>
    <w:p>
      <w:pPr>
        <w:spacing w:line="20" w:lineRule="atLeast"/>
      </w:pPr>
      <w:r>
        <w:rPr>
          <w:b/>
          <w:bCs/>
        </w:rPr>
        <w:t>Pour rappel</w:t>
      </w:r>
      <w:r>
        <w:t>, l’objectif général est :</w:t>
      </w:r>
    </w:p>
    <w:p>
      <w:pPr>
        <w:spacing w:line="20" w:lineRule="atLeast"/>
      </w:pPr>
      <w:r>
        <w:t xml:space="preserve"> • Prévenir et gérer les risques psychosociaux au sein de l'établissement afin d'améliorer le bien-être des agents, la qualité du travail et l'efficacité organisationnelle. </w:t>
      </w:r>
    </w:p>
    <w:p>
      <w:pPr>
        <w:spacing w:line="20" w:lineRule="atLeast"/>
      </w:pPr>
      <w:r>
        <w:t>• Mettre en place une démarche d'amélioration continue en matière de prévention des RPS.</w:t>
      </w:r>
    </w:p>
    <w:p>
      <w:pPr>
        <w:spacing w:line="20" w:lineRule="atLeast"/>
      </w:pPr>
      <w:r>
        <w:t xml:space="preserve">• Intégrer les plans d'actions issus des audits dans le Document Unique d'Évaluation des Risques Professionnels (DUERP). </w:t>
      </w:r>
    </w:p>
    <w:p>
      <w:pPr>
        <w:spacing w:line="20" w:lineRule="atLeast"/>
      </w:pPr>
      <w:r>
        <w:t xml:space="preserve">Périmètre : L'audit se déroulera sur 4 ans selon le calendrier suivant : </w:t>
      </w:r>
    </w:p>
    <w:p>
      <w:pPr>
        <w:spacing w:line="20" w:lineRule="atLeast"/>
      </w:pPr>
      <w:r>
        <w:t>• 2026 : Audit des unités d’Admissions (7 unités dont EAA) : CYPRES, CALYPSO, EOLE, MAGNOLIAS, LILAS, TILLEULS, Espace Accueil Adolescents</w:t>
      </w:r>
    </w:p>
    <w:p>
      <w:pPr>
        <w:spacing w:line="20" w:lineRule="atLeast"/>
      </w:pPr>
      <w:r>
        <w:t xml:space="preserve">• 2027 : Audit des autres sites intrahospitaliers </w:t>
      </w:r>
      <w:r>
        <w:rPr>
          <w:color w:val="FF0000"/>
        </w:rPr>
        <w:t xml:space="preserve">(Annexe CH Novillars - Périmètres des phases, capacitaire, effectifs.pdf) </w:t>
      </w:r>
    </w:p>
    <w:p>
      <w:pPr>
        <w:spacing w:line="20" w:lineRule="atLeast"/>
      </w:pPr>
      <w:r>
        <w:t xml:space="preserve">• 2028 : Audit des sites extrahospitaliers et foyers </w:t>
      </w:r>
      <w:r>
        <w:rPr>
          <w:color w:val="FF0000"/>
        </w:rPr>
        <w:t xml:space="preserve">(Annexe CH Novillars - Périmètres des phases, capacitaire, effectifs.pdf) </w:t>
      </w:r>
    </w:p>
    <w:p>
      <w:pPr>
        <w:spacing w:line="20" w:lineRule="atLeast"/>
      </w:pPr>
      <w:r>
        <w:rPr>
          <w:color w:val="FF0000"/>
        </w:rPr>
        <w:t xml:space="preserve"> </w:t>
      </w:r>
    </w:p>
    <w:p>
      <w:pPr>
        <w:spacing w:line="20" w:lineRule="atLeast"/>
      </w:pPr>
      <w:r>
        <w:t xml:space="preserve">• 2029 : Audit de l'administration et des fonctions supports </w:t>
      </w:r>
      <w:r>
        <w:rPr>
          <w:color w:val="FF0000"/>
        </w:rPr>
        <w:t xml:space="preserve">(Annexe CH Novillars - Périmètres des phases, capacitaire, effectifs.pdf) </w:t>
      </w:r>
    </w:p>
    <w:p>
      <w:pPr>
        <w:spacing w:line="20" w:lineRule="atLeast"/>
      </w:pPr>
    </w:p>
    <w:p>
      <w:pPr>
        <w:spacing w:line="20" w:lineRule="atLeast"/>
      </w:pPr>
    </w:p>
    <w:p>
      <w:pPr>
        <w:spacing w:line="20" w:lineRule="atLeast"/>
        <w:rPr>
          <w:b/>
          <w:u w:val="single"/>
        </w:rPr>
      </w:pPr>
      <w:r>
        <w:rPr>
          <w:b/>
          <w:u w:val="single"/>
        </w:rPr>
        <w:t xml:space="preserve">ARTICLE 1 : PRESENTATION DE L’ETABLISSEMENT ET DONNEES A CONNAITRE : </w:t>
      </w:r>
    </w:p>
    <w:p>
      <w:pPr>
        <w:spacing w:line="20" w:lineRule="atLeast"/>
      </w:pPr>
    </w:p>
    <w:p>
      <w:pPr>
        <w:spacing w:line="20" w:lineRule="atLeast"/>
        <w:rPr>
          <w:b/>
          <w:bCs/>
        </w:rPr>
      </w:pPr>
      <w:r>
        <w:rPr>
          <w:b/>
          <w:bCs/>
        </w:rPr>
        <w:t>• Présentation de l'Établissement :</w:t>
      </w:r>
    </w:p>
    <w:p>
      <w:pPr>
        <w:spacing w:line="20" w:lineRule="atLeast"/>
      </w:pPr>
      <w:r>
        <w:t>Le Centre hospitalier de Novillars (données 2024)</w:t>
      </w:r>
    </w:p>
    <w:p>
      <w:pPr>
        <w:numPr>
          <w:ilvl w:val="0"/>
          <w:numId w:val="9"/>
        </w:numPr>
        <w:spacing w:after="160" w:line="20" w:lineRule="atLeast"/>
        <w:jc w:val="left"/>
      </w:pPr>
      <w:r>
        <w:rPr>
          <w:b/>
          <w:bCs/>
        </w:rPr>
        <w:t xml:space="preserve">Est l’établissement public de référence en psychiatrie et santé mentale du Doubs </w:t>
      </w:r>
      <w:r>
        <w:t xml:space="preserve">couvrant un bassin de population de près de 324000 habitants. </w:t>
      </w:r>
    </w:p>
    <w:p>
      <w:pPr>
        <w:numPr>
          <w:ilvl w:val="0"/>
          <w:numId w:val="9"/>
        </w:numPr>
        <w:spacing w:after="160" w:line="20" w:lineRule="atLeast"/>
        <w:jc w:val="left"/>
      </w:pPr>
      <w:r>
        <w:rPr>
          <w:b/>
          <w:bCs/>
        </w:rPr>
        <w:t>Est en direction commune au sein du GPMS (Groupement Psychiatrie Médico Social) avec :</w:t>
      </w:r>
    </w:p>
    <w:p>
      <w:pPr>
        <w:numPr>
          <w:ilvl w:val="1"/>
          <w:numId w:val="9"/>
        </w:numPr>
        <w:spacing w:after="160" w:line="20" w:lineRule="atLeast"/>
        <w:jc w:val="left"/>
      </w:pPr>
      <w:r>
        <w:t>Le Centre Hospitalier Spécialisé Saint Ylie à Dole – EPSM du Jura</w:t>
      </w:r>
    </w:p>
    <w:p>
      <w:pPr>
        <w:numPr>
          <w:ilvl w:val="1"/>
          <w:numId w:val="9"/>
        </w:numPr>
        <w:spacing w:after="160" w:line="20" w:lineRule="atLeast"/>
        <w:jc w:val="left"/>
      </w:pPr>
      <w:r>
        <w:t>L’ETAPES (Etablissement Public Educatif et Social) de Dole</w:t>
      </w:r>
    </w:p>
    <w:p>
      <w:pPr>
        <w:numPr>
          <w:ilvl w:val="1"/>
          <w:numId w:val="9"/>
        </w:numPr>
        <w:spacing w:after="160" w:line="20" w:lineRule="atLeast"/>
        <w:jc w:val="left"/>
      </w:pPr>
      <w:r>
        <w:t xml:space="preserve">Solidarité Doubs Handicap à Besançon </w:t>
      </w:r>
    </w:p>
    <w:p>
      <w:pPr>
        <w:numPr>
          <w:ilvl w:val="1"/>
          <w:numId w:val="9"/>
        </w:numPr>
        <w:spacing w:after="160" w:line="20" w:lineRule="atLeast"/>
        <w:jc w:val="left"/>
      </w:pPr>
      <w:r>
        <w:t>l’EHPAD Alexis Marquiset à Mamirolle</w:t>
      </w:r>
    </w:p>
    <w:p>
      <w:pPr>
        <w:numPr>
          <w:ilvl w:val="0"/>
          <w:numId w:val="9"/>
        </w:numPr>
        <w:spacing w:after="160" w:line="20" w:lineRule="atLeast"/>
        <w:jc w:val="left"/>
      </w:pPr>
      <w:r>
        <w:rPr>
          <w:b/>
          <w:bCs/>
        </w:rPr>
        <w:t xml:space="preserve">Est intégré, </w:t>
      </w:r>
      <w:r>
        <w:t>depuis le 1er janvier 2020,</w:t>
      </w:r>
      <w:r>
        <w:rPr>
          <w:b/>
          <w:bCs/>
        </w:rPr>
        <w:t xml:space="preserve"> au GHT Centre Franche Comté,</w:t>
      </w:r>
      <w:r>
        <w:t xml:space="preserve"> dont le </w:t>
      </w:r>
      <w:r>
        <w:rPr>
          <w:b/>
          <w:bCs/>
        </w:rPr>
        <w:t>CHU de BESANCON est l’établissement support.</w:t>
      </w:r>
    </w:p>
    <w:p>
      <w:pPr>
        <w:spacing w:line="20" w:lineRule="atLeast"/>
        <w:ind w:left="284"/>
      </w:pPr>
      <w:r>
        <w:rPr>
          <w:b/>
          <w:bCs/>
        </w:rPr>
        <w:t>Effectif médical : 46,3 ETP</w:t>
      </w:r>
    </w:p>
    <w:p>
      <w:pPr>
        <w:numPr>
          <w:ilvl w:val="1"/>
          <w:numId w:val="9"/>
        </w:numPr>
        <w:spacing w:after="160" w:line="20" w:lineRule="atLeast"/>
        <w:jc w:val="left"/>
      </w:pPr>
      <w:r>
        <w:t>10 internes et Dr juniors</w:t>
      </w:r>
    </w:p>
    <w:p>
      <w:pPr>
        <w:spacing w:line="20" w:lineRule="atLeast"/>
        <w:ind w:left="284"/>
      </w:pPr>
      <w:r>
        <w:rPr>
          <w:b/>
          <w:bCs/>
        </w:rPr>
        <w:t>Effectif non médical : 754,15 ETP</w:t>
      </w:r>
    </w:p>
    <w:p>
      <w:pPr>
        <w:numPr>
          <w:ilvl w:val="1"/>
          <w:numId w:val="9"/>
        </w:numPr>
        <w:spacing w:after="160" w:line="20" w:lineRule="atLeast"/>
        <w:jc w:val="left"/>
      </w:pPr>
      <w:r>
        <w:t>Dont 268,65 IDE</w:t>
      </w:r>
    </w:p>
    <w:p>
      <w:pPr>
        <w:numPr>
          <w:ilvl w:val="1"/>
          <w:numId w:val="9"/>
        </w:numPr>
        <w:spacing w:after="160" w:line="20" w:lineRule="atLeast"/>
        <w:jc w:val="left"/>
      </w:pPr>
      <w:r>
        <w:t>Dont 120,8 AS</w:t>
      </w:r>
    </w:p>
    <w:p>
      <w:pPr>
        <w:spacing w:line="20" w:lineRule="atLeast"/>
        <w:ind w:left="426" w:hanging="142"/>
      </w:pPr>
      <w:r>
        <w:rPr>
          <w:b/>
          <w:bCs/>
        </w:rPr>
        <w:t>393 lits et places au 10/12/2024</w:t>
      </w:r>
    </w:p>
    <w:p>
      <w:pPr>
        <w:numPr>
          <w:ilvl w:val="1"/>
          <w:numId w:val="9"/>
        </w:numPr>
        <w:spacing w:after="160" w:line="20" w:lineRule="atLeast"/>
        <w:jc w:val="left"/>
      </w:pPr>
      <w:r>
        <w:t>dont 278 psychiatrie générale</w:t>
      </w:r>
    </w:p>
    <w:p>
      <w:pPr>
        <w:numPr>
          <w:ilvl w:val="1"/>
          <w:numId w:val="9"/>
        </w:numPr>
        <w:spacing w:after="160" w:line="20" w:lineRule="atLeast"/>
        <w:jc w:val="left"/>
      </w:pPr>
      <w:r>
        <w:t>dont 60 en pédopsychiatrie</w:t>
      </w:r>
    </w:p>
    <w:p>
      <w:pPr>
        <w:numPr>
          <w:ilvl w:val="1"/>
          <w:numId w:val="9"/>
        </w:numPr>
        <w:spacing w:after="160" w:line="20" w:lineRule="atLeast"/>
        <w:jc w:val="left"/>
      </w:pPr>
      <w:r>
        <w:t>dont 8 addictologie</w:t>
      </w:r>
    </w:p>
    <w:p>
      <w:pPr>
        <w:numPr>
          <w:ilvl w:val="1"/>
          <w:numId w:val="9"/>
        </w:numPr>
        <w:spacing w:after="160" w:line="20" w:lineRule="atLeast"/>
        <w:jc w:val="left"/>
      </w:pPr>
      <w:r>
        <w:t xml:space="preserve">dont 47 MAS </w:t>
      </w:r>
    </w:p>
    <w:p>
      <w:pPr>
        <w:spacing w:line="20" w:lineRule="atLeast"/>
        <w:ind w:left="284"/>
        <w:rPr>
          <w:b/>
          <w:bCs/>
        </w:rPr>
      </w:pPr>
      <w:r>
        <w:rPr>
          <w:b/>
          <w:bCs/>
        </w:rPr>
        <w:lastRenderedPageBreak/>
        <w:t>2615 entrées en 2024</w:t>
      </w:r>
    </w:p>
    <w:p>
      <w:pPr>
        <w:spacing w:line="20" w:lineRule="atLeast"/>
        <w:ind w:left="284"/>
        <w:rPr>
          <w:b/>
          <w:bCs/>
        </w:rPr>
      </w:pPr>
      <w:r>
        <w:rPr>
          <w:b/>
          <w:bCs/>
        </w:rPr>
        <w:t xml:space="preserve">83 % Tx d’occupation moyen </w:t>
      </w:r>
    </w:p>
    <w:p>
      <w:pPr>
        <w:spacing w:line="20" w:lineRule="atLeast"/>
        <w:ind w:left="284"/>
        <w:rPr>
          <w:b/>
          <w:bCs/>
        </w:rPr>
      </w:pPr>
      <w:r>
        <w:rPr>
          <w:b/>
          <w:bCs/>
        </w:rPr>
        <w:t>47 jours de DMS en admissions adultes</w:t>
      </w:r>
    </w:p>
    <w:p>
      <w:pPr>
        <w:numPr>
          <w:ilvl w:val="0"/>
          <w:numId w:val="10"/>
        </w:numPr>
        <w:spacing w:after="160" w:line="20" w:lineRule="atLeast"/>
        <w:jc w:val="left"/>
        <w:rPr>
          <w:b/>
          <w:bCs/>
        </w:rPr>
      </w:pPr>
      <w:r>
        <w:rPr>
          <w:b/>
          <w:bCs/>
        </w:rPr>
        <w:t>File active : 10 055 patients</w:t>
      </w:r>
    </w:p>
    <w:p>
      <w:pPr>
        <w:numPr>
          <w:ilvl w:val="0"/>
          <w:numId w:val="10"/>
        </w:numPr>
        <w:spacing w:after="160" w:line="20" w:lineRule="atLeast"/>
        <w:jc w:val="left"/>
        <w:rPr>
          <w:b/>
          <w:bCs/>
        </w:rPr>
      </w:pPr>
      <w:r>
        <w:rPr>
          <w:b/>
          <w:bCs/>
        </w:rPr>
        <w:t>71 737 journées hospitalisation complète</w:t>
      </w:r>
    </w:p>
    <w:p>
      <w:pPr>
        <w:numPr>
          <w:ilvl w:val="0"/>
          <w:numId w:val="10"/>
        </w:numPr>
        <w:spacing w:after="160" w:line="20" w:lineRule="atLeast"/>
        <w:jc w:val="left"/>
        <w:rPr>
          <w:b/>
          <w:bCs/>
        </w:rPr>
      </w:pPr>
      <w:r>
        <w:rPr>
          <w:b/>
          <w:bCs/>
        </w:rPr>
        <w:t>11 226 journées HDJ</w:t>
      </w:r>
    </w:p>
    <w:p>
      <w:pPr>
        <w:numPr>
          <w:ilvl w:val="0"/>
          <w:numId w:val="10"/>
        </w:numPr>
        <w:spacing w:after="160" w:line="20" w:lineRule="atLeast"/>
        <w:jc w:val="left"/>
        <w:rPr>
          <w:b/>
          <w:bCs/>
        </w:rPr>
      </w:pPr>
      <w:r>
        <w:rPr>
          <w:b/>
          <w:bCs/>
        </w:rPr>
        <w:t>104 541 actes ambulatoires</w:t>
      </w:r>
    </w:p>
    <w:p>
      <w:pPr>
        <w:spacing w:line="20" w:lineRule="atLeast"/>
        <w:rPr>
          <w:b/>
          <w:bCs/>
        </w:rPr>
      </w:pPr>
    </w:p>
    <w:p>
      <w:pPr>
        <w:spacing w:line="20" w:lineRule="atLeast"/>
        <w:rPr>
          <w:i/>
        </w:rPr>
      </w:pPr>
      <w:r>
        <w:rPr>
          <w:i/>
        </w:rPr>
        <w:t>Un audit a eu lieu en 2017 sur l’ensemble de l’Établissement ayant abouti à un plan d’action intégré au DUERP.</w:t>
      </w:r>
    </w:p>
    <w:p>
      <w:pPr>
        <w:spacing w:line="20" w:lineRule="atLeast"/>
      </w:pPr>
    </w:p>
    <w:p>
      <w:pPr>
        <w:spacing w:line="20" w:lineRule="atLeast"/>
      </w:pPr>
    </w:p>
    <w:p>
      <w:pPr>
        <w:spacing w:line="20" w:lineRule="atLeast"/>
        <w:rPr>
          <w:b/>
          <w:u w:val="single"/>
        </w:rPr>
      </w:pPr>
      <w:r>
        <w:rPr>
          <w:b/>
          <w:u w:val="single"/>
        </w:rPr>
        <w:t>ARTICLE 2 : EXPOSITION DES DIFFERENTES PHASES :</w:t>
      </w:r>
    </w:p>
    <w:p>
      <w:pPr>
        <w:spacing w:line="20" w:lineRule="atLeast"/>
      </w:pPr>
    </w:p>
    <w:p>
      <w:pPr>
        <w:spacing w:line="20" w:lineRule="atLeast"/>
        <w:rPr>
          <w:b/>
          <w:i/>
        </w:rPr>
      </w:pPr>
      <w:r>
        <w:rPr>
          <w:b/>
          <w:i/>
        </w:rPr>
        <w:t>ARTICLE 2.1 : PHASE 1 (2026)</w:t>
      </w:r>
    </w:p>
    <w:p>
      <w:pPr>
        <w:spacing w:line="20" w:lineRule="atLeast"/>
      </w:pPr>
    </w:p>
    <w:p>
      <w:pPr>
        <w:pStyle w:val="Titre2"/>
        <w:spacing w:line="20" w:lineRule="atLeast"/>
      </w:pPr>
      <w:r>
        <w:t>7 unités d’admission dont l’Espace Accueil Adolescents</w:t>
      </w:r>
    </w:p>
    <w:p>
      <w:pPr>
        <w:spacing w:line="20" w:lineRule="atLeast"/>
      </w:pPr>
    </w:p>
    <w:p>
      <w:pPr>
        <w:spacing w:line="20" w:lineRule="atLeast"/>
        <w:rPr>
          <w:b/>
          <w:bCs/>
        </w:rPr>
      </w:pPr>
      <w:r>
        <w:rPr>
          <w:b/>
          <w:bCs/>
        </w:rPr>
        <w:t>Il s’agit de la première phase d’audit qui doit se dérouler en 2026. Le CH de Novillars se réserve le droit d’arrêter la collaboration avec le prestataire au terme de chacune des phases annuelles.</w:t>
      </w:r>
    </w:p>
    <w:p>
      <w:pPr>
        <w:spacing w:line="20" w:lineRule="atLeast"/>
      </w:pPr>
    </w:p>
    <w:p>
      <w:pPr>
        <w:spacing w:line="20" w:lineRule="atLeast"/>
        <w:rPr>
          <w:b/>
          <w:bCs/>
        </w:rPr>
      </w:pPr>
      <w:r>
        <w:t xml:space="preserve">• </w:t>
      </w:r>
      <w:r>
        <w:rPr>
          <w:b/>
          <w:bCs/>
        </w:rPr>
        <w:t xml:space="preserve">Objectifs Spécifiques de l'Audit 2026 (Admissions) : </w:t>
      </w:r>
    </w:p>
    <w:p>
      <w:pPr>
        <w:spacing w:line="20" w:lineRule="atLeast"/>
      </w:pPr>
      <w:r>
        <w:t>-Identifier les facteurs de RPS spécifiques aux admissions</w:t>
      </w:r>
    </w:p>
    <w:p>
      <w:pPr>
        <w:spacing w:line="20" w:lineRule="atLeast"/>
      </w:pPr>
      <w:r>
        <w:t>-Évaluer l'impact de l'organisation du travail sur la santé des agents.</w:t>
      </w:r>
    </w:p>
    <w:p>
      <w:pPr>
        <w:spacing w:line="20" w:lineRule="atLeast"/>
      </w:pPr>
      <w:r>
        <w:t>-Proposer des pistes d'amélioration pour réduire les risques et les intégrer au DUERP.</w:t>
      </w:r>
    </w:p>
    <w:p>
      <w:pPr>
        <w:spacing w:line="20" w:lineRule="atLeast"/>
      </w:pPr>
    </w:p>
    <w:p>
      <w:pPr>
        <w:spacing w:line="20" w:lineRule="atLeast"/>
      </w:pPr>
      <w:r>
        <w:t xml:space="preserve">• </w:t>
      </w:r>
      <w:r>
        <w:rPr>
          <w:b/>
          <w:bCs/>
        </w:rPr>
        <w:t>Méthodologie :</w:t>
      </w:r>
    </w:p>
    <w:p>
      <w:pPr>
        <w:spacing w:line="20" w:lineRule="atLeast"/>
      </w:pPr>
      <w:r>
        <w:t xml:space="preserve">Description détaillée des outils d'évaluation utilisés </w:t>
      </w:r>
    </w:p>
    <w:p>
      <w:pPr>
        <w:spacing w:line="20" w:lineRule="atLeast"/>
      </w:pPr>
      <w:r>
        <w:t>(Questionnaires, entretiens, etc.).</w:t>
      </w:r>
    </w:p>
    <w:p>
      <w:pPr>
        <w:spacing w:line="20" w:lineRule="atLeast"/>
      </w:pPr>
      <w:r>
        <w:t xml:space="preserve">Modalités de recueil des données (anonymat, confidentialité, </w:t>
      </w:r>
    </w:p>
    <w:p>
      <w:pPr>
        <w:spacing w:line="20" w:lineRule="atLeast"/>
      </w:pPr>
      <w:r>
        <w:t>etc.).</w:t>
      </w:r>
    </w:p>
    <w:p>
      <w:pPr>
        <w:spacing w:line="20" w:lineRule="atLeast"/>
      </w:pPr>
      <w:r>
        <w:t>Démarche d'analyse des données.</w:t>
      </w:r>
    </w:p>
    <w:p>
      <w:pPr>
        <w:spacing w:line="20" w:lineRule="atLeast"/>
      </w:pPr>
      <w:r>
        <w:t xml:space="preserve">Implication des acteurs (direction, RH, représentants du </w:t>
      </w:r>
    </w:p>
    <w:p>
      <w:pPr>
        <w:spacing w:line="20" w:lineRule="atLeast"/>
      </w:pPr>
      <w:r>
        <w:t>personnel, etc.), avec un focus sur le rôle du COPIL.</w:t>
      </w:r>
    </w:p>
    <w:p>
      <w:pPr>
        <w:spacing w:line="20" w:lineRule="atLeast"/>
      </w:pPr>
    </w:p>
    <w:p>
      <w:pPr>
        <w:spacing w:line="20" w:lineRule="atLeast"/>
        <w:rPr>
          <w:b/>
          <w:bCs/>
        </w:rPr>
      </w:pPr>
      <w:r>
        <w:rPr>
          <w:b/>
          <w:bCs/>
        </w:rPr>
        <w:t>• Livrables :</w:t>
      </w:r>
    </w:p>
    <w:p>
      <w:pPr>
        <w:spacing w:line="20" w:lineRule="atLeast"/>
      </w:pPr>
      <w:r>
        <w:t>Rapport de diagnostic détaillé.</w:t>
      </w:r>
    </w:p>
    <w:p>
      <w:pPr>
        <w:spacing w:line="20" w:lineRule="atLeast"/>
      </w:pPr>
      <w:r>
        <w:t>Plan d'actions opérationnel.</w:t>
      </w:r>
    </w:p>
    <w:p>
      <w:pPr>
        <w:spacing w:line="20" w:lineRule="atLeast"/>
      </w:pPr>
      <w:r>
        <w:t>Modalités d'intégration du plan d'actions au DUERP.</w:t>
      </w:r>
    </w:p>
    <w:p>
      <w:pPr>
        <w:spacing w:line="20" w:lineRule="atLeast"/>
      </w:pPr>
      <w:r>
        <w:t>Indicateurs de suivi.</w:t>
      </w:r>
    </w:p>
    <w:p>
      <w:pPr>
        <w:spacing w:line="20" w:lineRule="atLeast"/>
      </w:pPr>
      <w:r>
        <w:t xml:space="preserve">Présentations intermédiaires et finales aux agents, au COPIL et </w:t>
      </w:r>
    </w:p>
    <w:p>
      <w:pPr>
        <w:spacing w:line="20" w:lineRule="atLeast"/>
      </w:pPr>
      <w:r>
        <w:t>aux instances</w:t>
      </w:r>
    </w:p>
    <w:p>
      <w:pPr>
        <w:spacing w:line="20" w:lineRule="atLeast"/>
      </w:pPr>
    </w:p>
    <w:p>
      <w:pPr>
        <w:spacing w:line="20" w:lineRule="atLeast"/>
        <w:rPr>
          <w:b/>
          <w:bCs/>
        </w:rPr>
      </w:pPr>
      <w:r>
        <w:rPr>
          <w:b/>
          <w:bCs/>
        </w:rPr>
        <w:t>• Délais et Calendrier :</w:t>
      </w:r>
    </w:p>
    <w:p>
      <w:pPr>
        <w:spacing w:line="20" w:lineRule="atLeast"/>
      </w:pPr>
      <w:r>
        <w:t xml:space="preserve">Planning détaillé de chaque phase de l'audit, incluant les dates </w:t>
      </w:r>
    </w:p>
    <w:p>
      <w:pPr>
        <w:spacing w:line="20" w:lineRule="atLeast"/>
      </w:pPr>
      <w:r>
        <w:t>des réunions du COPIL.</w:t>
      </w:r>
    </w:p>
    <w:p>
      <w:pPr>
        <w:spacing w:line="20" w:lineRule="atLeast"/>
      </w:pPr>
      <w:r>
        <w:t>Dates de remise des livrables.</w:t>
      </w:r>
    </w:p>
    <w:p>
      <w:r>
        <w:br w:type="page"/>
      </w:r>
    </w:p>
    <w:p>
      <w:pPr>
        <w:spacing w:line="20" w:lineRule="atLeast"/>
        <w:rPr>
          <w:b/>
          <w:i/>
        </w:rPr>
      </w:pPr>
      <w:r>
        <w:rPr>
          <w:b/>
          <w:i/>
        </w:rPr>
        <w:lastRenderedPageBreak/>
        <w:t>ARTICLE 2.2 PHASE 2 (2027)</w:t>
      </w:r>
    </w:p>
    <w:p>
      <w:pPr>
        <w:spacing w:line="20" w:lineRule="atLeast"/>
      </w:pPr>
    </w:p>
    <w:p>
      <w:pPr>
        <w:spacing w:line="20" w:lineRule="atLeast"/>
        <w:rPr>
          <w:rFonts w:asciiTheme="majorHAnsi" w:hAnsiTheme="majorHAnsi" w:cstheme="majorHAnsi"/>
          <w:b/>
          <w:color w:val="5B9BD5" w:themeColor="accent1"/>
          <w:sz w:val="32"/>
          <w:szCs w:val="32"/>
        </w:rPr>
      </w:pPr>
      <w:r>
        <w:rPr>
          <w:rFonts w:asciiTheme="majorHAnsi" w:hAnsiTheme="majorHAnsi" w:cstheme="majorHAnsi"/>
          <w:b/>
          <w:color w:val="5B9BD5" w:themeColor="accent1"/>
          <w:sz w:val="32"/>
          <w:szCs w:val="32"/>
        </w:rPr>
        <w:t xml:space="preserve">AUTRES SERVICES INTRAHOSPITALIERS </w:t>
      </w:r>
    </w:p>
    <w:p>
      <w:pPr>
        <w:spacing w:line="20" w:lineRule="atLeast"/>
        <w:rPr>
          <w:rFonts w:asciiTheme="majorHAnsi" w:hAnsiTheme="majorHAnsi" w:cstheme="majorHAnsi"/>
          <w:b/>
          <w:color w:val="5B9BD5" w:themeColor="accent1"/>
          <w:sz w:val="32"/>
          <w:szCs w:val="32"/>
        </w:rPr>
      </w:pPr>
    </w:p>
    <w:p>
      <w:pPr>
        <w:spacing w:line="20" w:lineRule="atLeast"/>
        <w:rPr>
          <w:b/>
          <w:bCs/>
        </w:rPr>
      </w:pPr>
      <w:r>
        <w:rPr>
          <w:b/>
          <w:bCs/>
        </w:rPr>
        <w:t>Il s’agit de la seconde phase d’audit qui doit se dérouler en 2027. Le CH de Novillars se réserve le droit d’arrêter la collaboration avec le prestataire au terme de chacune des phases annuelles.</w:t>
      </w:r>
    </w:p>
    <w:p>
      <w:pPr>
        <w:spacing w:line="20" w:lineRule="atLeast"/>
      </w:pPr>
    </w:p>
    <w:p>
      <w:pPr>
        <w:spacing w:line="20" w:lineRule="atLeast"/>
        <w:rPr>
          <w:b/>
          <w:bCs/>
        </w:rPr>
      </w:pPr>
      <w:r>
        <w:t xml:space="preserve">• </w:t>
      </w:r>
      <w:r>
        <w:rPr>
          <w:b/>
          <w:bCs/>
        </w:rPr>
        <w:t xml:space="preserve">Objectifs Spécifiques de l'Audit 2027 (Autres services hospitaliers) : </w:t>
      </w:r>
    </w:p>
    <w:p>
      <w:pPr>
        <w:spacing w:line="20" w:lineRule="atLeast"/>
      </w:pPr>
      <w:r>
        <w:t>-Identifier les facteurs de RPS spécifiques aux admissions</w:t>
      </w:r>
    </w:p>
    <w:p>
      <w:pPr>
        <w:spacing w:line="20" w:lineRule="atLeast"/>
      </w:pPr>
      <w:r>
        <w:t>-Évaluer l'impact de l'organisation du travail sur la santé des agents.</w:t>
      </w:r>
    </w:p>
    <w:p>
      <w:pPr>
        <w:spacing w:line="20" w:lineRule="atLeast"/>
      </w:pPr>
      <w:r>
        <w:t>-Proposer des pistes d'amélioration pour réduire les risques et les intégrer au DUERP.</w:t>
      </w:r>
    </w:p>
    <w:p>
      <w:pPr>
        <w:spacing w:line="20" w:lineRule="atLeast"/>
      </w:pPr>
    </w:p>
    <w:p>
      <w:pPr>
        <w:spacing w:line="20" w:lineRule="atLeast"/>
      </w:pPr>
      <w:r>
        <w:t xml:space="preserve">• </w:t>
      </w:r>
      <w:r>
        <w:rPr>
          <w:b/>
          <w:bCs/>
        </w:rPr>
        <w:t>Méthodologie :</w:t>
      </w:r>
    </w:p>
    <w:p>
      <w:pPr>
        <w:spacing w:line="20" w:lineRule="atLeast"/>
      </w:pPr>
      <w:r>
        <w:t xml:space="preserve">Description détaillée des outils d'évaluation utilisés </w:t>
      </w:r>
    </w:p>
    <w:p>
      <w:pPr>
        <w:spacing w:line="20" w:lineRule="atLeast"/>
      </w:pPr>
      <w:r>
        <w:t>(Questionnaires, entretiens, etc.).</w:t>
      </w:r>
    </w:p>
    <w:p>
      <w:pPr>
        <w:spacing w:line="20" w:lineRule="atLeast"/>
      </w:pPr>
      <w:r>
        <w:t xml:space="preserve">Modalités de recueil des données (anonymat, confidentialité, </w:t>
      </w:r>
    </w:p>
    <w:p>
      <w:pPr>
        <w:spacing w:line="20" w:lineRule="atLeast"/>
      </w:pPr>
      <w:r>
        <w:t>etc.).</w:t>
      </w:r>
    </w:p>
    <w:p>
      <w:pPr>
        <w:spacing w:line="20" w:lineRule="atLeast"/>
      </w:pPr>
      <w:r>
        <w:t>Démarche d'analyse des données.</w:t>
      </w:r>
    </w:p>
    <w:p>
      <w:pPr>
        <w:spacing w:line="20" w:lineRule="atLeast"/>
      </w:pPr>
      <w:r>
        <w:t xml:space="preserve">Implication des acteurs (direction, RH, représentants du </w:t>
      </w:r>
    </w:p>
    <w:p>
      <w:pPr>
        <w:spacing w:line="20" w:lineRule="atLeast"/>
      </w:pPr>
      <w:r>
        <w:t>personnel, etc.), avec un focus sur le rôle du COPIL.</w:t>
      </w:r>
    </w:p>
    <w:p>
      <w:pPr>
        <w:spacing w:line="20" w:lineRule="atLeast"/>
      </w:pPr>
    </w:p>
    <w:p>
      <w:pPr>
        <w:spacing w:line="20" w:lineRule="atLeast"/>
        <w:rPr>
          <w:b/>
          <w:bCs/>
        </w:rPr>
      </w:pPr>
      <w:r>
        <w:rPr>
          <w:b/>
          <w:bCs/>
        </w:rPr>
        <w:t>• Livrables :</w:t>
      </w:r>
    </w:p>
    <w:p>
      <w:pPr>
        <w:spacing w:line="20" w:lineRule="atLeast"/>
      </w:pPr>
      <w:r>
        <w:t>Rapport de diagnostic détaillé.</w:t>
      </w:r>
    </w:p>
    <w:p>
      <w:pPr>
        <w:spacing w:line="20" w:lineRule="atLeast"/>
      </w:pPr>
      <w:r>
        <w:t>Plan d'actions opérationnel.</w:t>
      </w:r>
    </w:p>
    <w:p>
      <w:pPr>
        <w:spacing w:line="20" w:lineRule="atLeast"/>
      </w:pPr>
      <w:r>
        <w:t>Modalités d'intégration du plan d'actions au DUERP.</w:t>
      </w:r>
    </w:p>
    <w:p>
      <w:pPr>
        <w:spacing w:line="20" w:lineRule="atLeast"/>
      </w:pPr>
      <w:r>
        <w:t>Indicateurs de suivi.</w:t>
      </w:r>
    </w:p>
    <w:p>
      <w:pPr>
        <w:spacing w:line="20" w:lineRule="atLeast"/>
      </w:pPr>
      <w:r>
        <w:t xml:space="preserve">Présentations intermédiaires et finales aux agents, au COPIL et </w:t>
      </w:r>
    </w:p>
    <w:p>
      <w:pPr>
        <w:spacing w:line="20" w:lineRule="atLeast"/>
      </w:pPr>
      <w:r>
        <w:t>aux instances</w:t>
      </w:r>
    </w:p>
    <w:p>
      <w:pPr>
        <w:spacing w:line="20" w:lineRule="atLeast"/>
      </w:pPr>
    </w:p>
    <w:p>
      <w:pPr>
        <w:spacing w:line="20" w:lineRule="atLeast"/>
        <w:rPr>
          <w:b/>
          <w:bCs/>
        </w:rPr>
      </w:pPr>
      <w:r>
        <w:rPr>
          <w:b/>
          <w:bCs/>
        </w:rPr>
        <w:t>• Délais et Calendrier :</w:t>
      </w:r>
    </w:p>
    <w:p>
      <w:pPr>
        <w:spacing w:line="20" w:lineRule="atLeast"/>
      </w:pPr>
      <w:r>
        <w:t xml:space="preserve">Planning détaillé de chaque phase de l'audit, incluant les dates </w:t>
      </w:r>
    </w:p>
    <w:p>
      <w:pPr>
        <w:spacing w:line="20" w:lineRule="atLeast"/>
      </w:pPr>
      <w:r>
        <w:t>des réunions du COPIL.</w:t>
      </w:r>
    </w:p>
    <w:p>
      <w:pPr>
        <w:spacing w:line="20" w:lineRule="atLeast"/>
      </w:pPr>
      <w:r>
        <w:t>Dates de remise des livrables.</w:t>
      </w:r>
    </w:p>
    <w:p>
      <w:pPr>
        <w:spacing w:line="20" w:lineRule="atLeast"/>
        <w:rPr>
          <w:rFonts w:asciiTheme="majorHAnsi" w:hAnsiTheme="majorHAnsi" w:cstheme="majorHAnsi"/>
          <w:b/>
          <w:color w:val="5B9BD5" w:themeColor="accent1"/>
          <w:sz w:val="32"/>
          <w:szCs w:val="32"/>
        </w:rPr>
      </w:pPr>
    </w:p>
    <w:p>
      <w:pPr>
        <w:spacing w:line="20" w:lineRule="atLeast"/>
        <w:rPr>
          <w:b/>
          <w:i/>
        </w:rPr>
      </w:pPr>
      <w:r>
        <w:rPr>
          <w:b/>
          <w:i/>
        </w:rPr>
        <w:t>ARTICLE 2.3 PHASE 3 (2028)</w:t>
      </w:r>
    </w:p>
    <w:p>
      <w:pPr>
        <w:spacing w:line="20" w:lineRule="atLeast"/>
        <w:rPr>
          <w:rFonts w:asciiTheme="majorHAnsi" w:hAnsiTheme="majorHAnsi" w:cstheme="majorHAnsi"/>
          <w:b/>
          <w:color w:val="5B9BD5" w:themeColor="accent1"/>
          <w:sz w:val="32"/>
          <w:szCs w:val="32"/>
        </w:rPr>
      </w:pPr>
    </w:p>
    <w:p>
      <w:pPr>
        <w:spacing w:line="20" w:lineRule="atLeast"/>
        <w:rPr>
          <w:rFonts w:asciiTheme="majorHAnsi" w:hAnsiTheme="majorHAnsi" w:cstheme="majorHAnsi"/>
          <w:b/>
          <w:color w:val="5B9BD5" w:themeColor="accent1"/>
          <w:sz w:val="32"/>
          <w:szCs w:val="32"/>
        </w:rPr>
      </w:pPr>
      <w:r>
        <w:rPr>
          <w:rFonts w:asciiTheme="majorHAnsi" w:hAnsiTheme="majorHAnsi" w:cstheme="majorHAnsi"/>
          <w:b/>
          <w:color w:val="5B9BD5" w:themeColor="accent1"/>
          <w:sz w:val="32"/>
          <w:szCs w:val="32"/>
        </w:rPr>
        <w:t xml:space="preserve">SERVICES EXTRAHOSPITALIERS ET FOYER </w:t>
      </w:r>
    </w:p>
    <w:p>
      <w:pPr>
        <w:spacing w:line="20" w:lineRule="atLeast"/>
        <w:rPr>
          <w:rFonts w:asciiTheme="majorHAnsi" w:hAnsiTheme="majorHAnsi" w:cstheme="majorHAnsi"/>
          <w:b/>
          <w:color w:val="5B9BD5" w:themeColor="accent1"/>
          <w:sz w:val="32"/>
          <w:szCs w:val="32"/>
        </w:rPr>
      </w:pPr>
    </w:p>
    <w:p>
      <w:pPr>
        <w:spacing w:line="20" w:lineRule="atLeast"/>
        <w:rPr>
          <w:b/>
          <w:bCs/>
        </w:rPr>
      </w:pPr>
      <w:r>
        <w:rPr>
          <w:b/>
          <w:bCs/>
        </w:rPr>
        <w:t>Il s’agit de la seconde phase d’audit qui doit se dérouler en 2028. Le CH de Novillars se réserve le droit d’arrêter la collaboration avec le prestataire au terme de chacune des phases annuelles.</w:t>
      </w:r>
    </w:p>
    <w:p>
      <w:pPr>
        <w:spacing w:line="20" w:lineRule="atLeast"/>
      </w:pPr>
    </w:p>
    <w:p>
      <w:pPr>
        <w:spacing w:line="20" w:lineRule="atLeast"/>
        <w:rPr>
          <w:b/>
          <w:bCs/>
        </w:rPr>
      </w:pPr>
      <w:r>
        <w:t xml:space="preserve">• </w:t>
      </w:r>
      <w:r>
        <w:rPr>
          <w:b/>
          <w:bCs/>
        </w:rPr>
        <w:t xml:space="preserve">Objectifs Spécifiques de l'Audit 2028 (Services extrahospitaliers et foyer) : </w:t>
      </w:r>
    </w:p>
    <w:p>
      <w:pPr>
        <w:spacing w:line="20" w:lineRule="atLeast"/>
      </w:pPr>
      <w:r>
        <w:t>-Identifier les facteurs de RPS spécifiques aux admissions</w:t>
      </w:r>
    </w:p>
    <w:p>
      <w:pPr>
        <w:spacing w:line="20" w:lineRule="atLeast"/>
      </w:pPr>
      <w:r>
        <w:t>-Évaluer l'impact de l'organisation du travail sur la santé des agents.</w:t>
      </w:r>
    </w:p>
    <w:p>
      <w:pPr>
        <w:spacing w:line="20" w:lineRule="atLeast"/>
      </w:pPr>
      <w:r>
        <w:t>-Proposer des pistes d'amélioration pour réduire les risques et les intégrer au DUERP.</w:t>
      </w:r>
    </w:p>
    <w:p>
      <w:pPr>
        <w:spacing w:line="20" w:lineRule="atLeast"/>
      </w:pPr>
    </w:p>
    <w:p>
      <w:pPr>
        <w:spacing w:line="20" w:lineRule="atLeast"/>
      </w:pPr>
      <w:r>
        <w:t xml:space="preserve">• </w:t>
      </w:r>
      <w:r>
        <w:rPr>
          <w:b/>
          <w:bCs/>
        </w:rPr>
        <w:t>Méthodologie :</w:t>
      </w:r>
    </w:p>
    <w:p>
      <w:pPr>
        <w:spacing w:line="20" w:lineRule="atLeast"/>
      </w:pPr>
      <w:r>
        <w:t xml:space="preserve">Description détaillée des outils d'évaluation utilisés </w:t>
      </w:r>
    </w:p>
    <w:p>
      <w:pPr>
        <w:spacing w:line="20" w:lineRule="atLeast"/>
      </w:pPr>
      <w:r>
        <w:t>(Questionnaires, entretiens, etc.).</w:t>
      </w:r>
    </w:p>
    <w:p>
      <w:pPr>
        <w:spacing w:line="20" w:lineRule="atLeast"/>
      </w:pPr>
      <w:r>
        <w:lastRenderedPageBreak/>
        <w:t xml:space="preserve">Modalités de recueil des données (anonymat, confidentialité, </w:t>
      </w:r>
    </w:p>
    <w:p>
      <w:pPr>
        <w:spacing w:line="20" w:lineRule="atLeast"/>
      </w:pPr>
      <w:r>
        <w:t>etc.).</w:t>
      </w:r>
    </w:p>
    <w:p>
      <w:pPr>
        <w:spacing w:line="20" w:lineRule="atLeast"/>
      </w:pPr>
      <w:r>
        <w:t>Démarche d'analyse des données.</w:t>
      </w:r>
    </w:p>
    <w:p>
      <w:pPr>
        <w:spacing w:line="20" w:lineRule="atLeast"/>
      </w:pPr>
      <w:r>
        <w:t xml:space="preserve">Implication des acteurs (direction, RH, représentants du </w:t>
      </w:r>
    </w:p>
    <w:p>
      <w:pPr>
        <w:spacing w:line="20" w:lineRule="atLeast"/>
      </w:pPr>
      <w:r>
        <w:t>personnel, etc.), avec un focus sur le rôle du COPIL.</w:t>
      </w:r>
    </w:p>
    <w:p>
      <w:pPr>
        <w:spacing w:line="20" w:lineRule="atLeast"/>
      </w:pPr>
    </w:p>
    <w:p>
      <w:pPr>
        <w:spacing w:line="20" w:lineRule="atLeast"/>
        <w:rPr>
          <w:b/>
          <w:bCs/>
        </w:rPr>
      </w:pPr>
      <w:r>
        <w:rPr>
          <w:b/>
          <w:bCs/>
        </w:rPr>
        <w:t>• Livrables :</w:t>
      </w:r>
    </w:p>
    <w:p>
      <w:pPr>
        <w:spacing w:line="20" w:lineRule="atLeast"/>
      </w:pPr>
      <w:r>
        <w:t>Rapport de diagnostic détaillé.</w:t>
      </w:r>
    </w:p>
    <w:p>
      <w:pPr>
        <w:spacing w:line="20" w:lineRule="atLeast"/>
      </w:pPr>
      <w:r>
        <w:t>Plan d'actions opérationnel.</w:t>
      </w:r>
    </w:p>
    <w:p>
      <w:pPr>
        <w:spacing w:line="20" w:lineRule="atLeast"/>
      </w:pPr>
      <w:r>
        <w:t>Modalités d'intégration du plan d'actions au DUERP.</w:t>
      </w:r>
    </w:p>
    <w:p>
      <w:pPr>
        <w:spacing w:line="20" w:lineRule="atLeast"/>
      </w:pPr>
      <w:r>
        <w:t>Indicateurs de suivi.</w:t>
      </w:r>
    </w:p>
    <w:p>
      <w:pPr>
        <w:spacing w:line="20" w:lineRule="atLeast"/>
      </w:pPr>
      <w:r>
        <w:t xml:space="preserve">Présentations intermédiaires et finales aux agents, au COPIL et </w:t>
      </w:r>
    </w:p>
    <w:p>
      <w:pPr>
        <w:spacing w:line="20" w:lineRule="atLeast"/>
      </w:pPr>
      <w:r>
        <w:t>aux instances</w:t>
      </w:r>
    </w:p>
    <w:p>
      <w:pPr>
        <w:spacing w:line="20" w:lineRule="atLeast"/>
      </w:pPr>
    </w:p>
    <w:p>
      <w:pPr>
        <w:spacing w:line="20" w:lineRule="atLeast"/>
        <w:rPr>
          <w:b/>
          <w:bCs/>
        </w:rPr>
      </w:pPr>
      <w:r>
        <w:rPr>
          <w:b/>
          <w:bCs/>
        </w:rPr>
        <w:t>• Délais et Calendrier :</w:t>
      </w:r>
    </w:p>
    <w:p>
      <w:pPr>
        <w:spacing w:line="20" w:lineRule="atLeast"/>
      </w:pPr>
      <w:r>
        <w:t xml:space="preserve">Planning détaillé de chaque phase de l'audit, incluant les dates </w:t>
      </w:r>
    </w:p>
    <w:p>
      <w:pPr>
        <w:spacing w:line="20" w:lineRule="atLeast"/>
      </w:pPr>
      <w:r>
        <w:t>des réunions du COPIL.</w:t>
      </w:r>
    </w:p>
    <w:p>
      <w:pPr>
        <w:spacing w:line="20" w:lineRule="atLeast"/>
      </w:pPr>
      <w:r>
        <w:t>Dates de remise des livrables.</w:t>
      </w:r>
    </w:p>
    <w:p>
      <w:pPr>
        <w:spacing w:line="20" w:lineRule="atLeast"/>
        <w:rPr>
          <w:rFonts w:asciiTheme="majorHAnsi" w:hAnsiTheme="majorHAnsi" w:cstheme="majorHAnsi"/>
          <w:b/>
          <w:color w:val="5B9BD5" w:themeColor="accent1"/>
          <w:sz w:val="32"/>
          <w:szCs w:val="32"/>
        </w:rPr>
      </w:pPr>
    </w:p>
    <w:p>
      <w:pPr>
        <w:spacing w:line="20" w:lineRule="atLeast"/>
        <w:rPr>
          <w:b/>
          <w:i/>
        </w:rPr>
      </w:pPr>
      <w:r>
        <w:rPr>
          <w:rFonts w:asciiTheme="majorHAnsi" w:hAnsiTheme="majorHAnsi" w:cstheme="majorHAnsi"/>
          <w:b/>
          <w:color w:val="5B9BD5" w:themeColor="accent1"/>
          <w:sz w:val="32"/>
          <w:szCs w:val="32"/>
        </w:rPr>
        <w:t xml:space="preserve"> </w:t>
      </w:r>
      <w:r>
        <w:rPr>
          <w:b/>
          <w:i/>
        </w:rPr>
        <w:t>ARTICLE 2.4 PHASE 4 (2029)</w:t>
      </w:r>
    </w:p>
    <w:p>
      <w:pPr>
        <w:spacing w:line="20" w:lineRule="atLeast"/>
        <w:rPr>
          <w:rFonts w:asciiTheme="majorHAnsi" w:hAnsiTheme="majorHAnsi" w:cstheme="majorHAnsi"/>
          <w:b/>
          <w:color w:val="5B9BD5" w:themeColor="accent1"/>
          <w:sz w:val="32"/>
          <w:szCs w:val="32"/>
        </w:rPr>
      </w:pPr>
    </w:p>
    <w:p>
      <w:pPr>
        <w:spacing w:line="20" w:lineRule="atLeast"/>
        <w:rPr>
          <w:rFonts w:asciiTheme="majorHAnsi" w:hAnsiTheme="majorHAnsi" w:cstheme="majorHAnsi"/>
          <w:b/>
          <w:color w:val="5B9BD5" w:themeColor="accent1"/>
          <w:sz w:val="32"/>
          <w:szCs w:val="32"/>
        </w:rPr>
      </w:pPr>
      <w:r>
        <w:rPr>
          <w:rFonts w:asciiTheme="majorHAnsi" w:hAnsiTheme="majorHAnsi" w:cstheme="majorHAnsi"/>
          <w:b/>
          <w:color w:val="5B9BD5" w:themeColor="accent1"/>
          <w:sz w:val="32"/>
          <w:szCs w:val="32"/>
        </w:rPr>
        <w:t xml:space="preserve">SERVICES ADMINISTRATIFS ET SERVICES SUPPORTS </w:t>
      </w:r>
    </w:p>
    <w:p>
      <w:pPr>
        <w:spacing w:line="20" w:lineRule="atLeast"/>
      </w:pPr>
    </w:p>
    <w:p>
      <w:pPr>
        <w:spacing w:line="20" w:lineRule="atLeast"/>
        <w:rPr>
          <w:b/>
          <w:bCs/>
        </w:rPr>
      </w:pPr>
      <w:r>
        <w:rPr>
          <w:b/>
          <w:bCs/>
        </w:rPr>
        <w:t>Il s’agit de la seconde phase d’audit qui doit se dérouler en 2029. Le CH de Novillars se réserve le droit d’arrêter la collaboration avec le prestataire au terme de chacune des phases annuelles.</w:t>
      </w:r>
    </w:p>
    <w:p>
      <w:pPr>
        <w:spacing w:line="20" w:lineRule="atLeast"/>
      </w:pPr>
    </w:p>
    <w:p>
      <w:pPr>
        <w:spacing w:line="20" w:lineRule="atLeast"/>
        <w:rPr>
          <w:b/>
          <w:bCs/>
        </w:rPr>
      </w:pPr>
      <w:r>
        <w:t xml:space="preserve">• </w:t>
      </w:r>
      <w:r>
        <w:rPr>
          <w:b/>
          <w:bCs/>
        </w:rPr>
        <w:t xml:space="preserve">Objectifs Spécifiques de l'Audit 2029 (Services administratifs et supports) : </w:t>
      </w:r>
    </w:p>
    <w:p>
      <w:pPr>
        <w:spacing w:line="20" w:lineRule="atLeast"/>
      </w:pPr>
      <w:r>
        <w:t>-Identifier les facteurs de RPS spécifiques aux admissions</w:t>
      </w:r>
    </w:p>
    <w:p>
      <w:pPr>
        <w:spacing w:line="20" w:lineRule="atLeast"/>
      </w:pPr>
      <w:r>
        <w:t>-Évaluer l'impact de l'organisation du travail sur la santé des agents.</w:t>
      </w:r>
    </w:p>
    <w:p>
      <w:pPr>
        <w:spacing w:line="20" w:lineRule="atLeast"/>
      </w:pPr>
      <w:r>
        <w:t>-Proposer des pistes d'amélioration pour réduire les risques et les intégrer au DUERP.</w:t>
      </w:r>
    </w:p>
    <w:p>
      <w:pPr>
        <w:spacing w:line="20" w:lineRule="atLeast"/>
      </w:pPr>
    </w:p>
    <w:p>
      <w:pPr>
        <w:spacing w:line="20" w:lineRule="atLeast"/>
      </w:pPr>
      <w:r>
        <w:t xml:space="preserve">• </w:t>
      </w:r>
      <w:r>
        <w:rPr>
          <w:b/>
          <w:bCs/>
        </w:rPr>
        <w:t>Méthodologie :</w:t>
      </w:r>
    </w:p>
    <w:p>
      <w:pPr>
        <w:spacing w:line="20" w:lineRule="atLeast"/>
      </w:pPr>
      <w:r>
        <w:t xml:space="preserve">Description détaillée des outils d'évaluation utilisés </w:t>
      </w:r>
    </w:p>
    <w:p>
      <w:pPr>
        <w:spacing w:line="20" w:lineRule="atLeast"/>
      </w:pPr>
      <w:r>
        <w:t>(Questionnaires, entretiens, etc.).</w:t>
      </w:r>
    </w:p>
    <w:p>
      <w:pPr>
        <w:spacing w:line="20" w:lineRule="atLeast"/>
      </w:pPr>
      <w:r>
        <w:t xml:space="preserve">Modalités de recueil des données (anonymat, confidentialité, </w:t>
      </w:r>
    </w:p>
    <w:p>
      <w:pPr>
        <w:spacing w:line="20" w:lineRule="atLeast"/>
      </w:pPr>
      <w:r>
        <w:t>etc.).</w:t>
      </w:r>
    </w:p>
    <w:p>
      <w:pPr>
        <w:spacing w:line="20" w:lineRule="atLeast"/>
      </w:pPr>
      <w:r>
        <w:t>Démarche d'analyse des données.</w:t>
      </w:r>
    </w:p>
    <w:p>
      <w:pPr>
        <w:spacing w:line="20" w:lineRule="atLeast"/>
      </w:pPr>
      <w:r>
        <w:t xml:space="preserve">Implication des acteurs (direction, RH, représentants du </w:t>
      </w:r>
    </w:p>
    <w:p>
      <w:pPr>
        <w:spacing w:line="20" w:lineRule="atLeast"/>
      </w:pPr>
      <w:r>
        <w:t>personnel, etc.), avec un focus sur le rôle du COPIL.</w:t>
      </w:r>
    </w:p>
    <w:p>
      <w:pPr>
        <w:spacing w:line="20" w:lineRule="atLeast"/>
      </w:pPr>
    </w:p>
    <w:p>
      <w:pPr>
        <w:spacing w:line="20" w:lineRule="atLeast"/>
        <w:rPr>
          <w:b/>
          <w:bCs/>
        </w:rPr>
      </w:pPr>
      <w:r>
        <w:rPr>
          <w:b/>
          <w:bCs/>
        </w:rPr>
        <w:t>• Livrables :</w:t>
      </w:r>
    </w:p>
    <w:p>
      <w:pPr>
        <w:spacing w:line="20" w:lineRule="atLeast"/>
      </w:pPr>
      <w:r>
        <w:t>Rapport de diagnostic détaillé.</w:t>
      </w:r>
    </w:p>
    <w:p>
      <w:pPr>
        <w:spacing w:line="20" w:lineRule="atLeast"/>
      </w:pPr>
      <w:r>
        <w:t>Plan d'actions opérationnel.</w:t>
      </w:r>
    </w:p>
    <w:p>
      <w:pPr>
        <w:spacing w:line="20" w:lineRule="atLeast"/>
      </w:pPr>
      <w:r>
        <w:t>Modalités d'intégration du plan d'actions au DUERP.</w:t>
      </w:r>
    </w:p>
    <w:p>
      <w:pPr>
        <w:spacing w:line="20" w:lineRule="atLeast"/>
      </w:pPr>
      <w:r>
        <w:t>Indicateurs de suivi.</w:t>
      </w:r>
    </w:p>
    <w:p>
      <w:pPr>
        <w:spacing w:line="20" w:lineRule="atLeast"/>
      </w:pPr>
      <w:r>
        <w:t xml:space="preserve">Présentations intermédiaires et finales aux agents, au COPIL et </w:t>
      </w:r>
    </w:p>
    <w:p>
      <w:pPr>
        <w:spacing w:line="20" w:lineRule="atLeast"/>
      </w:pPr>
      <w:r>
        <w:t>aux instances</w:t>
      </w:r>
    </w:p>
    <w:p>
      <w:pPr>
        <w:spacing w:line="20" w:lineRule="atLeast"/>
      </w:pPr>
    </w:p>
    <w:p>
      <w:pPr>
        <w:spacing w:line="20" w:lineRule="atLeast"/>
        <w:rPr>
          <w:b/>
          <w:bCs/>
        </w:rPr>
      </w:pPr>
      <w:r>
        <w:rPr>
          <w:b/>
          <w:bCs/>
        </w:rPr>
        <w:t>• Délais et Calendrier :</w:t>
      </w:r>
    </w:p>
    <w:p>
      <w:pPr>
        <w:spacing w:line="20" w:lineRule="atLeast"/>
      </w:pPr>
      <w:r>
        <w:t xml:space="preserve">Planning détaillé de chaque phase de l'audit, incluant les dates </w:t>
      </w:r>
    </w:p>
    <w:p>
      <w:pPr>
        <w:spacing w:line="20" w:lineRule="atLeast"/>
      </w:pPr>
      <w:r>
        <w:lastRenderedPageBreak/>
        <w:t>des réunions du COPIL.</w:t>
      </w:r>
    </w:p>
    <w:p>
      <w:pPr>
        <w:spacing w:line="20" w:lineRule="atLeast"/>
      </w:pPr>
      <w:r>
        <w:t>Dates de remise des livrables.</w:t>
      </w:r>
    </w:p>
    <w:p>
      <w:pPr>
        <w:spacing w:line="20" w:lineRule="atLeast"/>
        <w:rPr>
          <w:rFonts w:asciiTheme="majorHAnsi" w:hAnsiTheme="majorHAnsi" w:cstheme="majorHAnsi"/>
          <w:b/>
          <w:color w:val="5B9BD5" w:themeColor="accent1"/>
          <w:sz w:val="32"/>
          <w:szCs w:val="32"/>
        </w:rPr>
      </w:pPr>
    </w:p>
    <w:p>
      <w:pPr>
        <w:spacing w:line="20" w:lineRule="atLeast"/>
      </w:pPr>
    </w:p>
    <w:p>
      <w:pPr>
        <w:spacing w:line="20" w:lineRule="atLeast"/>
        <w:rPr>
          <w:u w:val="single"/>
        </w:rPr>
      </w:pPr>
      <w:r>
        <w:rPr>
          <w:b/>
          <w:bCs/>
          <w:u w:val="single"/>
        </w:rPr>
        <w:t>ARTICLE 3 : POINTS D’ATTENTION PARTICULIERS APPLICABLES A TOUTES LES PHASES</w:t>
      </w:r>
      <w:r>
        <w:rPr>
          <w:u w:val="single"/>
        </w:rPr>
        <w:t xml:space="preserve"> :</w:t>
      </w:r>
    </w:p>
    <w:p>
      <w:pPr>
        <w:spacing w:line="20" w:lineRule="atLeast"/>
      </w:pPr>
    </w:p>
    <w:p>
      <w:pPr>
        <w:spacing w:line="20" w:lineRule="atLeast"/>
      </w:pPr>
      <w:r>
        <w:t xml:space="preserve">• Adaptation aux spécificités de chaque service : la prestation devra tenir compte des spécificités des </w:t>
      </w:r>
    </w:p>
    <w:p>
      <w:pPr>
        <w:spacing w:line="20" w:lineRule="atLeast"/>
      </w:pPr>
      <w:r>
        <w:t>services audités (Admissions, sites intra hospitaliers, etc.).</w:t>
      </w:r>
    </w:p>
    <w:p>
      <w:pPr>
        <w:spacing w:line="20" w:lineRule="atLeast"/>
      </w:pPr>
      <w:r>
        <w:t xml:space="preserve">• Participation des agents : Il est crucial de favoriser la participation des </w:t>
      </w:r>
    </w:p>
    <w:p>
      <w:pPr>
        <w:spacing w:line="20" w:lineRule="atLeast"/>
      </w:pPr>
      <w:r>
        <w:t>agents tout au long de la démarche.</w:t>
      </w:r>
    </w:p>
    <w:p>
      <w:pPr>
        <w:spacing w:line="20" w:lineRule="atLeast"/>
      </w:pPr>
      <w:r>
        <w:t xml:space="preserve">• Confidentialité et anonymat : Garantir la confidentialité des réponses et </w:t>
      </w:r>
    </w:p>
    <w:p>
      <w:pPr>
        <w:spacing w:line="20" w:lineRule="atLeast"/>
      </w:pPr>
      <w:r>
        <w:t xml:space="preserve">l'anonymat des participants est essentiel pour obtenir des résultats </w:t>
      </w:r>
    </w:p>
    <w:p>
      <w:pPr>
        <w:spacing w:line="20" w:lineRule="atLeast"/>
      </w:pPr>
      <w:r>
        <w:t>fiables.</w:t>
      </w:r>
    </w:p>
    <w:p>
      <w:pPr>
        <w:spacing w:line="20" w:lineRule="atLeast"/>
      </w:pPr>
      <w:r>
        <w:t xml:space="preserve">• Articulation avec les démarches existantes : L'audit RPS doit s'articuler </w:t>
      </w:r>
    </w:p>
    <w:p>
      <w:pPr>
        <w:spacing w:line="20" w:lineRule="atLeast"/>
      </w:pPr>
      <w:r>
        <w:t xml:space="preserve">avec les autres démarches de prévention (santé et sécurité au travail, </w:t>
      </w:r>
    </w:p>
    <w:p>
      <w:pPr>
        <w:spacing w:line="20" w:lineRule="atLeast"/>
      </w:pPr>
      <w:r>
        <w:t>qualité de vie au travail, etc.) et s'intégrer dans le DUERP.</w:t>
      </w:r>
    </w:p>
    <w:p>
      <w:pPr>
        <w:spacing w:line="20" w:lineRule="atLeast"/>
      </w:pPr>
      <w:r>
        <w:t xml:space="preserve">• Rôle clé du COPIL : Le rôle du COPIL doit être clairement défini et </w:t>
      </w:r>
    </w:p>
    <w:p>
      <w:pPr>
        <w:spacing w:line="20" w:lineRule="atLeast"/>
      </w:pPr>
      <w:r>
        <w:t>valorisé pour assurer le succès de la démarche</w:t>
      </w:r>
    </w:p>
    <w:p>
      <w:pPr>
        <w:spacing w:line="20" w:lineRule="atLeast"/>
      </w:pPr>
    </w:p>
    <w:p>
      <w:pPr>
        <w:spacing w:line="20" w:lineRule="atLeast"/>
        <w:rPr>
          <w:color w:val="C45911" w:themeColor="accent2" w:themeShade="BF"/>
        </w:rPr>
      </w:pPr>
      <w:r>
        <w:rPr>
          <w:color w:val="C45911" w:themeColor="accent2" w:themeShade="BF"/>
        </w:rPr>
        <w:t>Afin de faire état de sa compréhension du dossier, des enjeux de la prestation et de développer les méthodologies employées, le candidat fournira un mémoire technique de 30 pages maximum à l’appui de son offre.</w:t>
      </w:r>
    </w:p>
    <w:p>
      <w:pPr>
        <w:spacing w:line="20" w:lineRule="atLeast"/>
      </w:pPr>
    </w:p>
    <w:p>
      <w:pPr>
        <w:spacing w:line="20" w:lineRule="atLeast"/>
        <w:rPr>
          <w:b/>
          <w:u w:val="single"/>
        </w:rPr>
      </w:pPr>
      <w:r>
        <w:rPr>
          <w:b/>
          <w:u w:val="single"/>
        </w:rPr>
        <w:t>ARTICLE 4 : PROFIL DU PRESTATAIRE</w:t>
      </w:r>
    </w:p>
    <w:p>
      <w:pPr>
        <w:spacing w:line="20" w:lineRule="atLeast"/>
      </w:pPr>
    </w:p>
    <w:p>
      <w:pPr>
        <w:pStyle w:val="Paragraphedeliste"/>
        <w:numPr>
          <w:ilvl w:val="1"/>
          <w:numId w:val="9"/>
        </w:numPr>
        <w:spacing w:line="20" w:lineRule="atLeast"/>
      </w:pPr>
      <w:r>
        <w:t>Expérience en matière d'audit RPS dans le secteur de la santé.</w:t>
      </w:r>
    </w:p>
    <w:p>
      <w:pPr>
        <w:pStyle w:val="Paragraphedeliste"/>
        <w:numPr>
          <w:ilvl w:val="1"/>
          <w:numId w:val="9"/>
        </w:numPr>
        <w:spacing w:line="20" w:lineRule="atLeast"/>
      </w:pPr>
      <w:r>
        <w:t>Compétences de l'équipe d'intervention.</w:t>
      </w:r>
    </w:p>
    <w:p>
      <w:pPr>
        <w:spacing w:line="20" w:lineRule="atLeast"/>
      </w:pPr>
    </w:p>
    <w:p>
      <w:pPr>
        <w:spacing w:line="20" w:lineRule="atLeast"/>
      </w:pPr>
      <w:r>
        <w:t xml:space="preserve">Le candidat indiquera impérativement ses références dans le mémoire technique. </w:t>
      </w:r>
    </w:p>
    <w:p>
      <w:pPr>
        <w:spacing w:line="20" w:lineRule="atLeast"/>
      </w:pPr>
    </w:p>
    <w:p>
      <w:pPr>
        <w:spacing w:line="240" w:lineRule="auto"/>
        <w:rPr>
          <w:rFonts w:cstheme="minorHAnsi"/>
          <w:sz w:val="24"/>
          <w:szCs w:val="24"/>
        </w:rPr>
      </w:pPr>
    </w:p>
    <w:sectPr>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line="240" w:lineRule="auto"/>
      </w:pPr>
      <w:r>
        <w:separator/>
      </w:r>
    </w:p>
  </w:endnote>
  <w:endnote w:type="continuationSeparator" w:id="0">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4549662"/>
      <w:docPartObj>
        <w:docPartGallery w:val="Page Numbers (Bottom of Page)"/>
        <w:docPartUnique/>
      </w:docPartObj>
    </w:sdtPr>
    <w:sdtContent>
      <w:p>
        <w:pPr>
          <w:pStyle w:val="Pieddepage"/>
          <w:jc w:val="right"/>
        </w:pPr>
        <w:r>
          <w:fldChar w:fldCharType="begin"/>
        </w:r>
        <w:r>
          <w:instrText>PAGE   \* MERGEFORMAT</w:instrText>
        </w:r>
        <w:r>
          <w:fldChar w:fldCharType="separate"/>
        </w:r>
        <w:r>
          <w:rPr>
            <w:noProof/>
          </w:rPr>
          <w:t>6</w:t>
        </w:r>
        <w:r>
          <w:fldChar w:fldCharType="end"/>
        </w:r>
      </w:p>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line="240" w:lineRule="auto"/>
      </w:pPr>
      <w:r>
        <w:separator/>
      </w:r>
    </w:p>
  </w:footnote>
  <w:footnote w:type="continuationSeparator" w:id="0">
    <w:p>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D6678"/>
    <w:multiLevelType w:val="multilevel"/>
    <w:tmpl w:val="C18ED9A4"/>
    <w:lvl w:ilvl="0">
      <w:start w:val="23"/>
      <w:numFmt w:val="decimal"/>
      <w:lvlText w:val="%1"/>
      <w:lvlJc w:val="left"/>
      <w:pPr>
        <w:ind w:left="7005" w:hanging="420"/>
      </w:pPr>
      <w:rPr>
        <w:rFonts w:hint="default"/>
      </w:rPr>
    </w:lvl>
    <w:lvl w:ilvl="1">
      <w:start w:val="2"/>
      <w:numFmt w:val="decimal"/>
      <w:lvlText w:val="%1.%2"/>
      <w:lvlJc w:val="left"/>
      <w:pPr>
        <w:ind w:left="7005" w:hanging="420"/>
      </w:pPr>
      <w:rPr>
        <w:rFonts w:hint="default"/>
      </w:rPr>
    </w:lvl>
    <w:lvl w:ilvl="2">
      <w:start w:val="1"/>
      <w:numFmt w:val="decimal"/>
      <w:lvlText w:val="%1.%2.%3"/>
      <w:lvlJc w:val="left"/>
      <w:pPr>
        <w:ind w:left="7305" w:hanging="720"/>
      </w:pPr>
      <w:rPr>
        <w:rFonts w:hint="default"/>
      </w:rPr>
    </w:lvl>
    <w:lvl w:ilvl="3">
      <w:start w:val="1"/>
      <w:numFmt w:val="decimal"/>
      <w:lvlText w:val="%1.%2.%3.%4"/>
      <w:lvlJc w:val="left"/>
      <w:pPr>
        <w:ind w:left="7305" w:hanging="720"/>
      </w:pPr>
      <w:rPr>
        <w:rFonts w:hint="default"/>
      </w:rPr>
    </w:lvl>
    <w:lvl w:ilvl="4">
      <w:start w:val="1"/>
      <w:numFmt w:val="decimal"/>
      <w:lvlText w:val="%1.%2.%3.%4.%5"/>
      <w:lvlJc w:val="left"/>
      <w:pPr>
        <w:ind w:left="7665" w:hanging="1080"/>
      </w:pPr>
      <w:rPr>
        <w:rFonts w:hint="default"/>
      </w:rPr>
    </w:lvl>
    <w:lvl w:ilvl="5">
      <w:start w:val="1"/>
      <w:numFmt w:val="decimal"/>
      <w:lvlText w:val="%1.%2.%3.%4.%5.%6"/>
      <w:lvlJc w:val="left"/>
      <w:pPr>
        <w:ind w:left="7665" w:hanging="1080"/>
      </w:pPr>
      <w:rPr>
        <w:rFonts w:hint="default"/>
      </w:rPr>
    </w:lvl>
    <w:lvl w:ilvl="6">
      <w:start w:val="1"/>
      <w:numFmt w:val="decimal"/>
      <w:lvlText w:val="%1.%2.%3.%4.%5.%6.%7"/>
      <w:lvlJc w:val="left"/>
      <w:pPr>
        <w:ind w:left="8025" w:hanging="1440"/>
      </w:pPr>
      <w:rPr>
        <w:rFonts w:hint="default"/>
      </w:rPr>
    </w:lvl>
    <w:lvl w:ilvl="7">
      <w:start w:val="1"/>
      <w:numFmt w:val="decimal"/>
      <w:lvlText w:val="%1.%2.%3.%4.%5.%6.%7.%8"/>
      <w:lvlJc w:val="left"/>
      <w:pPr>
        <w:ind w:left="8025" w:hanging="1440"/>
      </w:pPr>
      <w:rPr>
        <w:rFonts w:hint="default"/>
      </w:rPr>
    </w:lvl>
    <w:lvl w:ilvl="8">
      <w:start w:val="1"/>
      <w:numFmt w:val="decimal"/>
      <w:lvlText w:val="%1.%2.%3.%4.%5.%6.%7.%8.%9"/>
      <w:lvlJc w:val="left"/>
      <w:pPr>
        <w:ind w:left="8385" w:hanging="1800"/>
      </w:pPr>
      <w:rPr>
        <w:rFonts w:hint="default"/>
      </w:rPr>
    </w:lvl>
  </w:abstractNum>
  <w:abstractNum w:abstractNumId="1" w15:restartNumberingAfterBreak="0">
    <w:nsid w:val="0B37682C"/>
    <w:multiLevelType w:val="hybridMultilevel"/>
    <w:tmpl w:val="70C6D06C"/>
    <w:lvl w:ilvl="0" w:tplc="ADD69794">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0D2917"/>
    <w:multiLevelType w:val="hybridMultilevel"/>
    <w:tmpl w:val="68AAA9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F24E9E"/>
    <w:multiLevelType w:val="multilevel"/>
    <w:tmpl w:val="7A4E746A"/>
    <w:lvl w:ilvl="0">
      <w:start w:val="2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B632F21"/>
    <w:multiLevelType w:val="hybridMultilevel"/>
    <w:tmpl w:val="5120B19C"/>
    <w:lvl w:ilvl="0" w:tplc="3DE6203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14F6F79"/>
    <w:multiLevelType w:val="hybridMultilevel"/>
    <w:tmpl w:val="AF7809E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7FB6518"/>
    <w:multiLevelType w:val="hybridMultilevel"/>
    <w:tmpl w:val="32400CB0"/>
    <w:lvl w:ilvl="0" w:tplc="0E3EC944">
      <w:start w:val="1"/>
      <w:numFmt w:val="bullet"/>
      <w:lvlText w:val="•"/>
      <w:lvlJc w:val="left"/>
      <w:pPr>
        <w:tabs>
          <w:tab w:val="num" w:pos="720"/>
        </w:tabs>
        <w:ind w:left="720" w:hanging="360"/>
      </w:pPr>
      <w:rPr>
        <w:rFonts w:ascii="Times New Roman" w:hAnsi="Times New Roman" w:hint="default"/>
      </w:rPr>
    </w:lvl>
    <w:lvl w:ilvl="1" w:tplc="C288556A" w:tentative="1">
      <w:start w:val="1"/>
      <w:numFmt w:val="bullet"/>
      <w:lvlText w:val="•"/>
      <w:lvlJc w:val="left"/>
      <w:pPr>
        <w:tabs>
          <w:tab w:val="num" w:pos="1440"/>
        </w:tabs>
        <w:ind w:left="1440" w:hanging="360"/>
      </w:pPr>
      <w:rPr>
        <w:rFonts w:ascii="Times New Roman" w:hAnsi="Times New Roman" w:hint="default"/>
      </w:rPr>
    </w:lvl>
    <w:lvl w:ilvl="2" w:tplc="4B0672B0" w:tentative="1">
      <w:start w:val="1"/>
      <w:numFmt w:val="bullet"/>
      <w:lvlText w:val="•"/>
      <w:lvlJc w:val="left"/>
      <w:pPr>
        <w:tabs>
          <w:tab w:val="num" w:pos="2160"/>
        </w:tabs>
        <w:ind w:left="2160" w:hanging="360"/>
      </w:pPr>
      <w:rPr>
        <w:rFonts w:ascii="Times New Roman" w:hAnsi="Times New Roman" w:hint="default"/>
      </w:rPr>
    </w:lvl>
    <w:lvl w:ilvl="3" w:tplc="25905354" w:tentative="1">
      <w:start w:val="1"/>
      <w:numFmt w:val="bullet"/>
      <w:lvlText w:val="•"/>
      <w:lvlJc w:val="left"/>
      <w:pPr>
        <w:tabs>
          <w:tab w:val="num" w:pos="2880"/>
        </w:tabs>
        <w:ind w:left="2880" w:hanging="360"/>
      </w:pPr>
      <w:rPr>
        <w:rFonts w:ascii="Times New Roman" w:hAnsi="Times New Roman" w:hint="default"/>
      </w:rPr>
    </w:lvl>
    <w:lvl w:ilvl="4" w:tplc="3650E1B8" w:tentative="1">
      <w:start w:val="1"/>
      <w:numFmt w:val="bullet"/>
      <w:lvlText w:val="•"/>
      <w:lvlJc w:val="left"/>
      <w:pPr>
        <w:tabs>
          <w:tab w:val="num" w:pos="3600"/>
        </w:tabs>
        <w:ind w:left="3600" w:hanging="360"/>
      </w:pPr>
      <w:rPr>
        <w:rFonts w:ascii="Times New Roman" w:hAnsi="Times New Roman" w:hint="default"/>
      </w:rPr>
    </w:lvl>
    <w:lvl w:ilvl="5" w:tplc="CC64D622" w:tentative="1">
      <w:start w:val="1"/>
      <w:numFmt w:val="bullet"/>
      <w:lvlText w:val="•"/>
      <w:lvlJc w:val="left"/>
      <w:pPr>
        <w:tabs>
          <w:tab w:val="num" w:pos="4320"/>
        </w:tabs>
        <w:ind w:left="4320" w:hanging="360"/>
      </w:pPr>
      <w:rPr>
        <w:rFonts w:ascii="Times New Roman" w:hAnsi="Times New Roman" w:hint="default"/>
      </w:rPr>
    </w:lvl>
    <w:lvl w:ilvl="6" w:tplc="8056F6BA" w:tentative="1">
      <w:start w:val="1"/>
      <w:numFmt w:val="bullet"/>
      <w:lvlText w:val="•"/>
      <w:lvlJc w:val="left"/>
      <w:pPr>
        <w:tabs>
          <w:tab w:val="num" w:pos="5040"/>
        </w:tabs>
        <w:ind w:left="5040" w:hanging="360"/>
      </w:pPr>
      <w:rPr>
        <w:rFonts w:ascii="Times New Roman" w:hAnsi="Times New Roman" w:hint="default"/>
      </w:rPr>
    </w:lvl>
    <w:lvl w:ilvl="7" w:tplc="CF9E7446" w:tentative="1">
      <w:start w:val="1"/>
      <w:numFmt w:val="bullet"/>
      <w:lvlText w:val="•"/>
      <w:lvlJc w:val="left"/>
      <w:pPr>
        <w:tabs>
          <w:tab w:val="num" w:pos="5760"/>
        </w:tabs>
        <w:ind w:left="5760" w:hanging="360"/>
      </w:pPr>
      <w:rPr>
        <w:rFonts w:ascii="Times New Roman" w:hAnsi="Times New Roman" w:hint="default"/>
      </w:rPr>
    </w:lvl>
    <w:lvl w:ilvl="8" w:tplc="422ACF26"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4BE24FC5"/>
    <w:multiLevelType w:val="multilevel"/>
    <w:tmpl w:val="11C4E6A2"/>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1C5172"/>
    <w:multiLevelType w:val="hybridMultilevel"/>
    <w:tmpl w:val="2F228604"/>
    <w:lvl w:ilvl="0" w:tplc="C6A8AAF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29B2365"/>
    <w:multiLevelType w:val="hybridMultilevel"/>
    <w:tmpl w:val="24E48B64"/>
    <w:lvl w:ilvl="0" w:tplc="12689E5A">
      <w:start w:val="1"/>
      <w:numFmt w:val="bullet"/>
      <w:lvlText w:val=""/>
      <w:lvlJc w:val="left"/>
      <w:pPr>
        <w:tabs>
          <w:tab w:val="num" w:pos="720"/>
        </w:tabs>
        <w:ind w:left="720" w:hanging="360"/>
      </w:pPr>
      <w:rPr>
        <w:rFonts w:ascii="Wingdings" w:hAnsi="Wingdings" w:hint="default"/>
      </w:rPr>
    </w:lvl>
    <w:lvl w:ilvl="1" w:tplc="91D4F93E">
      <w:numFmt w:val="bullet"/>
      <w:lvlText w:val="-"/>
      <w:lvlJc w:val="left"/>
      <w:pPr>
        <w:tabs>
          <w:tab w:val="num" w:pos="1440"/>
        </w:tabs>
        <w:ind w:left="1440" w:hanging="360"/>
      </w:pPr>
      <w:rPr>
        <w:rFonts w:ascii="Times New Roman" w:hAnsi="Times New Roman" w:hint="default"/>
      </w:rPr>
    </w:lvl>
    <w:lvl w:ilvl="2" w:tplc="7F347334" w:tentative="1">
      <w:start w:val="1"/>
      <w:numFmt w:val="bullet"/>
      <w:lvlText w:val=""/>
      <w:lvlJc w:val="left"/>
      <w:pPr>
        <w:tabs>
          <w:tab w:val="num" w:pos="2160"/>
        </w:tabs>
        <w:ind w:left="2160" w:hanging="360"/>
      </w:pPr>
      <w:rPr>
        <w:rFonts w:ascii="Wingdings" w:hAnsi="Wingdings" w:hint="default"/>
      </w:rPr>
    </w:lvl>
    <w:lvl w:ilvl="3" w:tplc="0F38187E" w:tentative="1">
      <w:start w:val="1"/>
      <w:numFmt w:val="bullet"/>
      <w:lvlText w:val=""/>
      <w:lvlJc w:val="left"/>
      <w:pPr>
        <w:tabs>
          <w:tab w:val="num" w:pos="2880"/>
        </w:tabs>
        <w:ind w:left="2880" w:hanging="360"/>
      </w:pPr>
      <w:rPr>
        <w:rFonts w:ascii="Wingdings" w:hAnsi="Wingdings" w:hint="default"/>
      </w:rPr>
    </w:lvl>
    <w:lvl w:ilvl="4" w:tplc="237E15CA" w:tentative="1">
      <w:start w:val="1"/>
      <w:numFmt w:val="bullet"/>
      <w:lvlText w:val=""/>
      <w:lvlJc w:val="left"/>
      <w:pPr>
        <w:tabs>
          <w:tab w:val="num" w:pos="3600"/>
        </w:tabs>
        <w:ind w:left="3600" w:hanging="360"/>
      </w:pPr>
      <w:rPr>
        <w:rFonts w:ascii="Wingdings" w:hAnsi="Wingdings" w:hint="default"/>
      </w:rPr>
    </w:lvl>
    <w:lvl w:ilvl="5" w:tplc="6E289744" w:tentative="1">
      <w:start w:val="1"/>
      <w:numFmt w:val="bullet"/>
      <w:lvlText w:val=""/>
      <w:lvlJc w:val="left"/>
      <w:pPr>
        <w:tabs>
          <w:tab w:val="num" w:pos="4320"/>
        </w:tabs>
        <w:ind w:left="4320" w:hanging="360"/>
      </w:pPr>
      <w:rPr>
        <w:rFonts w:ascii="Wingdings" w:hAnsi="Wingdings" w:hint="default"/>
      </w:rPr>
    </w:lvl>
    <w:lvl w:ilvl="6" w:tplc="7A80E65A" w:tentative="1">
      <w:start w:val="1"/>
      <w:numFmt w:val="bullet"/>
      <w:lvlText w:val=""/>
      <w:lvlJc w:val="left"/>
      <w:pPr>
        <w:tabs>
          <w:tab w:val="num" w:pos="5040"/>
        </w:tabs>
        <w:ind w:left="5040" w:hanging="360"/>
      </w:pPr>
      <w:rPr>
        <w:rFonts w:ascii="Wingdings" w:hAnsi="Wingdings" w:hint="default"/>
      </w:rPr>
    </w:lvl>
    <w:lvl w:ilvl="7" w:tplc="CFEACF42" w:tentative="1">
      <w:start w:val="1"/>
      <w:numFmt w:val="bullet"/>
      <w:lvlText w:val=""/>
      <w:lvlJc w:val="left"/>
      <w:pPr>
        <w:tabs>
          <w:tab w:val="num" w:pos="5760"/>
        </w:tabs>
        <w:ind w:left="5760" w:hanging="360"/>
      </w:pPr>
      <w:rPr>
        <w:rFonts w:ascii="Wingdings" w:hAnsi="Wingdings" w:hint="default"/>
      </w:rPr>
    </w:lvl>
    <w:lvl w:ilvl="8" w:tplc="8B943604"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8"/>
  </w:num>
  <w:num w:numId="3">
    <w:abstractNumId w:val="5"/>
  </w:num>
  <w:num w:numId="4">
    <w:abstractNumId w:val="3"/>
  </w:num>
  <w:num w:numId="5">
    <w:abstractNumId w:val="0"/>
  </w:num>
  <w:num w:numId="6">
    <w:abstractNumId w:val="7"/>
  </w:num>
  <w:num w:numId="7">
    <w:abstractNumId w:val="1"/>
  </w:num>
  <w:num w:numId="8">
    <w:abstractNumId w:val="2"/>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384045-662D-4736-AAFC-0D1F2A7ED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line="240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uiPriority w:val="9"/>
    <w:unhideWhenUsed/>
    <w:qFormat/>
    <w:pPr>
      <w:keepNext/>
      <w:keepLines/>
      <w:spacing w:before="160" w:after="80" w:line="278" w:lineRule="auto"/>
      <w:jc w:val="left"/>
      <w:outlineLvl w:val="1"/>
    </w:pPr>
    <w:rPr>
      <w:rFonts w:asciiTheme="majorHAnsi" w:eastAsiaTheme="majorEastAsia" w:hAnsiTheme="majorHAnsi" w:cstheme="majorBidi"/>
      <w:color w:val="2E74B5" w:themeColor="accent1" w:themeShade="BF"/>
      <w:kern w:val="2"/>
      <w:sz w:val="32"/>
      <w:szCs w:val="32"/>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contextualSpacing/>
    </w:pPr>
  </w:style>
  <w:style w:type="character" w:styleId="lev">
    <w:name w:val="Strong"/>
    <w:basedOn w:val="Policepardfaut"/>
    <w:uiPriority w:val="22"/>
    <w:qFormat/>
    <w:rPr>
      <w:b/>
      <w:bCs/>
    </w:rPr>
  </w:style>
  <w:style w:type="paragraph" w:styleId="En-tte">
    <w:name w:val="header"/>
    <w:basedOn w:val="Normal"/>
    <w:link w:val="En-tteCar"/>
    <w:uiPriority w:val="99"/>
    <w:unhideWhenUsed/>
    <w:pPr>
      <w:tabs>
        <w:tab w:val="center" w:pos="4536"/>
        <w:tab w:val="right" w:pos="9072"/>
      </w:tabs>
      <w:spacing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line="240" w:lineRule="auto"/>
    </w:pPr>
  </w:style>
  <w:style w:type="character" w:customStyle="1" w:styleId="PieddepageCar">
    <w:name w:val="Pied de page Car"/>
    <w:basedOn w:val="Policepardfaut"/>
    <w:link w:val="Pieddepage"/>
    <w:uiPriority w:val="99"/>
  </w:style>
  <w:style w:type="paragraph" w:customStyle="1" w:styleId="Default">
    <w:name w:val="Default"/>
    <w:pPr>
      <w:autoSpaceDE w:val="0"/>
      <w:autoSpaceDN w:val="0"/>
      <w:adjustRightInd w:val="0"/>
      <w:spacing w:line="240" w:lineRule="auto"/>
      <w:jc w:val="left"/>
    </w:pPr>
    <w:rPr>
      <w:rFonts w:ascii="Cambria" w:hAnsi="Cambria" w:cs="Cambria"/>
      <w:color w:val="000000"/>
      <w:sz w:val="24"/>
      <w:szCs w:val="24"/>
    </w:rPr>
  </w:style>
  <w:style w:type="character" w:customStyle="1" w:styleId="Titre2Car">
    <w:name w:val="Titre 2 Car"/>
    <w:basedOn w:val="Policepardfaut"/>
    <w:link w:val="Titre2"/>
    <w:uiPriority w:val="9"/>
    <w:rPr>
      <w:rFonts w:asciiTheme="majorHAnsi" w:eastAsiaTheme="majorEastAsia" w:hAnsiTheme="majorHAnsi" w:cstheme="majorBidi"/>
      <w:color w:val="2E74B5" w:themeColor="accent1" w:themeShade="BF"/>
      <w:kern w:val="2"/>
      <w:sz w:val="32"/>
      <w:szCs w:val="3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ierre.mondoloni@gpmsdoubsjura.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D78DC-6861-4089-838A-678CBABF2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1462</Words>
  <Characters>8045</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CHRU de Besançon</Company>
  <LinksUpToDate>false</LinksUpToDate>
  <CharactersWithSpaces>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MONDOLONI</dc:creator>
  <cp:keywords/>
  <dc:description/>
  <cp:lastModifiedBy>Marie Blandin</cp:lastModifiedBy>
  <cp:revision>3</cp:revision>
  <dcterms:created xsi:type="dcterms:W3CDTF">2025-07-15T06:37:00Z</dcterms:created>
  <dcterms:modified xsi:type="dcterms:W3CDTF">2025-09-11T09:38:00Z</dcterms:modified>
</cp:coreProperties>
</file>