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A1800" w14:textId="77777777" w:rsidR="00845BB7" w:rsidRDefault="00845BB7" w:rsidP="00845BB7">
      <w:pPr>
        <w:spacing w:line="240" w:lineRule="exact"/>
      </w:pPr>
    </w:p>
    <w:p w14:paraId="2437AB18" w14:textId="77777777" w:rsidR="00845BB7" w:rsidRDefault="00845BB7" w:rsidP="00845BB7">
      <w:pPr>
        <w:spacing w:line="240" w:lineRule="exact"/>
      </w:pPr>
    </w:p>
    <w:p w14:paraId="06AB6B33" w14:textId="77777777" w:rsidR="00845BB7" w:rsidRDefault="00845BB7" w:rsidP="00845BB7">
      <w:pPr>
        <w:spacing w:after="120" w:line="240" w:lineRule="exact"/>
      </w:pPr>
    </w:p>
    <w:p w14:paraId="793C2ED5" w14:textId="77777777" w:rsidR="00845BB7" w:rsidRDefault="00845BB7" w:rsidP="00845BB7">
      <w:pPr>
        <w:ind w:left="3860" w:right="4120"/>
        <w:rPr>
          <w:sz w:val="2"/>
        </w:rPr>
      </w:pPr>
      <w:r>
        <w:rPr>
          <w:noProof/>
        </w:rPr>
        <w:drawing>
          <wp:inline distT="0" distB="0" distL="0" distR="0" wp14:anchorId="489FD45F" wp14:editId="54FD322E">
            <wp:extent cx="1600200" cy="981075"/>
            <wp:effectExtent l="0" t="0" r="0" b="0"/>
            <wp:docPr id="1" name="Image 1" descr="Une image contenant texte, Police, logo, Graphiqu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que&#10;&#10;Le contenu généré par l’IA peut être incorrect."/>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0200" cy="981075"/>
                    </a:xfrm>
                    <a:prstGeom prst="rect">
                      <a:avLst/>
                    </a:prstGeom>
                    <a:noFill/>
                    <a:ln>
                      <a:noFill/>
                    </a:ln>
                  </pic:spPr>
                </pic:pic>
              </a:graphicData>
            </a:graphic>
          </wp:inline>
        </w:drawing>
      </w:r>
    </w:p>
    <w:p w14:paraId="14DDA122" w14:textId="77777777" w:rsidR="00845BB7" w:rsidRDefault="00845BB7" w:rsidP="00845BB7">
      <w:pPr>
        <w:spacing w:after="160" w:line="240" w:lineRule="exact"/>
      </w:pPr>
    </w:p>
    <w:tbl>
      <w:tblPr>
        <w:tblW w:w="0" w:type="auto"/>
        <w:tblInd w:w="300" w:type="dxa"/>
        <w:tblLayout w:type="fixed"/>
        <w:tblLook w:val="04A0" w:firstRow="1" w:lastRow="0" w:firstColumn="1" w:lastColumn="0" w:noHBand="0" w:noVBand="1"/>
      </w:tblPr>
      <w:tblGrid>
        <w:gridCol w:w="9620"/>
      </w:tblGrid>
      <w:tr w:rsidR="00845BB7" w14:paraId="39AAD064" w14:textId="77777777" w:rsidTr="004E78B1">
        <w:tc>
          <w:tcPr>
            <w:tcW w:w="9620" w:type="dxa"/>
            <w:shd w:val="clear" w:color="666553" w:fill="666553"/>
            <w:tcMar>
              <w:top w:w="40" w:type="dxa"/>
              <w:left w:w="0" w:type="dxa"/>
              <w:bottom w:w="0" w:type="dxa"/>
              <w:right w:w="0" w:type="dxa"/>
            </w:tcMar>
            <w:vAlign w:val="center"/>
          </w:tcPr>
          <w:p w14:paraId="157B63A8" w14:textId="77777777" w:rsidR="00845BB7" w:rsidRDefault="00845BB7" w:rsidP="004E78B1">
            <w:pPr>
              <w:jc w:val="center"/>
              <w:rPr>
                <w:rFonts w:ascii="Arial" w:eastAsia="Arial" w:hAnsi="Arial" w:cs="Arial"/>
                <w:b/>
                <w:color w:val="FFFFFF"/>
                <w:sz w:val="28"/>
                <w:lang w:val="fr-FR"/>
              </w:rPr>
            </w:pPr>
            <w:r>
              <w:rPr>
                <w:rFonts w:ascii="Arial" w:eastAsia="Arial" w:hAnsi="Arial" w:cs="Arial"/>
                <w:b/>
                <w:color w:val="FFFFFF"/>
                <w:sz w:val="28"/>
                <w:lang w:val="fr-FR"/>
              </w:rPr>
              <w:t>CADRE DE REPONSE TECHNIQUE (CRT)</w:t>
            </w:r>
          </w:p>
        </w:tc>
      </w:tr>
    </w:tbl>
    <w:p w14:paraId="6909542F" w14:textId="77777777" w:rsidR="00845BB7" w:rsidRDefault="00845BB7" w:rsidP="00845BB7">
      <w:pPr>
        <w:spacing w:line="240" w:lineRule="exact"/>
      </w:pPr>
      <w:r>
        <w:t xml:space="preserve"> </w:t>
      </w:r>
    </w:p>
    <w:p w14:paraId="25EF7055" w14:textId="77777777" w:rsidR="00845BB7" w:rsidRDefault="00845BB7" w:rsidP="00845BB7">
      <w:pPr>
        <w:spacing w:after="220" w:line="240" w:lineRule="exact"/>
      </w:pPr>
    </w:p>
    <w:p w14:paraId="6DB53DE0" w14:textId="77777777" w:rsidR="00845BB7" w:rsidRDefault="00845BB7" w:rsidP="00845BB7">
      <w:pPr>
        <w:spacing w:line="322" w:lineRule="exact"/>
        <w:ind w:left="300" w:right="580"/>
        <w:jc w:val="center"/>
        <w:rPr>
          <w:rFonts w:ascii="Arial" w:eastAsia="Arial" w:hAnsi="Arial" w:cs="Arial"/>
          <w:b/>
          <w:color w:val="000000"/>
          <w:sz w:val="28"/>
          <w:lang w:val="fr-FR"/>
        </w:rPr>
      </w:pPr>
      <w:r>
        <w:rPr>
          <w:rFonts w:ascii="Arial" w:eastAsia="Arial" w:hAnsi="Arial" w:cs="Arial"/>
          <w:b/>
          <w:color w:val="000000"/>
          <w:sz w:val="28"/>
          <w:lang w:val="fr-FR"/>
        </w:rPr>
        <w:t>ACCORD-CADRE DE TECHNIQUES DE L'INFORMATION ET DE LA COMMUNICATION</w:t>
      </w:r>
    </w:p>
    <w:p w14:paraId="5D13A1C6" w14:textId="77777777" w:rsidR="00845BB7" w:rsidRDefault="00845BB7" w:rsidP="00845BB7">
      <w:pPr>
        <w:spacing w:line="240" w:lineRule="exact"/>
      </w:pPr>
    </w:p>
    <w:p w14:paraId="55321C3E" w14:textId="77777777" w:rsidR="00845BB7" w:rsidRDefault="00845BB7" w:rsidP="00845BB7">
      <w:pPr>
        <w:spacing w:line="240" w:lineRule="exact"/>
      </w:pPr>
    </w:p>
    <w:p w14:paraId="7E726544" w14:textId="77777777" w:rsidR="00845BB7" w:rsidRDefault="00845BB7" w:rsidP="00845BB7">
      <w:pPr>
        <w:spacing w:line="240" w:lineRule="exact"/>
      </w:pPr>
    </w:p>
    <w:p w14:paraId="05A3CD61" w14:textId="77777777" w:rsidR="00845BB7" w:rsidRDefault="00845BB7" w:rsidP="00845BB7">
      <w:pPr>
        <w:spacing w:line="240" w:lineRule="exact"/>
      </w:pPr>
    </w:p>
    <w:p w14:paraId="780AB676" w14:textId="77777777" w:rsidR="00845BB7" w:rsidRDefault="00845BB7" w:rsidP="00845BB7">
      <w:pPr>
        <w:spacing w:line="240" w:lineRule="exact"/>
      </w:pPr>
    </w:p>
    <w:p w14:paraId="4E06BDDC" w14:textId="77777777" w:rsidR="00845BB7" w:rsidRDefault="00845BB7" w:rsidP="00845BB7">
      <w:pPr>
        <w:spacing w:line="240" w:lineRule="exact"/>
      </w:pPr>
    </w:p>
    <w:p w14:paraId="73AE7776" w14:textId="77777777" w:rsidR="00845BB7" w:rsidRDefault="00845BB7" w:rsidP="00845BB7">
      <w:pPr>
        <w:spacing w:after="180" w:line="240" w:lineRule="exact"/>
      </w:pPr>
      <w:r>
        <w:rPr>
          <w:noProof/>
        </w:rPr>
        <mc:AlternateContent>
          <mc:Choice Requires="wps">
            <w:drawing>
              <wp:anchor distT="0" distB="0" distL="114300" distR="114300" simplePos="0" relativeHeight="251659264" behindDoc="0" locked="0" layoutInCell="1" allowOverlap="1" wp14:anchorId="2A36C05E" wp14:editId="117EAF8B">
                <wp:simplePos x="0" y="0"/>
                <wp:positionH relativeFrom="column">
                  <wp:posOffset>682625</wp:posOffset>
                </wp:positionH>
                <wp:positionV relativeFrom="paragraph">
                  <wp:posOffset>2109471</wp:posOffset>
                </wp:positionV>
                <wp:extent cx="5080000" cy="1397000"/>
                <wp:effectExtent l="0" t="0" r="25400" b="12700"/>
                <wp:wrapNone/>
                <wp:docPr id="2" name="Zone de texte 2"/>
                <wp:cNvGraphicFramePr/>
                <a:graphic xmlns:a="http://schemas.openxmlformats.org/drawingml/2006/main">
                  <a:graphicData uri="http://schemas.microsoft.com/office/word/2010/wordprocessingShape">
                    <wps:wsp>
                      <wps:cNvSpPr txBox="1"/>
                      <wps:spPr>
                        <a:xfrm>
                          <a:off x="0" y="0"/>
                          <a:ext cx="5080000" cy="1397000"/>
                        </a:xfrm>
                        <a:prstGeom prst="rect">
                          <a:avLst/>
                        </a:prstGeom>
                        <a:solidFill>
                          <a:schemeClr val="lt1"/>
                        </a:solidFill>
                        <a:ln w="6350">
                          <a:solidFill>
                            <a:prstClr val="black"/>
                          </a:solidFill>
                        </a:ln>
                      </wps:spPr>
                      <wps:txbx>
                        <w:txbxContent>
                          <w:p w14:paraId="0F06A608" w14:textId="77777777" w:rsidR="00845BB7" w:rsidRDefault="00845BB7" w:rsidP="00845BB7">
                            <w:pPr>
                              <w:pStyle w:val="ParagrapheIndent1"/>
                              <w:jc w:val="center"/>
                            </w:pPr>
                          </w:p>
                          <w:p w14:paraId="0D1C4685" w14:textId="77777777" w:rsidR="00845BB7" w:rsidRDefault="00845BB7" w:rsidP="00845BB7">
                            <w:pPr>
                              <w:pStyle w:val="ParagrapheIndent1"/>
                              <w:jc w:val="center"/>
                              <w:rPr>
                                <w:sz w:val="2"/>
                              </w:rPr>
                            </w:pPr>
                          </w:p>
                          <w:p w14:paraId="10CA05FB" w14:textId="77777777" w:rsidR="00845BB7" w:rsidRPr="0092367B" w:rsidRDefault="00845BB7" w:rsidP="00845BB7">
                            <w:pPr>
                              <w:pStyle w:val="ParagrapheIndent1"/>
                              <w:jc w:val="center"/>
                              <w:rPr>
                                <w:b/>
                                <w:bCs/>
                                <w:color w:val="FF0000"/>
                                <w:sz w:val="32"/>
                                <w:szCs w:val="32"/>
                              </w:rPr>
                            </w:pPr>
                            <w:r w:rsidRPr="0092367B">
                              <w:rPr>
                                <w:b/>
                                <w:bCs/>
                                <w:color w:val="FF0000"/>
                                <w:sz w:val="32"/>
                                <w:szCs w:val="32"/>
                              </w:rPr>
                              <w:t xml:space="preserve">Merci </w:t>
                            </w:r>
                            <w:proofErr w:type="spellStart"/>
                            <w:r w:rsidRPr="0092367B">
                              <w:rPr>
                                <w:b/>
                                <w:bCs/>
                                <w:color w:val="FF0000"/>
                                <w:sz w:val="32"/>
                                <w:szCs w:val="32"/>
                              </w:rPr>
                              <w:t>d’indiquer</w:t>
                            </w:r>
                            <w:proofErr w:type="spellEnd"/>
                            <w:r w:rsidRPr="0092367B">
                              <w:rPr>
                                <w:b/>
                                <w:bCs/>
                                <w:color w:val="FF0000"/>
                                <w:sz w:val="32"/>
                                <w:szCs w:val="32"/>
                              </w:rPr>
                              <w:t xml:space="preserve"> sur chaque </w:t>
                            </w:r>
                            <w:proofErr w:type="spellStart"/>
                            <w:r w:rsidRPr="0092367B">
                              <w:rPr>
                                <w:b/>
                                <w:bCs/>
                                <w:color w:val="FF0000"/>
                                <w:sz w:val="32"/>
                                <w:szCs w:val="32"/>
                              </w:rPr>
                              <w:t>thème</w:t>
                            </w:r>
                            <w:proofErr w:type="spellEnd"/>
                            <w:r w:rsidRPr="0092367B">
                              <w:rPr>
                                <w:b/>
                                <w:bCs/>
                                <w:color w:val="FF0000"/>
                                <w:sz w:val="32"/>
                                <w:szCs w:val="32"/>
                              </w:rPr>
                              <w:t xml:space="preserve"> </w:t>
                            </w:r>
                            <w:proofErr w:type="spellStart"/>
                            <w:r w:rsidRPr="0092367B">
                              <w:rPr>
                                <w:b/>
                                <w:bCs/>
                                <w:color w:val="FF0000"/>
                                <w:sz w:val="32"/>
                                <w:szCs w:val="32"/>
                              </w:rPr>
                              <w:t>vos</w:t>
                            </w:r>
                            <w:proofErr w:type="spellEnd"/>
                            <w:r w:rsidRPr="0092367B">
                              <w:rPr>
                                <w:b/>
                                <w:bCs/>
                                <w:color w:val="FF0000"/>
                                <w:sz w:val="32"/>
                                <w:szCs w:val="32"/>
                              </w:rPr>
                              <w:t xml:space="preserve"> </w:t>
                            </w:r>
                            <w:proofErr w:type="spellStart"/>
                            <w:r w:rsidRPr="0092367B">
                              <w:rPr>
                                <w:b/>
                                <w:bCs/>
                                <w:color w:val="FF0000"/>
                                <w:sz w:val="32"/>
                                <w:szCs w:val="32"/>
                              </w:rPr>
                              <w:t>réponses</w:t>
                            </w:r>
                            <w:proofErr w:type="spellEnd"/>
                            <w:r w:rsidRPr="0092367B">
                              <w:rPr>
                                <w:b/>
                                <w:bCs/>
                                <w:color w:val="FF0000"/>
                                <w:sz w:val="32"/>
                                <w:szCs w:val="32"/>
                              </w:rPr>
                              <w:t xml:space="preserve"> </w:t>
                            </w:r>
                            <w:proofErr w:type="spellStart"/>
                            <w:r w:rsidRPr="0092367B">
                              <w:rPr>
                                <w:b/>
                                <w:bCs/>
                                <w:color w:val="FF0000"/>
                                <w:sz w:val="32"/>
                                <w:szCs w:val="32"/>
                              </w:rPr>
                              <w:t>ou</w:t>
                            </w:r>
                            <w:proofErr w:type="spellEnd"/>
                            <w:r w:rsidRPr="0092367B">
                              <w:rPr>
                                <w:b/>
                                <w:bCs/>
                                <w:color w:val="FF0000"/>
                                <w:sz w:val="32"/>
                                <w:szCs w:val="32"/>
                              </w:rPr>
                              <w:t xml:space="preserve"> de </w:t>
                            </w:r>
                            <w:proofErr w:type="spellStart"/>
                            <w:r w:rsidRPr="0092367B">
                              <w:rPr>
                                <w:b/>
                                <w:bCs/>
                                <w:color w:val="FF0000"/>
                                <w:sz w:val="32"/>
                                <w:szCs w:val="32"/>
                              </w:rPr>
                              <w:t>produire</w:t>
                            </w:r>
                            <w:proofErr w:type="spellEnd"/>
                            <w:r w:rsidRPr="0092367B">
                              <w:rPr>
                                <w:b/>
                                <w:bCs/>
                                <w:color w:val="FF0000"/>
                                <w:sz w:val="32"/>
                                <w:szCs w:val="32"/>
                              </w:rPr>
                              <w:t xml:space="preserve"> un </w:t>
                            </w:r>
                            <w:proofErr w:type="spellStart"/>
                            <w:r w:rsidRPr="0092367B">
                              <w:rPr>
                                <w:b/>
                                <w:bCs/>
                                <w:color w:val="FF0000"/>
                                <w:sz w:val="32"/>
                                <w:szCs w:val="32"/>
                              </w:rPr>
                              <w:t>mémoire</w:t>
                            </w:r>
                            <w:proofErr w:type="spellEnd"/>
                            <w:r w:rsidRPr="0092367B">
                              <w:rPr>
                                <w:b/>
                                <w:bCs/>
                                <w:color w:val="FF0000"/>
                                <w:sz w:val="32"/>
                                <w:szCs w:val="32"/>
                              </w:rPr>
                              <w:t xml:space="preserve"> technique précis</w:t>
                            </w:r>
                            <w:r>
                              <w:rPr>
                                <w:b/>
                                <w:bCs/>
                                <w:color w:val="FF0000"/>
                                <w:sz w:val="32"/>
                                <w:szCs w:val="32"/>
                              </w:rPr>
                              <w:t>,</w:t>
                            </w:r>
                            <w:r w:rsidRPr="0092367B">
                              <w:rPr>
                                <w:b/>
                                <w:bCs/>
                                <w:color w:val="FF0000"/>
                                <w:sz w:val="32"/>
                                <w:szCs w:val="32"/>
                              </w:rPr>
                              <w:t xml:space="preserve"> </w:t>
                            </w:r>
                            <w:proofErr w:type="spellStart"/>
                            <w:r w:rsidRPr="0092367B">
                              <w:rPr>
                                <w:b/>
                                <w:bCs/>
                                <w:color w:val="FF0000"/>
                                <w:sz w:val="32"/>
                                <w:szCs w:val="32"/>
                              </w:rPr>
                              <w:t>clair</w:t>
                            </w:r>
                            <w:proofErr w:type="spellEnd"/>
                            <w:r w:rsidRPr="0092367B">
                              <w:rPr>
                                <w:b/>
                                <w:bCs/>
                                <w:color w:val="FF0000"/>
                                <w:sz w:val="32"/>
                                <w:szCs w:val="32"/>
                              </w:rPr>
                              <w:t xml:space="preserve">, </w:t>
                            </w:r>
                            <w:proofErr w:type="spellStart"/>
                            <w:r w:rsidRPr="0092367B">
                              <w:rPr>
                                <w:b/>
                                <w:bCs/>
                                <w:color w:val="FF0000"/>
                                <w:sz w:val="32"/>
                                <w:szCs w:val="32"/>
                              </w:rPr>
                              <w:t>concis</w:t>
                            </w:r>
                            <w:proofErr w:type="spellEnd"/>
                            <w:r w:rsidRPr="0092367B">
                              <w:rPr>
                                <w:b/>
                                <w:bCs/>
                                <w:color w:val="FF0000"/>
                                <w:sz w:val="32"/>
                                <w:szCs w:val="32"/>
                              </w:rPr>
                              <w:t xml:space="preserve"> et </w:t>
                            </w:r>
                            <w:proofErr w:type="spellStart"/>
                            <w:r w:rsidRPr="0092367B">
                              <w:rPr>
                                <w:b/>
                                <w:bCs/>
                                <w:color w:val="FF0000"/>
                                <w:sz w:val="32"/>
                                <w:szCs w:val="32"/>
                              </w:rPr>
                              <w:t>personnalisé</w:t>
                            </w:r>
                            <w:proofErr w:type="spellEnd"/>
                            <w:r w:rsidRPr="0092367B">
                              <w:rPr>
                                <w:b/>
                                <w:bCs/>
                                <w:color w:val="FF0000"/>
                                <w:sz w:val="32"/>
                                <w:szCs w:val="32"/>
                              </w:rPr>
                              <w:t xml:space="preserve"> </w:t>
                            </w:r>
                            <w:proofErr w:type="spellStart"/>
                            <w:r w:rsidRPr="0092367B">
                              <w:rPr>
                                <w:b/>
                                <w:bCs/>
                                <w:color w:val="FF0000"/>
                                <w:sz w:val="32"/>
                                <w:szCs w:val="32"/>
                              </w:rPr>
                              <w:t>suivant</w:t>
                            </w:r>
                            <w:proofErr w:type="spellEnd"/>
                            <w:r w:rsidRPr="0092367B">
                              <w:rPr>
                                <w:b/>
                                <w:bCs/>
                                <w:color w:val="FF0000"/>
                                <w:sz w:val="32"/>
                                <w:szCs w:val="32"/>
                              </w:rPr>
                              <w:t xml:space="preserve"> </w:t>
                            </w:r>
                            <w:proofErr w:type="spellStart"/>
                            <w:r w:rsidRPr="0092367B">
                              <w:rPr>
                                <w:b/>
                                <w:bCs/>
                                <w:color w:val="FF0000"/>
                                <w:sz w:val="32"/>
                                <w:szCs w:val="32"/>
                              </w:rPr>
                              <w:t>impérativement</w:t>
                            </w:r>
                            <w:proofErr w:type="spellEnd"/>
                            <w:r w:rsidRPr="0092367B">
                              <w:rPr>
                                <w:b/>
                                <w:bCs/>
                                <w:color w:val="FF0000"/>
                                <w:sz w:val="32"/>
                                <w:szCs w:val="32"/>
                              </w:rPr>
                              <w:t xml:space="preserve"> les </w:t>
                            </w:r>
                            <w:proofErr w:type="spellStart"/>
                            <w:r w:rsidRPr="0092367B">
                              <w:rPr>
                                <w:b/>
                                <w:bCs/>
                                <w:color w:val="FF0000"/>
                                <w:sz w:val="32"/>
                                <w:szCs w:val="32"/>
                              </w:rPr>
                              <w:t>chapitres</w:t>
                            </w:r>
                            <w:proofErr w:type="spellEnd"/>
                            <w:r w:rsidRPr="0092367B">
                              <w:rPr>
                                <w:b/>
                                <w:bCs/>
                                <w:color w:val="FF0000"/>
                                <w:sz w:val="32"/>
                                <w:szCs w:val="32"/>
                              </w:rPr>
                              <w:t xml:space="preserve"> </w:t>
                            </w:r>
                            <w:proofErr w:type="spellStart"/>
                            <w:r w:rsidRPr="0092367B">
                              <w:rPr>
                                <w:b/>
                                <w:bCs/>
                                <w:color w:val="FF0000"/>
                                <w:sz w:val="32"/>
                                <w:szCs w:val="32"/>
                              </w:rPr>
                              <w:t>déclinés</w:t>
                            </w:r>
                            <w:proofErr w:type="spellEnd"/>
                            <w:r w:rsidRPr="0092367B">
                              <w:rPr>
                                <w:b/>
                                <w:bCs/>
                                <w:color w:val="FF0000"/>
                                <w:sz w:val="32"/>
                                <w:szCs w:val="32"/>
                              </w:rPr>
                              <w:t xml:space="preserve"> ci-dessous.</w:t>
                            </w:r>
                          </w:p>
                          <w:p w14:paraId="3154215C" w14:textId="77777777" w:rsidR="00845BB7" w:rsidRDefault="00845BB7" w:rsidP="00845BB7">
                            <w:pPr>
                              <w:pStyle w:val="ParagrapheIndent1"/>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36C05E" id="_x0000_t202" coordsize="21600,21600" o:spt="202" path="m,l,21600r21600,l21600,xe">
                <v:stroke joinstyle="miter"/>
                <v:path gradientshapeok="t" o:connecttype="rect"/>
              </v:shapetype>
              <v:shape id="Zone de texte 2" o:spid="_x0000_s1026" type="#_x0000_t202" style="position:absolute;margin-left:53.75pt;margin-top:166.1pt;width:400pt;height:1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" fillcolor="white [3201]" strokeweight=".5pt">
                <v:textbox>
                  <w:txbxContent>
                    <w:p w14:paraId="0F06A608" w14:textId="77777777" w:rsidR="00845BB7" w:rsidRDefault="00845BB7" w:rsidP="00845BB7">
                      <w:pPr>
                        <w:pStyle w:val="ParagrapheIndent1"/>
                        <w:jc w:val="center"/>
                      </w:pPr>
                    </w:p>
                    <w:p w14:paraId="0D1C4685" w14:textId="77777777" w:rsidR="00845BB7" w:rsidRDefault="00845BB7" w:rsidP="00845BB7">
                      <w:pPr>
                        <w:pStyle w:val="ParagrapheIndent1"/>
                        <w:jc w:val="center"/>
                        <w:rPr>
                          <w:sz w:val="2"/>
                        </w:rPr>
                      </w:pPr>
                    </w:p>
                    <w:p w14:paraId="10CA05FB" w14:textId="77777777" w:rsidR="00845BB7" w:rsidRPr="0092367B" w:rsidRDefault="00845BB7" w:rsidP="00845BB7">
                      <w:pPr>
                        <w:pStyle w:val="ParagrapheIndent1"/>
                        <w:jc w:val="center"/>
                        <w:rPr>
                          <w:b/>
                          <w:bCs/>
                          <w:color w:val="FF0000"/>
                          <w:sz w:val="32"/>
                          <w:szCs w:val="32"/>
                        </w:rPr>
                      </w:pPr>
                      <w:r w:rsidRPr="0092367B">
                        <w:rPr>
                          <w:b/>
                          <w:bCs/>
                          <w:color w:val="FF0000"/>
                          <w:sz w:val="32"/>
                          <w:szCs w:val="32"/>
                        </w:rPr>
                        <w:t xml:space="preserve">Merci </w:t>
                      </w:r>
                      <w:proofErr w:type="spellStart"/>
                      <w:r w:rsidRPr="0092367B">
                        <w:rPr>
                          <w:b/>
                          <w:bCs/>
                          <w:color w:val="FF0000"/>
                          <w:sz w:val="32"/>
                          <w:szCs w:val="32"/>
                        </w:rPr>
                        <w:t>d’indiquer</w:t>
                      </w:r>
                      <w:proofErr w:type="spellEnd"/>
                      <w:r w:rsidRPr="0092367B">
                        <w:rPr>
                          <w:b/>
                          <w:bCs/>
                          <w:color w:val="FF0000"/>
                          <w:sz w:val="32"/>
                          <w:szCs w:val="32"/>
                        </w:rPr>
                        <w:t xml:space="preserve"> sur chaque </w:t>
                      </w:r>
                      <w:proofErr w:type="spellStart"/>
                      <w:r w:rsidRPr="0092367B">
                        <w:rPr>
                          <w:b/>
                          <w:bCs/>
                          <w:color w:val="FF0000"/>
                          <w:sz w:val="32"/>
                          <w:szCs w:val="32"/>
                        </w:rPr>
                        <w:t>thème</w:t>
                      </w:r>
                      <w:proofErr w:type="spellEnd"/>
                      <w:r w:rsidRPr="0092367B">
                        <w:rPr>
                          <w:b/>
                          <w:bCs/>
                          <w:color w:val="FF0000"/>
                          <w:sz w:val="32"/>
                          <w:szCs w:val="32"/>
                        </w:rPr>
                        <w:t xml:space="preserve"> </w:t>
                      </w:r>
                      <w:proofErr w:type="spellStart"/>
                      <w:r w:rsidRPr="0092367B">
                        <w:rPr>
                          <w:b/>
                          <w:bCs/>
                          <w:color w:val="FF0000"/>
                          <w:sz w:val="32"/>
                          <w:szCs w:val="32"/>
                        </w:rPr>
                        <w:t>vos</w:t>
                      </w:r>
                      <w:proofErr w:type="spellEnd"/>
                      <w:r w:rsidRPr="0092367B">
                        <w:rPr>
                          <w:b/>
                          <w:bCs/>
                          <w:color w:val="FF0000"/>
                          <w:sz w:val="32"/>
                          <w:szCs w:val="32"/>
                        </w:rPr>
                        <w:t xml:space="preserve"> </w:t>
                      </w:r>
                      <w:proofErr w:type="spellStart"/>
                      <w:r w:rsidRPr="0092367B">
                        <w:rPr>
                          <w:b/>
                          <w:bCs/>
                          <w:color w:val="FF0000"/>
                          <w:sz w:val="32"/>
                          <w:szCs w:val="32"/>
                        </w:rPr>
                        <w:t>réponses</w:t>
                      </w:r>
                      <w:proofErr w:type="spellEnd"/>
                      <w:r w:rsidRPr="0092367B">
                        <w:rPr>
                          <w:b/>
                          <w:bCs/>
                          <w:color w:val="FF0000"/>
                          <w:sz w:val="32"/>
                          <w:szCs w:val="32"/>
                        </w:rPr>
                        <w:t xml:space="preserve"> </w:t>
                      </w:r>
                      <w:proofErr w:type="spellStart"/>
                      <w:r w:rsidRPr="0092367B">
                        <w:rPr>
                          <w:b/>
                          <w:bCs/>
                          <w:color w:val="FF0000"/>
                          <w:sz w:val="32"/>
                          <w:szCs w:val="32"/>
                        </w:rPr>
                        <w:t>ou</w:t>
                      </w:r>
                      <w:proofErr w:type="spellEnd"/>
                      <w:r w:rsidRPr="0092367B">
                        <w:rPr>
                          <w:b/>
                          <w:bCs/>
                          <w:color w:val="FF0000"/>
                          <w:sz w:val="32"/>
                          <w:szCs w:val="32"/>
                        </w:rPr>
                        <w:t xml:space="preserve"> de </w:t>
                      </w:r>
                      <w:proofErr w:type="spellStart"/>
                      <w:r w:rsidRPr="0092367B">
                        <w:rPr>
                          <w:b/>
                          <w:bCs/>
                          <w:color w:val="FF0000"/>
                          <w:sz w:val="32"/>
                          <w:szCs w:val="32"/>
                        </w:rPr>
                        <w:t>produire</w:t>
                      </w:r>
                      <w:proofErr w:type="spellEnd"/>
                      <w:r w:rsidRPr="0092367B">
                        <w:rPr>
                          <w:b/>
                          <w:bCs/>
                          <w:color w:val="FF0000"/>
                          <w:sz w:val="32"/>
                          <w:szCs w:val="32"/>
                        </w:rPr>
                        <w:t xml:space="preserve"> un </w:t>
                      </w:r>
                      <w:proofErr w:type="spellStart"/>
                      <w:r w:rsidRPr="0092367B">
                        <w:rPr>
                          <w:b/>
                          <w:bCs/>
                          <w:color w:val="FF0000"/>
                          <w:sz w:val="32"/>
                          <w:szCs w:val="32"/>
                        </w:rPr>
                        <w:t>mémoire</w:t>
                      </w:r>
                      <w:proofErr w:type="spellEnd"/>
                      <w:r w:rsidRPr="0092367B">
                        <w:rPr>
                          <w:b/>
                          <w:bCs/>
                          <w:color w:val="FF0000"/>
                          <w:sz w:val="32"/>
                          <w:szCs w:val="32"/>
                        </w:rPr>
                        <w:t xml:space="preserve"> technique précis</w:t>
                      </w:r>
                      <w:r>
                        <w:rPr>
                          <w:b/>
                          <w:bCs/>
                          <w:color w:val="FF0000"/>
                          <w:sz w:val="32"/>
                          <w:szCs w:val="32"/>
                        </w:rPr>
                        <w:t>,</w:t>
                      </w:r>
                      <w:r w:rsidRPr="0092367B">
                        <w:rPr>
                          <w:b/>
                          <w:bCs/>
                          <w:color w:val="FF0000"/>
                          <w:sz w:val="32"/>
                          <w:szCs w:val="32"/>
                        </w:rPr>
                        <w:t xml:space="preserve"> </w:t>
                      </w:r>
                      <w:proofErr w:type="spellStart"/>
                      <w:r w:rsidRPr="0092367B">
                        <w:rPr>
                          <w:b/>
                          <w:bCs/>
                          <w:color w:val="FF0000"/>
                          <w:sz w:val="32"/>
                          <w:szCs w:val="32"/>
                        </w:rPr>
                        <w:t>clair</w:t>
                      </w:r>
                      <w:proofErr w:type="spellEnd"/>
                      <w:r w:rsidRPr="0092367B">
                        <w:rPr>
                          <w:b/>
                          <w:bCs/>
                          <w:color w:val="FF0000"/>
                          <w:sz w:val="32"/>
                          <w:szCs w:val="32"/>
                        </w:rPr>
                        <w:t xml:space="preserve">, </w:t>
                      </w:r>
                      <w:proofErr w:type="spellStart"/>
                      <w:r w:rsidRPr="0092367B">
                        <w:rPr>
                          <w:b/>
                          <w:bCs/>
                          <w:color w:val="FF0000"/>
                          <w:sz w:val="32"/>
                          <w:szCs w:val="32"/>
                        </w:rPr>
                        <w:t>concis</w:t>
                      </w:r>
                      <w:proofErr w:type="spellEnd"/>
                      <w:r w:rsidRPr="0092367B">
                        <w:rPr>
                          <w:b/>
                          <w:bCs/>
                          <w:color w:val="FF0000"/>
                          <w:sz w:val="32"/>
                          <w:szCs w:val="32"/>
                        </w:rPr>
                        <w:t xml:space="preserve"> et </w:t>
                      </w:r>
                      <w:proofErr w:type="spellStart"/>
                      <w:r w:rsidRPr="0092367B">
                        <w:rPr>
                          <w:b/>
                          <w:bCs/>
                          <w:color w:val="FF0000"/>
                          <w:sz w:val="32"/>
                          <w:szCs w:val="32"/>
                        </w:rPr>
                        <w:t>personnalisé</w:t>
                      </w:r>
                      <w:proofErr w:type="spellEnd"/>
                      <w:r w:rsidRPr="0092367B">
                        <w:rPr>
                          <w:b/>
                          <w:bCs/>
                          <w:color w:val="FF0000"/>
                          <w:sz w:val="32"/>
                          <w:szCs w:val="32"/>
                        </w:rPr>
                        <w:t xml:space="preserve"> </w:t>
                      </w:r>
                      <w:proofErr w:type="spellStart"/>
                      <w:r w:rsidRPr="0092367B">
                        <w:rPr>
                          <w:b/>
                          <w:bCs/>
                          <w:color w:val="FF0000"/>
                          <w:sz w:val="32"/>
                          <w:szCs w:val="32"/>
                        </w:rPr>
                        <w:t>suivant</w:t>
                      </w:r>
                      <w:proofErr w:type="spellEnd"/>
                      <w:r w:rsidRPr="0092367B">
                        <w:rPr>
                          <w:b/>
                          <w:bCs/>
                          <w:color w:val="FF0000"/>
                          <w:sz w:val="32"/>
                          <w:szCs w:val="32"/>
                        </w:rPr>
                        <w:t xml:space="preserve"> </w:t>
                      </w:r>
                      <w:proofErr w:type="spellStart"/>
                      <w:r w:rsidRPr="0092367B">
                        <w:rPr>
                          <w:b/>
                          <w:bCs/>
                          <w:color w:val="FF0000"/>
                          <w:sz w:val="32"/>
                          <w:szCs w:val="32"/>
                        </w:rPr>
                        <w:t>impérativement</w:t>
                      </w:r>
                      <w:proofErr w:type="spellEnd"/>
                      <w:r w:rsidRPr="0092367B">
                        <w:rPr>
                          <w:b/>
                          <w:bCs/>
                          <w:color w:val="FF0000"/>
                          <w:sz w:val="32"/>
                          <w:szCs w:val="32"/>
                        </w:rPr>
                        <w:t xml:space="preserve"> les </w:t>
                      </w:r>
                      <w:proofErr w:type="spellStart"/>
                      <w:r w:rsidRPr="0092367B">
                        <w:rPr>
                          <w:b/>
                          <w:bCs/>
                          <w:color w:val="FF0000"/>
                          <w:sz w:val="32"/>
                          <w:szCs w:val="32"/>
                        </w:rPr>
                        <w:t>chapitres</w:t>
                      </w:r>
                      <w:proofErr w:type="spellEnd"/>
                      <w:r w:rsidRPr="0092367B">
                        <w:rPr>
                          <w:b/>
                          <w:bCs/>
                          <w:color w:val="FF0000"/>
                          <w:sz w:val="32"/>
                          <w:szCs w:val="32"/>
                        </w:rPr>
                        <w:t xml:space="preserve"> </w:t>
                      </w:r>
                      <w:proofErr w:type="spellStart"/>
                      <w:r w:rsidRPr="0092367B">
                        <w:rPr>
                          <w:b/>
                          <w:bCs/>
                          <w:color w:val="FF0000"/>
                          <w:sz w:val="32"/>
                          <w:szCs w:val="32"/>
                        </w:rPr>
                        <w:t>déclinés</w:t>
                      </w:r>
                      <w:proofErr w:type="spellEnd"/>
                      <w:r w:rsidRPr="0092367B">
                        <w:rPr>
                          <w:b/>
                          <w:bCs/>
                          <w:color w:val="FF0000"/>
                          <w:sz w:val="32"/>
                          <w:szCs w:val="32"/>
                        </w:rPr>
                        <w:t xml:space="preserve"> ci-dessous.</w:t>
                      </w:r>
                    </w:p>
                    <w:p w14:paraId="3154215C" w14:textId="77777777" w:rsidR="00845BB7" w:rsidRDefault="00845BB7" w:rsidP="00845BB7">
                      <w:pPr>
                        <w:pStyle w:val="ParagrapheIndent1"/>
                        <w:jc w:val="center"/>
                      </w:pPr>
                    </w:p>
                  </w:txbxContent>
                </v:textbox>
              </v:shape>
            </w:pict>
          </mc:Fallback>
        </mc:AlternateContent>
      </w:r>
    </w:p>
    <w:tbl>
      <w:tblPr>
        <w:tblW w:w="0" w:type="auto"/>
        <w:tblInd w:w="300" w:type="dxa"/>
        <w:tblLayout w:type="fixed"/>
        <w:tblLook w:val="04A0" w:firstRow="1" w:lastRow="0" w:firstColumn="1" w:lastColumn="0" w:noHBand="0" w:noVBand="1"/>
      </w:tblPr>
      <w:tblGrid>
        <w:gridCol w:w="1260"/>
        <w:gridCol w:w="7100"/>
        <w:gridCol w:w="1260"/>
      </w:tblGrid>
      <w:tr w:rsidR="00845BB7" w14:paraId="7FF2CC97" w14:textId="77777777" w:rsidTr="004E78B1">
        <w:trPr>
          <w:trHeight w:val="1170"/>
        </w:trPr>
        <w:tc>
          <w:tcPr>
            <w:tcW w:w="1260" w:type="dxa"/>
            <w:tcMar>
              <w:top w:w="0" w:type="dxa"/>
              <w:left w:w="0" w:type="dxa"/>
              <w:bottom w:w="0" w:type="dxa"/>
              <w:right w:w="0" w:type="dxa"/>
            </w:tcMar>
          </w:tcPr>
          <w:p w14:paraId="0729E235" w14:textId="77777777" w:rsidR="00845BB7" w:rsidRDefault="00845BB7" w:rsidP="004E78B1">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6CD7B3F0" w14:textId="101BA288" w:rsidR="00845BB7" w:rsidRDefault="00845BB7" w:rsidP="004E78B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PRESTATIONS DE DEVELOPPEMENT, D’EXPERTISE ET DE SUPPORT DU LOGICIEL PLANNING ANALYTICS POUR L’ISAE-SUPAERO</w:t>
            </w:r>
          </w:p>
        </w:tc>
        <w:tc>
          <w:tcPr>
            <w:tcW w:w="1260" w:type="dxa"/>
            <w:tcMar>
              <w:top w:w="0" w:type="dxa"/>
              <w:left w:w="0" w:type="dxa"/>
              <w:bottom w:w="0" w:type="dxa"/>
              <w:right w:w="0" w:type="dxa"/>
            </w:tcMar>
          </w:tcPr>
          <w:p w14:paraId="2A1EF03B" w14:textId="77777777" w:rsidR="00845BB7" w:rsidRDefault="00845BB7" w:rsidP="004E78B1">
            <w:pPr>
              <w:rPr>
                <w:sz w:val="2"/>
              </w:rPr>
            </w:pPr>
          </w:p>
        </w:tc>
      </w:tr>
    </w:tbl>
    <w:p w14:paraId="209FAFCC" w14:textId="77777777" w:rsidR="00845BB7" w:rsidRDefault="00845BB7" w:rsidP="00845BB7">
      <w:pPr>
        <w:spacing w:line="276" w:lineRule="exact"/>
        <w:ind w:left="300" w:right="580"/>
        <w:jc w:val="center"/>
        <w:rPr>
          <w:rFonts w:ascii="Arial" w:eastAsia="Arial" w:hAnsi="Arial" w:cs="Arial"/>
          <w:color w:val="000000"/>
          <w:lang w:val="fr-FR"/>
        </w:rPr>
        <w:sectPr w:rsidR="00845BB7" w:rsidSect="00845BB7">
          <w:pgSz w:w="11900" w:h="16840"/>
          <w:pgMar w:top="577" w:right="577" w:bottom="278" w:left="855" w:header="577" w:footer="278" w:gutter="0"/>
          <w:cols w:space="708"/>
        </w:sectPr>
      </w:pPr>
    </w:p>
    <w:p w14:paraId="0A92691E" w14:textId="77777777" w:rsidR="00845BB7" w:rsidRPr="0084187F" w:rsidRDefault="00845BB7" w:rsidP="00845BB7">
      <w:pPr>
        <w:pStyle w:val="ParagrapheIndent1"/>
        <w:rPr>
          <w:lang w:val="fr-FR"/>
        </w:rPr>
      </w:pPr>
    </w:p>
    <w:p w14:paraId="2DD74C10" w14:textId="77777777" w:rsidR="00845BB7" w:rsidRPr="0084187F" w:rsidRDefault="00845BB7" w:rsidP="00845BB7">
      <w:pPr>
        <w:pStyle w:val="ParagrapheIndent1"/>
        <w:rPr>
          <w:lang w:val="fr-FR"/>
        </w:rPr>
      </w:pPr>
      <w:r w:rsidRPr="0084187F">
        <w:rPr>
          <w:lang w:val="fr-FR"/>
        </w:rPr>
        <w:t>Pour chaque items ci-après le candidat est invité à développer un argumentaire afin de répondre aux exigences décrites dans le CCTP.</w:t>
      </w:r>
    </w:p>
    <w:p w14:paraId="378DC313" w14:textId="77777777" w:rsidR="00845BB7" w:rsidRPr="0084187F" w:rsidRDefault="00845BB7" w:rsidP="00845BB7">
      <w:pPr>
        <w:rPr>
          <w:lang w:val="fr-FR"/>
        </w:rPr>
      </w:pPr>
    </w:p>
    <w:p w14:paraId="548191C2" w14:textId="77777777" w:rsidR="00845BB7" w:rsidRPr="0084187F" w:rsidRDefault="00845BB7" w:rsidP="00845BB7">
      <w:pPr>
        <w:pStyle w:val="Titre2"/>
        <w:numPr>
          <w:ilvl w:val="0"/>
          <w:numId w:val="1"/>
        </w:numPr>
        <w:ind w:left="0" w:firstLine="0"/>
        <w:rPr>
          <w:sz w:val="36"/>
          <w:lang w:val="fr-FR"/>
        </w:rPr>
      </w:pPr>
      <w:bookmarkStart w:id="0" w:name="_Toc116034376"/>
      <w:r w:rsidRPr="0084187F">
        <w:rPr>
          <w:sz w:val="36"/>
          <w:lang w:val="fr-FR"/>
        </w:rPr>
        <w:t>Compétences exigées</w:t>
      </w:r>
      <w:bookmarkEnd w:id="0"/>
    </w:p>
    <w:p w14:paraId="38ED1956" w14:textId="055D7254" w:rsidR="00845BB7" w:rsidRDefault="00845BB7" w:rsidP="004D325F">
      <w:pPr>
        <w:jc w:val="both"/>
        <w:rPr>
          <w:lang w:val="fr-FR"/>
        </w:rPr>
      </w:pPr>
      <w:r w:rsidRPr="0084187F">
        <w:rPr>
          <w:b/>
          <w:lang w:val="fr-FR"/>
        </w:rPr>
        <w:t xml:space="preserve">Rappel CCTP : </w:t>
      </w:r>
    </w:p>
    <w:p w14:paraId="7AF1CD22" w14:textId="77777777" w:rsidR="00845BB7" w:rsidRDefault="00845BB7" w:rsidP="00845BB7">
      <w:pPr>
        <w:jc w:val="both"/>
        <w:rPr>
          <w:lang w:val="fr-FR"/>
        </w:rPr>
      </w:pPr>
    </w:p>
    <w:p w14:paraId="1D8484FD" w14:textId="77777777" w:rsidR="004D325F" w:rsidRPr="00725575" w:rsidRDefault="004D325F" w:rsidP="00725575">
      <w:pPr>
        <w:pStyle w:val="ParagrapheIndent1"/>
        <w:jc w:val="both"/>
        <w:rPr>
          <w:lang w:val="fr-FR"/>
        </w:rPr>
      </w:pPr>
      <w:r w:rsidRPr="00725575">
        <w:rPr>
          <w:b/>
          <w:bCs/>
          <w:lang w:val="fr-FR"/>
        </w:rPr>
        <w:t xml:space="preserve">(EXIGENCE 3.0) </w:t>
      </w:r>
      <w:r w:rsidRPr="00725575">
        <w:rPr>
          <w:lang w:val="fr-FR"/>
        </w:rPr>
        <w:t xml:space="preserve">Le soumissionnaire devra démontrer sa capacité à administrer, configurer et développer des solutions sur </w:t>
      </w:r>
      <w:r w:rsidRPr="00725575">
        <w:rPr>
          <w:b/>
          <w:bCs/>
          <w:lang w:val="fr-FR"/>
        </w:rPr>
        <w:t>IBM Planning Analytics</w:t>
      </w:r>
      <w:r w:rsidRPr="00725575">
        <w:rPr>
          <w:lang w:val="fr-FR"/>
        </w:rPr>
        <w:t>. Cela inclut :</w:t>
      </w:r>
    </w:p>
    <w:p w14:paraId="7FEEAF94" w14:textId="77777777" w:rsidR="004D325F" w:rsidRPr="00725575" w:rsidRDefault="004D325F" w:rsidP="00725575">
      <w:pPr>
        <w:pStyle w:val="ParagrapheIndent1"/>
        <w:jc w:val="both"/>
        <w:rPr>
          <w:lang w:val="fr-FR"/>
        </w:rPr>
      </w:pPr>
      <w:r w:rsidRPr="00725575">
        <w:rPr>
          <w:lang w:val="fr-FR"/>
        </w:rPr>
        <w:t xml:space="preserve">La </w:t>
      </w:r>
      <w:r w:rsidRPr="00725575">
        <w:rPr>
          <w:b/>
          <w:bCs/>
          <w:lang w:val="fr-FR"/>
        </w:rPr>
        <w:t>modélisation de cubes TM1</w:t>
      </w:r>
      <w:r w:rsidRPr="00725575">
        <w:rPr>
          <w:lang w:val="fr-FR"/>
        </w:rPr>
        <w:t xml:space="preserve"> et l’optimisation des structures de données.</w:t>
      </w:r>
    </w:p>
    <w:p w14:paraId="02D2C086" w14:textId="77777777" w:rsidR="004D325F" w:rsidRPr="00725575" w:rsidRDefault="004D325F" w:rsidP="00725575">
      <w:pPr>
        <w:pStyle w:val="ParagrapheIndent1"/>
        <w:jc w:val="both"/>
        <w:rPr>
          <w:lang w:val="fr-FR"/>
        </w:rPr>
      </w:pPr>
      <w:r w:rsidRPr="00725575">
        <w:rPr>
          <w:lang w:val="fr-FR"/>
        </w:rPr>
        <w:t xml:space="preserve">La </w:t>
      </w:r>
      <w:r w:rsidRPr="00725575">
        <w:rPr>
          <w:b/>
          <w:bCs/>
          <w:lang w:val="fr-FR"/>
        </w:rPr>
        <w:t>création et gestion de processus ETL</w:t>
      </w:r>
      <w:r w:rsidRPr="00725575">
        <w:rPr>
          <w:lang w:val="fr-FR"/>
        </w:rPr>
        <w:t xml:space="preserve"> via </w:t>
      </w:r>
      <w:r w:rsidRPr="00725575">
        <w:rPr>
          <w:b/>
          <w:bCs/>
          <w:lang w:val="fr-FR"/>
        </w:rPr>
        <w:t xml:space="preserve">Turbo </w:t>
      </w:r>
      <w:proofErr w:type="spellStart"/>
      <w:r w:rsidRPr="00725575">
        <w:rPr>
          <w:b/>
          <w:bCs/>
          <w:lang w:val="fr-FR"/>
        </w:rPr>
        <w:t>Integrator</w:t>
      </w:r>
      <w:proofErr w:type="spellEnd"/>
      <w:r w:rsidRPr="00725575">
        <w:rPr>
          <w:lang w:val="fr-FR"/>
        </w:rPr>
        <w:t xml:space="preserve"> pour l’importation et la transformation des données.</w:t>
      </w:r>
    </w:p>
    <w:p w14:paraId="6A307C9D" w14:textId="77777777" w:rsidR="004D325F" w:rsidRPr="00725575" w:rsidRDefault="004D325F" w:rsidP="00725575">
      <w:pPr>
        <w:pStyle w:val="ParagrapheIndent1"/>
        <w:jc w:val="both"/>
        <w:rPr>
          <w:lang w:val="fr-FR"/>
        </w:rPr>
      </w:pPr>
      <w:r w:rsidRPr="00725575">
        <w:rPr>
          <w:lang w:val="fr-FR"/>
        </w:rPr>
        <w:t xml:space="preserve">La configuration des </w:t>
      </w:r>
      <w:r w:rsidRPr="00725575">
        <w:rPr>
          <w:b/>
          <w:bCs/>
          <w:lang w:val="fr-FR"/>
        </w:rPr>
        <w:t>règles de calcul et des scripts MDX</w:t>
      </w:r>
      <w:r w:rsidRPr="00725575">
        <w:rPr>
          <w:lang w:val="fr-FR"/>
        </w:rPr>
        <w:t xml:space="preserve"> pour la manipulation des données analytiques.</w:t>
      </w:r>
    </w:p>
    <w:p w14:paraId="61298C1F" w14:textId="77777777" w:rsidR="004D325F" w:rsidRPr="00725575" w:rsidRDefault="004D325F" w:rsidP="00725575">
      <w:pPr>
        <w:pStyle w:val="ParagrapheIndent1"/>
        <w:jc w:val="both"/>
        <w:rPr>
          <w:lang w:val="fr-FR"/>
        </w:rPr>
      </w:pPr>
      <w:r w:rsidRPr="00725575">
        <w:rPr>
          <w:lang w:val="fr-FR"/>
        </w:rPr>
        <w:t xml:space="preserve">L’utilisation de </w:t>
      </w:r>
      <w:r w:rsidRPr="00725575">
        <w:rPr>
          <w:b/>
          <w:bCs/>
          <w:lang w:val="fr-FR"/>
        </w:rPr>
        <w:t>PAW (Planning Analytics Workspace)</w:t>
      </w:r>
      <w:r w:rsidRPr="00725575">
        <w:rPr>
          <w:lang w:val="fr-FR"/>
        </w:rPr>
        <w:t xml:space="preserve"> et </w:t>
      </w:r>
      <w:proofErr w:type="spellStart"/>
      <w:r w:rsidRPr="00725575">
        <w:rPr>
          <w:b/>
          <w:bCs/>
          <w:lang w:val="fr-FR"/>
        </w:rPr>
        <w:t>PAfE</w:t>
      </w:r>
      <w:proofErr w:type="spellEnd"/>
      <w:r w:rsidRPr="00725575">
        <w:rPr>
          <w:b/>
          <w:bCs/>
          <w:lang w:val="fr-FR"/>
        </w:rPr>
        <w:t xml:space="preserve"> (Planning Analytics for Excel)</w:t>
      </w:r>
      <w:r w:rsidRPr="00725575">
        <w:rPr>
          <w:lang w:val="fr-FR"/>
        </w:rPr>
        <w:t xml:space="preserve"> pour la conception de rapports dynamiques.</w:t>
      </w:r>
    </w:p>
    <w:p w14:paraId="11F16020" w14:textId="77777777" w:rsidR="004D325F" w:rsidRPr="00725575" w:rsidRDefault="004D325F" w:rsidP="00725575">
      <w:pPr>
        <w:pStyle w:val="ParagrapheIndent1"/>
        <w:jc w:val="both"/>
        <w:rPr>
          <w:lang w:val="fr-FR"/>
        </w:rPr>
      </w:pPr>
      <w:r w:rsidRPr="00725575">
        <w:rPr>
          <w:lang w:val="fr-FR"/>
        </w:rPr>
        <w:t xml:space="preserve">L’intégration de Planning Analytics avec d’autres systèmes via </w:t>
      </w:r>
      <w:r w:rsidRPr="00725575">
        <w:rPr>
          <w:b/>
          <w:bCs/>
          <w:lang w:val="fr-FR"/>
        </w:rPr>
        <w:t>API REST TM1</w:t>
      </w:r>
      <w:r w:rsidRPr="00725575">
        <w:rPr>
          <w:lang w:val="fr-FR"/>
        </w:rPr>
        <w:t xml:space="preserve"> et connexions aux bases de données externes.</w:t>
      </w:r>
    </w:p>
    <w:p w14:paraId="74015D73" w14:textId="77777777" w:rsidR="004D325F" w:rsidRPr="00725575" w:rsidRDefault="004D325F" w:rsidP="00725575">
      <w:pPr>
        <w:pStyle w:val="ParagrapheIndent1"/>
        <w:jc w:val="both"/>
        <w:rPr>
          <w:lang w:val="fr-FR"/>
        </w:rPr>
      </w:pPr>
      <w:r w:rsidRPr="00725575">
        <w:rPr>
          <w:lang w:val="fr-FR"/>
        </w:rPr>
        <w:t xml:space="preserve">La </w:t>
      </w:r>
      <w:r w:rsidRPr="00725575">
        <w:rPr>
          <w:b/>
          <w:bCs/>
          <w:lang w:val="fr-FR"/>
        </w:rPr>
        <w:t>mise en production et le maintien en conditions opérationnelles (MCO)</w:t>
      </w:r>
      <w:r w:rsidRPr="00725575">
        <w:rPr>
          <w:lang w:val="fr-FR"/>
        </w:rPr>
        <w:t xml:space="preserve"> de l’environnement Planning Analytics, ainsi que des applications déjà en place.</w:t>
      </w:r>
    </w:p>
    <w:p w14:paraId="736AFCF6" w14:textId="77777777" w:rsidR="004D325F" w:rsidRPr="00725575" w:rsidRDefault="004D325F" w:rsidP="00725575">
      <w:pPr>
        <w:pStyle w:val="ParagrapheIndent1"/>
        <w:jc w:val="both"/>
        <w:rPr>
          <w:lang w:val="fr-FR"/>
        </w:rPr>
      </w:pPr>
      <w:r w:rsidRPr="00725575">
        <w:rPr>
          <w:b/>
          <w:bCs/>
          <w:lang w:val="fr-FR"/>
        </w:rPr>
        <w:t>(EXIGENCE 3.1)</w:t>
      </w:r>
      <w:r w:rsidRPr="00725575">
        <w:rPr>
          <w:lang w:val="fr-FR"/>
        </w:rPr>
        <w:t xml:space="preserve"> Le prestataire devra indiquer sa méthodologie projet, test interne, mise à disposition des livrables et validation.</w:t>
      </w:r>
    </w:p>
    <w:p w14:paraId="6A7750B1" w14:textId="77777777" w:rsidR="004D325F" w:rsidRPr="00725575" w:rsidRDefault="004D325F" w:rsidP="00725575">
      <w:pPr>
        <w:pStyle w:val="ParagrapheIndent1"/>
        <w:jc w:val="both"/>
        <w:rPr>
          <w:lang w:val="fr-FR"/>
        </w:rPr>
      </w:pPr>
      <w:r w:rsidRPr="00725575">
        <w:rPr>
          <w:b/>
          <w:bCs/>
          <w:lang w:val="fr-FR"/>
        </w:rPr>
        <w:t>(EXIGENCE 3.2)</w:t>
      </w:r>
      <w:r w:rsidRPr="00725575">
        <w:rPr>
          <w:lang w:val="fr-FR"/>
        </w:rPr>
        <w:t xml:space="preserve"> Le soumissionnaire devra exposer des expériences dans cet environnement et démontrer son expertise dans la </w:t>
      </w:r>
      <w:r w:rsidRPr="00725575">
        <w:rPr>
          <w:b/>
          <w:bCs/>
          <w:lang w:val="fr-FR"/>
        </w:rPr>
        <w:t>gestion des performances</w:t>
      </w:r>
      <w:r w:rsidRPr="00725575">
        <w:rPr>
          <w:lang w:val="fr-FR"/>
        </w:rPr>
        <w:t xml:space="preserve"> de Planning Analytics, incluant le tuning des cubes, l’optimisation des temps de calcul et la gestion des accès utilisateurs.</w:t>
      </w:r>
    </w:p>
    <w:p w14:paraId="7E5F82B8" w14:textId="77777777" w:rsidR="004D325F" w:rsidRPr="00725575" w:rsidRDefault="004D325F" w:rsidP="00725575">
      <w:pPr>
        <w:pStyle w:val="ParagrapheIndent1"/>
        <w:jc w:val="both"/>
        <w:rPr>
          <w:lang w:val="fr-FR"/>
        </w:rPr>
      </w:pPr>
      <w:r w:rsidRPr="00725575">
        <w:rPr>
          <w:b/>
          <w:bCs/>
          <w:lang w:val="fr-FR"/>
        </w:rPr>
        <w:t>(EXIGENCE 3.3)</w:t>
      </w:r>
      <w:r w:rsidRPr="00725575">
        <w:rPr>
          <w:lang w:val="fr-FR"/>
        </w:rPr>
        <w:t xml:space="preserve"> Le soumissionnaire devra prouver son expérience dans l’</w:t>
      </w:r>
      <w:r w:rsidRPr="00725575">
        <w:rPr>
          <w:b/>
          <w:bCs/>
          <w:lang w:val="fr-FR"/>
        </w:rPr>
        <w:t>automatisation des tâches</w:t>
      </w:r>
      <w:r w:rsidRPr="00725575">
        <w:rPr>
          <w:lang w:val="fr-FR"/>
        </w:rPr>
        <w:t xml:space="preserve"> liées à Planning Analytics, via des scripts Python ou des outils d’orchestration.</w:t>
      </w:r>
    </w:p>
    <w:p w14:paraId="3126C6AE" w14:textId="77777777" w:rsidR="004D325F" w:rsidRPr="00725575" w:rsidRDefault="004D325F" w:rsidP="00725575">
      <w:pPr>
        <w:pStyle w:val="ParagrapheIndent1"/>
        <w:jc w:val="both"/>
        <w:rPr>
          <w:lang w:val="fr-FR"/>
        </w:rPr>
      </w:pPr>
      <w:r w:rsidRPr="00725575">
        <w:rPr>
          <w:b/>
          <w:bCs/>
          <w:lang w:val="fr-FR"/>
        </w:rPr>
        <w:t>(EXIGENCE 3.4)</w:t>
      </w:r>
      <w:r w:rsidRPr="00725575">
        <w:rPr>
          <w:lang w:val="fr-FR"/>
        </w:rPr>
        <w:t xml:space="preserve"> Le soumissionnaire devra proposer un expert capable de réaliser des </w:t>
      </w:r>
      <w:r w:rsidRPr="00725575">
        <w:rPr>
          <w:b/>
          <w:bCs/>
          <w:lang w:val="fr-FR"/>
        </w:rPr>
        <w:t>prestations de formation et d’expertise avancée</w:t>
      </w:r>
      <w:r w:rsidRPr="00725575">
        <w:rPr>
          <w:lang w:val="fr-FR"/>
        </w:rPr>
        <w:t xml:space="preserve"> sur Planning Analytics. Cela inclut :</w:t>
      </w:r>
    </w:p>
    <w:p w14:paraId="37A0C22D" w14:textId="77777777" w:rsidR="004D325F" w:rsidRPr="00725575" w:rsidRDefault="004D325F" w:rsidP="00725575">
      <w:pPr>
        <w:pStyle w:val="ParagrapheIndent1"/>
        <w:jc w:val="both"/>
        <w:rPr>
          <w:lang w:val="fr-FR"/>
        </w:rPr>
      </w:pPr>
      <w:r w:rsidRPr="00725575">
        <w:rPr>
          <w:lang w:val="fr-FR"/>
        </w:rPr>
        <w:t>La formation des équipes techniques et métiers sur l’utilisation et l’optimisation de Planning Analytics.</w:t>
      </w:r>
    </w:p>
    <w:p w14:paraId="2D45FE55" w14:textId="77777777" w:rsidR="004D325F" w:rsidRPr="00725575" w:rsidRDefault="004D325F" w:rsidP="00725575">
      <w:pPr>
        <w:pStyle w:val="ParagrapheIndent1"/>
        <w:jc w:val="both"/>
        <w:rPr>
          <w:lang w:val="fr-FR"/>
        </w:rPr>
      </w:pPr>
      <w:r w:rsidRPr="00725575">
        <w:rPr>
          <w:lang w:val="fr-FR"/>
        </w:rPr>
        <w:t>L’accompagnement dans la conception et l’amélioration des modèles TM1.</w:t>
      </w:r>
    </w:p>
    <w:p w14:paraId="713ACF61" w14:textId="77777777" w:rsidR="004D325F" w:rsidRPr="00725575" w:rsidRDefault="004D325F" w:rsidP="00725575">
      <w:pPr>
        <w:pStyle w:val="ParagrapheIndent1"/>
        <w:jc w:val="both"/>
        <w:rPr>
          <w:lang w:val="fr-FR"/>
        </w:rPr>
      </w:pPr>
      <w:r w:rsidRPr="00725575">
        <w:rPr>
          <w:lang w:val="fr-FR"/>
        </w:rPr>
        <w:t>Des interventions ponctuelles pour des expertises techniques avancées.</w:t>
      </w:r>
    </w:p>
    <w:p w14:paraId="7832A788" w14:textId="77777777" w:rsidR="004D325F" w:rsidRPr="00725575" w:rsidRDefault="004D325F" w:rsidP="00725575">
      <w:pPr>
        <w:pStyle w:val="ParagrapheIndent1"/>
        <w:jc w:val="both"/>
        <w:rPr>
          <w:lang w:val="fr-FR"/>
        </w:rPr>
      </w:pPr>
      <w:r w:rsidRPr="00725575">
        <w:rPr>
          <w:b/>
          <w:bCs/>
          <w:lang w:val="fr-FR"/>
        </w:rPr>
        <w:t>(EXIGENCE 3.5)</w:t>
      </w:r>
      <w:r w:rsidRPr="00725575">
        <w:rPr>
          <w:lang w:val="fr-FR"/>
        </w:rPr>
        <w:t xml:space="preserve"> Le soumissionnaire devra démontrer son expertise et son expérience en termes de formation et de transfert de compétence, notamment sur la création de rapports et l’exploitation des données analytiques dans Planning Analytics.</w:t>
      </w:r>
    </w:p>
    <w:p w14:paraId="295789D7" w14:textId="77777777" w:rsidR="00845BB7" w:rsidRDefault="00845BB7" w:rsidP="00845BB7">
      <w:pPr>
        <w:jc w:val="both"/>
        <w:rPr>
          <w:lang w:val="fr-FR"/>
        </w:rPr>
      </w:pPr>
    </w:p>
    <w:p w14:paraId="568B80EC" w14:textId="77777777" w:rsidR="00845BB7" w:rsidRDefault="00845BB7" w:rsidP="00845BB7">
      <w:pPr>
        <w:jc w:val="both"/>
        <w:rPr>
          <w:lang w:val="fr-FR"/>
        </w:rPr>
      </w:pPr>
    </w:p>
    <w:p w14:paraId="1F3F0AC9" w14:textId="5A6E1A17" w:rsidR="00845BB7" w:rsidRPr="0084187F" w:rsidRDefault="00845BB7" w:rsidP="00845BB7">
      <w:pPr>
        <w:pStyle w:val="Titre2"/>
        <w:numPr>
          <w:ilvl w:val="0"/>
          <w:numId w:val="1"/>
        </w:numPr>
        <w:ind w:left="0" w:firstLine="0"/>
        <w:rPr>
          <w:sz w:val="36"/>
          <w:lang w:val="fr-FR"/>
        </w:rPr>
      </w:pPr>
      <w:bookmarkStart w:id="1" w:name="_Toc116034379"/>
      <w:r w:rsidRPr="0084187F">
        <w:rPr>
          <w:sz w:val="36"/>
          <w:lang w:val="fr-FR"/>
        </w:rPr>
        <w:t>Modalité d'exécution</w:t>
      </w:r>
      <w:bookmarkEnd w:id="1"/>
    </w:p>
    <w:p w14:paraId="6E5A7206" w14:textId="4532DBBD" w:rsidR="00845BB7" w:rsidRDefault="00845BB7" w:rsidP="009B2AC0">
      <w:pPr>
        <w:jc w:val="both"/>
        <w:rPr>
          <w:lang w:val="fr-FR"/>
        </w:rPr>
      </w:pPr>
      <w:r w:rsidRPr="0084187F">
        <w:rPr>
          <w:b/>
          <w:lang w:val="fr-FR"/>
        </w:rPr>
        <w:t xml:space="preserve">Rappel CCTP : </w:t>
      </w:r>
    </w:p>
    <w:p w14:paraId="1ED53F13" w14:textId="77777777" w:rsidR="00845BB7" w:rsidRDefault="00845BB7" w:rsidP="00845BB7">
      <w:pPr>
        <w:jc w:val="both"/>
        <w:rPr>
          <w:lang w:val="fr-FR"/>
        </w:rPr>
      </w:pPr>
    </w:p>
    <w:p w14:paraId="7C413A64" w14:textId="77777777" w:rsidR="009B2AC0" w:rsidRPr="009B2AC0" w:rsidRDefault="009B2AC0" w:rsidP="009B2AC0">
      <w:pPr>
        <w:keepNext/>
        <w:keepLines/>
        <w:pBdr>
          <w:top w:val="none" w:sz="4" w:space="0" w:color="000000"/>
          <w:left w:val="none" w:sz="4" w:space="0" w:color="000000"/>
          <w:bottom w:val="none" w:sz="4" w:space="0" w:color="000000"/>
          <w:right w:val="none" w:sz="4" w:space="0" w:color="000000"/>
          <w:between w:val="none" w:sz="4" w:space="0" w:color="000000"/>
        </w:pBdr>
        <w:spacing w:before="200" w:line="276" w:lineRule="auto"/>
        <w:ind w:left="1382"/>
        <w:outlineLvl w:val="1"/>
        <w:rPr>
          <w:rFonts w:ascii="Arial" w:eastAsia="Arial" w:hAnsi="Arial" w:cs="Arial"/>
          <w:b/>
          <w:bCs/>
          <w:color w:val="5B9BD5"/>
          <w:sz w:val="32"/>
          <w:szCs w:val="32"/>
          <w:lang w:val="fr-FR"/>
        </w:rPr>
      </w:pPr>
      <w:bookmarkStart w:id="2" w:name="_Toc1522382355"/>
      <w:r w:rsidRPr="009B2AC0">
        <w:rPr>
          <w:rFonts w:ascii="Arial" w:eastAsia="Arial" w:hAnsi="Arial" w:cs="Arial"/>
          <w:b/>
          <w:bCs/>
          <w:color w:val="5B9BD5"/>
          <w:sz w:val="32"/>
          <w:szCs w:val="32"/>
          <w:lang w:val="fr-FR"/>
        </w:rPr>
        <w:t>Environnement de développement</w:t>
      </w:r>
      <w:bookmarkEnd w:id="2"/>
    </w:p>
    <w:p w14:paraId="6D69F640"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pacing w:after="240"/>
        <w:jc w:val="both"/>
        <w:rPr>
          <w:rFonts w:ascii="Arial" w:eastAsia="Cambria" w:hAnsi="Arial" w:cs="Arial"/>
          <w:bCs/>
          <w:sz w:val="22"/>
          <w:szCs w:val="22"/>
          <w:lang w:val="fr-FR" w:eastAsia="fr-FR"/>
        </w:rPr>
      </w:pPr>
      <w:r w:rsidRPr="009B2AC0">
        <w:rPr>
          <w:rFonts w:ascii="Arial" w:eastAsia="Cambria" w:hAnsi="Arial" w:cs="Arial"/>
          <w:b/>
          <w:bCs/>
          <w:sz w:val="22"/>
          <w:szCs w:val="22"/>
          <w:lang w:val="fr-FR" w:eastAsia="fr-FR"/>
        </w:rPr>
        <w:t>(Exigence 4.1)</w:t>
      </w:r>
      <w:r w:rsidRPr="009B2AC0">
        <w:rPr>
          <w:rFonts w:ascii="Arial" w:eastAsia="Cambria" w:hAnsi="Arial" w:cs="Arial"/>
          <w:bCs/>
          <w:sz w:val="22"/>
          <w:szCs w:val="22"/>
          <w:lang w:val="fr-FR" w:eastAsia="fr-FR"/>
        </w:rPr>
        <w:t xml:space="preserve"> Dans le cadre des développements sur Planning Analytics, l'ISAE-SUPAERO souhaite que le prestataire utilise directement l'environnement de développement dans le cloud IBM. Le prestataire devra être capable de travailler dans cet environnement cloud, en utilisant les outils et services fournis par IBM pour développer et tester les modules de Planning Analytics.</w:t>
      </w:r>
    </w:p>
    <w:p w14:paraId="1518F30F"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pacing w:before="240" w:after="240" w:line="276" w:lineRule="auto"/>
        <w:rPr>
          <w:rFonts w:ascii="Arial" w:eastAsia="Arial" w:hAnsi="Arial" w:cs="Arial"/>
          <w:sz w:val="22"/>
          <w:szCs w:val="22"/>
          <w:lang w:val="fr-FR"/>
        </w:rPr>
      </w:pPr>
      <w:r w:rsidRPr="009B2AC0">
        <w:rPr>
          <w:rFonts w:ascii="Arial" w:eastAsia="Arial" w:hAnsi="Arial" w:cs="Arial"/>
          <w:sz w:val="22"/>
          <w:szCs w:val="22"/>
          <w:lang w:val="fr-FR"/>
        </w:rPr>
        <w:t>L'institut fournira des jeux de données pour l'intégration sur l'environnement cloud de l’IBM Cloud.</w:t>
      </w:r>
    </w:p>
    <w:p w14:paraId="75E18F25" w14:textId="77777777" w:rsidR="00845BB7" w:rsidRDefault="00845BB7" w:rsidP="00845BB7">
      <w:pPr>
        <w:jc w:val="both"/>
        <w:rPr>
          <w:lang w:val="fr-FR"/>
        </w:rPr>
      </w:pPr>
    </w:p>
    <w:p w14:paraId="693D7713" w14:textId="77777777" w:rsidR="00845BB7" w:rsidRDefault="00845BB7" w:rsidP="00845BB7">
      <w:pPr>
        <w:jc w:val="both"/>
        <w:rPr>
          <w:lang w:val="fr-FR"/>
        </w:rPr>
      </w:pPr>
    </w:p>
    <w:p w14:paraId="438FF31C" w14:textId="77777777" w:rsidR="00845BB7" w:rsidRDefault="00845BB7" w:rsidP="00845BB7">
      <w:pPr>
        <w:rPr>
          <w:lang w:val="fr-FR"/>
        </w:rPr>
      </w:pPr>
    </w:p>
    <w:p w14:paraId="046E48AD" w14:textId="77777777" w:rsidR="00845BB7" w:rsidRDefault="00845BB7" w:rsidP="00845BB7">
      <w:pPr>
        <w:rPr>
          <w:lang w:val="fr-FR"/>
        </w:rPr>
      </w:pPr>
    </w:p>
    <w:p w14:paraId="667F8FDA" w14:textId="77777777" w:rsidR="00845BB7" w:rsidRPr="0084187F" w:rsidRDefault="00845BB7" w:rsidP="00845BB7">
      <w:pPr>
        <w:jc w:val="both"/>
        <w:rPr>
          <w:lang w:val="fr-FR"/>
        </w:rPr>
      </w:pPr>
    </w:p>
    <w:p w14:paraId="46BE91A9" w14:textId="2215ADD6" w:rsidR="00845BB7" w:rsidRPr="0084187F" w:rsidRDefault="009B2AC0" w:rsidP="00845BB7">
      <w:pPr>
        <w:pStyle w:val="Titre2"/>
        <w:numPr>
          <w:ilvl w:val="0"/>
          <w:numId w:val="1"/>
        </w:numPr>
        <w:ind w:left="0" w:firstLine="0"/>
        <w:rPr>
          <w:sz w:val="36"/>
          <w:lang w:val="fr-FR"/>
        </w:rPr>
      </w:pPr>
      <w:r>
        <w:rPr>
          <w:sz w:val="36"/>
          <w:lang w:val="fr-FR"/>
        </w:rPr>
        <w:lastRenderedPageBreak/>
        <w:t>Réalisation de la prestations</w:t>
      </w:r>
    </w:p>
    <w:p w14:paraId="7F57D8F0" w14:textId="045AE718" w:rsidR="00845BB7" w:rsidRPr="0084187F" w:rsidRDefault="00845BB7" w:rsidP="009B2AC0">
      <w:pPr>
        <w:jc w:val="both"/>
        <w:rPr>
          <w:lang w:val="fr-FR"/>
        </w:rPr>
      </w:pPr>
      <w:bookmarkStart w:id="3" w:name="_Hlk208331441"/>
      <w:r w:rsidRPr="0084187F">
        <w:rPr>
          <w:b/>
          <w:lang w:val="fr-FR"/>
        </w:rPr>
        <w:t xml:space="preserve">Rappel CCTP </w:t>
      </w:r>
    </w:p>
    <w:bookmarkEnd w:id="3"/>
    <w:p w14:paraId="6EFECE3C"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pacing w:before="240" w:after="240" w:line="276" w:lineRule="auto"/>
        <w:rPr>
          <w:rFonts w:ascii="Arial" w:eastAsia="Arial" w:hAnsi="Arial" w:cs="Arial"/>
          <w:sz w:val="22"/>
          <w:szCs w:val="22"/>
          <w:lang w:val="fr-FR"/>
        </w:rPr>
      </w:pPr>
      <w:r w:rsidRPr="009B2AC0">
        <w:rPr>
          <w:rFonts w:ascii="Arial" w:eastAsia="Arial" w:hAnsi="Arial" w:cs="Arial"/>
          <w:sz w:val="22"/>
          <w:szCs w:val="22"/>
          <w:lang w:val="fr-FR"/>
        </w:rPr>
        <w:t xml:space="preserve">Les réunions de suivi et de validation seront réalisées en </w:t>
      </w:r>
      <w:proofErr w:type="spellStart"/>
      <w:r w:rsidRPr="009B2AC0">
        <w:rPr>
          <w:rFonts w:ascii="Arial" w:eastAsia="Arial" w:hAnsi="Arial" w:cs="Arial"/>
          <w:sz w:val="22"/>
          <w:szCs w:val="22"/>
          <w:lang w:val="fr-FR"/>
        </w:rPr>
        <w:t>visio</w:t>
      </w:r>
      <w:proofErr w:type="spellEnd"/>
      <w:r w:rsidRPr="009B2AC0">
        <w:rPr>
          <w:rFonts w:ascii="Arial" w:eastAsia="Arial" w:hAnsi="Arial" w:cs="Arial"/>
          <w:sz w:val="22"/>
          <w:szCs w:val="22"/>
          <w:lang w:val="fr-FR"/>
        </w:rPr>
        <w:t>.</w:t>
      </w:r>
    </w:p>
    <w:p w14:paraId="403ACE88"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pacing w:after="240"/>
        <w:jc w:val="both"/>
        <w:rPr>
          <w:rFonts w:ascii="Arial" w:eastAsia="Cambria" w:hAnsi="Arial" w:cs="Arial"/>
          <w:bCs/>
          <w:sz w:val="22"/>
          <w:szCs w:val="22"/>
          <w:lang w:val="fr-FR" w:eastAsia="fr-FR"/>
        </w:rPr>
      </w:pPr>
      <w:r w:rsidRPr="009B2AC0">
        <w:rPr>
          <w:rFonts w:ascii="Arial" w:eastAsia="Cambria" w:hAnsi="Arial" w:cs="Arial"/>
          <w:b/>
          <w:bCs/>
          <w:sz w:val="22"/>
          <w:szCs w:val="22"/>
          <w:lang w:val="fr-FR" w:eastAsia="fr-FR"/>
        </w:rPr>
        <w:t>(Exigence 5.1)</w:t>
      </w:r>
      <w:r w:rsidRPr="009B2AC0">
        <w:rPr>
          <w:rFonts w:ascii="Arial" w:eastAsia="Cambria" w:hAnsi="Arial" w:cs="Arial"/>
          <w:bCs/>
          <w:sz w:val="22"/>
          <w:szCs w:val="22"/>
          <w:lang w:val="fr-FR" w:eastAsia="fr-FR"/>
        </w:rPr>
        <w:t xml:space="preserve"> La livraison des modules ou rapports dans Planning Analytics se fera directement dans les environnements de développement (dev) et de production (prod) d'ISAE-SUPAERO, dans le cloud IBM. L’environnement de développement sera utilisé pour effectuer les tests, valider les ajustements sur les cubes et les processus de planification, et procéder à la création de rapports.</w:t>
      </w:r>
    </w:p>
    <w:p w14:paraId="2B11FF44"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pacing w:before="240" w:after="240" w:line="276" w:lineRule="auto"/>
        <w:rPr>
          <w:rFonts w:ascii="Arial" w:eastAsia="Arial" w:hAnsi="Arial" w:cs="Arial"/>
          <w:sz w:val="22"/>
          <w:szCs w:val="22"/>
          <w:lang w:val="fr-FR"/>
        </w:rPr>
      </w:pPr>
      <w:r w:rsidRPr="009B2AC0">
        <w:rPr>
          <w:rFonts w:ascii="Arial" w:eastAsia="Arial" w:hAnsi="Arial" w:cs="Arial"/>
          <w:sz w:val="22"/>
          <w:szCs w:val="22"/>
          <w:lang w:val="fr-FR"/>
        </w:rPr>
        <w:t>Une fois la validation effectuée dans l’environnement de développement, le prestataire procédera à la mise à jour de l’environnement de production avec les versions finalisées des modules, rapports et cubes, après avoir obtenu l'accord d'ISAE-SUPAERO sur les tests effectués.</w:t>
      </w:r>
    </w:p>
    <w:p w14:paraId="6C7A8E98"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pacing w:before="240" w:after="240" w:line="276" w:lineRule="auto"/>
        <w:rPr>
          <w:rFonts w:ascii="Arial" w:eastAsia="Arial" w:hAnsi="Arial" w:cs="Arial"/>
          <w:sz w:val="22"/>
          <w:szCs w:val="22"/>
          <w:lang w:val="fr-FR"/>
        </w:rPr>
      </w:pPr>
      <w:r w:rsidRPr="009B2AC0">
        <w:rPr>
          <w:rFonts w:ascii="Arial" w:eastAsia="Arial" w:hAnsi="Arial" w:cs="Arial"/>
          <w:sz w:val="22"/>
          <w:szCs w:val="22"/>
          <w:lang w:val="fr-FR"/>
        </w:rPr>
        <w:t xml:space="preserve">L'ISAE-SUPAERO réalisera la validation des développements sur l’environnement de préproduction (prod). Durant cette étape de validation, le titulaire s’engage à assister l’ISAE-SUPAERO dans l’installation des produits livrés et dans la réalisation des tests dans l’environnement de production. </w:t>
      </w:r>
    </w:p>
    <w:p w14:paraId="34BD5495"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pacing w:before="240" w:after="240" w:line="276" w:lineRule="auto"/>
        <w:rPr>
          <w:rFonts w:ascii="Arial" w:eastAsia="Arial" w:hAnsi="Arial" w:cs="Arial"/>
          <w:sz w:val="22"/>
          <w:szCs w:val="22"/>
          <w:lang w:val="fr-FR"/>
        </w:rPr>
      </w:pPr>
      <w:r w:rsidRPr="009B2AC0">
        <w:rPr>
          <w:rFonts w:ascii="Arial" w:eastAsia="Arial" w:hAnsi="Arial" w:cs="Arial"/>
          <w:b/>
          <w:bCs/>
          <w:sz w:val="22"/>
          <w:szCs w:val="22"/>
          <w:lang w:val="fr-FR"/>
        </w:rPr>
        <w:t>(Exigence 5.2)</w:t>
      </w:r>
      <w:r w:rsidRPr="009B2AC0">
        <w:rPr>
          <w:rFonts w:ascii="Arial" w:eastAsia="Arial" w:hAnsi="Arial" w:cs="Arial"/>
          <w:sz w:val="22"/>
          <w:szCs w:val="22"/>
          <w:lang w:val="fr-FR"/>
        </w:rPr>
        <w:t xml:space="preserve"> Durant toutes ces phases, l’assistance assurée par le prestataire pourra prendre la forme de partage d’écran, de prise en main à distance de l’environnement cloud IBM ou d’échanges téléphoniques.</w:t>
      </w:r>
    </w:p>
    <w:p w14:paraId="5E62993D"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pacing w:before="240" w:after="240" w:line="276" w:lineRule="auto"/>
        <w:rPr>
          <w:rFonts w:ascii="Arial" w:eastAsia="Arial" w:hAnsi="Arial" w:cs="Arial"/>
          <w:sz w:val="22"/>
          <w:szCs w:val="22"/>
          <w:lang w:val="fr-FR"/>
        </w:rPr>
      </w:pPr>
      <w:r w:rsidRPr="009B2AC0">
        <w:rPr>
          <w:rFonts w:ascii="Arial" w:eastAsia="Arial" w:hAnsi="Arial" w:cs="Arial"/>
          <w:b/>
          <w:bCs/>
          <w:sz w:val="22"/>
          <w:szCs w:val="22"/>
          <w:lang w:val="fr-FR"/>
        </w:rPr>
        <w:t>(Exigence 5.3)</w:t>
      </w:r>
      <w:r w:rsidRPr="009B2AC0">
        <w:rPr>
          <w:rFonts w:ascii="Arial" w:eastAsia="Arial" w:hAnsi="Arial" w:cs="Arial"/>
          <w:sz w:val="22"/>
          <w:szCs w:val="22"/>
          <w:lang w:val="fr-FR"/>
        </w:rPr>
        <w:t xml:space="preserve"> Les livrables attendus sont les cubes de données développés, les rapports interactifs créés, ainsi que les scripts de déploiement associés et les instructions détaillées pour la mise en œuvre sur les environnements de développement et de production.</w:t>
      </w:r>
    </w:p>
    <w:p w14:paraId="682A73A9" w14:textId="77777777" w:rsidR="00845BB7" w:rsidRPr="0084187F" w:rsidRDefault="00845BB7" w:rsidP="00845BB7">
      <w:pPr>
        <w:jc w:val="both"/>
        <w:rPr>
          <w:lang w:val="fr-FR"/>
        </w:rPr>
      </w:pPr>
    </w:p>
    <w:p w14:paraId="3FA3F9A1" w14:textId="572B490F" w:rsidR="00845BB7" w:rsidRPr="0084187F" w:rsidRDefault="009B2AC0" w:rsidP="00845BB7">
      <w:pPr>
        <w:pStyle w:val="Titre2"/>
        <w:numPr>
          <w:ilvl w:val="0"/>
          <w:numId w:val="1"/>
        </w:numPr>
        <w:ind w:left="0" w:firstLine="0"/>
        <w:jc w:val="both"/>
        <w:rPr>
          <w:sz w:val="36"/>
          <w:lang w:val="fr-FR"/>
        </w:rPr>
      </w:pPr>
      <w:r>
        <w:rPr>
          <w:sz w:val="36"/>
          <w:lang w:val="fr-FR"/>
        </w:rPr>
        <w:t>Organisation</w:t>
      </w:r>
    </w:p>
    <w:p w14:paraId="421CDEEB" w14:textId="77777777" w:rsidR="00845BB7" w:rsidRPr="0084187F" w:rsidRDefault="00845BB7" w:rsidP="00845BB7">
      <w:pPr>
        <w:pStyle w:val="Parag-Nb"/>
        <w:numPr>
          <w:ilvl w:val="0"/>
          <w:numId w:val="0"/>
        </w:numPr>
      </w:pPr>
    </w:p>
    <w:p w14:paraId="5FCCF7E2" w14:textId="77777777" w:rsidR="009B2AC0" w:rsidRPr="0084187F" w:rsidRDefault="009B2AC0" w:rsidP="009B2AC0">
      <w:pPr>
        <w:jc w:val="both"/>
        <w:rPr>
          <w:lang w:val="fr-FR"/>
        </w:rPr>
      </w:pPr>
      <w:r w:rsidRPr="0084187F">
        <w:rPr>
          <w:b/>
          <w:lang w:val="fr-FR"/>
        </w:rPr>
        <w:t xml:space="preserve">Rappel CCTP </w:t>
      </w:r>
    </w:p>
    <w:p w14:paraId="68FAC8A4" w14:textId="77777777" w:rsidR="00960045" w:rsidRDefault="00960045" w:rsidP="00960045">
      <w:pPr>
        <w:rPr>
          <w:lang w:val="fr-FR"/>
        </w:rPr>
      </w:pPr>
    </w:p>
    <w:p w14:paraId="55C4FE3E" w14:textId="77777777" w:rsidR="00960045" w:rsidRDefault="00960045" w:rsidP="00960045">
      <w:pPr>
        <w:rPr>
          <w:lang w:val="fr-FR"/>
        </w:rPr>
      </w:pPr>
    </w:p>
    <w:p w14:paraId="36A3C7C9" w14:textId="77777777" w:rsidR="009B2AC0" w:rsidRPr="009B2AC0" w:rsidRDefault="009B2AC0" w:rsidP="009B2AC0">
      <w:pPr>
        <w:keepNext/>
        <w:keepLines/>
        <w:pBdr>
          <w:top w:val="none" w:sz="4" w:space="0" w:color="000000"/>
          <w:left w:val="none" w:sz="4" w:space="0" w:color="000000"/>
          <w:bottom w:val="none" w:sz="4" w:space="0" w:color="000000"/>
          <w:right w:val="none" w:sz="4" w:space="0" w:color="000000"/>
          <w:between w:val="none" w:sz="4" w:space="0" w:color="000000"/>
        </w:pBdr>
        <w:spacing w:before="200" w:line="276" w:lineRule="auto"/>
        <w:ind w:left="1382"/>
        <w:outlineLvl w:val="1"/>
        <w:rPr>
          <w:rFonts w:ascii="Arial" w:eastAsia="Arial" w:hAnsi="Arial" w:cs="Arial"/>
          <w:b/>
          <w:bCs/>
          <w:color w:val="5B9BD5"/>
          <w:sz w:val="32"/>
          <w:szCs w:val="32"/>
          <w:lang w:val="fr-FR"/>
        </w:rPr>
      </w:pPr>
      <w:bookmarkStart w:id="4" w:name="_Toc476361599"/>
      <w:r w:rsidRPr="009B2AC0">
        <w:rPr>
          <w:rFonts w:ascii="Arial" w:eastAsia="Arial" w:hAnsi="Arial" w:cs="Arial"/>
          <w:b/>
          <w:bCs/>
          <w:color w:val="5B9BD5"/>
          <w:sz w:val="32"/>
          <w:szCs w:val="32"/>
          <w:lang w:val="fr-FR"/>
        </w:rPr>
        <w:t>Tarification</w:t>
      </w:r>
      <w:bookmarkEnd w:id="4"/>
    </w:p>
    <w:p w14:paraId="44342AE8"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pacing w:after="200" w:line="276" w:lineRule="auto"/>
        <w:rPr>
          <w:rFonts w:ascii="Arial" w:eastAsia="Arial" w:hAnsi="Arial" w:cs="Arial"/>
          <w:sz w:val="22"/>
          <w:szCs w:val="22"/>
          <w:lang w:val="fr-FR"/>
        </w:rPr>
      </w:pPr>
      <w:r w:rsidRPr="009B2AC0">
        <w:rPr>
          <w:rFonts w:ascii="Arial" w:eastAsia="Arial" w:hAnsi="Arial" w:cs="Arial"/>
          <w:b/>
          <w:bCs/>
          <w:sz w:val="22"/>
          <w:szCs w:val="22"/>
          <w:lang w:val="fr-FR"/>
        </w:rPr>
        <w:t>(Exigence 7.1)</w:t>
      </w:r>
      <w:r w:rsidRPr="009B2AC0">
        <w:rPr>
          <w:rFonts w:ascii="Arial" w:eastAsia="Arial" w:hAnsi="Arial" w:cs="Arial"/>
          <w:sz w:val="22"/>
          <w:szCs w:val="22"/>
          <w:lang w:val="fr-FR"/>
        </w:rPr>
        <w:t xml:space="preserve"> Au démarrage de chaque prestation, le titulaire devra fournir un devis associé à un planning de réalisation. </w:t>
      </w:r>
    </w:p>
    <w:p w14:paraId="205EEBA9"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pacing w:after="200" w:line="276" w:lineRule="auto"/>
        <w:jc w:val="both"/>
        <w:rPr>
          <w:rFonts w:ascii="Arial" w:eastAsia="Arial" w:hAnsi="Arial" w:cs="Arial"/>
          <w:sz w:val="22"/>
          <w:szCs w:val="22"/>
          <w:lang w:val="fr-FR"/>
        </w:rPr>
      </w:pPr>
      <w:r w:rsidRPr="009B2AC0">
        <w:rPr>
          <w:rFonts w:ascii="Arial" w:eastAsia="Arial" w:hAnsi="Arial" w:cs="Arial"/>
          <w:sz w:val="22"/>
          <w:szCs w:val="22"/>
          <w:lang w:val="fr-FR"/>
        </w:rPr>
        <w:t xml:space="preserve">Le devis ne devra dépendre que de la charge de travail associée et devra être détaillée par phases projet. Le planning de réalisation devra intégrer une étape de VA ainsi qu’une étape de VSR. </w:t>
      </w:r>
    </w:p>
    <w:p w14:paraId="74838304"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pacing w:after="200" w:line="276" w:lineRule="auto"/>
        <w:jc w:val="both"/>
        <w:rPr>
          <w:rFonts w:ascii="Arial" w:eastAsia="Arial" w:hAnsi="Arial" w:cs="Arial"/>
          <w:sz w:val="22"/>
          <w:szCs w:val="22"/>
          <w:lang w:val="fr-FR"/>
        </w:rPr>
      </w:pPr>
      <w:r w:rsidRPr="009B2AC0">
        <w:rPr>
          <w:rFonts w:ascii="Arial" w:eastAsia="Arial" w:hAnsi="Arial" w:cs="Arial"/>
          <w:b/>
          <w:sz w:val="22"/>
          <w:szCs w:val="22"/>
          <w:lang w:val="fr-FR"/>
        </w:rPr>
        <w:t>(Exigence 7.2)</w:t>
      </w:r>
      <w:r w:rsidRPr="009B2AC0">
        <w:rPr>
          <w:rFonts w:ascii="Arial" w:eastAsia="Arial" w:hAnsi="Arial" w:cs="Arial"/>
          <w:sz w:val="22"/>
          <w:szCs w:val="22"/>
          <w:lang w:val="fr-FR"/>
        </w:rPr>
        <w:t xml:space="preserve"> Le prestataire devra indiquer dans sa réponse le type de compétences qu’il est susceptible d’activer dans le cadre de cet appel d’offre. Pour chaque compétence, il devra indiquer le tarif journée associé. </w:t>
      </w:r>
    </w:p>
    <w:p w14:paraId="64B94CDE" w14:textId="77777777" w:rsidR="009B2AC0" w:rsidRDefault="009B2AC0" w:rsidP="00960045">
      <w:pPr>
        <w:rPr>
          <w:lang w:val="fr-FR"/>
        </w:rPr>
      </w:pPr>
    </w:p>
    <w:p w14:paraId="49629B24" w14:textId="77777777" w:rsidR="009B2AC0" w:rsidRPr="009B2AC0" w:rsidRDefault="009B2AC0" w:rsidP="009B2AC0">
      <w:pPr>
        <w:keepNext/>
        <w:keepLines/>
        <w:pBdr>
          <w:top w:val="none" w:sz="4" w:space="0" w:color="000000"/>
          <w:left w:val="none" w:sz="4" w:space="0" w:color="000000"/>
          <w:bottom w:val="none" w:sz="4" w:space="0" w:color="000000"/>
          <w:right w:val="none" w:sz="4" w:space="0" w:color="000000"/>
          <w:between w:val="none" w:sz="4" w:space="0" w:color="000000"/>
        </w:pBdr>
        <w:spacing w:before="200" w:line="276" w:lineRule="auto"/>
        <w:ind w:left="1382"/>
        <w:outlineLvl w:val="1"/>
        <w:rPr>
          <w:rFonts w:ascii="Arial" w:eastAsia="Arial" w:hAnsi="Arial" w:cs="Arial"/>
          <w:b/>
          <w:bCs/>
          <w:color w:val="5B9BD5"/>
          <w:sz w:val="32"/>
          <w:szCs w:val="32"/>
          <w:lang w:val="fr-FR"/>
        </w:rPr>
      </w:pPr>
      <w:bookmarkStart w:id="5" w:name="_Toc116026280"/>
      <w:bookmarkStart w:id="6" w:name="_Toc1775366750"/>
      <w:r w:rsidRPr="009B2AC0">
        <w:rPr>
          <w:rFonts w:ascii="Arial" w:eastAsia="Arial" w:hAnsi="Arial" w:cs="Arial"/>
          <w:b/>
          <w:bCs/>
          <w:color w:val="5B9BD5"/>
          <w:sz w:val="32"/>
          <w:szCs w:val="32"/>
          <w:lang w:val="fr-FR"/>
        </w:rPr>
        <w:t>RGPD</w:t>
      </w:r>
      <w:bookmarkEnd w:id="5"/>
      <w:bookmarkEnd w:id="6"/>
    </w:p>
    <w:p w14:paraId="66E68107"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200" w:line="276" w:lineRule="auto"/>
        <w:rPr>
          <w:rFonts w:ascii="Arial" w:eastAsia="Arial" w:hAnsi="Arial" w:cs="Arial"/>
          <w:sz w:val="22"/>
          <w:szCs w:val="22"/>
          <w:lang w:val="fr-FR"/>
        </w:rPr>
      </w:pPr>
      <w:r w:rsidRPr="009B2AC0">
        <w:rPr>
          <w:rFonts w:ascii="Arial" w:eastAsia="Arial" w:hAnsi="Arial" w:cs="Arial"/>
          <w:b/>
          <w:sz w:val="22"/>
          <w:szCs w:val="22"/>
          <w:lang w:val="fr-FR"/>
        </w:rPr>
        <w:t xml:space="preserve">(Exigence 7.3.) </w:t>
      </w:r>
      <w:r w:rsidRPr="009B2AC0">
        <w:rPr>
          <w:rFonts w:ascii="Arial" w:eastAsia="Arial" w:hAnsi="Arial" w:cs="Arial"/>
          <w:sz w:val="22"/>
          <w:szCs w:val="22"/>
          <w:lang w:val="fr-FR"/>
        </w:rPr>
        <w:t>Le titulaire sera amené à traiter des données à caractère personnel et il devra à ce titre se conformer aux directives du RGPD en tant que sous-traitant.</w:t>
      </w:r>
    </w:p>
    <w:p w14:paraId="33F0D84A" w14:textId="77777777" w:rsidR="009B2AC0" w:rsidRPr="009B2AC0" w:rsidRDefault="009B2AC0" w:rsidP="009B2AC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200" w:line="276" w:lineRule="auto"/>
        <w:rPr>
          <w:rFonts w:ascii="Arial" w:eastAsia="Arial" w:hAnsi="Arial" w:cs="Arial"/>
          <w:sz w:val="22"/>
          <w:szCs w:val="22"/>
          <w:lang w:val="fr-FR"/>
        </w:rPr>
      </w:pPr>
      <w:r w:rsidRPr="009B2AC0">
        <w:rPr>
          <w:rFonts w:ascii="Arial" w:eastAsia="Arial" w:hAnsi="Arial" w:cs="Arial"/>
          <w:b/>
          <w:bCs/>
          <w:sz w:val="22"/>
          <w:szCs w:val="22"/>
          <w:lang w:val="fr-FR"/>
        </w:rPr>
        <w:t xml:space="preserve">(Exigence 7.4) </w:t>
      </w:r>
      <w:r w:rsidRPr="009B2AC0">
        <w:rPr>
          <w:rFonts w:ascii="Arial" w:eastAsia="Arial" w:hAnsi="Arial" w:cs="Arial"/>
          <w:sz w:val="22"/>
          <w:szCs w:val="22"/>
          <w:lang w:val="fr-FR"/>
        </w:rPr>
        <w:t>Dans le cadre des prestations, le titulaire devra veiller à la sécurité des données traitées et aux respects du RGPD dans les traitements réalisés.</w:t>
      </w:r>
    </w:p>
    <w:p w14:paraId="6D5CB781" w14:textId="77777777" w:rsidR="009B2AC0" w:rsidRDefault="009B2AC0" w:rsidP="00960045">
      <w:pPr>
        <w:rPr>
          <w:lang w:val="fr-FR"/>
        </w:rPr>
      </w:pPr>
    </w:p>
    <w:p w14:paraId="3521E127" w14:textId="77777777" w:rsidR="009B2AC0" w:rsidRPr="009B2AC0" w:rsidRDefault="009B2AC0" w:rsidP="009B2AC0">
      <w:pPr>
        <w:pStyle w:val="Paragraphedeliste"/>
        <w:numPr>
          <w:ilvl w:val="0"/>
          <w:numId w:val="1"/>
        </w:numPr>
        <w:ind w:hanging="792"/>
        <w:rPr>
          <w:rFonts w:asciiTheme="majorHAnsi" w:eastAsiaTheme="majorEastAsia" w:hAnsiTheme="majorHAnsi" w:cstheme="majorBidi"/>
          <w:color w:val="365F91" w:themeColor="accent1" w:themeShade="BF"/>
          <w:sz w:val="36"/>
          <w:szCs w:val="32"/>
          <w:lang w:val="fr-FR"/>
        </w:rPr>
      </w:pPr>
      <w:r w:rsidRPr="009B2AC0">
        <w:rPr>
          <w:rFonts w:asciiTheme="majorHAnsi" w:eastAsiaTheme="majorEastAsia" w:hAnsiTheme="majorHAnsi" w:cstheme="majorBidi"/>
          <w:color w:val="365F91" w:themeColor="accent1" w:themeShade="BF"/>
          <w:sz w:val="36"/>
          <w:szCs w:val="32"/>
          <w:lang w:val="fr-FR"/>
        </w:rPr>
        <w:lastRenderedPageBreak/>
        <w:t xml:space="preserve">Développement durable  </w:t>
      </w:r>
    </w:p>
    <w:p w14:paraId="53354B20" w14:textId="77777777" w:rsidR="00725575" w:rsidRDefault="00725575" w:rsidP="009B2AC0">
      <w:pPr>
        <w:pStyle w:val="ParagrapheIndent1"/>
        <w:jc w:val="both"/>
        <w:rPr>
          <w:lang w:val="fr-FR"/>
        </w:rPr>
      </w:pPr>
    </w:p>
    <w:p w14:paraId="3EADD5D9" w14:textId="117F142A" w:rsidR="009B2AC0" w:rsidRPr="009B2AC0" w:rsidRDefault="009B2AC0" w:rsidP="009B2AC0">
      <w:pPr>
        <w:pStyle w:val="ParagrapheIndent1"/>
        <w:jc w:val="both"/>
        <w:rPr>
          <w:lang w:val="fr-FR"/>
        </w:rPr>
      </w:pPr>
      <w:r w:rsidRPr="009B2AC0">
        <w:rPr>
          <w:lang w:val="fr-FR"/>
        </w:rPr>
        <w:t xml:space="preserve">Le </w:t>
      </w:r>
      <w:r>
        <w:rPr>
          <w:lang w:val="fr-FR"/>
        </w:rPr>
        <w:t>candidat</w:t>
      </w:r>
      <w:r w:rsidRPr="009B2AC0">
        <w:rPr>
          <w:lang w:val="fr-FR"/>
        </w:rPr>
        <w:t xml:space="preserve"> </w:t>
      </w:r>
      <w:r>
        <w:rPr>
          <w:lang w:val="fr-FR"/>
        </w:rPr>
        <w:t>décrit la</w:t>
      </w:r>
      <w:r w:rsidRPr="009B2AC0">
        <w:rPr>
          <w:lang w:val="fr-FR"/>
        </w:rPr>
        <w:t xml:space="preserve"> une politique de Green IT </w:t>
      </w:r>
      <w:r>
        <w:rPr>
          <w:lang w:val="fr-FR"/>
        </w:rPr>
        <w:t xml:space="preserve">qu’il souhaite mettre en place </w:t>
      </w:r>
      <w:r w:rsidRPr="009B2AC0">
        <w:rPr>
          <w:lang w:val="fr-FR"/>
        </w:rPr>
        <w:t>dans le</w:t>
      </w:r>
      <w:r>
        <w:rPr>
          <w:lang w:val="fr-FR"/>
        </w:rPr>
        <w:t xml:space="preserve"> </w:t>
      </w:r>
      <w:r w:rsidRPr="009B2AC0">
        <w:rPr>
          <w:lang w:val="fr-FR"/>
        </w:rPr>
        <w:t>cadre de l'exécution du marché (par exemple : tri des données,</w:t>
      </w:r>
      <w:r>
        <w:rPr>
          <w:lang w:val="fr-FR"/>
        </w:rPr>
        <w:t xml:space="preserve"> </w:t>
      </w:r>
      <w:r w:rsidRPr="009B2AC0">
        <w:rPr>
          <w:lang w:val="fr-FR"/>
        </w:rPr>
        <w:t>alimentation des serveurs, stockage sur les réseaux, gestion des</w:t>
      </w:r>
      <w:r>
        <w:rPr>
          <w:lang w:val="fr-FR"/>
        </w:rPr>
        <w:t xml:space="preserve"> </w:t>
      </w:r>
      <w:r w:rsidRPr="009B2AC0">
        <w:rPr>
          <w:lang w:val="fr-FR"/>
        </w:rPr>
        <w:t>mails et envois raisonnés).</w:t>
      </w:r>
    </w:p>
    <w:p w14:paraId="2EF273EF" w14:textId="0C55729E" w:rsidR="00725575" w:rsidRDefault="009B2AC0" w:rsidP="009B2AC0">
      <w:pPr>
        <w:pStyle w:val="ParagrapheIndent1"/>
        <w:jc w:val="both"/>
        <w:rPr>
          <w:lang w:val="fr-FR"/>
        </w:rPr>
      </w:pPr>
      <w:r w:rsidRPr="009B2AC0">
        <w:rPr>
          <w:lang w:val="fr-FR"/>
        </w:rPr>
        <w:t xml:space="preserve">À ce titre, le </w:t>
      </w:r>
      <w:r w:rsidR="00725575">
        <w:rPr>
          <w:lang w:val="fr-FR"/>
        </w:rPr>
        <w:t xml:space="preserve">candidat présentera ses </w:t>
      </w:r>
      <w:r w:rsidRPr="009B2AC0">
        <w:rPr>
          <w:lang w:val="fr-FR"/>
        </w:rPr>
        <w:t>dispositions permettant de réduire son empreinte</w:t>
      </w:r>
      <w:r w:rsidR="00725575">
        <w:rPr>
          <w:lang w:val="fr-FR"/>
        </w:rPr>
        <w:t xml:space="preserve"> </w:t>
      </w:r>
      <w:r w:rsidRPr="009B2AC0">
        <w:rPr>
          <w:lang w:val="fr-FR"/>
        </w:rPr>
        <w:t>environnementale dans l’exécution des prestations du marché.</w:t>
      </w:r>
      <w:r w:rsidR="00725575">
        <w:rPr>
          <w:lang w:val="fr-FR"/>
        </w:rPr>
        <w:t>, par exemple, concernant :</w:t>
      </w:r>
    </w:p>
    <w:p w14:paraId="726D7BF6" w14:textId="00EBFE43" w:rsidR="009B2AC0" w:rsidRPr="009B2AC0" w:rsidRDefault="009B2AC0" w:rsidP="009B2AC0">
      <w:pPr>
        <w:pStyle w:val="ParagrapheIndent1"/>
        <w:jc w:val="both"/>
        <w:rPr>
          <w:lang w:val="fr-FR"/>
        </w:rPr>
      </w:pPr>
      <w:r w:rsidRPr="009B2AC0">
        <w:rPr>
          <w:lang w:val="fr-FR"/>
        </w:rPr>
        <w:t xml:space="preserve">• </w:t>
      </w:r>
      <w:r w:rsidR="00725575">
        <w:rPr>
          <w:lang w:val="fr-FR"/>
        </w:rPr>
        <w:t>l</w:t>
      </w:r>
      <w:r w:rsidRPr="009B2AC0">
        <w:rPr>
          <w:lang w:val="fr-FR"/>
        </w:rPr>
        <w:t>’hébergement et de tri de données ;</w:t>
      </w:r>
    </w:p>
    <w:p w14:paraId="52571FDB" w14:textId="71B5933A" w:rsidR="009B2AC0" w:rsidRPr="009B2AC0" w:rsidRDefault="009B2AC0" w:rsidP="009B2AC0">
      <w:pPr>
        <w:pStyle w:val="ParagrapheIndent1"/>
        <w:jc w:val="both"/>
        <w:rPr>
          <w:lang w:val="fr-FR"/>
        </w:rPr>
      </w:pPr>
      <w:r w:rsidRPr="009B2AC0">
        <w:rPr>
          <w:lang w:val="fr-FR"/>
        </w:rPr>
        <w:t xml:space="preserve">• </w:t>
      </w:r>
      <w:r w:rsidR="00725575">
        <w:rPr>
          <w:lang w:val="fr-FR"/>
        </w:rPr>
        <w:t>l</w:t>
      </w:r>
      <w:r w:rsidRPr="009B2AC0">
        <w:rPr>
          <w:lang w:val="fr-FR"/>
        </w:rPr>
        <w:t>’hébergement de sa plateforme de consultation en</w:t>
      </w:r>
      <w:r w:rsidR="00725575">
        <w:rPr>
          <w:lang w:val="fr-FR"/>
        </w:rPr>
        <w:t xml:space="preserve"> </w:t>
      </w:r>
      <w:r w:rsidRPr="009B2AC0">
        <w:rPr>
          <w:lang w:val="fr-FR"/>
        </w:rPr>
        <w:t>ligne ;</w:t>
      </w:r>
    </w:p>
    <w:p w14:paraId="736DFBE2" w14:textId="77777777" w:rsidR="009B2AC0" w:rsidRPr="009B2AC0" w:rsidRDefault="009B2AC0" w:rsidP="009B2AC0">
      <w:pPr>
        <w:pStyle w:val="ParagrapheIndent1"/>
        <w:jc w:val="both"/>
        <w:rPr>
          <w:lang w:val="fr-FR"/>
        </w:rPr>
      </w:pPr>
      <w:r w:rsidRPr="009B2AC0">
        <w:rPr>
          <w:lang w:val="fr-FR"/>
        </w:rPr>
        <w:t>• de gestion des courriels raisonnée ;</w:t>
      </w:r>
    </w:p>
    <w:p w14:paraId="1CFF662A" w14:textId="29E9231D" w:rsidR="009B2AC0" w:rsidRDefault="009B2AC0" w:rsidP="009B2AC0">
      <w:pPr>
        <w:pStyle w:val="ParagrapheIndent1"/>
        <w:jc w:val="both"/>
        <w:rPr>
          <w:lang w:val="fr-FR"/>
        </w:rPr>
      </w:pPr>
      <w:r w:rsidRPr="009B2AC0">
        <w:rPr>
          <w:lang w:val="fr-FR"/>
        </w:rPr>
        <w:t>• de recyclage du matériel informatique utilisé pour</w:t>
      </w:r>
      <w:r w:rsidR="00725575">
        <w:rPr>
          <w:lang w:val="fr-FR"/>
        </w:rPr>
        <w:t xml:space="preserve"> </w:t>
      </w:r>
      <w:r w:rsidRPr="009B2AC0">
        <w:rPr>
          <w:lang w:val="fr-FR"/>
        </w:rPr>
        <w:t>réaliser les prestations du marché.</w:t>
      </w:r>
    </w:p>
    <w:p w14:paraId="33C2C9FD" w14:textId="77777777" w:rsidR="009B2AC0" w:rsidRDefault="009B2AC0" w:rsidP="00960045">
      <w:pPr>
        <w:rPr>
          <w:lang w:val="fr-FR"/>
        </w:rPr>
      </w:pPr>
    </w:p>
    <w:p w14:paraId="692FF996" w14:textId="3EAAE05F" w:rsidR="009B2AC0" w:rsidRPr="009B2AC0" w:rsidRDefault="009B2AC0" w:rsidP="009B2AC0">
      <w:pPr>
        <w:pStyle w:val="Paragraphedeliste"/>
        <w:numPr>
          <w:ilvl w:val="0"/>
          <w:numId w:val="1"/>
        </w:numPr>
        <w:ind w:hanging="792"/>
        <w:rPr>
          <w:rFonts w:asciiTheme="majorHAnsi" w:eastAsiaTheme="majorEastAsia" w:hAnsiTheme="majorHAnsi" w:cstheme="majorBidi"/>
          <w:color w:val="365F91" w:themeColor="accent1" w:themeShade="BF"/>
          <w:sz w:val="36"/>
          <w:szCs w:val="32"/>
          <w:lang w:val="fr-FR"/>
        </w:rPr>
      </w:pPr>
      <w:r>
        <w:rPr>
          <w:rFonts w:asciiTheme="majorHAnsi" w:eastAsiaTheme="majorEastAsia" w:hAnsiTheme="majorHAnsi" w:cstheme="majorBidi"/>
          <w:color w:val="365F91" w:themeColor="accent1" w:themeShade="BF"/>
          <w:sz w:val="36"/>
          <w:szCs w:val="32"/>
          <w:lang w:val="fr-FR"/>
        </w:rPr>
        <w:t>Autres informations</w:t>
      </w:r>
    </w:p>
    <w:p w14:paraId="6FA7967F" w14:textId="77777777" w:rsidR="009B2AC0" w:rsidRPr="00960045" w:rsidRDefault="009B2AC0" w:rsidP="00960045">
      <w:pPr>
        <w:rPr>
          <w:lang w:val="fr-FR"/>
        </w:rPr>
      </w:pPr>
    </w:p>
    <w:p w14:paraId="77C40E3E" w14:textId="77777777" w:rsidR="00845BB7" w:rsidRPr="0084187F" w:rsidRDefault="00845BB7" w:rsidP="00845BB7">
      <w:pPr>
        <w:pStyle w:val="ParagrapheIndent1"/>
        <w:rPr>
          <w:lang w:val="fr-FR"/>
        </w:rPr>
      </w:pPr>
    </w:p>
    <w:p w14:paraId="37636AB1" w14:textId="77777777" w:rsidR="00845BB7" w:rsidRPr="0084187F" w:rsidRDefault="00845BB7" w:rsidP="00845BB7">
      <w:pPr>
        <w:pStyle w:val="ParagrapheIndent1"/>
        <w:rPr>
          <w:lang w:val="fr-FR"/>
        </w:rPr>
      </w:pPr>
      <w:r w:rsidRPr="0084187F">
        <w:rPr>
          <w:lang w:val="fr-FR"/>
        </w:rPr>
        <w:t>Ce chapitre permet au candidat d’apporter les éléments supplémentaires à la compréhension de son offre, il n’entre pas dans la notation mais permet la bonne compréhension de l’offre de l’entreprise.</w:t>
      </w:r>
    </w:p>
    <w:p w14:paraId="7C00E00A" w14:textId="77777777" w:rsidR="00845BB7" w:rsidRPr="0084187F" w:rsidRDefault="00845BB7" w:rsidP="00845BB7">
      <w:pPr>
        <w:rPr>
          <w:lang w:val="fr-FR"/>
        </w:rPr>
      </w:pPr>
    </w:p>
    <w:p w14:paraId="52C9E6D1" w14:textId="77777777" w:rsidR="00960045" w:rsidRDefault="00960045" w:rsidP="00960045"/>
    <w:p w14:paraId="3C2EDA34" w14:textId="6FF4D152" w:rsidR="00451488" w:rsidRDefault="00451488" w:rsidP="00960045"/>
    <w:sectPr w:rsidR="00451488" w:rsidSect="00845BB7">
      <w:footerReference w:type="default" r:id="rId8"/>
      <w:pgSz w:w="11900" w:h="16840"/>
      <w:pgMar w:top="577" w:right="577" w:bottom="263" w:left="855" w:header="577" w:footer="26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02CE8" w14:textId="77777777" w:rsidR="00725575" w:rsidRDefault="00725575">
      <w:r>
        <w:separator/>
      </w:r>
    </w:p>
  </w:endnote>
  <w:endnote w:type="continuationSeparator" w:id="0">
    <w:p w14:paraId="1AEB168A" w14:textId="77777777" w:rsidR="00725575" w:rsidRDefault="0072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Geneva"/>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10F5C" w14:textId="77777777" w:rsidR="0034356C" w:rsidRDefault="0034356C">
    <w:pPr>
      <w:spacing w:line="240" w:lineRule="exact"/>
    </w:pPr>
  </w:p>
  <w:tbl>
    <w:tblPr>
      <w:tblW w:w="0" w:type="auto"/>
      <w:tblInd w:w="20" w:type="dxa"/>
      <w:tblLayout w:type="fixed"/>
      <w:tblLook w:val="04A0" w:firstRow="1" w:lastRow="0" w:firstColumn="1" w:lastColumn="0" w:noHBand="0" w:noVBand="1"/>
    </w:tblPr>
    <w:tblGrid>
      <w:gridCol w:w="5660"/>
      <w:gridCol w:w="4780"/>
    </w:tblGrid>
    <w:tr w:rsidR="00902405" w14:paraId="6FEBBB08" w14:textId="77777777">
      <w:trPr>
        <w:trHeight w:val="260"/>
      </w:trPr>
      <w:tc>
        <w:tcPr>
          <w:tcW w:w="5660" w:type="dxa"/>
          <w:tcMar>
            <w:top w:w="0" w:type="dxa"/>
            <w:left w:w="0" w:type="dxa"/>
            <w:bottom w:w="0" w:type="dxa"/>
            <w:right w:w="0" w:type="dxa"/>
          </w:tcMar>
          <w:vAlign w:val="center"/>
        </w:tcPr>
        <w:p w14:paraId="4357082D" w14:textId="77777777" w:rsidR="0034356C" w:rsidRDefault="0034356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2023TIC0004</w:t>
          </w:r>
        </w:p>
      </w:tc>
      <w:tc>
        <w:tcPr>
          <w:tcW w:w="4780" w:type="dxa"/>
          <w:tcMar>
            <w:top w:w="0" w:type="dxa"/>
            <w:left w:w="0" w:type="dxa"/>
            <w:bottom w:w="0" w:type="dxa"/>
            <w:right w:w="0" w:type="dxa"/>
          </w:tcMar>
          <w:vAlign w:val="center"/>
        </w:tcPr>
        <w:p w14:paraId="7CE17252" w14:textId="77777777" w:rsidR="0034356C" w:rsidRDefault="0034356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852FC" w14:textId="77777777" w:rsidR="00725575" w:rsidRDefault="00725575">
      <w:r>
        <w:separator/>
      </w:r>
    </w:p>
  </w:footnote>
  <w:footnote w:type="continuationSeparator" w:id="0">
    <w:p w14:paraId="6521EB13" w14:textId="77777777" w:rsidR="00725575" w:rsidRDefault="007255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43D3D"/>
    <w:multiLevelType w:val="hybridMultilevel"/>
    <w:tmpl w:val="1396C8FA"/>
    <w:lvl w:ilvl="0" w:tplc="BE08C3EC">
      <w:start w:val="1"/>
      <w:numFmt w:val="bullet"/>
      <w:lvlText w:val="·"/>
      <w:lvlJc w:val="left"/>
      <w:pPr>
        <w:ind w:left="720" w:hanging="345"/>
      </w:pPr>
      <w:rPr>
        <w:rFonts w:ascii="Symbol" w:eastAsia="Symbol" w:hAnsi="Symbol" w:cs="Symbol"/>
      </w:rPr>
    </w:lvl>
    <w:lvl w:ilvl="1" w:tplc="C3F2BBA8">
      <w:start w:val="1"/>
      <w:numFmt w:val="bullet"/>
      <w:lvlText w:val="o"/>
      <w:lvlJc w:val="left"/>
      <w:pPr>
        <w:ind w:left="1440" w:hanging="345"/>
      </w:pPr>
      <w:rPr>
        <w:rFonts w:ascii="Courier New" w:eastAsia="Courier New" w:hAnsi="Courier New" w:cs="Courier New"/>
      </w:rPr>
    </w:lvl>
    <w:lvl w:ilvl="2" w:tplc="B2E455BC">
      <w:start w:val="1"/>
      <w:numFmt w:val="bullet"/>
      <w:lvlText w:val="§"/>
      <w:lvlJc w:val="left"/>
      <w:pPr>
        <w:ind w:left="2160" w:hanging="345"/>
      </w:pPr>
      <w:rPr>
        <w:rFonts w:ascii="Wingdings" w:eastAsia="Wingdings" w:hAnsi="Wingdings" w:cs="Wingdings"/>
      </w:rPr>
    </w:lvl>
    <w:lvl w:ilvl="3" w:tplc="8E6E7986">
      <w:start w:val="1"/>
      <w:numFmt w:val="bullet"/>
      <w:lvlText w:val="·"/>
      <w:lvlJc w:val="left"/>
      <w:pPr>
        <w:ind w:left="2880" w:hanging="345"/>
      </w:pPr>
      <w:rPr>
        <w:rFonts w:ascii="Symbol" w:eastAsia="Symbol" w:hAnsi="Symbol" w:cs="Symbol"/>
      </w:rPr>
    </w:lvl>
    <w:lvl w:ilvl="4" w:tplc="A2D4208E">
      <w:start w:val="1"/>
      <w:numFmt w:val="bullet"/>
      <w:lvlText w:val="o"/>
      <w:lvlJc w:val="left"/>
      <w:pPr>
        <w:ind w:left="3600" w:hanging="345"/>
      </w:pPr>
      <w:rPr>
        <w:rFonts w:ascii="Courier New" w:eastAsia="Courier New" w:hAnsi="Courier New" w:cs="Courier New"/>
      </w:rPr>
    </w:lvl>
    <w:lvl w:ilvl="5" w:tplc="5702566A">
      <w:start w:val="1"/>
      <w:numFmt w:val="bullet"/>
      <w:lvlText w:val="§"/>
      <w:lvlJc w:val="left"/>
      <w:pPr>
        <w:ind w:left="4320" w:hanging="345"/>
      </w:pPr>
      <w:rPr>
        <w:rFonts w:ascii="Wingdings" w:eastAsia="Wingdings" w:hAnsi="Wingdings" w:cs="Wingdings"/>
      </w:rPr>
    </w:lvl>
    <w:lvl w:ilvl="6" w:tplc="7A127878">
      <w:start w:val="1"/>
      <w:numFmt w:val="bullet"/>
      <w:lvlText w:val="·"/>
      <w:lvlJc w:val="left"/>
      <w:pPr>
        <w:ind w:left="5040" w:hanging="345"/>
      </w:pPr>
      <w:rPr>
        <w:rFonts w:ascii="Symbol" w:eastAsia="Symbol" w:hAnsi="Symbol" w:cs="Symbol"/>
      </w:rPr>
    </w:lvl>
    <w:lvl w:ilvl="7" w:tplc="37564D74">
      <w:start w:val="1"/>
      <w:numFmt w:val="bullet"/>
      <w:lvlText w:val="o"/>
      <w:lvlJc w:val="left"/>
      <w:pPr>
        <w:ind w:left="5760" w:hanging="345"/>
      </w:pPr>
      <w:rPr>
        <w:rFonts w:ascii="Courier New" w:eastAsia="Courier New" w:hAnsi="Courier New" w:cs="Courier New"/>
      </w:rPr>
    </w:lvl>
    <w:lvl w:ilvl="8" w:tplc="DADE3748">
      <w:start w:val="1"/>
      <w:numFmt w:val="bullet"/>
      <w:lvlText w:val="§"/>
      <w:lvlJc w:val="left"/>
      <w:pPr>
        <w:ind w:left="6480" w:hanging="345"/>
      </w:pPr>
      <w:rPr>
        <w:rFonts w:ascii="Wingdings" w:eastAsia="Wingdings" w:hAnsi="Wingdings" w:cs="Wingdings"/>
      </w:rPr>
    </w:lvl>
  </w:abstractNum>
  <w:abstractNum w:abstractNumId="1" w15:restartNumberingAfterBreak="0">
    <w:nsid w:val="0A6609B2"/>
    <w:multiLevelType w:val="multilevel"/>
    <w:tmpl w:val="E2A0CA84"/>
    <w:lvl w:ilvl="0">
      <w:start w:val="1"/>
      <w:numFmt w:val="decimal"/>
      <w:lvlText w:val="%1."/>
      <w:lvlJc w:val="left"/>
      <w:pPr>
        <w:ind w:left="792" w:hanging="318"/>
      </w:pPr>
    </w:lvl>
    <w:lvl w:ilvl="1">
      <w:start w:val="1"/>
      <w:numFmt w:val="decimal"/>
      <w:lvlText w:val="%1.%2."/>
      <w:lvlJc w:val="left"/>
      <w:pPr>
        <w:ind w:left="10739" w:hanging="390"/>
      </w:pPr>
    </w:lvl>
    <w:lvl w:ilvl="2">
      <w:start w:val="1"/>
      <w:numFmt w:val="decimal"/>
      <w:lvlText w:val="%1.%2.%3."/>
      <w:lvlJc w:val="left"/>
      <w:pPr>
        <w:ind w:left="1656" w:hanging="462"/>
      </w:pPr>
    </w:lvl>
    <w:lvl w:ilvl="3">
      <w:start w:val="1"/>
      <w:numFmt w:val="decimal"/>
      <w:lvlText w:val="%1.%2.%3.%4."/>
      <w:lvlJc w:val="left"/>
      <w:pPr>
        <w:ind w:left="2160" w:hanging="606"/>
      </w:pPr>
    </w:lvl>
    <w:lvl w:ilvl="4">
      <w:start w:val="1"/>
      <w:numFmt w:val="decimal"/>
      <w:lvlText w:val="%1.%2.%3.%4.%5."/>
      <w:lvlJc w:val="left"/>
      <w:pPr>
        <w:ind w:left="2664" w:hanging="750"/>
      </w:pPr>
    </w:lvl>
    <w:lvl w:ilvl="5">
      <w:start w:val="1"/>
      <w:numFmt w:val="decimal"/>
      <w:lvlText w:val="%1.%2.%3.%4.%5.%6."/>
      <w:lvlJc w:val="left"/>
      <w:pPr>
        <w:ind w:left="3168" w:hanging="894"/>
      </w:pPr>
    </w:lvl>
    <w:lvl w:ilvl="6">
      <w:start w:val="1"/>
      <w:numFmt w:val="decimal"/>
      <w:lvlText w:val="%1.%2.%3.%4.%5.%6.%7."/>
      <w:lvlJc w:val="left"/>
      <w:pPr>
        <w:ind w:left="3672" w:hanging="1038"/>
      </w:pPr>
    </w:lvl>
    <w:lvl w:ilvl="7">
      <w:start w:val="1"/>
      <w:numFmt w:val="decimal"/>
      <w:lvlText w:val="%1.%2.%3.%4.%5.%6.%7.%8."/>
      <w:lvlJc w:val="left"/>
      <w:pPr>
        <w:ind w:left="4176" w:hanging="1182"/>
      </w:pPr>
    </w:lvl>
    <w:lvl w:ilvl="8">
      <w:start w:val="1"/>
      <w:numFmt w:val="decimal"/>
      <w:lvlText w:val="%1.%2.%3.%4.%5.%6.%7.%8.%9."/>
      <w:lvlJc w:val="left"/>
      <w:pPr>
        <w:ind w:left="4752" w:hanging="1398"/>
      </w:pPr>
    </w:lvl>
  </w:abstractNum>
  <w:abstractNum w:abstractNumId="2" w15:restartNumberingAfterBreak="0">
    <w:nsid w:val="22D9294D"/>
    <w:multiLevelType w:val="multilevel"/>
    <w:tmpl w:val="E2A0CA84"/>
    <w:lvl w:ilvl="0">
      <w:start w:val="1"/>
      <w:numFmt w:val="decimal"/>
      <w:lvlText w:val="%1."/>
      <w:lvlJc w:val="left"/>
      <w:pPr>
        <w:ind w:left="792" w:hanging="318"/>
      </w:pPr>
    </w:lvl>
    <w:lvl w:ilvl="1">
      <w:start w:val="1"/>
      <w:numFmt w:val="decimal"/>
      <w:lvlText w:val="%1.%2."/>
      <w:lvlJc w:val="left"/>
      <w:pPr>
        <w:ind w:left="1382" w:hanging="390"/>
      </w:pPr>
    </w:lvl>
    <w:lvl w:ilvl="2">
      <w:start w:val="1"/>
      <w:numFmt w:val="decimal"/>
      <w:lvlText w:val="%1.%2.%3."/>
      <w:lvlJc w:val="left"/>
      <w:pPr>
        <w:ind w:left="1656" w:hanging="462"/>
      </w:pPr>
    </w:lvl>
    <w:lvl w:ilvl="3">
      <w:start w:val="1"/>
      <w:numFmt w:val="decimal"/>
      <w:lvlText w:val="%1.%2.%3.%4."/>
      <w:lvlJc w:val="left"/>
      <w:pPr>
        <w:ind w:left="2160" w:hanging="606"/>
      </w:pPr>
    </w:lvl>
    <w:lvl w:ilvl="4">
      <w:start w:val="1"/>
      <w:numFmt w:val="decimal"/>
      <w:lvlText w:val="%1.%2.%3.%4.%5."/>
      <w:lvlJc w:val="left"/>
      <w:pPr>
        <w:ind w:left="2664" w:hanging="750"/>
      </w:pPr>
    </w:lvl>
    <w:lvl w:ilvl="5">
      <w:start w:val="1"/>
      <w:numFmt w:val="decimal"/>
      <w:lvlText w:val="%1.%2.%3.%4.%5.%6."/>
      <w:lvlJc w:val="left"/>
      <w:pPr>
        <w:ind w:left="3168" w:hanging="894"/>
      </w:pPr>
    </w:lvl>
    <w:lvl w:ilvl="6">
      <w:start w:val="1"/>
      <w:numFmt w:val="decimal"/>
      <w:lvlText w:val="%1.%2.%3.%4.%5.%6.%7."/>
      <w:lvlJc w:val="left"/>
      <w:pPr>
        <w:ind w:left="3672" w:hanging="1038"/>
      </w:pPr>
    </w:lvl>
    <w:lvl w:ilvl="7">
      <w:start w:val="1"/>
      <w:numFmt w:val="decimal"/>
      <w:lvlText w:val="%1.%2.%3.%4.%5.%6.%7.%8."/>
      <w:lvlJc w:val="left"/>
      <w:pPr>
        <w:ind w:left="4176" w:hanging="1182"/>
      </w:pPr>
    </w:lvl>
    <w:lvl w:ilvl="8">
      <w:start w:val="1"/>
      <w:numFmt w:val="decimal"/>
      <w:lvlText w:val="%1.%2.%3.%4.%5.%6.%7.%8.%9."/>
      <w:lvlJc w:val="left"/>
      <w:pPr>
        <w:ind w:left="4752" w:hanging="1398"/>
      </w:pPr>
    </w:lvl>
  </w:abstractNum>
  <w:abstractNum w:abstractNumId="3" w15:restartNumberingAfterBreak="0">
    <w:nsid w:val="25822789"/>
    <w:multiLevelType w:val="hybridMultilevel"/>
    <w:tmpl w:val="01D0D290"/>
    <w:lvl w:ilvl="0" w:tplc="95F41E7E">
      <w:start w:val="1"/>
      <w:numFmt w:val="bullet"/>
      <w:lvlText w:val=""/>
      <w:lvlJc w:val="left"/>
      <w:pPr>
        <w:ind w:left="720" w:hanging="360"/>
      </w:pPr>
      <w:rPr>
        <w:rFonts w:ascii="Symbol" w:hAnsi="Symbol" w:hint="default"/>
      </w:rPr>
    </w:lvl>
    <w:lvl w:ilvl="1" w:tplc="4692CE32">
      <w:start w:val="1"/>
      <w:numFmt w:val="bullet"/>
      <w:lvlText w:val="o"/>
      <w:lvlJc w:val="left"/>
      <w:pPr>
        <w:ind w:left="1440" w:hanging="360"/>
      </w:pPr>
      <w:rPr>
        <w:rFonts w:ascii="Courier New" w:hAnsi="Courier New" w:hint="default"/>
      </w:rPr>
    </w:lvl>
    <w:lvl w:ilvl="2" w:tplc="D3C0238A">
      <w:start w:val="1"/>
      <w:numFmt w:val="bullet"/>
      <w:lvlText w:val=""/>
      <w:lvlJc w:val="left"/>
      <w:pPr>
        <w:ind w:left="2160" w:hanging="360"/>
      </w:pPr>
      <w:rPr>
        <w:rFonts w:ascii="Wingdings" w:hAnsi="Wingdings" w:hint="default"/>
      </w:rPr>
    </w:lvl>
    <w:lvl w:ilvl="3" w:tplc="F1FE385A">
      <w:start w:val="1"/>
      <w:numFmt w:val="bullet"/>
      <w:lvlText w:val=""/>
      <w:lvlJc w:val="left"/>
      <w:pPr>
        <w:ind w:left="2880" w:hanging="360"/>
      </w:pPr>
      <w:rPr>
        <w:rFonts w:ascii="Symbol" w:hAnsi="Symbol" w:hint="default"/>
      </w:rPr>
    </w:lvl>
    <w:lvl w:ilvl="4" w:tplc="5A7263B0">
      <w:start w:val="1"/>
      <w:numFmt w:val="bullet"/>
      <w:lvlText w:val="o"/>
      <w:lvlJc w:val="left"/>
      <w:pPr>
        <w:ind w:left="3600" w:hanging="360"/>
      </w:pPr>
      <w:rPr>
        <w:rFonts w:ascii="Courier New" w:hAnsi="Courier New" w:hint="default"/>
      </w:rPr>
    </w:lvl>
    <w:lvl w:ilvl="5" w:tplc="F02AF98E">
      <w:start w:val="1"/>
      <w:numFmt w:val="bullet"/>
      <w:lvlText w:val=""/>
      <w:lvlJc w:val="left"/>
      <w:pPr>
        <w:ind w:left="4320" w:hanging="360"/>
      </w:pPr>
      <w:rPr>
        <w:rFonts w:ascii="Wingdings" w:hAnsi="Wingdings" w:hint="default"/>
      </w:rPr>
    </w:lvl>
    <w:lvl w:ilvl="6" w:tplc="7D8C088A">
      <w:start w:val="1"/>
      <w:numFmt w:val="bullet"/>
      <w:lvlText w:val=""/>
      <w:lvlJc w:val="left"/>
      <w:pPr>
        <w:ind w:left="5040" w:hanging="360"/>
      </w:pPr>
      <w:rPr>
        <w:rFonts w:ascii="Symbol" w:hAnsi="Symbol" w:hint="default"/>
      </w:rPr>
    </w:lvl>
    <w:lvl w:ilvl="7" w:tplc="E216DFDE">
      <w:start w:val="1"/>
      <w:numFmt w:val="bullet"/>
      <w:lvlText w:val="o"/>
      <w:lvlJc w:val="left"/>
      <w:pPr>
        <w:ind w:left="5760" w:hanging="360"/>
      </w:pPr>
      <w:rPr>
        <w:rFonts w:ascii="Courier New" w:hAnsi="Courier New" w:hint="default"/>
      </w:rPr>
    </w:lvl>
    <w:lvl w:ilvl="8" w:tplc="F8D219A4">
      <w:start w:val="1"/>
      <w:numFmt w:val="bullet"/>
      <w:lvlText w:val=""/>
      <w:lvlJc w:val="left"/>
      <w:pPr>
        <w:ind w:left="6480" w:hanging="360"/>
      </w:pPr>
      <w:rPr>
        <w:rFonts w:ascii="Wingdings" w:hAnsi="Wingdings" w:hint="default"/>
      </w:rPr>
    </w:lvl>
  </w:abstractNum>
  <w:abstractNum w:abstractNumId="4" w15:restartNumberingAfterBreak="0">
    <w:nsid w:val="47C233CA"/>
    <w:multiLevelType w:val="hybridMultilevel"/>
    <w:tmpl w:val="185CE8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C600FBD"/>
    <w:multiLevelType w:val="hybridMultilevel"/>
    <w:tmpl w:val="E3C208E6"/>
    <w:lvl w:ilvl="0" w:tplc="C2D63EF2">
      <w:start w:val="1"/>
      <w:numFmt w:val="decimal"/>
      <w:pStyle w:val="Parag-Nb"/>
      <w:lvlText w:val="%1."/>
      <w:lvlJc w:val="left"/>
      <w:pPr>
        <w:ind w:left="720" w:hanging="312"/>
      </w:pPr>
      <w:rPr>
        <w:rFonts w:ascii="Arial" w:hAnsi="Arial" w:hint="default"/>
        <w:sz w:val="16"/>
      </w:rPr>
    </w:lvl>
    <w:lvl w:ilvl="1" w:tplc="1C3A259A">
      <w:start w:val="1"/>
      <w:numFmt w:val="bullet"/>
      <w:lvlText w:val="o"/>
      <w:lvlJc w:val="left"/>
      <w:pPr>
        <w:ind w:left="1440" w:hanging="312"/>
      </w:pPr>
      <w:rPr>
        <w:rFonts w:ascii="Courier New" w:hAnsi="Courier New" w:hint="default"/>
      </w:rPr>
    </w:lvl>
    <w:lvl w:ilvl="2" w:tplc="D820FCF6">
      <w:start w:val="1"/>
      <w:numFmt w:val="bullet"/>
      <w:lvlText w:val=""/>
      <w:lvlJc w:val="left"/>
      <w:pPr>
        <w:ind w:left="2160" w:hanging="312"/>
      </w:pPr>
      <w:rPr>
        <w:rFonts w:ascii="Wingdings" w:hAnsi="Wingdings" w:hint="default"/>
      </w:rPr>
    </w:lvl>
    <w:lvl w:ilvl="3" w:tplc="ECA40AA2">
      <w:start w:val="1"/>
      <w:numFmt w:val="bullet"/>
      <w:lvlText w:val=""/>
      <w:lvlJc w:val="left"/>
      <w:pPr>
        <w:ind w:left="2880" w:hanging="312"/>
      </w:pPr>
      <w:rPr>
        <w:rFonts w:ascii="Symbol" w:hAnsi="Symbol" w:hint="default"/>
      </w:rPr>
    </w:lvl>
    <w:lvl w:ilvl="4" w:tplc="3168CF52">
      <w:start w:val="1"/>
      <w:numFmt w:val="bullet"/>
      <w:lvlText w:val="o"/>
      <w:lvlJc w:val="left"/>
      <w:pPr>
        <w:ind w:left="3600" w:hanging="312"/>
      </w:pPr>
      <w:rPr>
        <w:rFonts w:ascii="Courier New" w:hAnsi="Courier New" w:hint="default"/>
      </w:rPr>
    </w:lvl>
    <w:lvl w:ilvl="5" w:tplc="2CA899B0">
      <w:start w:val="1"/>
      <w:numFmt w:val="bullet"/>
      <w:lvlText w:val=""/>
      <w:lvlJc w:val="left"/>
      <w:pPr>
        <w:ind w:left="4320" w:hanging="312"/>
      </w:pPr>
      <w:rPr>
        <w:rFonts w:ascii="Wingdings" w:hAnsi="Wingdings" w:hint="default"/>
      </w:rPr>
    </w:lvl>
    <w:lvl w:ilvl="6" w:tplc="5F687350">
      <w:start w:val="1"/>
      <w:numFmt w:val="bullet"/>
      <w:lvlText w:val=""/>
      <w:lvlJc w:val="left"/>
      <w:pPr>
        <w:ind w:left="5040" w:hanging="312"/>
      </w:pPr>
      <w:rPr>
        <w:rFonts w:ascii="Symbol" w:hAnsi="Symbol" w:hint="default"/>
      </w:rPr>
    </w:lvl>
    <w:lvl w:ilvl="7" w:tplc="42CAB1EC">
      <w:start w:val="1"/>
      <w:numFmt w:val="bullet"/>
      <w:lvlText w:val="o"/>
      <w:lvlJc w:val="left"/>
      <w:pPr>
        <w:ind w:left="5760" w:hanging="312"/>
      </w:pPr>
      <w:rPr>
        <w:rFonts w:ascii="Courier New" w:hAnsi="Courier New" w:hint="default"/>
      </w:rPr>
    </w:lvl>
    <w:lvl w:ilvl="8" w:tplc="5F781B72">
      <w:start w:val="1"/>
      <w:numFmt w:val="bullet"/>
      <w:lvlText w:val=""/>
      <w:lvlJc w:val="left"/>
      <w:pPr>
        <w:ind w:left="6480" w:hanging="312"/>
      </w:pPr>
      <w:rPr>
        <w:rFonts w:ascii="Wingdings" w:hAnsi="Wingdings" w:hint="default"/>
      </w:rPr>
    </w:lvl>
  </w:abstractNum>
  <w:abstractNum w:abstractNumId="6" w15:restartNumberingAfterBreak="0">
    <w:nsid w:val="7C372111"/>
    <w:multiLevelType w:val="hybridMultilevel"/>
    <w:tmpl w:val="72E2B1D4"/>
    <w:lvl w:ilvl="0" w:tplc="A118B416">
      <w:start w:val="1"/>
      <w:numFmt w:val="bullet"/>
      <w:lvlText w:val=""/>
      <w:lvlJc w:val="left"/>
      <w:pPr>
        <w:ind w:left="720" w:hanging="360"/>
      </w:pPr>
      <w:rPr>
        <w:rFonts w:ascii="Symbol" w:hAnsi="Symbol" w:hint="default"/>
      </w:rPr>
    </w:lvl>
    <w:lvl w:ilvl="1" w:tplc="3ED49C98">
      <w:start w:val="1"/>
      <w:numFmt w:val="bullet"/>
      <w:lvlText w:val="o"/>
      <w:lvlJc w:val="left"/>
      <w:pPr>
        <w:ind w:left="1440" w:hanging="360"/>
      </w:pPr>
      <w:rPr>
        <w:rFonts w:ascii="Courier New" w:hAnsi="Courier New" w:hint="default"/>
      </w:rPr>
    </w:lvl>
    <w:lvl w:ilvl="2" w:tplc="00C4DDCE">
      <w:start w:val="1"/>
      <w:numFmt w:val="bullet"/>
      <w:lvlText w:val=""/>
      <w:lvlJc w:val="left"/>
      <w:pPr>
        <w:ind w:left="2160" w:hanging="360"/>
      </w:pPr>
      <w:rPr>
        <w:rFonts w:ascii="Wingdings" w:hAnsi="Wingdings" w:hint="default"/>
      </w:rPr>
    </w:lvl>
    <w:lvl w:ilvl="3" w:tplc="DDC4217C">
      <w:start w:val="1"/>
      <w:numFmt w:val="bullet"/>
      <w:lvlText w:val=""/>
      <w:lvlJc w:val="left"/>
      <w:pPr>
        <w:ind w:left="2880" w:hanging="360"/>
      </w:pPr>
      <w:rPr>
        <w:rFonts w:ascii="Symbol" w:hAnsi="Symbol" w:hint="default"/>
      </w:rPr>
    </w:lvl>
    <w:lvl w:ilvl="4" w:tplc="0EF051A2">
      <w:start w:val="1"/>
      <w:numFmt w:val="bullet"/>
      <w:lvlText w:val="o"/>
      <w:lvlJc w:val="left"/>
      <w:pPr>
        <w:ind w:left="3600" w:hanging="360"/>
      </w:pPr>
      <w:rPr>
        <w:rFonts w:ascii="Courier New" w:hAnsi="Courier New" w:hint="default"/>
      </w:rPr>
    </w:lvl>
    <w:lvl w:ilvl="5" w:tplc="13E23DBA">
      <w:start w:val="1"/>
      <w:numFmt w:val="bullet"/>
      <w:lvlText w:val=""/>
      <w:lvlJc w:val="left"/>
      <w:pPr>
        <w:ind w:left="4320" w:hanging="360"/>
      </w:pPr>
      <w:rPr>
        <w:rFonts w:ascii="Wingdings" w:hAnsi="Wingdings" w:hint="default"/>
      </w:rPr>
    </w:lvl>
    <w:lvl w:ilvl="6" w:tplc="878208FC">
      <w:start w:val="1"/>
      <w:numFmt w:val="bullet"/>
      <w:lvlText w:val=""/>
      <w:lvlJc w:val="left"/>
      <w:pPr>
        <w:ind w:left="5040" w:hanging="360"/>
      </w:pPr>
      <w:rPr>
        <w:rFonts w:ascii="Symbol" w:hAnsi="Symbol" w:hint="default"/>
      </w:rPr>
    </w:lvl>
    <w:lvl w:ilvl="7" w:tplc="02F48278">
      <w:start w:val="1"/>
      <w:numFmt w:val="bullet"/>
      <w:lvlText w:val="o"/>
      <w:lvlJc w:val="left"/>
      <w:pPr>
        <w:ind w:left="5760" w:hanging="360"/>
      </w:pPr>
      <w:rPr>
        <w:rFonts w:ascii="Courier New" w:hAnsi="Courier New" w:hint="default"/>
      </w:rPr>
    </w:lvl>
    <w:lvl w:ilvl="8" w:tplc="D78CA1A0">
      <w:start w:val="1"/>
      <w:numFmt w:val="bullet"/>
      <w:lvlText w:val=""/>
      <w:lvlJc w:val="left"/>
      <w:pPr>
        <w:ind w:left="6480" w:hanging="360"/>
      </w:pPr>
      <w:rPr>
        <w:rFonts w:ascii="Wingdings" w:hAnsi="Wingdings" w:hint="default"/>
      </w:rPr>
    </w:lvl>
  </w:abstractNum>
  <w:abstractNum w:abstractNumId="7" w15:restartNumberingAfterBreak="0">
    <w:nsid w:val="7C5F0F38"/>
    <w:multiLevelType w:val="hybridMultilevel"/>
    <w:tmpl w:val="0CB2647C"/>
    <w:lvl w:ilvl="0" w:tplc="89086796">
      <w:start w:val="1"/>
      <w:numFmt w:val="bullet"/>
      <w:lvlText w:val="·"/>
      <w:lvlJc w:val="left"/>
      <w:pPr>
        <w:ind w:left="720" w:hanging="345"/>
      </w:pPr>
      <w:rPr>
        <w:rFonts w:ascii="Symbol" w:eastAsia="Symbol" w:hAnsi="Symbol" w:cs="Symbol"/>
      </w:rPr>
    </w:lvl>
    <w:lvl w:ilvl="1" w:tplc="4DB0F0E0">
      <w:start w:val="1"/>
      <w:numFmt w:val="bullet"/>
      <w:lvlText w:val="o"/>
      <w:lvlJc w:val="left"/>
      <w:pPr>
        <w:ind w:left="1440" w:hanging="345"/>
      </w:pPr>
      <w:rPr>
        <w:rFonts w:ascii="Courier New" w:eastAsia="Courier New" w:hAnsi="Courier New" w:cs="Courier New"/>
      </w:rPr>
    </w:lvl>
    <w:lvl w:ilvl="2" w:tplc="83DC0D2C">
      <w:start w:val="1"/>
      <w:numFmt w:val="bullet"/>
      <w:lvlText w:val="§"/>
      <w:lvlJc w:val="left"/>
      <w:pPr>
        <w:ind w:left="2160" w:hanging="345"/>
      </w:pPr>
      <w:rPr>
        <w:rFonts w:ascii="Wingdings" w:eastAsia="Wingdings" w:hAnsi="Wingdings" w:cs="Wingdings"/>
      </w:rPr>
    </w:lvl>
    <w:lvl w:ilvl="3" w:tplc="C6C638A0">
      <w:start w:val="1"/>
      <w:numFmt w:val="bullet"/>
      <w:lvlText w:val="·"/>
      <w:lvlJc w:val="left"/>
      <w:pPr>
        <w:ind w:left="2880" w:hanging="345"/>
      </w:pPr>
      <w:rPr>
        <w:rFonts w:ascii="Symbol" w:eastAsia="Symbol" w:hAnsi="Symbol" w:cs="Symbol"/>
      </w:rPr>
    </w:lvl>
    <w:lvl w:ilvl="4" w:tplc="A0DC95A0">
      <w:start w:val="1"/>
      <w:numFmt w:val="bullet"/>
      <w:lvlText w:val="o"/>
      <w:lvlJc w:val="left"/>
      <w:pPr>
        <w:ind w:left="3600" w:hanging="345"/>
      </w:pPr>
      <w:rPr>
        <w:rFonts w:ascii="Courier New" w:eastAsia="Courier New" w:hAnsi="Courier New" w:cs="Courier New"/>
      </w:rPr>
    </w:lvl>
    <w:lvl w:ilvl="5" w:tplc="A2D68408">
      <w:start w:val="1"/>
      <w:numFmt w:val="bullet"/>
      <w:lvlText w:val="§"/>
      <w:lvlJc w:val="left"/>
      <w:pPr>
        <w:ind w:left="4320" w:hanging="345"/>
      </w:pPr>
      <w:rPr>
        <w:rFonts w:ascii="Wingdings" w:eastAsia="Wingdings" w:hAnsi="Wingdings" w:cs="Wingdings"/>
      </w:rPr>
    </w:lvl>
    <w:lvl w:ilvl="6" w:tplc="85D01CF8">
      <w:start w:val="1"/>
      <w:numFmt w:val="bullet"/>
      <w:lvlText w:val="·"/>
      <w:lvlJc w:val="left"/>
      <w:pPr>
        <w:ind w:left="5040" w:hanging="345"/>
      </w:pPr>
      <w:rPr>
        <w:rFonts w:ascii="Symbol" w:eastAsia="Symbol" w:hAnsi="Symbol" w:cs="Symbol"/>
      </w:rPr>
    </w:lvl>
    <w:lvl w:ilvl="7" w:tplc="D6D40ADE">
      <w:start w:val="1"/>
      <w:numFmt w:val="bullet"/>
      <w:lvlText w:val="o"/>
      <w:lvlJc w:val="left"/>
      <w:pPr>
        <w:ind w:left="5760" w:hanging="345"/>
      </w:pPr>
      <w:rPr>
        <w:rFonts w:ascii="Courier New" w:eastAsia="Courier New" w:hAnsi="Courier New" w:cs="Courier New"/>
      </w:rPr>
    </w:lvl>
    <w:lvl w:ilvl="8" w:tplc="53A44240">
      <w:start w:val="1"/>
      <w:numFmt w:val="bullet"/>
      <w:lvlText w:val="§"/>
      <w:lvlJc w:val="left"/>
      <w:pPr>
        <w:ind w:left="6480" w:hanging="345"/>
      </w:pPr>
      <w:rPr>
        <w:rFonts w:ascii="Wingdings" w:eastAsia="Wingdings" w:hAnsi="Wingdings" w:cs="Wingdings"/>
      </w:rPr>
    </w:lvl>
  </w:abstractNum>
  <w:num w:numId="1" w16cid:durableId="1295869699">
    <w:abstractNumId w:val="1"/>
  </w:num>
  <w:num w:numId="2" w16cid:durableId="645551304">
    <w:abstractNumId w:val="5"/>
  </w:num>
  <w:num w:numId="3" w16cid:durableId="1197691362">
    <w:abstractNumId w:val="7"/>
  </w:num>
  <w:num w:numId="4" w16cid:durableId="213201873">
    <w:abstractNumId w:val="0"/>
  </w:num>
  <w:num w:numId="5" w16cid:durableId="862675037">
    <w:abstractNumId w:val="2"/>
  </w:num>
  <w:num w:numId="6" w16cid:durableId="1068377587">
    <w:abstractNumId w:val="3"/>
  </w:num>
  <w:num w:numId="7" w16cid:durableId="869999366">
    <w:abstractNumId w:val="6"/>
  </w:num>
  <w:num w:numId="8" w16cid:durableId="13173020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BB7"/>
    <w:rsid w:val="0034356C"/>
    <w:rsid w:val="00451488"/>
    <w:rsid w:val="004D325F"/>
    <w:rsid w:val="005856C4"/>
    <w:rsid w:val="00725575"/>
    <w:rsid w:val="00845BB7"/>
    <w:rsid w:val="00960045"/>
    <w:rsid w:val="009B2AC0"/>
    <w:rsid w:val="00BD5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EEA5A"/>
  <w15:chartTrackingRefBased/>
  <w15:docId w15:val="{6A7C41F6-8274-40E4-A091-A48C2DC3B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BB7"/>
    <w:pPr>
      <w:spacing w:after="0" w:line="240" w:lineRule="auto"/>
    </w:pPr>
    <w:rPr>
      <w:rFonts w:ascii="Times New Roman" w:eastAsia="Times New Roman" w:hAnsi="Times New Roman" w:cs="Times New Roman"/>
      <w:sz w:val="24"/>
      <w:szCs w:val="24"/>
      <w:lang w:val="en-US"/>
    </w:rPr>
  </w:style>
  <w:style w:type="paragraph" w:styleId="Titre1">
    <w:name w:val="heading 1"/>
    <w:basedOn w:val="Normal"/>
    <w:next w:val="Normal"/>
    <w:link w:val="Titre1Car"/>
    <w:uiPriority w:val="9"/>
    <w:qFormat/>
    <w:rsid w:val="00845BB7"/>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unhideWhenUsed/>
    <w:qFormat/>
    <w:rsid w:val="00845BB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845BB7"/>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iPriority w:val="9"/>
    <w:semiHidden/>
    <w:unhideWhenUsed/>
    <w:qFormat/>
    <w:rsid w:val="00845BB7"/>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845BB7"/>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845BB7"/>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45BB7"/>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45BB7"/>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45BB7"/>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5BB7"/>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845BB7"/>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845BB7"/>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845BB7"/>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845BB7"/>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845BB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45BB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45BB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45BB7"/>
    <w:rPr>
      <w:rFonts w:eastAsiaTheme="majorEastAsia" w:cstheme="majorBidi"/>
      <w:color w:val="272727" w:themeColor="text1" w:themeTint="D8"/>
    </w:rPr>
  </w:style>
  <w:style w:type="paragraph" w:styleId="Titre">
    <w:name w:val="Title"/>
    <w:basedOn w:val="Normal"/>
    <w:next w:val="Normal"/>
    <w:link w:val="TitreCar"/>
    <w:uiPriority w:val="10"/>
    <w:qFormat/>
    <w:rsid w:val="00845BB7"/>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45BB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45BB7"/>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45BB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45BB7"/>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45BB7"/>
    <w:rPr>
      <w:i/>
      <w:iCs/>
      <w:color w:val="404040" w:themeColor="text1" w:themeTint="BF"/>
    </w:rPr>
  </w:style>
  <w:style w:type="paragraph" w:styleId="Paragraphedeliste">
    <w:name w:val="List Paragraph"/>
    <w:basedOn w:val="Normal"/>
    <w:uiPriority w:val="34"/>
    <w:qFormat/>
    <w:rsid w:val="00845BB7"/>
    <w:pPr>
      <w:ind w:left="720"/>
      <w:contextualSpacing/>
    </w:pPr>
  </w:style>
  <w:style w:type="character" w:styleId="Accentuationintense">
    <w:name w:val="Intense Emphasis"/>
    <w:basedOn w:val="Policepardfaut"/>
    <w:uiPriority w:val="21"/>
    <w:qFormat/>
    <w:rsid w:val="00845BB7"/>
    <w:rPr>
      <w:i/>
      <w:iCs/>
      <w:color w:val="365F91" w:themeColor="accent1" w:themeShade="BF"/>
    </w:rPr>
  </w:style>
  <w:style w:type="paragraph" w:styleId="Citationintense">
    <w:name w:val="Intense Quote"/>
    <w:basedOn w:val="Normal"/>
    <w:next w:val="Normal"/>
    <w:link w:val="CitationintenseCar"/>
    <w:uiPriority w:val="30"/>
    <w:qFormat/>
    <w:rsid w:val="00845BB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845BB7"/>
    <w:rPr>
      <w:i/>
      <w:iCs/>
      <w:color w:val="365F91" w:themeColor="accent1" w:themeShade="BF"/>
    </w:rPr>
  </w:style>
  <w:style w:type="character" w:styleId="Rfrenceintense">
    <w:name w:val="Intense Reference"/>
    <w:basedOn w:val="Policepardfaut"/>
    <w:uiPriority w:val="32"/>
    <w:qFormat/>
    <w:rsid w:val="00845BB7"/>
    <w:rPr>
      <w:b/>
      <w:bCs/>
      <w:smallCaps/>
      <w:color w:val="365F91" w:themeColor="accent1" w:themeShade="BF"/>
      <w:spacing w:val="5"/>
    </w:rPr>
  </w:style>
  <w:style w:type="paragraph" w:customStyle="1" w:styleId="PiedDePage">
    <w:name w:val="PiedDePage"/>
    <w:basedOn w:val="Normal"/>
    <w:next w:val="Normal"/>
    <w:qFormat/>
    <w:rsid w:val="00845BB7"/>
    <w:rPr>
      <w:rFonts w:ascii="Arial" w:eastAsia="Arial" w:hAnsi="Arial" w:cs="Arial"/>
      <w:sz w:val="18"/>
    </w:rPr>
  </w:style>
  <w:style w:type="paragraph" w:customStyle="1" w:styleId="ParagrapheIndent1">
    <w:name w:val="ParagrapheIndent1"/>
    <w:basedOn w:val="Normal"/>
    <w:next w:val="Normal"/>
    <w:qFormat/>
    <w:rsid w:val="00845BB7"/>
    <w:rPr>
      <w:rFonts w:ascii="Arial" w:eastAsia="Arial" w:hAnsi="Arial" w:cs="Arial"/>
      <w:sz w:val="22"/>
    </w:rPr>
  </w:style>
  <w:style w:type="paragraph" w:customStyle="1" w:styleId="Parag-Nb">
    <w:name w:val="Parag-Nb"/>
    <w:qFormat/>
    <w:rsid w:val="00845BB7"/>
    <w:pPr>
      <w:numPr>
        <w:numId w:val="2"/>
      </w:numPr>
      <w:pBdr>
        <w:top w:val="none" w:sz="4" w:space="0" w:color="000000"/>
        <w:left w:val="none" w:sz="4" w:space="0" w:color="000000"/>
        <w:bottom w:val="none" w:sz="4" w:space="0" w:color="000000"/>
        <w:right w:val="none" w:sz="4" w:space="0" w:color="000000"/>
        <w:between w:val="none" w:sz="4" w:space="0" w:color="000000"/>
      </w:pBdr>
      <w:spacing w:before="60" w:after="60" w:line="240" w:lineRule="auto"/>
      <w:ind w:left="0" w:hanging="377"/>
      <w:jc w:val="both"/>
    </w:pPr>
    <w:rPr>
      <w:rFonts w:ascii="Arial" w:eastAsia="Cambria" w:hAnsi="Arial" w:cs="Arial"/>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986</Words>
  <Characters>5426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ISAE-SupAero</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Magalie TERRANERE</dc:creator>
  <cp:keywords/>
  <dc:description/>
  <cp:lastModifiedBy>Magalie TERRANERE</cp:lastModifiedBy>
  <cp:revision>3</cp:revision>
  <dcterms:created xsi:type="dcterms:W3CDTF">2025-09-09T08:55:00Z</dcterms:created>
  <dcterms:modified xsi:type="dcterms:W3CDTF">2025-09-09T15:38:00Z</dcterms:modified>
</cp:coreProperties>
</file>