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C23B5" w14:textId="77777777" w:rsidR="00701553" w:rsidRDefault="00701553" w:rsidP="00701553">
      <w:pPr>
        <w:keepNext/>
        <w:spacing w:after="120" w:line="240" w:lineRule="auto"/>
        <w:ind w:right="27"/>
        <w:jc w:val="center"/>
        <w:outlineLvl w:val="0"/>
        <w:rPr>
          <w:rFonts w:ascii="Arial" w:eastAsia="Times New Roman" w:hAnsi="Arial" w:cs="Times New Roman"/>
          <w:b/>
          <w:bCs/>
          <w:kern w:val="32"/>
          <w:szCs w:val="36"/>
          <w:u w:val="single"/>
          <w:lang w:val="x-none" w:eastAsia="x-none"/>
        </w:rPr>
      </w:pPr>
      <w:bookmarkStart w:id="0" w:name="_Toc207807446"/>
      <w:r w:rsidRPr="00701553">
        <w:rPr>
          <w:rFonts w:ascii="Arial" w:eastAsia="Times New Roman" w:hAnsi="Arial" w:cs="Times New Roman"/>
          <w:b/>
          <w:bCs/>
          <w:kern w:val="32"/>
          <w:szCs w:val="36"/>
          <w:u w:val="single"/>
          <w:lang w:val="x-none" w:eastAsia="x-none"/>
        </w:rPr>
        <w:t xml:space="preserve">ANNEXE </w:t>
      </w:r>
      <w:r w:rsidRPr="00701553">
        <w:rPr>
          <w:rFonts w:ascii="Arial" w:eastAsia="Times New Roman" w:hAnsi="Arial" w:cs="Times New Roman"/>
          <w:b/>
          <w:bCs/>
          <w:kern w:val="32"/>
          <w:szCs w:val="36"/>
          <w:u w:val="single"/>
          <w:lang w:eastAsia="x-none"/>
        </w:rPr>
        <w:t>3</w:t>
      </w:r>
      <w:r w:rsidRPr="00701553">
        <w:rPr>
          <w:rFonts w:ascii="Arial" w:eastAsia="Times New Roman" w:hAnsi="Arial" w:cs="Times New Roman"/>
          <w:b/>
          <w:bCs/>
          <w:kern w:val="32"/>
          <w:szCs w:val="36"/>
          <w:u w:val="single"/>
          <w:lang w:val="x-none" w:eastAsia="x-none"/>
        </w:rPr>
        <w:t xml:space="preserve"> </w:t>
      </w:r>
    </w:p>
    <w:p w14:paraId="1628D542" w14:textId="6D43170B" w:rsidR="00701553" w:rsidRPr="00701553" w:rsidRDefault="00701553" w:rsidP="00701553">
      <w:pPr>
        <w:keepNext/>
        <w:spacing w:after="120" w:line="240" w:lineRule="auto"/>
        <w:ind w:right="27"/>
        <w:jc w:val="center"/>
        <w:outlineLvl w:val="0"/>
        <w:rPr>
          <w:rFonts w:ascii="Arial" w:eastAsia="Times New Roman" w:hAnsi="Arial" w:cs="Times New Roman"/>
          <w:b/>
          <w:bCs/>
          <w:kern w:val="32"/>
          <w:szCs w:val="36"/>
          <w:u w:val="single"/>
          <w:lang w:eastAsia="x-none"/>
        </w:rPr>
      </w:pPr>
      <w:r w:rsidRPr="00701553">
        <w:rPr>
          <w:rFonts w:ascii="Arial" w:eastAsia="Times New Roman" w:hAnsi="Arial" w:cs="Times New Roman"/>
          <w:b/>
          <w:bCs/>
          <w:kern w:val="32"/>
          <w:szCs w:val="36"/>
          <w:u w:val="single"/>
          <w:lang w:eastAsia="x-none"/>
        </w:rPr>
        <w:t>ANNEXE ENCADRANT LE TRAITEMENT DES DONNEES A CARACTERE PERSONNEL</w:t>
      </w:r>
      <w:bookmarkEnd w:id="0"/>
    </w:p>
    <w:p w14:paraId="3789F874" w14:textId="77777777" w:rsidR="00701553" w:rsidRPr="00701553" w:rsidRDefault="00701553" w:rsidP="00701553">
      <w:pPr>
        <w:shd w:val="clear" w:color="auto" w:fill="FFFFFF"/>
        <w:spacing w:after="120" w:line="600" w:lineRule="atLeast"/>
        <w:ind w:left="142" w:right="1276"/>
        <w:jc w:val="both"/>
        <w:outlineLvl w:val="1"/>
        <w:rPr>
          <w:rFonts w:ascii="Arial" w:eastAsia="Times New Roman" w:hAnsi="Arial" w:cs="Arial"/>
          <w:b/>
          <w:sz w:val="20"/>
          <w:szCs w:val="20"/>
          <w:u w:val="single"/>
          <w:lang w:eastAsia="fr-FR"/>
        </w:rPr>
      </w:pPr>
      <w:r w:rsidRPr="00701553">
        <w:rPr>
          <w:rFonts w:ascii="Arial" w:eastAsia="Times New Roman" w:hAnsi="Arial" w:cs="Arial"/>
          <w:b/>
          <w:sz w:val="20"/>
          <w:szCs w:val="20"/>
          <w:u w:val="single"/>
          <w:lang w:eastAsia="fr-FR"/>
        </w:rPr>
        <w:t>I. Objet</w:t>
      </w:r>
    </w:p>
    <w:p w14:paraId="430D4BD0" w14:textId="77777777" w:rsidR="00701553" w:rsidRPr="00701553" w:rsidRDefault="00701553" w:rsidP="00701553">
      <w:pPr>
        <w:shd w:val="clear" w:color="auto" w:fill="FFFFFF"/>
        <w:spacing w:after="165" w:line="240" w:lineRule="auto"/>
        <w:ind w:left="142"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702243F3" w14:textId="77777777" w:rsidR="00701553" w:rsidRPr="00701553" w:rsidRDefault="00701553" w:rsidP="00701553">
      <w:pPr>
        <w:shd w:val="clear" w:color="auto" w:fill="FFFFFF"/>
        <w:spacing w:after="0" w:line="240" w:lineRule="auto"/>
        <w:ind w:left="142"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701553">
        <w:rPr>
          <w:rFonts w:ascii="Arial" w:eastAsia="Times New Roman" w:hAnsi="Arial" w:cs="Arial"/>
          <w:b/>
          <w:bCs/>
          <w:i/>
          <w:iCs/>
          <w:sz w:val="20"/>
          <w:szCs w:val="20"/>
          <w:lang w:eastAsia="fr-FR"/>
        </w:rPr>
        <w:t>le règlement européen sur la protection des données </w:t>
      </w:r>
      <w:r w:rsidRPr="00701553">
        <w:rPr>
          <w:rFonts w:ascii="Arial" w:eastAsia="Times New Roman" w:hAnsi="Arial" w:cs="Arial"/>
          <w:sz w:val="20"/>
          <w:szCs w:val="20"/>
          <w:lang w:eastAsia="fr-FR"/>
        </w:rPr>
        <w:t>»).</w:t>
      </w:r>
    </w:p>
    <w:p w14:paraId="6D95B5DD" w14:textId="77777777" w:rsidR="00701553" w:rsidRPr="00701553" w:rsidRDefault="00701553" w:rsidP="00701553">
      <w:pPr>
        <w:shd w:val="clear" w:color="auto" w:fill="FFFFFF"/>
        <w:spacing w:before="240" w:after="240" w:line="600" w:lineRule="atLeast"/>
        <w:ind w:left="142" w:right="1276"/>
        <w:jc w:val="both"/>
        <w:outlineLvl w:val="1"/>
        <w:rPr>
          <w:rFonts w:ascii="Arial" w:eastAsia="Times New Roman" w:hAnsi="Arial" w:cs="Arial"/>
          <w:b/>
          <w:sz w:val="20"/>
          <w:szCs w:val="20"/>
          <w:u w:val="single"/>
          <w:lang w:eastAsia="fr-FR"/>
        </w:rPr>
      </w:pPr>
      <w:r w:rsidRPr="00701553">
        <w:rPr>
          <w:rFonts w:ascii="Arial" w:eastAsia="Times New Roman" w:hAnsi="Arial" w:cs="Arial"/>
          <w:b/>
          <w:sz w:val="20"/>
          <w:szCs w:val="20"/>
          <w:u w:val="single"/>
          <w:lang w:eastAsia="fr-FR"/>
        </w:rPr>
        <w:t>II. Description du traitement faisant l’objet du transfert des données à caractère personnel</w:t>
      </w:r>
    </w:p>
    <w:p w14:paraId="236ED167" w14:textId="77777777" w:rsidR="00701553" w:rsidRPr="00701553" w:rsidRDefault="00701553" w:rsidP="00701553">
      <w:pPr>
        <w:shd w:val="clear" w:color="auto" w:fill="FFFFFF"/>
        <w:spacing w:after="165" w:line="240" w:lineRule="auto"/>
        <w:ind w:left="142"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est autorisé à traiter pour le compte du CEA les données à caractère personnel nécessaires pour fournir le ou les service(s) suivant(s) (à renseigner par le CEA –prescripteur) :</w:t>
      </w:r>
    </w:p>
    <w:tbl>
      <w:tblPr>
        <w:tblW w:w="474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6"/>
      </w:tblGrid>
      <w:tr w:rsidR="00701553" w:rsidRPr="00701553" w14:paraId="3833C4F6" w14:textId="77777777" w:rsidTr="002C5852">
        <w:trPr>
          <w:trHeight w:val="511"/>
        </w:trPr>
        <w:tc>
          <w:tcPr>
            <w:tcW w:w="5000" w:type="pct"/>
            <w:shd w:val="clear" w:color="auto" w:fill="auto"/>
          </w:tcPr>
          <w:p w14:paraId="6D642878" w14:textId="77777777" w:rsidR="00701553" w:rsidRPr="00701553" w:rsidRDefault="00701553" w:rsidP="00701553">
            <w:pPr>
              <w:shd w:val="clear" w:color="auto" w:fill="FFFFFF"/>
              <w:spacing w:after="165" w:line="240" w:lineRule="auto"/>
              <w:ind w:left="30" w:right="1275"/>
              <w:jc w:val="both"/>
              <w:rPr>
                <w:rFonts w:ascii="Arial" w:eastAsia="Times New Roman" w:hAnsi="Arial" w:cs="Arial"/>
                <w:sz w:val="20"/>
                <w:szCs w:val="18"/>
                <w:lang w:eastAsia="fr-FR"/>
              </w:rPr>
            </w:pPr>
            <w:r w:rsidRPr="00701553">
              <w:rPr>
                <w:rFonts w:ascii="Arial" w:eastAsia="Times New Roman" w:hAnsi="Arial" w:cs="Arial"/>
                <w:sz w:val="20"/>
                <w:szCs w:val="18"/>
                <w:u w:val="single"/>
                <w:lang w:eastAsia="fr-FR"/>
              </w:rPr>
              <w:t>Description des opérations réalisées sur les données</w:t>
            </w:r>
            <w:r w:rsidRPr="00701553">
              <w:rPr>
                <w:rFonts w:ascii="Arial" w:eastAsia="Times New Roman" w:hAnsi="Arial" w:cs="Arial"/>
                <w:sz w:val="20"/>
                <w:szCs w:val="18"/>
                <w:lang w:eastAsia="fr-FR"/>
              </w:rPr>
              <w:t> :</w:t>
            </w:r>
          </w:p>
          <w:p w14:paraId="36716B72" w14:textId="77777777" w:rsidR="00701553" w:rsidRPr="00701553" w:rsidRDefault="00701553" w:rsidP="00701553">
            <w:pPr>
              <w:shd w:val="clear" w:color="auto" w:fill="FFFFFF"/>
              <w:spacing w:after="165" w:line="240" w:lineRule="auto"/>
              <w:ind w:left="30" w:right="-118"/>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 xml:space="preserve">Saisie des données dans le cadre de la réalisation des prestations n°1 à 7 telles que définies au </w:t>
            </w:r>
            <w:proofErr w:type="spellStart"/>
            <w:r w:rsidRPr="00701553">
              <w:rPr>
                <w:rFonts w:ascii="Arial" w:eastAsia="Times New Roman" w:hAnsi="Arial" w:cs="Arial"/>
                <w:sz w:val="20"/>
                <w:szCs w:val="18"/>
                <w:lang w:eastAsia="fr-FR"/>
              </w:rPr>
              <w:t>CdC</w:t>
            </w:r>
            <w:proofErr w:type="spellEnd"/>
          </w:p>
        </w:tc>
      </w:tr>
      <w:tr w:rsidR="00701553" w:rsidRPr="00701553" w14:paraId="5AEF31BA" w14:textId="77777777" w:rsidTr="002C5852">
        <w:trPr>
          <w:trHeight w:val="566"/>
        </w:trPr>
        <w:tc>
          <w:tcPr>
            <w:tcW w:w="5000" w:type="pct"/>
            <w:shd w:val="clear" w:color="auto" w:fill="auto"/>
          </w:tcPr>
          <w:p w14:paraId="3517F553" w14:textId="77777777" w:rsidR="00701553" w:rsidRPr="00701553" w:rsidRDefault="00701553" w:rsidP="00701553">
            <w:pPr>
              <w:shd w:val="clear" w:color="auto" w:fill="FFFFFF"/>
              <w:spacing w:after="165" w:line="240" w:lineRule="auto"/>
              <w:ind w:left="30" w:right="1275"/>
              <w:jc w:val="both"/>
              <w:rPr>
                <w:rFonts w:ascii="Arial" w:eastAsia="Times New Roman" w:hAnsi="Arial" w:cs="Arial"/>
                <w:sz w:val="20"/>
                <w:szCs w:val="18"/>
                <w:lang w:eastAsia="fr-FR"/>
              </w:rPr>
            </w:pPr>
            <w:r w:rsidRPr="00701553">
              <w:rPr>
                <w:rFonts w:ascii="Arial" w:eastAsia="Times New Roman" w:hAnsi="Arial" w:cs="Arial"/>
                <w:sz w:val="20"/>
                <w:szCs w:val="18"/>
                <w:u w:val="single"/>
                <w:lang w:eastAsia="fr-FR"/>
              </w:rPr>
              <w:t>Finalité(s) du traitement</w:t>
            </w:r>
            <w:r w:rsidRPr="00701553">
              <w:rPr>
                <w:rFonts w:ascii="Arial" w:eastAsia="Times New Roman" w:hAnsi="Arial" w:cs="Arial"/>
                <w:sz w:val="20"/>
                <w:szCs w:val="18"/>
                <w:lang w:eastAsia="fr-FR"/>
              </w:rPr>
              <w:t> :</w:t>
            </w:r>
          </w:p>
          <w:p w14:paraId="732B3077" w14:textId="77777777" w:rsidR="00701553" w:rsidRPr="00701553" w:rsidRDefault="00701553" w:rsidP="00701553">
            <w:pPr>
              <w:shd w:val="clear" w:color="auto" w:fill="FFFFFF"/>
              <w:spacing w:after="165" w:line="240" w:lineRule="auto"/>
              <w:ind w:left="30" w:right="1275"/>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Assurer le bon déroulement des prestations et leur facturation</w:t>
            </w:r>
          </w:p>
        </w:tc>
      </w:tr>
      <w:tr w:rsidR="00701553" w:rsidRPr="00701553" w14:paraId="162EE972" w14:textId="77777777" w:rsidTr="002C5852">
        <w:tc>
          <w:tcPr>
            <w:tcW w:w="5000" w:type="pct"/>
            <w:shd w:val="clear" w:color="auto" w:fill="auto"/>
          </w:tcPr>
          <w:p w14:paraId="25538703" w14:textId="77777777" w:rsidR="00701553" w:rsidRPr="00701553" w:rsidRDefault="00701553" w:rsidP="00701553">
            <w:pPr>
              <w:shd w:val="clear" w:color="auto" w:fill="FFFFFF"/>
              <w:spacing w:after="165" w:line="240" w:lineRule="auto"/>
              <w:ind w:left="30" w:right="1275"/>
              <w:jc w:val="both"/>
              <w:rPr>
                <w:rFonts w:ascii="Arial" w:eastAsia="Times New Roman" w:hAnsi="Arial" w:cs="Arial"/>
                <w:sz w:val="20"/>
                <w:szCs w:val="18"/>
                <w:lang w:eastAsia="fr-FR"/>
              </w:rPr>
            </w:pPr>
            <w:r w:rsidRPr="00701553">
              <w:rPr>
                <w:rFonts w:ascii="Arial" w:eastAsia="Times New Roman" w:hAnsi="Arial" w:cs="Arial"/>
                <w:sz w:val="20"/>
                <w:szCs w:val="18"/>
                <w:u w:val="single"/>
                <w:lang w:eastAsia="fr-FR"/>
              </w:rPr>
              <w:t>Type de données à caractère personnel traitées</w:t>
            </w:r>
            <w:r w:rsidRPr="00701553">
              <w:rPr>
                <w:rFonts w:ascii="Arial" w:eastAsia="Times New Roman" w:hAnsi="Arial" w:cs="Arial"/>
                <w:sz w:val="20"/>
                <w:szCs w:val="18"/>
                <w:lang w:eastAsia="fr-FR"/>
              </w:rPr>
              <w:t> :</w:t>
            </w:r>
          </w:p>
          <w:p w14:paraId="106F3AC9" w14:textId="77777777" w:rsidR="00701553" w:rsidRPr="00701553" w:rsidRDefault="00701553" w:rsidP="00701553">
            <w:pPr>
              <w:shd w:val="clear" w:color="auto" w:fill="FFFFFF"/>
              <w:spacing w:after="165" w:line="240" w:lineRule="auto"/>
              <w:ind w:left="30" w:right="1275"/>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Etat civil, coordonnées téléphoniques et mail professionnels.</w:t>
            </w:r>
          </w:p>
        </w:tc>
      </w:tr>
      <w:tr w:rsidR="00701553" w:rsidRPr="00701553" w14:paraId="09F49778" w14:textId="77777777" w:rsidTr="002C5852">
        <w:tc>
          <w:tcPr>
            <w:tcW w:w="5000" w:type="pct"/>
            <w:shd w:val="clear" w:color="auto" w:fill="auto"/>
          </w:tcPr>
          <w:p w14:paraId="20BE6546" w14:textId="77777777" w:rsidR="00701553" w:rsidRPr="00701553" w:rsidRDefault="00701553" w:rsidP="00701553">
            <w:pPr>
              <w:shd w:val="clear" w:color="auto" w:fill="FFFFFF"/>
              <w:spacing w:after="165" w:line="240" w:lineRule="auto"/>
              <w:ind w:left="30" w:right="1275"/>
              <w:jc w:val="both"/>
              <w:rPr>
                <w:rFonts w:ascii="Arial" w:eastAsia="Times New Roman" w:hAnsi="Arial" w:cs="Arial"/>
                <w:sz w:val="20"/>
                <w:szCs w:val="18"/>
                <w:lang w:eastAsia="fr-FR"/>
              </w:rPr>
            </w:pPr>
            <w:r w:rsidRPr="00701553">
              <w:rPr>
                <w:rFonts w:ascii="Arial" w:eastAsia="Times New Roman" w:hAnsi="Arial" w:cs="Arial"/>
                <w:sz w:val="20"/>
                <w:szCs w:val="18"/>
                <w:u w:val="single"/>
                <w:lang w:eastAsia="fr-FR"/>
              </w:rPr>
              <w:t>Catégories de personnes concernées</w:t>
            </w:r>
            <w:r w:rsidRPr="00701553">
              <w:rPr>
                <w:rFonts w:ascii="Arial" w:eastAsia="Times New Roman" w:hAnsi="Arial" w:cs="Arial"/>
                <w:sz w:val="20"/>
                <w:szCs w:val="18"/>
                <w:lang w:eastAsia="fr-FR"/>
              </w:rPr>
              <w:t> :</w:t>
            </w:r>
          </w:p>
          <w:p w14:paraId="4340045F" w14:textId="77777777" w:rsidR="00701553" w:rsidRPr="00701553" w:rsidRDefault="00701553" w:rsidP="00701553">
            <w:pPr>
              <w:shd w:val="clear" w:color="auto" w:fill="FFFFFF"/>
              <w:spacing w:after="165" w:line="240" w:lineRule="auto"/>
              <w:ind w:left="30" w:right="1275"/>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 xml:space="preserve">Collaborateurs de CEA tels que définis au </w:t>
            </w:r>
            <w:proofErr w:type="spellStart"/>
            <w:r w:rsidRPr="00701553">
              <w:rPr>
                <w:rFonts w:ascii="Arial" w:eastAsia="Times New Roman" w:hAnsi="Arial" w:cs="Arial"/>
                <w:sz w:val="20"/>
                <w:szCs w:val="18"/>
                <w:lang w:eastAsia="fr-FR"/>
              </w:rPr>
              <w:t>CdC</w:t>
            </w:r>
            <w:proofErr w:type="spellEnd"/>
          </w:p>
        </w:tc>
      </w:tr>
      <w:tr w:rsidR="00701553" w:rsidRPr="00701553" w14:paraId="14D6B1C0" w14:textId="77777777" w:rsidTr="002C5852">
        <w:tc>
          <w:tcPr>
            <w:tcW w:w="5000" w:type="pct"/>
            <w:shd w:val="clear" w:color="auto" w:fill="auto"/>
          </w:tcPr>
          <w:p w14:paraId="076379BD" w14:textId="77777777" w:rsidR="00701553" w:rsidRPr="00701553" w:rsidRDefault="00701553" w:rsidP="00701553">
            <w:pPr>
              <w:shd w:val="clear" w:color="auto" w:fill="FFFFFF"/>
              <w:spacing w:after="165" w:line="240" w:lineRule="auto"/>
              <w:ind w:left="30" w:right="1275"/>
              <w:jc w:val="both"/>
              <w:rPr>
                <w:rFonts w:ascii="Arial" w:eastAsia="Times New Roman" w:hAnsi="Arial" w:cs="Arial"/>
                <w:sz w:val="20"/>
                <w:szCs w:val="18"/>
                <w:lang w:eastAsia="fr-FR"/>
              </w:rPr>
            </w:pPr>
            <w:r w:rsidRPr="00701553">
              <w:rPr>
                <w:rFonts w:ascii="Arial" w:eastAsia="Times New Roman" w:hAnsi="Arial" w:cs="Arial"/>
                <w:sz w:val="20"/>
                <w:szCs w:val="18"/>
                <w:u w:val="single"/>
                <w:lang w:eastAsia="fr-FR"/>
              </w:rPr>
              <w:t>Autres précisions ou interdictions</w:t>
            </w:r>
            <w:r w:rsidRPr="00701553">
              <w:rPr>
                <w:rFonts w:ascii="Arial" w:eastAsia="Times New Roman" w:hAnsi="Arial" w:cs="Arial"/>
                <w:sz w:val="20"/>
                <w:szCs w:val="18"/>
                <w:lang w:eastAsia="fr-FR"/>
              </w:rPr>
              <w:t> :</w:t>
            </w:r>
          </w:p>
          <w:p w14:paraId="0E420268" w14:textId="77777777" w:rsidR="00701553" w:rsidRPr="00701553" w:rsidRDefault="00701553" w:rsidP="00701553">
            <w:pPr>
              <w:shd w:val="clear" w:color="auto" w:fill="FFFFFF"/>
              <w:spacing w:after="165" w:line="240" w:lineRule="auto"/>
              <w:ind w:left="30" w:right="24"/>
              <w:jc w:val="both"/>
              <w:rPr>
                <w:rFonts w:ascii="Arial" w:eastAsia="Times New Roman" w:hAnsi="Arial" w:cs="Arial"/>
                <w:sz w:val="20"/>
                <w:szCs w:val="18"/>
                <w:lang w:eastAsia="fr-FR"/>
              </w:rPr>
            </w:pPr>
            <w:r w:rsidRPr="00701553">
              <w:rPr>
                <w:rFonts w:ascii="Arial" w:eastAsia="Calibri" w:hAnsi="Arial" w:cs="Arial"/>
                <w:sz w:val="20"/>
                <w:szCs w:val="18"/>
              </w:rPr>
              <w:t>Le Titulaire s’interdit de communiquer, à destination des tiers, tant sur l’existence même du présent accord-cadre que des conditions qui y sont définies. Le Titulaire s’interdit également sur l’ensemble de ses documents publicitaires ou tout autre documentation, présentés sur support papier ou numérique, de faire référence au CEA ou aux Etablissements CEA, sans avoir obtenu l’autorisation préalable de ce dernier</w:t>
            </w:r>
          </w:p>
          <w:p w14:paraId="156312D8" w14:textId="38134242" w:rsidR="00701553" w:rsidRPr="00701553" w:rsidRDefault="00701553" w:rsidP="00701553">
            <w:pPr>
              <w:shd w:val="clear" w:color="auto" w:fill="FFFFFF"/>
              <w:spacing w:after="165" w:line="240" w:lineRule="auto"/>
              <w:ind w:left="30" w:right="24"/>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 xml:space="preserve">Le Titulaire s’engage à </w:t>
            </w:r>
            <w:r w:rsidRPr="00701553">
              <w:rPr>
                <w:rFonts w:ascii="Arial" w:eastAsia="Times New Roman" w:hAnsi="Arial" w:cs="Arial"/>
                <w:b/>
                <w:bCs/>
                <w:sz w:val="20"/>
                <w:szCs w:val="18"/>
                <w:u w:val="single"/>
                <w:lang w:eastAsia="fr-FR"/>
              </w:rPr>
              <w:t>ne jamais communiquer</w:t>
            </w:r>
            <w:r w:rsidRPr="00701553">
              <w:rPr>
                <w:rFonts w:ascii="Arial" w:eastAsia="Times New Roman" w:hAnsi="Arial" w:cs="Arial"/>
                <w:sz w:val="20"/>
                <w:szCs w:val="18"/>
                <w:u w:val="single"/>
                <w:lang w:eastAsia="fr-FR"/>
              </w:rPr>
              <w:t xml:space="preserve"> </w:t>
            </w:r>
            <w:r w:rsidRPr="00701553">
              <w:rPr>
                <w:rFonts w:ascii="Arial" w:eastAsia="Times New Roman" w:hAnsi="Arial" w:cs="Arial"/>
                <w:sz w:val="20"/>
                <w:szCs w:val="18"/>
                <w:lang w:eastAsia="fr-FR"/>
              </w:rPr>
              <w:t>les données des collaborateurs du CEA à un tiers</w:t>
            </w:r>
            <w:r w:rsidR="00382E46">
              <w:rPr>
                <w:rFonts w:ascii="Arial" w:eastAsia="Times New Roman" w:hAnsi="Arial" w:cs="Arial"/>
                <w:sz w:val="20"/>
                <w:szCs w:val="18"/>
                <w:lang w:eastAsia="fr-FR"/>
              </w:rPr>
              <w:t xml:space="preserve"> </w:t>
            </w:r>
            <w:r w:rsidRPr="00701553">
              <w:rPr>
                <w:rFonts w:ascii="Arial" w:eastAsia="Times New Roman" w:hAnsi="Arial" w:cs="Arial"/>
                <w:sz w:val="20"/>
                <w:szCs w:val="18"/>
                <w:lang w:eastAsia="fr-FR"/>
              </w:rPr>
              <w:t>A la fin du marché, le Titulaire s’engage à détruire tous les fichiers, documents, données, relatifs au marché</w:t>
            </w:r>
          </w:p>
        </w:tc>
      </w:tr>
    </w:tbl>
    <w:p w14:paraId="0B6DDEF5" w14:textId="77777777" w:rsidR="00701553" w:rsidRPr="00701553" w:rsidRDefault="00701553" w:rsidP="00701553">
      <w:pPr>
        <w:shd w:val="clear" w:color="auto" w:fill="FFFFFF"/>
        <w:spacing w:before="240" w:after="240" w:line="600" w:lineRule="atLeast"/>
        <w:ind w:left="142" w:right="1276"/>
        <w:jc w:val="both"/>
        <w:outlineLvl w:val="1"/>
        <w:rPr>
          <w:rFonts w:ascii="Arial" w:eastAsia="Times New Roman" w:hAnsi="Arial" w:cs="Arial"/>
          <w:b/>
          <w:sz w:val="20"/>
          <w:szCs w:val="20"/>
          <w:u w:val="single"/>
          <w:lang w:eastAsia="fr-FR"/>
        </w:rPr>
      </w:pPr>
      <w:r w:rsidRPr="00701553">
        <w:rPr>
          <w:rFonts w:ascii="Arial" w:eastAsia="Times New Roman" w:hAnsi="Arial" w:cs="Arial"/>
          <w:b/>
          <w:sz w:val="20"/>
          <w:szCs w:val="20"/>
          <w:u w:val="single"/>
          <w:lang w:eastAsia="fr-FR"/>
        </w:rPr>
        <w:t>III. Obligations du Titulaire vis-à-vis du CEA</w:t>
      </w:r>
    </w:p>
    <w:p w14:paraId="110F0611" w14:textId="77777777" w:rsidR="00701553" w:rsidRPr="00701553" w:rsidRDefault="00701553" w:rsidP="00701553">
      <w:pPr>
        <w:shd w:val="clear" w:color="auto" w:fill="FFFFFF"/>
        <w:spacing w:after="120" w:line="240" w:lineRule="auto"/>
        <w:ind w:left="142"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s'engage à :</w:t>
      </w:r>
    </w:p>
    <w:p w14:paraId="08688256" w14:textId="77777777" w:rsidR="00701553" w:rsidRPr="00701553" w:rsidRDefault="00701553" w:rsidP="00701553">
      <w:pPr>
        <w:numPr>
          <w:ilvl w:val="0"/>
          <w:numId w:val="2"/>
        </w:numPr>
        <w:shd w:val="clear" w:color="auto" w:fill="FFFFFF"/>
        <w:tabs>
          <w:tab w:val="num" w:pos="567"/>
        </w:tabs>
        <w:spacing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Traiter les données </w:t>
      </w:r>
      <w:r w:rsidRPr="00701553">
        <w:rPr>
          <w:rFonts w:ascii="Arial" w:eastAsia="Times New Roman" w:hAnsi="Arial" w:cs="Arial"/>
          <w:b/>
          <w:bCs/>
          <w:sz w:val="20"/>
          <w:szCs w:val="20"/>
          <w:lang w:eastAsia="fr-FR"/>
        </w:rPr>
        <w:t>uniquement pour la ou les seule(s) finalité(s)</w:t>
      </w:r>
      <w:r w:rsidRPr="00701553">
        <w:rPr>
          <w:rFonts w:ascii="Arial" w:eastAsia="Times New Roman" w:hAnsi="Arial" w:cs="Arial"/>
          <w:sz w:val="20"/>
          <w:szCs w:val="20"/>
          <w:lang w:eastAsia="fr-FR"/>
        </w:rPr>
        <w:t> qui fait/font l’objet de la prestation ;</w:t>
      </w:r>
    </w:p>
    <w:p w14:paraId="2C5CCDA6" w14:textId="31EF057A" w:rsidR="00701553" w:rsidRPr="00701553" w:rsidRDefault="00701553" w:rsidP="00701553">
      <w:pPr>
        <w:numPr>
          <w:ilvl w:val="0"/>
          <w:numId w:val="2"/>
        </w:numPr>
        <w:shd w:val="clear" w:color="auto" w:fill="FFFFFF"/>
        <w:tabs>
          <w:tab w:val="num" w:pos="567"/>
        </w:tabs>
        <w:spacing w:before="100" w:beforeAutospacing="1"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Traiter les données </w:t>
      </w:r>
      <w:r w:rsidRPr="00701553">
        <w:rPr>
          <w:rFonts w:ascii="Arial" w:eastAsia="Times New Roman" w:hAnsi="Arial" w:cs="Arial"/>
          <w:b/>
          <w:bCs/>
          <w:sz w:val="20"/>
          <w:szCs w:val="20"/>
          <w:lang w:eastAsia="fr-FR"/>
        </w:rPr>
        <w:t>conformément aux instructions documentées</w:t>
      </w:r>
      <w:r w:rsidRPr="00701553">
        <w:rPr>
          <w:rFonts w:ascii="Arial" w:eastAsia="Times New Roman" w:hAnsi="Arial" w:cs="Arial"/>
          <w:sz w:val="20"/>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701553">
        <w:rPr>
          <w:rFonts w:ascii="Arial" w:eastAsia="Times New Roman" w:hAnsi="Arial" w:cs="Arial"/>
          <w:b/>
          <w:bCs/>
          <w:sz w:val="20"/>
          <w:szCs w:val="20"/>
          <w:lang w:eastAsia="fr-FR"/>
        </w:rPr>
        <w:t>informe immédiatement</w:t>
      </w:r>
      <w:r>
        <w:rPr>
          <w:rFonts w:ascii="Arial" w:eastAsia="Times New Roman" w:hAnsi="Arial" w:cs="Arial"/>
          <w:b/>
          <w:bCs/>
          <w:sz w:val="20"/>
          <w:szCs w:val="20"/>
          <w:lang w:eastAsia="fr-FR"/>
        </w:rPr>
        <w:t xml:space="preserve"> </w:t>
      </w:r>
      <w:r w:rsidRPr="00701553">
        <w:rPr>
          <w:rFonts w:ascii="Arial" w:eastAsia="Times New Roman" w:hAnsi="Arial" w:cs="Arial"/>
          <w:sz w:val="20"/>
          <w:szCs w:val="20"/>
          <w:lang w:eastAsia="fr-FR"/>
        </w:rPr>
        <w:t xml:space="preserve">le CEA. </w:t>
      </w:r>
    </w:p>
    <w:p w14:paraId="7F4A19D0" w14:textId="77777777" w:rsidR="00701553" w:rsidRPr="00701553" w:rsidRDefault="00701553" w:rsidP="00701553">
      <w:pPr>
        <w:shd w:val="clear" w:color="auto" w:fill="FFFFFF"/>
        <w:spacing w:before="100" w:beforeAutospacing="1" w:after="150"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58CD4FD3" w14:textId="57A3BD72" w:rsidR="00701553" w:rsidRDefault="00701553" w:rsidP="00701553">
      <w:pPr>
        <w:numPr>
          <w:ilvl w:val="0"/>
          <w:numId w:val="2"/>
        </w:numPr>
        <w:shd w:val="clear" w:color="auto" w:fill="FFFFFF"/>
        <w:tabs>
          <w:tab w:val="num" w:pos="567"/>
        </w:tabs>
        <w:spacing w:before="100" w:beforeAutospacing="1"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lastRenderedPageBreak/>
        <w:t>Garantir la confidentialité</w:t>
      </w:r>
      <w:r w:rsidRPr="00701553">
        <w:rPr>
          <w:rFonts w:ascii="Arial" w:eastAsia="Times New Roman" w:hAnsi="Arial" w:cs="Arial"/>
          <w:sz w:val="20"/>
          <w:szCs w:val="20"/>
          <w:lang w:eastAsia="fr-FR"/>
        </w:rPr>
        <w:t> des données à caractère personnel traitées dans le cadre du présent marché ;</w:t>
      </w:r>
    </w:p>
    <w:p w14:paraId="577C36E1" w14:textId="77777777" w:rsidR="00701553" w:rsidRPr="00701553" w:rsidRDefault="00701553" w:rsidP="00701553">
      <w:pPr>
        <w:numPr>
          <w:ilvl w:val="0"/>
          <w:numId w:val="2"/>
        </w:numPr>
        <w:shd w:val="clear" w:color="auto" w:fill="FFFFFF"/>
        <w:tabs>
          <w:tab w:val="num" w:pos="567"/>
        </w:tabs>
        <w:spacing w:before="100" w:beforeAutospacing="1"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Veiller à ce que les </w:t>
      </w:r>
      <w:r w:rsidRPr="00701553">
        <w:rPr>
          <w:rFonts w:ascii="Arial" w:eastAsia="Times New Roman" w:hAnsi="Arial" w:cs="Arial"/>
          <w:b/>
          <w:bCs/>
          <w:sz w:val="20"/>
          <w:szCs w:val="20"/>
          <w:lang w:eastAsia="fr-FR"/>
        </w:rPr>
        <w:t>personnes autorisées à traiter les données à caractère personnel </w:t>
      </w:r>
      <w:r w:rsidRPr="00701553">
        <w:rPr>
          <w:rFonts w:ascii="Arial" w:eastAsia="Times New Roman" w:hAnsi="Arial" w:cs="Arial"/>
          <w:sz w:val="20"/>
          <w:szCs w:val="20"/>
          <w:lang w:eastAsia="fr-FR"/>
        </w:rPr>
        <w:t>en vertu du présent marché :</w:t>
      </w:r>
    </w:p>
    <w:p w14:paraId="53523EC9" w14:textId="77777777" w:rsidR="00701553" w:rsidRPr="00701553" w:rsidRDefault="00701553" w:rsidP="00382E46">
      <w:pPr>
        <w:numPr>
          <w:ilvl w:val="0"/>
          <w:numId w:val="3"/>
        </w:numPr>
        <w:shd w:val="clear" w:color="auto" w:fill="FFFFFF"/>
        <w:tabs>
          <w:tab w:val="clear" w:pos="1068"/>
        </w:tabs>
        <w:spacing w:after="150" w:line="240" w:lineRule="auto"/>
        <w:ind w:left="993" w:right="28"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S’engagent à respecter la confidentialité ou soient soumises à une obligation légale appropriée de confidentialité,</w:t>
      </w:r>
    </w:p>
    <w:p w14:paraId="153F9830" w14:textId="77777777" w:rsidR="00701553" w:rsidRPr="00701553" w:rsidRDefault="00701553" w:rsidP="00701553">
      <w:pPr>
        <w:numPr>
          <w:ilvl w:val="0"/>
          <w:numId w:val="3"/>
        </w:numPr>
        <w:shd w:val="clear" w:color="auto" w:fill="FFFFFF"/>
        <w:tabs>
          <w:tab w:val="clear" w:pos="1068"/>
        </w:tabs>
        <w:spacing w:before="100" w:beforeAutospacing="1" w:after="150" w:line="240" w:lineRule="auto"/>
        <w:ind w:left="993"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Reçoivent la formation nécessaire en matière de protection des données à caractère personnel</w:t>
      </w:r>
    </w:p>
    <w:p w14:paraId="43BE23E2" w14:textId="77777777" w:rsidR="00701553" w:rsidRPr="00701553" w:rsidRDefault="00701553" w:rsidP="00701553">
      <w:pPr>
        <w:numPr>
          <w:ilvl w:val="0"/>
          <w:numId w:val="4"/>
        </w:numPr>
        <w:shd w:val="clear" w:color="auto" w:fill="FFFFFF"/>
        <w:tabs>
          <w:tab w:val="num" w:pos="567"/>
        </w:tabs>
        <w:spacing w:before="100" w:beforeAutospacing="1"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Prendre en compte, s’agissant de ses outils, produits, applications ou services, les principes de</w:t>
      </w:r>
      <w:r w:rsidRPr="00701553">
        <w:rPr>
          <w:rFonts w:ascii="Arial" w:eastAsia="Times New Roman" w:hAnsi="Arial" w:cs="Arial"/>
          <w:b/>
          <w:bCs/>
          <w:sz w:val="20"/>
          <w:szCs w:val="20"/>
          <w:lang w:eastAsia="fr-FR"/>
        </w:rPr>
        <w:t> protection des données dès la conception</w:t>
      </w:r>
      <w:r w:rsidRPr="00701553">
        <w:rPr>
          <w:rFonts w:ascii="Arial" w:eastAsia="Times New Roman" w:hAnsi="Arial" w:cs="Arial"/>
          <w:sz w:val="20"/>
          <w:szCs w:val="20"/>
          <w:lang w:eastAsia="fr-FR"/>
        </w:rPr>
        <w:t> et de</w:t>
      </w:r>
      <w:r w:rsidRPr="00701553">
        <w:rPr>
          <w:rFonts w:ascii="Arial" w:eastAsia="Times New Roman" w:hAnsi="Arial" w:cs="Arial"/>
          <w:b/>
          <w:bCs/>
          <w:sz w:val="20"/>
          <w:szCs w:val="20"/>
          <w:lang w:eastAsia="fr-FR"/>
        </w:rPr>
        <w:t> protection des données par défaut</w:t>
      </w:r>
    </w:p>
    <w:p w14:paraId="707362A6" w14:textId="77777777" w:rsidR="00701553" w:rsidRPr="00701553" w:rsidRDefault="00701553" w:rsidP="00701553">
      <w:pPr>
        <w:numPr>
          <w:ilvl w:val="0"/>
          <w:numId w:val="4"/>
        </w:numPr>
        <w:shd w:val="clear" w:color="auto" w:fill="FFFFFF"/>
        <w:tabs>
          <w:tab w:val="num" w:pos="567"/>
        </w:tabs>
        <w:spacing w:before="100" w:beforeAutospacing="1"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Sous-traitance</w:t>
      </w:r>
    </w:p>
    <w:p w14:paraId="159C7A6F" w14:textId="77777777" w:rsidR="00701553" w:rsidRPr="00701553" w:rsidRDefault="00701553" w:rsidP="00701553">
      <w:pPr>
        <w:shd w:val="clear" w:color="auto" w:fill="FFFFFF"/>
        <w:tabs>
          <w:tab w:val="num" w:pos="567"/>
        </w:tabs>
        <w:spacing w:after="165"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est autorisé à faire appel à un sous-traitant pour mener les activités de traitement suivantes : (à préciser le cas échéant).</w:t>
      </w:r>
    </w:p>
    <w:p w14:paraId="2F11BF2E" w14:textId="77777777" w:rsidR="00701553" w:rsidRPr="00701553" w:rsidRDefault="00701553" w:rsidP="00701553">
      <w:pPr>
        <w:shd w:val="clear" w:color="auto" w:fill="FFFFFF"/>
        <w:tabs>
          <w:tab w:val="num" w:pos="567"/>
        </w:tabs>
        <w:spacing w:after="165"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sous-traitant est tenu de respecter les obligations du présent marché pour le compte et selon les instructions du CEA.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le CEA de l’exécution par le sous-traitant de ses obligations.</w:t>
      </w:r>
    </w:p>
    <w:p w14:paraId="56E00CCB" w14:textId="77777777" w:rsidR="00701553" w:rsidRPr="00701553" w:rsidRDefault="00701553" w:rsidP="00701553">
      <w:pPr>
        <w:numPr>
          <w:ilvl w:val="0"/>
          <w:numId w:val="5"/>
        </w:numPr>
        <w:shd w:val="clear" w:color="auto" w:fill="FFFFFF"/>
        <w:tabs>
          <w:tab w:val="num" w:pos="567"/>
        </w:tabs>
        <w:spacing w:before="100" w:beforeAutospacing="1"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Droit d’information des personnes concernées</w:t>
      </w:r>
    </w:p>
    <w:p w14:paraId="6C57B3B7" w14:textId="77777777" w:rsidR="00701553" w:rsidRPr="00701553" w:rsidRDefault="00701553" w:rsidP="00701553">
      <w:pPr>
        <w:shd w:val="clear" w:color="auto" w:fill="FFFFFF"/>
        <w:tabs>
          <w:tab w:val="num" w:pos="567"/>
        </w:tabs>
        <w:spacing w:after="0"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7B9669DD" w14:textId="77777777" w:rsidR="00701553" w:rsidRPr="00701553" w:rsidRDefault="00701553" w:rsidP="00701553">
      <w:pPr>
        <w:shd w:val="clear" w:color="auto" w:fill="FFFFFF"/>
        <w:tabs>
          <w:tab w:val="num" w:pos="567"/>
        </w:tabs>
        <w:spacing w:after="0" w:line="240" w:lineRule="auto"/>
        <w:ind w:left="567" w:right="27" w:hanging="284"/>
        <w:jc w:val="both"/>
        <w:rPr>
          <w:rFonts w:ascii="Arial" w:eastAsia="Times New Roman" w:hAnsi="Arial" w:cs="Arial"/>
          <w:sz w:val="20"/>
          <w:szCs w:val="20"/>
          <w:lang w:eastAsia="fr-FR"/>
        </w:rPr>
      </w:pPr>
    </w:p>
    <w:p w14:paraId="54684330" w14:textId="77777777" w:rsidR="00701553" w:rsidRPr="00701553" w:rsidRDefault="00701553" w:rsidP="00701553">
      <w:pPr>
        <w:numPr>
          <w:ilvl w:val="0"/>
          <w:numId w:val="6"/>
        </w:numPr>
        <w:shd w:val="clear" w:color="auto" w:fill="FFFFFF"/>
        <w:tabs>
          <w:tab w:val="num" w:pos="567"/>
        </w:tabs>
        <w:spacing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Exercice des droits des personnes</w:t>
      </w:r>
    </w:p>
    <w:p w14:paraId="3EE664AD" w14:textId="77777777" w:rsidR="00701553" w:rsidRPr="00701553" w:rsidRDefault="00701553" w:rsidP="00701553">
      <w:pPr>
        <w:shd w:val="clear" w:color="auto" w:fill="FFFFFF"/>
        <w:tabs>
          <w:tab w:val="num" w:pos="567"/>
        </w:tabs>
        <w:spacing w:after="165"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7B10B54" w14:textId="77777777" w:rsidR="00701553" w:rsidRPr="00701553" w:rsidRDefault="00701553" w:rsidP="00701553">
      <w:pPr>
        <w:shd w:val="clear" w:color="auto" w:fill="FFFFFF"/>
        <w:tabs>
          <w:tab w:val="num" w:pos="567"/>
        </w:tabs>
        <w:spacing w:after="0"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4E0C5E1F" w14:textId="77777777" w:rsidR="00701553" w:rsidRPr="00701553" w:rsidRDefault="00701553" w:rsidP="00701553">
      <w:pPr>
        <w:numPr>
          <w:ilvl w:val="0"/>
          <w:numId w:val="7"/>
        </w:numPr>
        <w:shd w:val="clear" w:color="auto" w:fill="FFFFFF"/>
        <w:tabs>
          <w:tab w:val="num" w:pos="567"/>
        </w:tabs>
        <w:spacing w:before="100" w:beforeAutospacing="1"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Notification des violations de données à caractère personnel</w:t>
      </w:r>
    </w:p>
    <w:p w14:paraId="4B83A57A" w14:textId="77777777" w:rsidR="00701553" w:rsidRPr="00701553" w:rsidRDefault="00701553" w:rsidP="00701553">
      <w:pPr>
        <w:shd w:val="clear" w:color="auto" w:fill="FFFFFF"/>
        <w:tabs>
          <w:tab w:val="num" w:pos="567"/>
        </w:tabs>
        <w:spacing w:after="165"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notifie au CEA toute violation de données à caractère personnel dans un délai maximum de 24 heures après en avoir pris connaissance en adressant un email avec accusé de réception à : cnil@cea.fr. Cette notification est accompagnée de toute documentation utile afin de permettre au CEA, si nécessaire, de notifier cette violation à l’autorité de contrôle compétente.</w:t>
      </w:r>
    </w:p>
    <w:p w14:paraId="14700779" w14:textId="77777777" w:rsidR="00701553" w:rsidRPr="00701553" w:rsidRDefault="00701553" w:rsidP="00701553">
      <w:pPr>
        <w:numPr>
          <w:ilvl w:val="0"/>
          <w:numId w:val="8"/>
        </w:numPr>
        <w:shd w:val="clear" w:color="auto" w:fill="FFFFFF"/>
        <w:tabs>
          <w:tab w:val="num" w:pos="567"/>
        </w:tabs>
        <w:spacing w:before="100" w:beforeAutospacing="1" w:after="150" w:line="240" w:lineRule="auto"/>
        <w:ind w:left="567"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Aide du Titulaire dans le cadre du respect par le CEA de ses obligations</w:t>
      </w:r>
    </w:p>
    <w:p w14:paraId="28DB71BE" w14:textId="77777777" w:rsidR="00701553" w:rsidRPr="00701553" w:rsidRDefault="00701553" w:rsidP="00701553">
      <w:pPr>
        <w:shd w:val="clear" w:color="auto" w:fill="FFFFFF"/>
        <w:tabs>
          <w:tab w:val="num" w:pos="567"/>
        </w:tabs>
        <w:spacing w:after="165"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aide le CEA, le cas échéant, pour la réalisation d’analyses d’impact relative à la protection des données.</w:t>
      </w:r>
    </w:p>
    <w:p w14:paraId="05A75620" w14:textId="77777777" w:rsidR="00701553" w:rsidRPr="00701553" w:rsidRDefault="00701553" w:rsidP="00701553">
      <w:pPr>
        <w:shd w:val="clear" w:color="auto" w:fill="FFFFFF"/>
        <w:tabs>
          <w:tab w:val="num" w:pos="567"/>
        </w:tabs>
        <w:spacing w:after="165" w:line="240" w:lineRule="auto"/>
        <w:ind w:left="567"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aide le CEA, le cas échéant, pour la réalisation de la consultation préalable de l’autorité de contrôle.</w:t>
      </w:r>
    </w:p>
    <w:p w14:paraId="2F26349C" w14:textId="2C38F0FF" w:rsidR="00701553" w:rsidRDefault="00701553">
      <w:pPr>
        <w:rPr>
          <w:rFonts w:ascii="Arial" w:eastAsia="Times New Roman" w:hAnsi="Arial" w:cs="Arial"/>
          <w:sz w:val="20"/>
          <w:szCs w:val="20"/>
          <w:lang w:eastAsia="fr-FR"/>
        </w:rPr>
      </w:pPr>
      <w:r>
        <w:rPr>
          <w:rFonts w:ascii="Arial" w:eastAsia="Times New Roman" w:hAnsi="Arial" w:cs="Arial"/>
          <w:sz w:val="20"/>
          <w:szCs w:val="20"/>
          <w:lang w:eastAsia="fr-FR"/>
        </w:rPr>
        <w:br w:type="page"/>
      </w:r>
    </w:p>
    <w:p w14:paraId="1F822CB2" w14:textId="77777777" w:rsidR="00701553" w:rsidRPr="00701553" w:rsidRDefault="00701553" w:rsidP="00701553">
      <w:pPr>
        <w:shd w:val="clear" w:color="auto" w:fill="FFFFFF"/>
        <w:tabs>
          <w:tab w:val="num" w:pos="567"/>
        </w:tabs>
        <w:spacing w:after="165" w:line="240" w:lineRule="auto"/>
        <w:ind w:left="567" w:right="1275"/>
        <w:jc w:val="both"/>
        <w:rPr>
          <w:rFonts w:ascii="Arial" w:eastAsia="Times New Roman" w:hAnsi="Arial" w:cs="Arial"/>
          <w:sz w:val="20"/>
          <w:szCs w:val="20"/>
          <w:lang w:eastAsia="fr-FR"/>
        </w:rPr>
      </w:pPr>
    </w:p>
    <w:p w14:paraId="67BD08A1" w14:textId="77777777" w:rsidR="00701553" w:rsidRPr="00701553" w:rsidRDefault="00701553" w:rsidP="00701553">
      <w:pPr>
        <w:numPr>
          <w:ilvl w:val="0"/>
          <w:numId w:val="9"/>
        </w:numPr>
        <w:shd w:val="clear" w:color="auto" w:fill="FFFFFF"/>
        <w:spacing w:before="100" w:beforeAutospacing="1" w:after="150" w:line="240" w:lineRule="auto"/>
        <w:ind w:left="709" w:right="1275"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Mesures de sécurité</w:t>
      </w:r>
    </w:p>
    <w:p w14:paraId="5A00FF06" w14:textId="77777777" w:rsidR="00701553" w:rsidRPr="00701553" w:rsidRDefault="00701553" w:rsidP="00701553">
      <w:pPr>
        <w:shd w:val="clear" w:color="auto" w:fill="FFFFFF"/>
        <w:spacing w:after="165" w:line="240" w:lineRule="auto"/>
        <w:ind w:left="567" w:right="1275"/>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s’engage à mettre en œuvre les mesures de sécurité suivantes :</w:t>
      </w:r>
    </w:p>
    <w:tbl>
      <w:tblPr>
        <w:tblW w:w="47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9"/>
        <w:gridCol w:w="4536"/>
      </w:tblGrid>
      <w:tr w:rsidR="00701553" w:rsidRPr="00701553" w14:paraId="336B44E7" w14:textId="77777777" w:rsidTr="00701553">
        <w:tc>
          <w:tcPr>
            <w:tcW w:w="2619" w:type="pct"/>
            <w:shd w:val="clear" w:color="auto" w:fill="auto"/>
          </w:tcPr>
          <w:p w14:paraId="734470A7" w14:textId="77777777" w:rsidR="00701553" w:rsidRPr="00701553" w:rsidRDefault="00701553" w:rsidP="00701553">
            <w:pPr>
              <w:shd w:val="clear" w:color="auto" w:fill="FFFFFF"/>
              <w:spacing w:after="165" w:line="240" w:lineRule="auto"/>
              <w:ind w:left="34" w:right="1275"/>
              <w:jc w:val="both"/>
              <w:rPr>
                <w:rFonts w:ascii="Arial" w:eastAsia="Times New Roman" w:hAnsi="Arial" w:cs="Arial"/>
                <w:sz w:val="20"/>
                <w:szCs w:val="18"/>
                <w:lang w:eastAsia="fr-FR"/>
              </w:rPr>
            </w:pPr>
            <w:proofErr w:type="spellStart"/>
            <w:r w:rsidRPr="00701553">
              <w:rPr>
                <w:rFonts w:ascii="Arial" w:eastAsia="Times New Roman" w:hAnsi="Arial" w:cs="Arial"/>
                <w:sz w:val="20"/>
                <w:szCs w:val="18"/>
                <w:lang w:eastAsia="fr-FR"/>
              </w:rPr>
              <w:t>Pseudonymisation</w:t>
            </w:r>
            <w:proofErr w:type="spellEnd"/>
            <w:r w:rsidRPr="00701553">
              <w:rPr>
                <w:rFonts w:ascii="Arial" w:eastAsia="Times New Roman" w:hAnsi="Arial" w:cs="Arial"/>
                <w:sz w:val="20"/>
                <w:szCs w:val="18"/>
                <w:lang w:eastAsia="fr-FR"/>
              </w:rPr>
              <w:t xml:space="preserve"> des données à caractère personnel (si applicable)</w:t>
            </w:r>
          </w:p>
        </w:tc>
        <w:tc>
          <w:tcPr>
            <w:tcW w:w="2381" w:type="pct"/>
            <w:shd w:val="clear" w:color="auto" w:fill="auto"/>
          </w:tcPr>
          <w:p w14:paraId="23A2B0F4" w14:textId="77777777" w:rsidR="00701553" w:rsidRPr="00701553" w:rsidRDefault="00701553" w:rsidP="00701553">
            <w:pPr>
              <w:shd w:val="clear" w:color="auto" w:fill="FFFFFF"/>
              <w:spacing w:after="165" w:line="240" w:lineRule="auto"/>
              <w:ind w:left="34" w:right="3"/>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 xml:space="preserve">La </w:t>
            </w:r>
            <w:proofErr w:type="spellStart"/>
            <w:r w:rsidRPr="00701553">
              <w:rPr>
                <w:rFonts w:ascii="Arial" w:eastAsia="Times New Roman" w:hAnsi="Arial" w:cs="Arial"/>
                <w:sz w:val="20"/>
                <w:szCs w:val="18"/>
                <w:lang w:eastAsia="fr-FR"/>
              </w:rPr>
              <w:t>pseudonymation</w:t>
            </w:r>
            <w:proofErr w:type="spellEnd"/>
            <w:r w:rsidRPr="00701553">
              <w:rPr>
                <w:rFonts w:ascii="Arial" w:eastAsia="Times New Roman" w:hAnsi="Arial" w:cs="Arial"/>
                <w:sz w:val="20"/>
                <w:szCs w:val="18"/>
                <w:lang w:eastAsia="fr-FR"/>
              </w:rPr>
              <w:t xml:space="preserve"> est nécessaire dans le cadre de la réalisation de certaines prestations (Cf. </w:t>
            </w:r>
            <w:proofErr w:type="spellStart"/>
            <w:r w:rsidRPr="00701553">
              <w:rPr>
                <w:rFonts w:ascii="Arial" w:eastAsia="Times New Roman" w:hAnsi="Arial" w:cs="Arial"/>
                <w:sz w:val="20"/>
                <w:szCs w:val="18"/>
                <w:lang w:eastAsia="fr-FR"/>
              </w:rPr>
              <w:t>CdC</w:t>
            </w:r>
            <w:proofErr w:type="spellEnd"/>
            <w:r w:rsidRPr="00701553">
              <w:rPr>
                <w:rFonts w:ascii="Arial" w:eastAsia="Times New Roman" w:hAnsi="Arial" w:cs="Arial"/>
                <w:sz w:val="20"/>
                <w:szCs w:val="18"/>
                <w:lang w:eastAsia="fr-FR"/>
              </w:rPr>
              <w:t>)</w:t>
            </w:r>
          </w:p>
        </w:tc>
      </w:tr>
      <w:tr w:rsidR="00701553" w:rsidRPr="00701553" w14:paraId="577CDD9B" w14:textId="77777777" w:rsidTr="00701553">
        <w:tc>
          <w:tcPr>
            <w:tcW w:w="2619" w:type="pct"/>
            <w:shd w:val="clear" w:color="auto" w:fill="auto"/>
          </w:tcPr>
          <w:p w14:paraId="353F179A" w14:textId="77777777" w:rsidR="00701553" w:rsidRPr="00701553" w:rsidRDefault="00701553" w:rsidP="00701553">
            <w:pPr>
              <w:shd w:val="clear" w:color="auto" w:fill="FFFFFF"/>
              <w:spacing w:after="165" w:line="240" w:lineRule="auto"/>
              <w:ind w:left="34" w:right="1275"/>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Chiffrement des données à caractère personnel</w:t>
            </w:r>
          </w:p>
        </w:tc>
        <w:tc>
          <w:tcPr>
            <w:tcW w:w="2381" w:type="pct"/>
            <w:shd w:val="clear" w:color="auto" w:fill="auto"/>
          </w:tcPr>
          <w:p w14:paraId="507945F0" w14:textId="77777777" w:rsidR="00701553" w:rsidRPr="00701553" w:rsidRDefault="00701553" w:rsidP="00701553">
            <w:pPr>
              <w:shd w:val="clear" w:color="auto" w:fill="FFFFFF"/>
              <w:spacing w:after="165" w:line="240" w:lineRule="auto"/>
              <w:ind w:left="34" w:right="3"/>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Les échanges de fichiers nominatifs et les fichiers de facturation doivent obligatoirement être chiffrés</w:t>
            </w:r>
          </w:p>
        </w:tc>
      </w:tr>
      <w:tr w:rsidR="00701553" w:rsidRPr="00701553" w14:paraId="7961A1EC" w14:textId="77777777" w:rsidTr="00701553">
        <w:tc>
          <w:tcPr>
            <w:tcW w:w="2619" w:type="pct"/>
            <w:shd w:val="clear" w:color="auto" w:fill="auto"/>
          </w:tcPr>
          <w:p w14:paraId="6C4E5FD8" w14:textId="77777777" w:rsidR="00701553" w:rsidRPr="00701553" w:rsidRDefault="00701553" w:rsidP="00701553">
            <w:pPr>
              <w:shd w:val="clear" w:color="auto" w:fill="FFFFFF"/>
              <w:spacing w:after="165" w:line="240" w:lineRule="auto"/>
              <w:ind w:left="34" w:right="1275"/>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Moyens permettant de garantir la confidentialité et l’intégrité des données</w:t>
            </w:r>
          </w:p>
        </w:tc>
        <w:tc>
          <w:tcPr>
            <w:tcW w:w="2381" w:type="pct"/>
            <w:shd w:val="clear" w:color="auto" w:fill="auto"/>
          </w:tcPr>
          <w:p w14:paraId="15BFC7D3" w14:textId="77777777" w:rsidR="00701553" w:rsidRPr="00382E46" w:rsidRDefault="00701553" w:rsidP="00701553">
            <w:pPr>
              <w:shd w:val="clear" w:color="auto" w:fill="FFFFFF"/>
              <w:spacing w:after="165" w:line="240" w:lineRule="auto"/>
              <w:ind w:left="34" w:right="3"/>
              <w:jc w:val="both"/>
              <w:rPr>
                <w:rFonts w:ascii="Arial" w:eastAsia="Times New Roman" w:hAnsi="Arial" w:cs="Arial"/>
                <w:b/>
                <w:bCs/>
                <w:color w:val="7030A0"/>
                <w:sz w:val="20"/>
                <w:szCs w:val="18"/>
                <w:lang w:eastAsia="fr-FR"/>
              </w:rPr>
            </w:pPr>
            <w:r w:rsidRPr="00382E46">
              <w:rPr>
                <w:rFonts w:ascii="Arial" w:eastAsia="Times New Roman" w:hAnsi="Arial" w:cs="Arial"/>
                <w:b/>
                <w:bCs/>
                <w:color w:val="7030A0"/>
                <w:sz w:val="20"/>
                <w:szCs w:val="18"/>
                <w:lang w:eastAsia="fr-FR"/>
              </w:rPr>
              <w:t>A compléter par le Titulaire</w:t>
            </w:r>
            <w:r w:rsidRPr="00382E46">
              <w:rPr>
                <w:rFonts w:ascii="Arial" w:eastAsia="Times New Roman" w:hAnsi="Arial" w:cs="Arial"/>
                <w:b/>
                <w:bCs/>
                <w:color w:val="7030A0"/>
                <w:sz w:val="20"/>
                <w:szCs w:val="18"/>
                <w:vertAlign w:val="superscript"/>
                <w:lang w:eastAsia="fr-FR"/>
              </w:rPr>
              <w:footnoteReference w:id="1"/>
            </w:r>
          </w:p>
        </w:tc>
      </w:tr>
      <w:tr w:rsidR="00701553" w:rsidRPr="00701553" w14:paraId="5923E1F6" w14:textId="77777777" w:rsidTr="00701553">
        <w:tc>
          <w:tcPr>
            <w:tcW w:w="2619" w:type="pct"/>
            <w:shd w:val="clear" w:color="auto" w:fill="auto"/>
          </w:tcPr>
          <w:p w14:paraId="318DC462" w14:textId="77777777" w:rsidR="00701553" w:rsidRPr="00701553" w:rsidRDefault="00701553" w:rsidP="00701553">
            <w:pPr>
              <w:shd w:val="clear" w:color="auto" w:fill="FFFFFF"/>
              <w:spacing w:after="165" w:line="240" w:lineRule="auto"/>
              <w:ind w:left="34" w:right="1275"/>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Moyens permettant de rétablir la disponibilité des données et leur accès dans des délais appropriés en cas d’incident physique ou technique</w:t>
            </w:r>
          </w:p>
        </w:tc>
        <w:tc>
          <w:tcPr>
            <w:tcW w:w="2381" w:type="pct"/>
            <w:shd w:val="clear" w:color="auto" w:fill="auto"/>
          </w:tcPr>
          <w:p w14:paraId="26B3C1F0" w14:textId="77777777" w:rsidR="00701553" w:rsidRPr="00382E46" w:rsidRDefault="00701553" w:rsidP="00701553">
            <w:pPr>
              <w:shd w:val="clear" w:color="auto" w:fill="FFFFFF"/>
              <w:spacing w:after="165" w:line="240" w:lineRule="auto"/>
              <w:ind w:left="34" w:right="3"/>
              <w:jc w:val="both"/>
              <w:rPr>
                <w:rFonts w:ascii="Arial" w:eastAsia="Times New Roman" w:hAnsi="Arial" w:cs="Arial"/>
                <w:b/>
                <w:bCs/>
                <w:color w:val="7030A0"/>
                <w:sz w:val="20"/>
                <w:szCs w:val="18"/>
                <w:lang w:eastAsia="fr-FR"/>
              </w:rPr>
            </w:pPr>
            <w:r w:rsidRPr="00382E46">
              <w:rPr>
                <w:rFonts w:ascii="Arial" w:eastAsia="Times New Roman" w:hAnsi="Arial" w:cs="Arial"/>
                <w:b/>
                <w:bCs/>
                <w:color w:val="7030A0"/>
                <w:sz w:val="20"/>
                <w:szCs w:val="18"/>
                <w:lang w:eastAsia="fr-FR"/>
              </w:rPr>
              <w:t>A compléter par le Titulaire</w:t>
            </w:r>
            <w:r w:rsidRPr="00382E46">
              <w:rPr>
                <w:rFonts w:ascii="Arial" w:eastAsia="Times New Roman" w:hAnsi="Arial" w:cs="Arial"/>
                <w:b/>
                <w:bCs/>
                <w:color w:val="7030A0"/>
                <w:sz w:val="20"/>
                <w:szCs w:val="18"/>
                <w:vertAlign w:val="superscript"/>
                <w:lang w:eastAsia="fr-FR"/>
              </w:rPr>
              <w:footnoteReference w:id="2"/>
            </w:r>
          </w:p>
        </w:tc>
      </w:tr>
      <w:tr w:rsidR="00701553" w:rsidRPr="00701553" w14:paraId="169CE918" w14:textId="77777777" w:rsidTr="00701553">
        <w:tc>
          <w:tcPr>
            <w:tcW w:w="2619" w:type="pct"/>
            <w:shd w:val="clear" w:color="auto" w:fill="auto"/>
          </w:tcPr>
          <w:p w14:paraId="50A08909" w14:textId="77777777" w:rsidR="00701553" w:rsidRPr="00701553" w:rsidRDefault="00701553" w:rsidP="00701553">
            <w:pPr>
              <w:shd w:val="clear" w:color="auto" w:fill="FFFFFF"/>
              <w:spacing w:after="165" w:line="240" w:lineRule="auto"/>
              <w:ind w:left="34" w:right="1275"/>
              <w:jc w:val="both"/>
              <w:rPr>
                <w:rFonts w:ascii="Arial" w:eastAsia="Times New Roman" w:hAnsi="Arial" w:cs="Arial"/>
                <w:sz w:val="20"/>
                <w:szCs w:val="18"/>
                <w:lang w:eastAsia="fr-FR"/>
              </w:rPr>
            </w:pPr>
            <w:r w:rsidRPr="00701553">
              <w:rPr>
                <w:rFonts w:ascii="Arial" w:eastAsia="Times New Roman" w:hAnsi="Arial" w:cs="Arial"/>
                <w:sz w:val="20"/>
                <w:szCs w:val="18"/>
                <w:lang w:eastAsia="fr-FR"/>
              </w:rPr>
              <w:t>Procédure visant à tester, analyser, évaluer l’efficacité des mesures de sécurité</w:t>
            </w:r>
          </w:p>
        </w:tc>
        <w:tc>
          <w:tcPr>
            <w:tcW w:w="2381" w:type="pct"/>
            <w:shd w:val="clear" w:color="auto" w:fill="auto"/>
          </w:tcPr>
          <w:p w14:paraId="39B602F9" w14:textId="77777777" w:rsidR="00701553" w:rsidRPr="00382E46" w:rsidRDefault="00701553" w:rsidP="00701553">
            <w:pPr>
              <w:shd w:val="clear" w:color="auto" w:fill="FFFFFF"/>
              <w:spacing w:after="165" w:line="240" w:lineRule="auto"/>
              <w:ind w:left="34" w:right="3"/>
              <w:jc w:val="both"/>
              <w:rPr>
                <w:rFonts w:ascii="Arial" w:eastAsia="Times New Roman" w:hAnsi="Arial" w:cs="Arial"/>
                <w:b/>
                <w:bCs/>
                <w:color w:val="7030A0"/>
                <w:sz w:val="20"/>
                <w:szCs w:val="18"/>
                <w:lang w:eastAsia="fr-FR"/>
              </w:rPr>
            </w:pPr>
            <w:r w:rsidRPr="00382E46">
              <w:rPr>
                <w:rFonts w:ascii="Arial" w:eastAsia="Times New Roman" w:hAnsi="Arial" w:cs="Arial"/>
                <w:b/>
                <w:bCs/>
                <w:color w:val="7030A0"/>
                <w:sz w:val="20"/>
                <w:szCs w:val="18"/>
                <w:lang w:eastAsia="fr-FR"/>
              </w:rPr>
              <w:t>A compléter par le Titulaire</w:t>
            </w:r>
          </w:p>
        </w:tc>
      </w:tr>
    </w:tbl>
    <w:p w14:paraId="1CA70102" w14:textId="77777777" w:rsidR="00701553" w:rsidRPr="00701553" w:rsidRDefault="00701553" w:rsidP="00701553">
      <w:pPr>
        <w:numPr>
          <w:ilvl w:val="0"/>
          <w:numId w:val="10"/>
        </w:numPr>
        <w:shd w:val="clear" w:color="auto" w:fill="FFFFFF"/>
        <w:spacing w:before="240" w:after="150" w:line="240" w:lineRule="auto"/>
        <w:ind w:left="709"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Sort des données</w:t>
      </w:r>
    </w:p>
    <w:p w14:paraId="4DDE618C" w14:textId="77777777" w:rsidR="00701553" w:rsidRPr="00701553" w:rsidRDefault="00701553" w:rsidP="00701553">
      <w:pPr>
        <w:spacing w:before="100" w:beforeAutospacing="1" w:after="150" w:line="240" w:lineRule="auto"/>
        <w:ind w:left="709"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14:paraId="67511E0F" w14:textId="77777777" w:rsidR="00701553" w:rsidRPr="00701553" w:rsidRDefault="00701553" w:rsidP="00701553">
      <w:pPr>
        <w:numPr>
          <w:ilvl w:val="0"/>
          <w:numId w:val="11"/>
        </w:numPr>
        <w:shd w:val="clear" w:color="auto" w:fill="FFFFFF"/>
        <w:spacing w:before="100" w:beforeAutospacing="1" w:after="150" w:line="240" w:lineRule="auto"/>
        <w:ind w:left="709"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Délégué à la protection des données</w:t>
      </w:r>
    </w:p>
    <w:p w14:paraId="2DFB1C5D" w14:textId="77777777" w:rsidR="00701553" w:rsidRPr="00701553" w:rsidRDefault="00701553" w:rsidP="00701553">
      <w:pPr>
        <w:shd w:val="clear" w:color="auto" w:fill="FFFFFF"/>
        <w:spacing w:after="165" w:line="240" w:lineRule="auto"/>
        <w:ind w:left="709"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communique au CEA </w:t>
      </w:r>
      <w:r w:rsidRPr="00701553">
        <w:rPr>
          <w:rFonts w:ascii="Arial" w:eastAsia="Times New Roman" w:hAnsi="Arial" w:cs="Arial"/>
          <w:b/>
          <w:bCs/>
          <w:sz w:val="20"/>
          <w:szCs w:val="20"/>
          <w:lang w:eastAsia="fr-FR"/>
        </w:rPr>
        <w:t>le nom et les coordonnées de son délégué à la protection des données,</w:t>
      </w:r>
      <w:r w:rsidRPr="00701553">
        <w:rPr>
          <w:rFonts w:ascii="Arial" w:eastAsia="Times New Roman" w:hAnsi="Arial" w:cs="Arial"/>
          <w:sz w:val="20"/>
          <w:szCs w:val="20"/>
          <w:lang w:eastAsia="fr-FR"/>
        </w:rPr>
        <w:t> s’il en a désigné un conformément à l’article 37 du règlement européen sur la protection des données.</w:t>
      </w:r>
    </w:p>
    <w:p w14:paraId="157BD961" w14:textId="77777777" w:rsidR="00701553" w:rsidRPr="00701553" w:rsidRDefault="00701553" w:rsidP="00701553">
      <w:pPr>
        <w:numPr>
          <w:ilvl w:val="0"/>
          <w:numId w:val="12"/>
        </w:numPr>
        <w:shd w:val="clear" w:color="auto" w:fill="FFFFFF"/>
        <w:spacing w:before="100" w:beforeAutospacing="1" w:after="150" w:line="240" w:lineRule="auto"/>
        <w:ind w:left="709"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Registre des catégories d’activités de traitement</w:t>
      </w:r>
    </w:p>
    <w:p w14:paraId="4B4F1D8D" w14:textId="77777777" w:rsidR="00701553" w:rsidRPr="00701553" w:rsidRDefault="00701553" w:rsidP="00701553">
      <w:pPr>
        <w:shd w:val="clear" w:color="auto" w:fill="FFFFFF"/>
        <w:spacing w:after="165" w:line="240" w:lineRule="auto"/>
        <w:ind w:left="709"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déclare </w:t>
      </w:r>
      <w:r w:rsidRPr="00701553">
        <w:rPr>
          <w:rFonts w:ascii="Arial" w:eastAsia="Times New Roman" w:hAnsi="Arial" w:cs="Arial"/>
          <w:b/>
          <w:bCs/>
          <w:sz w:val="20"/>
          <w:szCs w:val="20"/>
          <w:lang w:eastAsia="fr-FR"/>
        </w:rPr>
        <w:t>tenir par écrit un registre</w:t>
      </w:r>
      <w:r w:rsidRPr="00701553">
        <w:rPr>
          <w:rFonts w:ascii="Arial" w:eastAsia="Times New Roman" w:hAnsi="Arial" w:cs="Arial"/>
          <w:sz w:val="20"/>
          <w:szCs w:val="20"/>
          <w:lang w:eastAsia="fr-FR"/>
        </w:rPr>
        <w:t> de toutes les catégories d’activités de traitement effectuées pour le compte du CEA comprenant les éléments imposés par le règlement européen sur la protection des données.</w:t>
      </w:r>
    </w:p>
    <w:p w14:paraId="352D96B8" w14:textId="77777777" w:rsidR="00701553" w:rsidRPr="00701553" w:rsidRDefault="00701553" w:rsidP="00701553">
      <w:pPr>
        <w:numPr>
          <w:ilvl w:val="0"/>
          <w:numId w:val="13"/>
        </w:numPr>
        <w:shd w:val="clear" w:color="auto" w:fill="FFFFFF"/>
        <w:spacing w:before="100" w:beforeAutospacing="1" w:after="150" w:line="240" w:lineRule="auto"/>
        <w:ind w:left="709" w:right="27" w:hanging="284"/>
        <w:jc w:val="both"/>
        <w:rPr>
          <w:rFonts w:ascii="Arial" w:eastAsia="Times New Roman" w:hAnsi="Arial" w:cs="Arial"/>
          <w:sz w:val="20"/>
          <w:szCs w:val="20"/>
          <w:lang w:eastAsia="fr-FR"/>
        </w:rPr>
      </w:pPr>
      <w:r w:rsidRPr="00701553">
        <w:rPr>
          <w:rFonts w:ascii="Arial" w:eastAsia="Times New Roman" w:hAnsi="Arial" w:cs="Arial"/>
          <w:b/>
          <w:bCs/>
          <w:sz w:val="20"/>
          <w:szCs w:val="20"/>
          <w:lang w:eastAsia="fr-FR"/>
        </w:rPr>
        <w:t>Documentation</w:t>
      </w:r>
    </w:p>
    <w:p w14:paraId="30FBEB49" w14:textId="77777777" w:rsidR="00701553" w:rsidRPr="00701553" w:rsidRDefault="00701553" w:rsidP="00701553">
      <w:pPr>
        <w:shd w:val="clear" w:color="auto" w:fill="FFFFFF"/>
        <w:spacing w:after="165" w:line="240" w:lineRule="auto"/>
        <w:ind w:left="709"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Titulaire met à la disposition du CEA </w:t>
      </w:r>
      <w:r w:rsidRPr="00701553">
        <w:rPr>
          <w:rFonts w:ascii="Arial" w:eastAsia="Times New Roman" w:hAnsi="Arial" w:cs="Arial"/>
          <w:b/>
          <w:bCs/>
          <w:sz w:val="20"/>
          <w:szCs w:val="20"/>
          <w:lang w:eastAsia="fr-FR"/>
        </w:rPr>
        <w:t>la documentation nécessaire pour démontrer le respect de toutes ses obligations</w:t>
      </w:r>
      <w:r w:rsidRPr="00701553">
        <w:rPr>
          <w:rFonts w:ascii="Arial" w:eastAsia="Times New Roman" w:hAnsi="Arial" w:cs="Arial"/>
          <w:sz w:val="20"/>
          <w:szCs w:val="20"/>
          <w:lang w:eastAsia="fr-FR"/>
        </w:rPr>
        <w:t> et pour permettre la réalisation d'audits, y compris des inspections, par le CEA ou un autre auditeur qu'il a mandaté, et contribuer à ces audits.</w:t>
      </w:r>
    </w:p>
    <w:p w14:paraId="4B7E0C36" w14:textId="77777777" w:rsidR="00701553" w:rsidRPr="00701553" w:rsidRDefault="00701553" w:rsidP="00701553">
      <w:pPr>
        <w:shd w:val="clear" w:color="auto" w:fill="FFFFFF"/>
        <w:spacing w:after="375" w:line="600" w:lineRule="atLeast"/>
        <w:ind w:left="284" w:right="1275"/>
        <w:jc w:val="both"/>
        <w:outlineLvl w:val="1"/>
        <w:rPr>
          <w:rFonts w:ascii="Arial" w:eastAsia="Times New Roman" w:hAnsi="Arial" w:cs="Arial"/>
          <w:b/>
          <w:sz w:val="20"/>
          <w:szCs w:val="20"/>
          <w:u w:val="single"/>
          <w:lang w:eastAsia="fr-FR"/>
        </w:rPr>
      </w:pPr>
      <w:r w:rsidRPr="00701553">
        <w:rPr>
          <w:rFonts w:ascii="Arial" w:eastAsia="Times New Roman" w:hAnsi="Arial" w:cs="Arial"/>
          <w:b/>
          <w:sz w:val="20"/>
          <w:szCs w:val="20"/>
          <w:u w:val="single"/>
          <w:lang w:eastAsia="fr-FR"/>
        </w:rPr>
        <w:lastRenderedPageBreak/>
        <w:t>IV. Obligations du CEA vis-à-vis du Titulaire</w:t>
      </w:r>
    </w:p>
    <w:p w14:paraId="3DA75267" w14:textId="77777777" w:rsidR="00701553" w:rsidRPr="00701553" w:rsidRDefault="00701553" w:rsidP="00701553">
      <w:pPr>
        <w:shd w:val="clear" w:color="auto" w:fill="FFFFFF"/>
        <w:spacing w:after="165" w:line="240" w:lineRule="auto"/>
        <w:ind w:left="284" w:right="27"/>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Le CEA s’engage à :</w:t>
      </w:r>
    </w:p>
    <w:p w14:paraId="57110AA4" w14:textId="77777777" w:rsidR="00701553" w:rsidRPr="00701553" w:rsidRDefault="00701553" w:rsidP="00701553">
      <w:pPr>
        <w:shd w:val="clear" w:color="auto" w:fill="FFFFFF"/>
        <w:spacing w:after="165" w:line="240" w:lineRule="auto"/>
        <w:ind w:left="709"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1. fournir au Titulaire les données visées au II des présentes clauses ;</w:t>
      </w:r>
    </w:p>
    <w:p w14:paraId="43D20B85" w14:textId="77777777" w:rsidR="00701553" w:rsidRPr="00701553" w:rsidRDefault="00701553" w:rsidP="00701553">
      <w:pPr>
        <w:shd w:val="clear" w:color="auto" w:fill="FFFFFF"/>
        <w:spacing w:after="165" w:line="240" w:lineRule="auto"/>
        <w:ind w:left="709"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2. documenter par écrit toute instruction concernant le traitement des données par le Titulaire ;</w:t>
      </w:r>
    </w:p>
    <w:p w14:paraId="6C10D444" w14:textId="77777777" w:rsidR="00701553" w:rsidRPr="00701553" w:rsidRDefault="00701553" w:rsidP="00701553">
      <w:pPr>
        <w:shd w:val="clear" w:color="auto" w:fill="FFFFFF"/>
        <w:tabs>
          <w:tab w:val="left" w:pos="1418"/>
        </w:tabs>
        <w:spacing w:after="165" w:line="240" w:lineRule="auto"/>
        <w:ind w:left="709"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5CAC2492" w14:textId="77777777" w:rsidR="00701553" w:rsidRPr="00701553" w:rsidRDefault="00701553" w:rsidP="00701553">
      <w:pPr>
        <w:shd w:val="clear" w:color="auto" w:fill="FFFFFF"/>
        <w:spacing w:after="165" w:line="240" w:lineRule="auto"/>
        <w:ind w:left="709" w:right="27" w:hanging="284"/>
        <w:jc w:val="both"/>
        <w:rPr>
          <w:rFonts w:ascii="Arial" w:eastAsia="Times New Roman" w:hAnsi="Arial" w:cs="Arial"/>
          <w:sz w:val="20"/>
          <w:szCs w:val="20"/>
          <w:lang w:eastAsia="fr-FR"/>
        </w:rPr>
      </w:pPr>
      <w:r w:rsidRPr="00701553">
        <w:rPr>
          <w:rFonts w:ascii="Arial" w:eastAsia="Times New Roman" w:hAnsi="Arial" w:cs="Arial"/>
          <w:sz w:val="20"/>
          <w:szCs w:val="20"/>
          <w:lang w:eastAsia="fr-FR"/>
        </w:rPr>
        <w:t>4. superviser le traitement, y compris réaliser les audits et les inspections auprès du Titulaire</w:t>
      </w:r>
    </w:p>
    <w:p w14:paraId="145BA023" w14:textId="77777777" w:rsidR="00405B1A" w:rsidRDefault="00405B1A"/>
    <w:sectPr w:rsidR="00405B1A" w:rsidSect="00701553">
      <w:headerReference w:type="first" r:id="rId7"/>
      <w:footerReference w:type="first" r:id="rId8"/>
      <w:pgSz w:w="11906" w:h="16838" w:code="9"/>
      <w:pgMar w:top="1134" w:right="907" w:bottom="595" w:left="907"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BEF41" w14:textId="77777777" w:rsidR="00701553" w:rsidRDefault="00701553" w:rsidP="00701553">
      <w:pPr>
        <w:spacing w:after="0" w:line="240" w:lineRule="auto"/>
      </w:pPr>
      <w:r>
        <w:separator/>
      </w:r>
    </w:p>
  </w:endnote>
  <w:endnote w:type="continuationSeparator" w:id="0">
    <w:p w14:paraId="1FB04870" w14:textId="77777777" w:rsidR="00701553" w:rsidRDefault="00701553" w:rsidP="00701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altName w:val="Times New Roman"/>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35" w:type="dxa"/>
      <w:tblLayout w:type="fixed"/>
      <w:tblLook w:val="01E0" w:firstRow="1" w:lastRow="1" w:firstColumn="1" w:lastColumn="1" w:noHBand="0" w:noVBand="0"/>
    </w:tblPr>
    <w:tblGrid>
      <w:gridCol w:w="4820"/>
      <w:gridCol w:w="3515"/>
    </w:tblGrid>
    <w:tr w:rsidR="001B01B4" w:rsidRPr="00874081" w14:paraId="2E618C2F" w14:textId="77777777" w:rsidTr="00470922">
      <w:tc>
        <w:tcPr>
          <w:tcW w:w="4820" w:type="dxa"/>
          <w:shd w:val="clear" w:color="auto" w:fill="auto"/>
          <w:tcMar>
            <w:left w:w="0" w:type="dxa"/>
            <w:right w:w="0" w:type="dxa"/>
          </w:tcMar>
        </w:tcPr>
        <w:p w14:paraId="7CC175D4" w14:textId="77777777" w:rsidR="001B01B4" w:rsidRPr="00874081" w:rsidRDefault="00382E46" w:rsidP="00874081">
          <w:pPr>
            <w:spacing w:line="180" w:lineRule="exact"/>
            <w:rPr>
              <w:color w:val="666666"/>
              <w:sz w:val="12"/>
              <w:szCs w:val="12"/>
              <w:lang w:eastAsia="fr-FR"/>
            </w:rPr>
          </w:pPr>
        </w:p>
      </w:tc>
      <w:tc>
        <w:tcPr>
          <w:tcW w:w="3515" w:type="dxa"/>
          <w:shd w:val="clear" w:color="auto" w:fill="auto"/>
          <w:tcMar>
            <w:left w:w="0" w:type="dxa"/>
            <w:right w:w="0" w:type="dxa"/>
          </w:tcMar>
        </w:tcPr>
        <w:p w14:paraId="24D22EFE" w14:textId="77777777" w:rsidR="001B01B4" w:rsidRPr="00874081" w:rsidRDefault="00382E46" w:rsidP="00874081">
          <w:pPr>
            <w:spacing w:line="220" w:lineRule="exact"/>
            <w:rPr>
              <w:color w:val="0A6E28"/>
              <w:sz w:val="15"/>
              <w:szCs w:val="20"/>
              <w:lang w:eastAsia="fr-FR"/>
            </w:rPr>
          </w:pPr>
        </w:p>
      </w:tc>
    </w:tr>
  </w:tbl>
  <w:p w14:paraId="6F4BAC9B" w14:textId="77777777" w:rsidR="001B01B4" w:rsidRPr="00974593" w:rsidRDefault="00382E46" w:rsidP="00B00A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1F59E" w14:textId="77777777" w:rsidR="00701553" w:rsidRDefault="00701553" w:rsidP="00701553">
      <w:pPr>
        <w:spacing w:after="0" w:line="240" w:lineRule="auto"/>
      </w:pPr>
      <w:r>
        <w:separator/>
      </w:r>
    </w:p>
  </w:footnote>
  <w:footnote w:type="continuationSeparator" w:id="0">
    <w:p w14:paraId="19066034" w14:textId="77777777" w:rsidR="00701553" w:rsidRDefault="00701553" w:rsidP="00701553">
      <w:pPr>
        <w:spacing w:after="0" w:line="240" w:lineRule="auto"/>
      </w:pPr>
      <w:r>
        <w:continuationSeparator/>
      </w:r>
    </w:p>
  </w:footnote>
  <w:footnote w:id="1">
    <w:p w14:paraId="5303D638" w14:textId="77777777" w:rsidR="00701553" w:rsidRPr="00EF4B43" w:rsidRDefault="00701553" w:rsidP="00701553">
      <w:pPr>
        <w:spacing w:line="240" w:lineRule="auto"/>
        <w:ind w:left="993" w:right="144"/>
        <w:textAlignment w:val="baseline"/>
        <w:rPr>
          <w:color w:val="000000"/>
          <w:sz w:val="12"/>
          <w:szCs w:val="12"/>
          <w:u w:val="single"/>
        </w:rPr>
      </w:pPr>
      <w:r>
        <w:rPr>
          <w:rStyle w:val="Appelnotedebasdep"/>
        </w:rPr>
        <w:footnoteRef/>
      </w:r>
      <w:r>
        <w:t xml:space="preserve"> </w:t>
      </w:r>
      <w:r w:rsidRPr="00EF4B43">
        <w:rPr>
          <w:color w:val="000000"/>
          <w:sz w:val="12"/>
          <w:szCs w:val="12"/>
        </w:rPr>
        <w:t>Guide de la CNIL :</w:t>
      </w:r>
      <w:r w:rsidRPr="00EF4B43">
        <w:rPr>
          <w:color w:val="050635"/>
          <w:sz w:val="12"/>
          <w:szCs w:val="12"/>
          <w:u w:val="single"/>
        </w:rPr>
        <w:t xml:space="preserve"> httbs://</w:t>
      </w:r>
      <w:hyperlink r:id="rId1">
        <w:r w:rsidRPr="00EF4B43">
          <w:rPr>
            <w:color w:val="0000FF"/>
            <w:sz w:val="12"/>
            <w:szCs w:val="12"/>
            <w:u w:val="single"/>
          </w:rPr>
          <w:t>www.cnil.fr/fr/un-nouveau-quide-de-la-securite-des-donnees-personnelles</w:t>
        </w:r>
      </w:hyperlink>
      <w:r w:rsidRPr="00EF4B43">
        <w:rPr>
          <w:color w:val="000000"/>
          <w:sz w:val="12"/>
          <w:szCs w:val="12"/>
          <w:u w:val="single"/>
        </w:rPr>
        <w:t xml:space="preserve">  </w:t>
      </w:r>
    </w:p>
    <w:p w14:paraId="553E12BC" w14:textId="77777777" w:rsidR="00701553" w:rsidRPr="00EF4B43" w:rsidRDefault="00701553" w:rsidP="00701553">
      <w:pPr>
        <w:spacing w:line="240" w:lineRule="auto"/>
        <w:ind w:left="993" w:right="144"/>
        <w:textAlignment w:val="baseline"/>
        <w:rPr>
          <w:color w:val="000000"/>
          <w:sz w:val="12"/>
          <w:szCs w:val="12"/>
          <w:vertAlign w:val="superscript"/>
        </w:rPr>
      </w:pPr>
      <w:r w:rsidRPr="00EF4B43">
        <w:rPr>
          <w:color w:val="000000"/>
          <w:sz w:val="12"/>
          <w:szCs w:val="12"/>
        </w:rPr>
        <w:t xml:space="preserve">Vérifier </w:t>
      </w:r>
      <w:proofErr w:type="gramStart"/>
      <w:r w:rsidRPr="00EF4B43">
        <w:rPr>
          <w:color w:val="000000"/>
          <w:sz w:val="12"/>
          <w:szCs w:val="12"/>
        </w:rPr>
        <w:t>a</w:t>
      </w:r>
      <w:proofErr w:type="gramEnd"/>
      <w:r w:rsidRPr="00EF4B43">
        <w:rPr>
          <w:color w:val="000000"/>
          <w:sz w:val="12"/>
          <w:szCs w:val="12"/>
        </w:rPr>
        <w:t xml:space="preserve"> minima :</w:t>
      </w:r>
    </w:p>
    <w:p w14:paraId="4961A1D2" w14:textId="77777777" w:rsidR="00701553" w:rsidRPr="00EF4B43" w:rsidRDefault="00701553" w:rsidP="00701553">
      <w:pPr>
        <w:numPr>
          <w:ilvl w:val="0"/>
          <w:numId w:val="14"/>
        </w:numPr>
        <w:spacing w:after="0" w:line="240" w:lineRule="auto"/>
        <w:ind w:left="1418" w:right="1275"/>
        <w:jc w:val="both"/>
        <w:textAlignment w:val="baseline"/>
        <w:rPr>
          <w:color w:val="000000"/>
          <w:sz w:val="12"/>
          <w:szCs w:val="12"/>
        </w:rPr>
      </w:pPr>
      <w:r w:rsidRPr="00EF4B43">
        <w:rPr>
          <w:color w:val="000000"/>
          <w:sz w:val="12"/>
          <w:szCs w:val="12"/>
        </w:rPr>
        <w:t>Accès aux locaux contrôlés (alarmes anti-intrusion, détecteurs de fumée, contrôle d'accès dédié à la salle informatique, règles d'accès des visiteurs)</w:t>
      </w:r>
    </w:p>
    <w:p w14:paraId="4189C1DE" w14:textId="77777777" w:rsidR="00701553" w:rsidRPr="00EF4B43" w:rsidRDefault="00701553" w:rsidP="00701553">
      <w:pPr>
        <w:numPr>
          <w:ilvl w:val="0"/>
          <w:numId w:val="14"/>
        </w:numPr>
        <w:spacing w:after="0" w:line="240" w:lineRule="auto"/>
        <w:ind w:left="1418" w:right="1275"/>
        <w:jc w:val="both"/>
        <w:textAlignment w:val="baseline"/>
        <w:rPr>
          <w:color w:val="000000"/>
          <w:sz w:val="12"/>
          <w:szCs w:val="12"/>
        </w:rPr>
      </w:pPr>
      <w:r w:rsidRPr="00EF4B43">
        <w:rPr>
          <w:color w:val="000000"/>
          <w:sz w:val="12"/>
          <w:szCs w:val="12"/>
        </w:rPr>
        <w:t>Accès aux données limitées aux seules personnes habilitées, accès par identifiant / mot de passe régulièrement modifié</w:t>
      </w:r>
      <w:r w:rsidRPr="00EF4B43">
        <w:rPr>
          <w:color w:val="050635"/>
          <w:sz w:val="12"/>
          <w:szCs w:val="12"/>
          <w:u w:val="single"/>
        </w:rPr>
        <w:t xml:space="preserve"> (httbs://www.cnil.frlfr/authentification-par-mot-de-passe-les-mesures-de-securite-elementaires)</w:t>
      </w:r>
    </w:p>
    <w:p w14:paraId="5CDF2D8D" w14:textId="77777777" w:rsidR="00701553" w:rsidRPr="00EF4B43" w:rsidRDefault="00701553" w:rsidP="00701553">
      <w:pPr>
        <w:numPr>
          <w:ilvl w:val="0"/>
          <w:numId w:val="14"/>
        </w:numPr>
        <w:spacing w:after="0" w:line="240" w:lineRule="auto"/>
        <w:ind w:left="1418" w:right="1275"/>
        <w:jc w:val="both"/>
        <w:textAlignment w:val="baseline"/>
        <w:rPr>
          <w:color w:val="000000"/>
          <w:sz w:val="12"/>
          <w:szCs w:val="12"/>
        </w:rPr>
      </w:pPr>
      <w:r w:rsidRPr="00EF4B43">
        <w:rPr>
          <w:color w:val="000000"/>
          <w:sz w:val="12"/>
          <w:szCs w:val="12"/>
        </w:rPr>
        <w:t xml:space="preserve">Protection du réseau interne (gestion des connexions </w:t>
      </w:r>
      <w:proofErr w:type="spellStart"/>
      <w:r w:rsidRPr="00EF4B43">
        <w:rPr>
          <w:color w:val="000000"/>
          <w:sz w:val="12"/>
          <w:szCs w:val="12"/>
        </w:rPr>
        <w:t>wi-fi</w:t>
      </w:r>
      <w:proofErr w:type="spellEnd"/>
      <w:r w:rsidRPr="00EF4B43">
        <w:rPr>
          <w:color w:val="000000"/>
          <w:sz w:val="12"/>
          <w:szCs w:val="12"/>
        </w:rPr>
        <w:t>, VPN si accès à distance, limitation des flux réseaux)</w:t>
      </w:r>
    </w:p>
    <w:p w14:paraId="78E35422" w14:textId="77777777" w:rsidR="00701553" w:rsidRPr="00EF4B43" w:rsidRDefault="00701553" w:rsidP="00701553">
      <w:pPr>
        <w:numPr>
          <w:ilvl w:val="0"/>
          <w:numId w:val="14"/>
        </w:numPr>
        <w:spacing w:after="0" w:line="240" w:lineRule="auto"/>
        <w:ind w:left="1418" w:right="1275"/>
        <w:jc w:val="both"/>
        <w:textAlignment w:val="baseline"/>
        <w:rPr>
          <w:color w:val="000000"/>
          <w:spacing w:val="4"/>
          <w:sz w:val="12"/>
          <w:szCs w:val="12"/>
        </w:rPr>
      </w:pPr>
      <w:r w:rsidRPr="00EF4B43">
        <w:rPr>
          <w:color w:val="000000"/>
          <w:spacing w:val="4"/>
          <w:sz w:val="12"/>
          <w:szCs w:val="12"/>
        </w:rPr>
        <w:t>Postes de travail sécurisés avec verrouillage automatique des sessions, pare-feu, antivirus,</w:t>
      </w:r>
    </w:p>
    <w:p w14:paraId="441F9B5B" w14:textId="77777777" w:rsidR="00701553" w:rsidRPr="00EF4B43" w:rsidRDefault="00701553" w:rsidP="00701553">
      <w:pPr>
        <w:numPr>
          <w:ilvl w:val="0"/>
          <w:numId w:val="14"/>
        </w:numPr>
        <w:spacing w:after="0" w:line="240" w:lineRule="auto"/>
        <w:ind w:left="1418" w:right="1275"/>
        <w:jc w:val="both"/>
        <w:textAlignment w:val="baseline"/>
        <w:rPr>
          <w:color w:val="000000"/>
          <w:spacing w:val="4"/>
          <w:sz w:val="12"/>
          <w:szCs w:val="12"/>
        </w:rPr>
      </w:pPr>
      <w:r w:rsidRPr="00EF4B43">
        <w:rPr>
          <w:color w:val="000000"/>
          <w:spacing w:val="4"/>
          <w:sz w:val="12"/>
          <w:szCs w:val="12"/>
        </w:rPr>
        <w:t>Journalisation des données</w:t>
      </w:r>
    </w:p>
    <w:p w14:paraId="0B97C768" w14:textId="77777777" w:rsidR="00701553" w:rsidRPr="00EF4B43" w:rsidRDefault="00701553" w:rsidP="00701553">
      <w:pPr>
        <w:pStyle w:val="Notedebasdepage"/>
        <w:ind w:left="993"/>
        <w:rPr>
          <w:sz w:val="12"/>
          <w:szCs w:val="12"/>
        </w:rPr>
      </w:pPr>
    </w:p>
  </w:footnote>
  <w:footnote w:id="2">
    <w:p w14:paraId="58C98FFC" w14:textId="77777777" w:rsidR="00701553" w:rsidRPr="00EF4B43" w:rsidRDefault="00701553" w:rsidP="00701553">
      <w:pPr>
        <w:spacing w:line="240" w:lineRule="auto"/>
        <w:ind w:left="993"/>
        <w:textAlignment w:val="baseline"/>
        <w:rPr>
          <w:color w:val="000000"/>
          <w:spacing w:val="4"/>
          <w:sz w:val="12"/>
          <w:szCs w:val="12"/>
        </w:rPr>
      </w:pPr>
      <w:r w:rsidRPr="00EF4B43">
        <w:rPr>
          <w:rStyle w:val="Appelnotedebasdep"/>
          <w:sz w:val="12"/>
          <w:szCs w:val="12"/>
        </w:rPr>
        <w:footnoteRef/>
      </w:r>
      <w:r w:rsidRPr="00EF4B43">
        <w:rPr>
          <w:sz w:val="12"/>
          <w:szCs w:val="12"/>
        </w:rPr>
        <w:t xml:space="preserve"> </w:t>
      </w:r>
      <w:r w:rsidRPr="00EF4B43">
        <w:rPr>
          <w:color w:val="000000"/>
          <w:spacing w:val="4"/>
          <w:sz w:val="12"/>
          <w:szCs w:val="12"/>
        </w:rPr>
        <w:t>Guide de la CNIL :</w:t>
      </w:r>
      <w:r w:rsidRPr="00EF4B43">
        <w:rPr>
          <w:color w:val="02031C"/>
          <w:spacing w:val="4"/>
          <w:sz w:val="12"/>
          <w:szCs w:val="12"/>
          <w:u w:val="single"/>
        </w:rPr>
        <w:t xml:space="preserve"> httos://</w:t>
      </w:r>
      <w:hyperlink r:id="rId2">
        <w:r w:rsidRPr="00EF4B43">
          <w:rPr>
            <w:color w:val="0000FF"/>
            <w:spacing w:val="4"/>
            <w:sz w:val="12"/>
            <w:szCs w:val="12"/>
            <w:u w:val="single"/>
          </w:rPr>
          <w:t>www.cnii.fr/fr/un-nouveau-quide-de-la-securite-des-donnees-oersonnelles</w:t>
        </w:r>
      </w:hyperlink>
      <w:r w:rsidRPr="00EF4B43">
        <w:rPr>
          <w:color w:val="000000"/>
          <w:spacing w:val="4"/>
          <w:sz w:val="12"/>
          <w:szCs w:val="12"/>
          <w:u w:val="single"/>
        </w:rPr>
        <w:t xml:space="preserve"> </w:t>
      </w:r>
    </w:p>
    <w:p w14:paraId="47A5A105" w14:textId="77777777" w:rsidR="00701553" w:rsidRPr="00EF4B43" w:rsidRDefault="00701553" w:rsidP="00701553">
      <w:pPr>
        <w:spacing w:line="240" w:lineRule="auto"/>
        <w:ind w:left="993"/>
        <w:textAlignment w:val="baseline"/>
        <w:rPr>
          <w:color w:val="000000"/>
          <w:spacing w:val="3"/>
          <w:sz w:val="12"/>
          <w:szCs w:val="12"/>
        </w:rPr>
      </w:pPr>
      <w:r w:rsidRPr="00EF4B43">
        <w:rPr>
          <w:color w:val="000000"/>
          <w:spacing w:val="3"/>
          <w:sz w:val="12"/>
          <w:szCs w:val="12"/>
        </w:rPr>
        <w:t xml:space="preserve">Vérifier </w:t>
      </w:r>
      <w:proofErr w:type="gramStart"/>
      <w:r w:rsidRPr="00EF4B43">
        <w:rPr>
          <w:color w:val="000000"/>
          <w:spacing w:val="3"/>
          <w:sz w:val="12"/>
          <w:szCs w:val="12"/>
        </w:rPr>
        <w:t>a</w:t>
      </w:r>
      <w:proofErr w:type="gramEnd"/>
      <w:r w:rsidRPr="00EF4B43">
        <w:rPr>
          <w:color w:val="000000"/>
          <w:spacing w:val="3"/>
          <w:sz w:val="12"/>
          <w:szCs w:val="12"/>
        </w:rPr>
        <w:t xml:space="preserve"> minima :</w:t>
      </w:r>
    </w:p>
    <w:p w14:paraId="381F1AED" w14:textId="77777777" w:rsidR="00701553" w:rsidRPr="00EF4B43" w:rsidRDefault="00701553" w:rsidP="00701553">
      <w:pPr>
        <w:numPr>
          <w:ilvl w:val="0"/>
          <w:numId w:val="15"/>
        </w:numPr>
        <w:spacing w:after="0" w:line="240" w:lineRule="auto"/>
        <w:ind w:left="1418"/>
        <w:jc w:val="both"/>
        <w:textAlignment w:val="baseline"/>
        <w:rPr>
          <w:color w:val="000000"/>
          <w:spacing w:val="3"/>
          <w:sz w:val="12"/>
          <w:szCs w:val="12"/>
        </w:rPr>
      </w:pPr>
      <w:r w:rsidRPr="00EF4B43">
        <w:rPr>
          <w:color w:val="000000"/>
          <w:spacing w:val="3"/>
          <w:sz w:val="12"/>
          <w:szCs w:val="12"/>
        </w:rPr>
        <w:t>Stockage sur réseau</w:t>
      </w:r>
    </w:p>
    <w:p w14:paraId="1C58D556" w14:textId="77777777" w:rsidR="00701553" w:rsidRPr="00EF4B43" w:rsidRDefault="00701553" w:rsidP="00701553">
      <w:pPr>
        <w:numPr>
          <w:ilvl w:val="0"/>
          <w:numId w:val="15"/>
        </w:numPr>
        <w:spacing w:after="0" w:line="240" w:lineRule="auto"/>
        <w:ind w:left="1418"/>
        <w:jc w:val="both"/>
        <w:textAlignment w:val="baseline"/>
        <w:rPr>
          <w:color w:val="000000"/>
          <w:spacing w:val="4"/>
          <w:sz w:val="12"/>
          <w:szCs w:val="12"/>
        </w:rPr>
      </w:pPr>
      <w:r w:rsidRPr="00EF4B43">
        <w:rPr>
          <w:color w:val="000000"/>
          <w:spacing w:val="4"/>
          <w:sz w:val="12"/>
          <w:szCs w:val="12"/>
        </w:rPr>
        <w:t>Sauvegardes régulières dans un endroit distinct</w:t>
      </w:r>
    </w:p>
    <w:p w14:paraId="16FCF28D" w14:textId="77777777" w:rsidR="00701553" w:rsidRPr="00EF4B43" w:rsidRDefault="00701553" w:rsidP="00701553">
      <w:pPr>
        <w:numPr>
          <w:ilvl w:val="0"/>
          <w:numId w:val="15"/>
        </w:numPr>
        <w:spacing w:after="0" w:line="240" w:lineRule="auto"/>
        <w:ind w:left="1418"/>
        <w:jc w:val="both"/>
        <w:textAlignment w:val="baseline"/>
        <w:rPr>
          <w:color w:val="000000"/>
          <w:spacing w:val="4"/>
          <w:sz w:val="12"/>
          <w:szCs w:val="12"/>
        </w:rPr>
      </w:pPr>
      <w:r w:rsidRPr="00EF4B43">
        <w:rPr>
          <w:color w:val="000000"/>
          <w:spacing w:val="4"/>
          <w:sz w:val="12"/>
          <w:szCs w:val="12"/>
        </w:rPr>
        <w:t>Plan de reprise des données en cas d'incident</w:t>
      </w:r>
    </w:p>
    <w:p w14:paraId="00F1C871" w14:textId="77777777" w:rsidR="00701553" w:rsidRDefault="00701553" w:rsidP="00701553">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59E3" w14:textId="77777777" w:rsidR="001B01B4" w:rsidRDefault="00382E46" w:rsidP="002D035F">
    <w:pPr>
      <w:pStyle w:val="En-tte"/>
    </w:pPr>
  </w:p>
  <w:p w14:paraId="53BC3434" w14:textId="77777777" w:rsidR="001B01B4" w:rsidRDefault="00382E46" w:rsidP="002D035F">
    <w:pPr>
      <w:pStyle w:val="En-tte"/>
    </w:pPr>
  </w:p>
  <w:p w14:paraId="762B92EB" w14:textId="77777777" w:rsidR="001B01B4" w:rsidRPr="00A01838" w:rsidRDefault="00382E46" w:rsidP="00A01838">
    <w:pPr>
      <w:pStyle w:val="En-tte"/>
      <w:rPr>
        <w:sz w:val="8"/>
        <w:szCs w:val="8"/>
      </w:rPr>
    </w:pPr>
  </w:p>
  <w:p w14:paraId="01E237FB" w14:textId="77777777" w:rsidR="00EF4B43" w:rsidRPr="002D035F" w:rsidRDefault="00382E46"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pStyle w:val="Titre1"/>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09AA2BBA"/>
    <w:lvl w:ilvl="0">
      <w:start w:val="1"/>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133921"/>
    <w:multiLevelType w:val="hybridMultilevel"/>
    <w:tmpl w:val="B718B392"/>
    <w:lvl w:ilvl="0" w:tplc="FFFFFFFF">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3B5C2B"/>
    <w:multiLevelType w:val="hybridMultilevel"/>
    <w:tmpl w:val="5F64EEC8"/>
    <w:lvl w:ilvl="0" w:tplc="FFFFFFFF">
      <w:numFmt w:val="bullet"/>
      <w:lvlText w:val="-"/>
      <w:lvlJc w:val="left"/>
      <w:pPr>
        <w:ind w:left="1713" w:hanging="360"/>
      </w:pPr>
      <w:rPr>
        <w:rFonts w:ascii="Arial" w:eastAsia="Times New Roman" w:hAnsi="Arial" w:cs="Aria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3"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E013C6"/>
    <w:multiLevelType w:val="multilevel"/>
    <w:tmpl w:val="464AEE6E"/>
    <w:lvl w:ilvl="0">
      <w:start w:val="1"/>
      <w:numFmt w:val="decimal"/>
      <w:suff w:val="nothing"/>
      <w:lvlText w:val="ARTICLE %1 - "/>
      <w:lvlJc w:val="left"/>
      <w:pPr>
        <w:ind w:left="2836"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start w:val="7844"/>
      <w:numFmt w:val="decimal"/>
      <w:lvlText w:val="Ȁ稀'ȁȀ섀⥤(ȁȀ脀*ȁȀ㐀恄/"/>
      <w:lvlJc w:val="left"/>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1"/>
  </w:num>
  <w:num w:numId="4">
    <w:abstractNumId w:val="4"/>
  </w:num>
  <w:num w:numId="5">
    <w:abstractNumId w:val="2"/>
  </w:num>
  <w:num w:numId="6">
    <w:abstractNumId w:val="8"/>
  </w:num>
  <w:num w:numId="7">
    <w:abstractNumId w:val="10"/>
  </w:num>
  <w:num w:numId="8">
    <w:abstractNumId w:val="0"/>
  </w:num>
  <w:num w:numId="9">
    <w:abstractNumId w:val="11"/>
  </w:num>
  <w:num w:numId="10">
    <w:abstractNumId w:val="6"/>
  </w:num>
  <w:num w:numId="11">
    <w:abstractNumId w:val="9"/>
  </w:num>
  <w:num w:numId="12">
    <w:abstractNumId w:val="3"/>
  </w:num>
  <w:num w:numId="13">
    <w:abstractNumId w:val="13"/>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553"/>
    <w:rsid w:val="00382E46"/>
    <w:rsid w:val="00405B1A"/>
    <w:rsid w:val="00701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8A09"/>
  <w15:chartTrackingRefBased/>
  <w15:docId w15:val="{4DFC3C7A-34D6-411D-993A-D67A98B6F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Style 1,Titre 1 ISAI,Titre 1 Annexes,Titre mb1,Heading 1- SBC,Heading 1-ERI,H1,T1,Titre 11,t1.T1.Titre 1,t1,Titre1,stydde,Titre 1 tbo,chapitre,Level a,toc 1,Heading apps,h1,L1,Heading 1,Arial 14 Fett,Arial 14 Fett1,Arial 14 Fett2,Heading 1-ERI1"/>
    <w:basedOn w:val="Normal"/>
    <w:next w:val="Normal"/>
    <w:link w:val="Titre1Car"/>
    <w:uiPriority w:val="99"/>
    <w:qFormat/>
    <w:rsid w:val="00701553"/>
    <w:pPr>
      <w:numPr>
        <w:numId w:val="4"/>
      </w:numPr>
      <w:tabs>
        <w:tab w:val="clear" w:pos="720"/>
      </w:tabs>
      <w:spacing w:after="0" w:line="300" w:lineRule="exact"/>
      <w:ind w:left="2836" w:firstLine="0"/>
      <w:jc w:val="both"/>
      <w:outlineLvl w:val="0"/>
    </w:pPr>
    <w:rPr>
      <w:rFonts w:ascii="Arial Gras" w:eastAsia="Times New Roman" w:hAnsi="Arial Gras" w:cs="Times New Roman"/>
      <w:b/>
      <w:caps/>
      <w:sz w:val="20"/>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01553"/>
    <w:pPr>
      <w:tabs>
        <w:tab w:val="center" w:pos="4536"/>
        <w:tab w:val="right" w:pos="9072"/>
      </w:tabs>
      <w:spacing w:after="0" w:line="240" w:lineRule="auto"/>
    </w:pPr>
  </w:style>
  <w:style w:type="character" w:customStyle="1" w:styleId="En-tteCar">
    <w:name w:val="En-tête Car"/>
    <w:basedOn w:val="Policepardfaut"/>
    <w:link w:val="En-tte"/>
    <w:uiPriority w:val="99"/>
    <w:rsid w:val="00701553"/>
  </w:style>
  <w:style w:type="paragraph" w:styleId="Pieddepage">
    <w:name w:val="footer"/>
    <w:basedOn w:val="Normal"/>
    <w:link w:val="PieddepageCar"/>
    <w:uiPriority w:val="99"/>
    <w:unhideWhenUsed/>
    <w:rsid w:val="007015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1553"/>
  </w:style>
  <w:style w:type="paragraph" w:styleId="Notedebasdepage">
    <w:name w:val="footnote text"/>
    <w:basedOn w:val="Normal"/>
    <w:link w:val="NotedebasdepageCar"/>
    <w:uiPriority w:val="99"/>
    <w:semiHidden/>
    <w:unhideWhenUsed/>
    <w:rsid w:val="0070155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01553"/>
    <w:rPr>
      <w:sz w:val="20"/>
      <w:szCs w:val="20"/>
    </w:rPr>
  </w:style>
  <w:style w:type="character" w:customStyle="1" w:styleId="Titre1Car">
    <w:name w:val="Titre 1 Car"/>
    <w:aliases w:val="Style 1 Car,Titre 1 ISAI Car,Titre 1 Annexes Car,Titre mb1 Car,Heading 1- SBC Car,Heading 1-ERI Car,H1 Car,T1 Car,Titre 11 Car,t1.T1.Titre 1 Car,t1 Car,Titre1 Car,stydde Car,Titre 1 tbo Car,chapitre Car,Level a Car,toc 1 Car,Heading apps Car"/>
    <w:basedOn w:val="Policepardfaut"/>
    <w:link w:val="Titre1"/>
    <w:uiPriority w:val="99"/>
    <w:rsid w:val="00701553"/>
    <w:rPr>
      <w:rFonts w:ascii="Arial Gras" w:eastAsia="Times New Roman" w:hAnsi="Arial Gras" w:cs="Times New Roman"/>
      <w:b/>
      <w:caps/>
      <w:sz w:val="20"/>
      <w:szCs w:val="20"/>
      <w:u w:val="single"/>
      <w:lang w:eastAsia="fr-FR"/>
    </w:rPr>
  </w:style>
  <w:style w:type="character" w:styleId="Appelnotedebasdep">
    <w:name w:val="footnote reference"/>
    <w:uiPriority w:val="99"/>
    <w:rsid w:val="0070155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cnii.fr/fr/un-nouveau-quide-de-la-securite-des-donnees-oersonnelles" TargetMode="External"/><Relationship Id="rId1" Type="http://schemas.openxmlformats.org/officeDocument/2006/relationships/hyperlink" Target="http://www.cnil.fr/fr/un-nouveau-q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1330</Words>
  <Characters>7318</Characters>
  <Application>Microsoft Office Word</Application>
  <DocSecurity>0</DocSecurity>
  <Lines>60</Lines>
  <Paragraphs>17</Paragraphs>
  <ScaleCrop>false</ScaleCrop>
  <Company>CEA</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 Isabelle</dc:creator>
  <cp:keywords/>
  <dc:description/>
  <cp:lastModifiedBy>MATTI Isabelle</cp:lastModifiedBy>
  <cp:revision>2</cp:revision>
  <dcterms:created xsi:type="dcterms:W3CDTF">2025-09-09T08:17:00Z</dcterms:created>
  <dcterms:modified xsi:type="dcterms:W3CDTF">2025-09-09T09:30:00Z</dcterms:modified>
</cp:coreProperties>
</file>