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C16E5" w14:textId="77777777" w:rsidR="0036223A" w:rsidRPr="00A93274" w:rsidRDefault="0036223A" w:rsidP="0036223A">
      <w:pPr>
        <w:pBdr>
          <w:top w:val="single" w:sz="6" w:space="10" w:color="000000"/>
          <w:left w:val="single" w:sz="6" w:space="0" w:color="000000"/>
          <w:bottom w:val="single" w:sz="6" w:space="10" w:color="000000"/>
          <w:right w:val="single" w:sz="6" w:space="0" w:color="000000"/>
        </w:pBdr>
        <w:shd w:val="pct10" w:color="auto" w:fill="auto"/>
        <w:tabs>
          <w:tab w:val="left" w:pos="2835"/>
        </w:tabs>
        <w:jc w:val="center"/>
        <w:rPr>
          <w:rFonts w:ascii="Tw Cen MT" w:hAnsi="Tw Cen MT" w:cs="Calibri"/>
          <w:b/>
          <w:szCs w:val="22"/>
        </w:rPr>
      </w:pPr>
      <w:proofErr w:type="gramStart"/>
      <w:r w:rsidRPr="00A93274">
        <w:rPr>
          <w:rFonts w:ascii="Tw Cen MT" w:hAnsi="Tw Cen MT" w:cs="Calibri"/>
          <w:b/>
          <w:szCs w:val="22"/>
        </w:rPr>
        <w:t xml:space="preserve">ANNEXE </w:t>
      </w:r>
      <w:r>
        <w:rPr>
          <w:rFonts w:ascii="Tw Cen MT" w:hAnsi="Tw Cen MT" w:cs="Calibri"/>
          <w:b/>
          <w:szCs w:val="22"/>
        </w:rPr>
        <w:t xml:space="preserve"> VI</w:t>
      </w:r>
      <w:proofErr w:type="gramEnd"/>
    </w:p>
    <w:p w14:paraId="1C8740DC" w14:textId="77777777" w:rsidR="0036223A" w:rsidRPr="00A93274" w:rsidRDefault="0036223A" w:rsidP="0036223A">
      <w:pPr>
        <w:pBdr>
          <w:top w:val="single" w:sz="6" w:space="10" w:color="000000"/>
          <w:left w:val="single" w:sz="6" w:space="0" w:color="000000"/>
          <w:bottom w:val="single" w:sz="6" w:space="10" w:color="000000"/>
          <w:right w:val="single" w:sz="6" w:space="0" w:color="000000"/>
        </w:pBdr>
        <w:shd w:val="pct10" w:color="auto" w:fill="auto"/>
        <w:tabs>
          <w:tab w:val="left" w:pos="2835"/>
        </w:tabs>
        <w:jc w:val="center"/>
        <w:rPr>
          <w:rFonts w:ascii="Tw Cen MT" w:hAnsi="Tw Cen MT" w:cs="Calibri"/>
          <w:b/>
          <w:szCs w:val="22"/>
        </w:rPr>
      </w:pPr>
      <w:r w:rsidRPr="00A93274">
        <w:rPr>
          <w:rFonts w:ascii="Tw Cen MT" w:hAnsi="Tw Cen MT" w:cs="Calibri"/>
          <w:b/>
          <w:szCs w:val="22"/>
        </w:rPr>
        <w:t xml:space="preserve"> MAINTENANCE PREVENTIVE</w:t>
      </w:r>
    </w:p>
    <w:p w14:paraId="0BD00088" w14:textId="77777777" w:rsidR="0036223A" w:rsidRPr="00A93274" w:rsidRDefault="0036223A" w:rsidP="0036223A">
      <w:pPr>
        <w:ind w:hanging="851"/>
        <w:jc w:val="center"/>
        <w:rPr>
          <w:rFonts w:ascii="Tw Cen MT" w:hAnsi="Tw Cen MT" w:cs="Calibri"/>
          <w:b/>
          <w:bCs/>
          <w:szCs w:val="22"/>
        </w:rPr>
      </w:pPr>
    </w:p>
    <w:p w14:paraId="45B11542" w14:textId="77777777" w:rsidR="0036223A" w:rsidRPr="00A93274" w:rsidRDefault="0036223A" w:rsidP="0036223A">
      <w:pPr>
        <w:ind w:hanging="851"/>
        <w:jc w:val="center"/>
        <w:rPr>
          <w:rFonts w:ascii="Tw Cen MT" w:hAnsi="Tw Cen MT" w:cs="Calibri"/>
          <w:b/>
          <w:bCs/>
          <w:szCs w:val="22"/>
        </w:rPr>
      </w:pPr>
    </w:p>
    <w:p w14:paraId="35895321" w14:textId="77777777" w:rsidR="0036223A" w:rsidRPr="00A93274" w:rsidRDefault="0036223A" w:rsidP="0036223A">
      <w:pPr>
        <w:rPr>
          <w:rFonts w:ascii="Tw Cen MT" w:hAnsi="Tw Cen MT" w:cs="Calibri"/>
          <w:b/>
          <w:bCs/>
          <w:szCs w:val="22"/>
          <w:u w:val="single"/>
        </w:rPr>
      </w:pPr>
      <w:r w:rsidRPr="00A93274">
        <w:rPr>
          <w:rFonts w:ascii="Tw Cen MT" w:hAnsi="Tw Cen MT" w:cs="Calibri"/>
          <w:b/>
          <w:bCs/>
          <w:szCs w:val="22"/>
          <w:u w:val="single"/>
        </w:rPr>
        <w:t>Liste des opérations de maintenance et tâches associées (listes non exhaustives)</w:t>
      </w:r>
    </w:p>
    <w:p w14:paraId="7046DDC5" w14:textId="77777777" w:rsidR="0036223A" w:rsidRPr="00A93274" w:rsidRDefault="0036223A" w:rsidP="0036223A">
      <w:pPr>
        <w:rPr>
          <w:rFonts w:ascii="Tw Cen MT" w:hAnsi="Tw Cen MT" w:cs="Calibri"/>
          <w:b/>
          <w:bCs/>
          <w:szCs w:val="22"/>
          <w:u w:val="single"/>
        </w:rPr>
      </w:pPr>
    </w:p>
    <w:p w14:paraId="69B6C507" w14:textId="77777777" w:rsidR="0036223A" w:rsidRPr="00A93274" w:rsidRDefault="0036223A" w:rsidP="0036223A">
      <w:pPr>
        <w:rPr>
          <w:rFonts w:ascii="Tw Cen MT" w:hAnsi="Tw Cen MT" w:cs="Calibri"/>
          <w:b/>
          <w:bCs/>
          <w:szCs w:val="22"/>
          <w:u w:val="single"/>
        </w:rPr>
      </w:pPr>
      <w:r w:rsidRPr="00A93274">
        <w:rPr>
          <w:rFonts w:ascii="Tw Cen MT" w:hAnsi="Tw Cen MT" w:cs="Calibri"/>
          <w:b/>
          <w:bCs/>
          <w:szCs w:val="22"/>
        </w:rPr>
        <w:t>Les préconisations ci-dessous sont données à titre indicatif, pour fixer les tâches minimums à accomplir dans le cadre de la consultation. Les candidats peuvent compléter, adapter et décrire leur méthodologie de manière différente dans leurs offres.</w:t>
      </w:r>
    </w:p>
    <w:p w14:paraId="23B17E21" w14:textId="77777777" w:rsidR="0036223A" w:rsidRPr="00A93274" w:rsidRDefault="0036223A" w:rsidP="0036223A">
      <w:pPr>
        <w:rPr>
          <w:rFonts w:ascii="Tw Cen MT" w:hAnsi="Tw Cen MT" w:cs="Calibri"/>
          <w:b/>
          <w:bCs/>
          <w:szCs w:val="22"/>
          <w:u w:val="single"/>
        </w:rPr>
      </w:pPr>
    </w:p>
    <w:p w14:paraId="6B4070A2" w14:textId="77777777" w:rsidR="0036223A" w:rsidRPr="00A93274" w:rsidRDefault="0036223A" w:rsidP="0036223A">
      <w:pPr>
        <w:ind w:left="852"/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t xml:space="preserve">ENSEMBLE :    Armoire divisionnaire </w:t>
      </w:r>
    </w:p>
    <w:p w14:paraId="222DDCFB" w14:textId="77777777" w:rsidR="0036223A" w:rsidRPr="00A93274" w:rsidRDefault="0036223A" w:rsidP="0036223A">
      <w:pPr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t xml:space="preserve">    </w:t>
      </w:r>
    </w:p>
    <w:p w14:paraId="548352D6" w14:textId="77777777" w:rsidR="0036223A" w:rsidRPr="00A93274" w:rsidRDefault="0036223A" w:rsidP="0036223A">
      <w:pPr>
        <w:ind w:left="1136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 xml:space="preserve">Visite annuelle d'une armoire basse tension </w:t>
      </w:r>
    </w:p>
    <w:p w14:paraId="4D0DCAC9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-Ouverture et fermeture des sectionneurs </w:t>
      </w:r>
    </w:p>
    <w:p w14:paraId="25296234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général </w:t>
      </w:r>
    </w:p>
    <w:p w14:paraId="3FA92EEC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connexions et des continuités de terre </w:t>
      </w:r>
    </w:p>
    <w:p w14:paraId="5879D8E4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-Resserrage des connexions </w:t>
      </w:r>
    </w:p>
    <w:p w14:paraId="558295C4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-Ouverture et fermeture des sectionneurs </w:t>
      </w:r>
    </w:p>
    <w:p w14:paraId="0DB87279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connexions et des continuités de terre </w:t>
      </w:r>
    </w:p>
    <w:p w14:paraId="780C3F81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général </w:t>
      </w:r>
    </w:p>
    <w:p w14:paraId="08ED36DF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-Resserrage des connexions </w:t>
      </w:r>
    </w:p>
    <w:p w14:paraId="0F5EB7FF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connexions et des continuités de terre </w:t>
      </w:r>
    </w:p>
    <w:p w14:paraId="3FC560D8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-Resserrage des connexions </w:t>
      </w:r>
    </w:p>
    <w:p w14:paraId="12210295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-Ouverture et fermeture des sectionneurs </w:t>
      </w:r>
    </w:p>
    <w:p w14:paraId="176CC5E1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général </w:t>
      </w:r>
    </w:p>
    <w:p w14:paraId="42F0019C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</w:p>
    <w:p w14:paraId="0C7A9258" w14:textId="77777777" w:rsidR="0036223A" w:rsidRDefault="0036223A" w:rsidP="0036223A">
      <w:pPr>
        <w:ind w:left="852"/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t xml:space="preserve">Armoire divisionnaire DTU </w:t>
      </w:r>
    </w:p>
    <w:p w14:paraId="554CF72F" w14:textId="77777777" w:rsidR="0036223A" w:rsidRPr="00A93274" w:rsidRDefault="0036223A" w:rsidP="0036223A">
      <w:pPr>
        <w:ind w:left="852"/>
        <w:rPr>
          <w:rFonts w:ascii="Tw Cen MT" w:hAnsi="Tw Cen MT" w:cs="Calibri"/>
          <w:b/>
          <w:bCs/>
          <w:szCs w:val="22"/>
        </w:rPr>
      </w:pPr>
    </w:p>
    <w:p w14:paraId="04B3AF47" w14:textId="77777777" w:rsidR="0036223A" w:rsidRPr="00A93274" w:rsidRDefault="0036223A" w:rsidP="0036223A">
      <w:pPr>
        <w:ind w:left="1136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 xml:space="preserve">Visite annuelle d'une armoire DTU </w:t>
      </w:r>
    </w:p>
    <w:p w14:paraId="7C57EB2A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-Resserrage des connexions </w:t>
      </w:r>
    </w:p>
    <w:p w14:paraId="53E5A92F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connexions et des continuités de terre </w:t>
      </w:r>
    </w:p>
    <w:p w14:paraId="2C9864E4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général </w:t>
      </w:r>
    </w:p>
    <w:p w14:paraId="6D63391F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</w:p>
    <w:p w14:paraId="1293403E" w14:textId="77777777" w:rsidR="0036223A" w:rsidRPr="00A93274" w:rsidRDefault="0036223A" w:rsidP="0036223A">
      <w:pPr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t xml:space="preserve">ENSEMBLE : Equipements terminaux </w:t>
      </w:r>
    </w:p>
    <w:p w14:paraId="3614463E" w14:textId="77777777" w:rsidR="0036223A" w:rsidRPr="00A93274" w:rsidRDefault="0036223A" w:rsidP="0036223A">
      <w:pPr>
        <w:rPr>
          <w:rFonts w:ascii="Tw Cen MT" w:hAnsi="Tw Cen MT" w:cs="Calibri"/>
          <w:b/>
          <w:bCs/>
          <w:szCs w:val="22"/>
        </w:rPr>
      </w:pPr>
    </w:p>
    <w:p w14:paraId="42D78972" w14:textId="77777777" w:rsidR="0036223A" w:rsidRPr="00A93274" w:rsidRDefault="0036223A" w:rsidP="0036223A">
      <w:pPr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t xml:space="preserve">Bloc autonome de sécurité </w:t>
      </w:r>
    </w:p>
    <w:p w14:paraId="61C0BAD8" w14:textId="77777777" w:rsidR="0036223A" w:rsidRPr="00A93274" w:rsidRDefault="0036223A" w:rsidP="0036223A">
      <w:pPr>
        <w:ind w:left="1136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 xml:space="preserve">Visite annuelle d'un bloc autonome de sécurité </w:t>
      </w:r>
    </w:p>
    <w:p w14:paraId="39CCE7E8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du luminaire </w:t>
      </w:r>
    </w:p>
    <w:p w14:paraId="04E9774B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-Remplacement de la ou des lampes </w:t>
      </w:r>
    </w:p>
    <w:p w14:paraId="0B921AB7" w14:textId="77777777" w:rsidR="0036223A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connexions </w:t>
      </w:r>
    </w:p>
    <w:p w14:paraId="7F17A73B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</w:p>
    <w:p w14:paraId="497790F2" w14:textId="77777777" w:rsidR="0036223A" w:rsidRPr="00A93274" w:rsidRDefault="0036223A" w:rsidP="0036223A">
      <w:pPr>
        <w:ind w:left="852"/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t xml:space="preserve">Chargeur batterie </w:t>
      </w:r>
    </w:p>
    <w:p w14:paraId="0B008057" w14:textId="77777777" w:rsidR="0036223A" w:rsidRPr="00A93274" w:rsidRDefault="0036223A" w:rsidP="0036223A">
      <w:pPr>
        <w:ind w:left="1136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 xml:space="preserve">Visite annuelle d'un ensemble chargeur/batterie </w:t>
      </w:r>
    </w:p>
    <w:p w14:paraId="2D4836B7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du serrage des connexions </w:t>
      </w:r>
    </w:p>
    <w:p w14:paraId="4667CB4B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-Vérification mécanique de l'ensemble </w:t>
      </w:r>
    </w:p>
    <w:p w14:paraId="16EEDAA9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du bon fonctionnement de l'ensemble des sécurités </w:t>
      </w:r>
    </w:p>
    <w:p w14:paraId="644733C6" w14:textId="77777777" w:rsidR="0036223A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-Dépoussiérage de l'ensemble </w:t>
      </w:r>
    </w:p>
    <w:p w14:paraId="1A9A1D7B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</w:p>
    <w:p w14:paraId="2569B667" w14:textId="77777777" w:rsidR="0036223A" w:rsidRPr="00A93274" w:rsidRDefault="0036223A" w:rsidP="0036223A">
      <w:pPr>
        <w:ind w:left="852"/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t xml:space="preserve">Ensemble de paratonnerres </w:t>
      </w:r>
    </w:p>
    <w:p w14:paraId="6387422A" w14:textId="77777777" w:rsidR="0036223A" w:rsidRPr="00A93274" w:rsidRDefault="0036223A" w:rsidP="0036223A">
      <w:pPr>
        <w:ind w:left="1136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 xml:space="preserve">Contrôle annuel d'un paratonnerre </w:t>
      </w:r>
    </w:p>
    <w:p w14:paraId="570240AA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connexions </w:t>
      </w:r>
    </w:p>
    <w:p w14:paraId="0C7799D2" w14:textId="77777777" w:rsidR="0036223A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fixations </w:t>
      </w:r>
    </w:p>
    <w:p w14:paraId="6354BB85" w14:textId="77777777" w:rsidR="0036223A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</w:p>
    <w:p w14:paraId="44AAB9EE" w14:textId="77777777" w:rsidR="0036223A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</w:p>
    <w:p w14:paraId="64ABA66B" w14:textId="77777777" w:rsidR="0036223A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</w:p>
    <w:p w14:paraId="281C313D" w14:textId="77777777" w:rsidR="0036223A" w:rsidRPr="00A93274" w:rsidRDefault="0036223A" w:rsidP="0036223A">
      <w:pPr>
        <w:spacing w:before="4"/>
        <w:ind w:left="1707"/>
        <w:rPr>
          <w:rFonts w:ascii="Tw Cen MT" w:hAnsi="Tw Cen MT" w:cs="Calibri"/>
          <w:i/>
          <w:iCs/>
          <w:szCs w:val="22"/>
        </w:rPr>
      </w:pPr>
    </w:p>
    <w:p w14:paraId="5C99A6E2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08" w:line="182" w:lineRule="exact"/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lastRenderedPageBreak/>
        <w:t xml:space="preserve">ENSEMBLE :           Livraison </w:t>
      </w:r>
      <w:r w:rsidRPr="00A93274">
        <w:rPr>
          <w:rFonts w:ascii="Tw Cen MT" w:hAnsi="Tw Cen MT" w:cs="Calibri"/>
          <w:i/>
          <w:iCs/>
          <w:szCs w:val="22"/>
        </w:rPr>
        <w:t xml:space="preserve">I </w:t>
      </w:r>
      <w:r w:rsidRPr="00A93274">
        <w:rPr>
          <w:rFonts w:ascii="Tw Cen MT" w:hAnsi="Tw Cen MT" w:cs="Calibri"/>
          <w:b/>
          <w:bCs/>
          <w:szCs w:val="22"/>
        </w:rPr>
        <w:t>Transformation (3 postes)</w:t>
      </w:r>
    </w:p>
    <w:p w14:paraId="0DA40F03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326" w:line="182" w:lineRule="exact"/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t xml:space="preserve">Batterie de condensateurs </w:t>
      </w:r>
    </w:p>
    <w:p w14:paraId="69E09092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0"/>
        <w:rPr>
          <w:rFonts w:ascii="Tw Cen MT" w:hAnsi="Tw Cen MT" w:cs="Calibri"/>
          <w:b/>
          <w:bCs/>
          <w:szCs w:val="22"/>
        </w:rPr>
      </w:pPr>
    </w:p>
    <w:p w14:paraId="671730DD" w14:textId="77777777" w:rsidR="0036223A" w:rsidRPr="00AF5591" w:rsidRDefault="0036223A" w:rsidP="0036223A">
      <w:pPr>
        <w:widowControl w:val="0"/>
        <w:autoSpaceDE w:val="0"/>
        <w:autoSpaceDN w:val="0"/>
        <w:adjustRightInd w:val="0"/>
        <w:spacing w:line="182" w:lineRule="exact"/>
        <w:ind w:left="1134"/>
        <w:rPr>
          <w:rFonts w:ascii="Tw Cen MT" w:hAnsi="Tw Cen MT" w:cs="Calibri"/>
          <w:szCs w:val="22"/>
        </w:rPr>
      </w:pPr>
      <w:r w:rsidRPr="00AF5591">
        <w:rPr>
          <w:rFonts w:ascii="Tw Cen MT" w:hAnsi="Tw Cen MT" w:cs="Calibri"/>
          <w:szCs w:val="22"/>
        </w:rPr>
        <w:t xml:space="preserve">Contrôle semestriel d'une batterie de condensateurs </w:t>
      </w:r>
    </w:p>
    <w:p w14:paraId="7FBA89D7" w14:textId="77777777" w:rsidR="0036223A" w:rsidRPr="00AF5591" w:rsidRDefault="0036223A" w:rsidP="0036223A">
      <w:pPr>
        <w:pStyle w:val="Retrait1tiret"/>
        <w:tabs>
          <w:tab w:val="clear" w:pos="360"/>
        </w:tabs>
        <w:ind w:hanging="360"/>
        <w:rPr>
          <w:rFonts w:ascii="Tw Cen MT" w:hAnsi="Tw Cen MT"/>
          <w:sz w:val="22"/>
          <w:szCs w:val="22"/>
        </w:rPr>
      </w:pPr>
      <w:r w:rsidRPr="00AF5591">
        <w:rPr>
          <w:rFonts w:ascii="Tw Cen MT" w:hAnsi="Tw Cen MT"/>
          <w:sz w:val="22"/>
          <w:szCs w:val="22"/>
        </w:rPr>
        <w:t xml:space="preserve">Contrôle du fonctionnement du relais </w:t>
      </w:r>
      <w:proofErr w:type="spellStart"/>
      <w:r w:rsidRPr="00AF5591">
        <w:rPr>
          <w:rFonts w:ascii="Tw Cen MT" w:hAnsi="Tw Cen MT"/>
          <w:sz w:val="22"/>
          <w:szCs w:val="22"/>
        </w:rPr>
        <w:t>varimétrique</w:t>
      </w:r>
      <w:proofErr w:type="spellEnd"/>
    </w:p>
    <w:p w14:paraId="3246EB1A" w14:textId="77777777" w:rsidR="0036223A" w:rsidRDefault="0036223A" w:rsidP="0036223A">
      <w:pPr>
        <w:widowControl w:val="0"/>
        <w:autoSpaceDE w:val="0"/>
        <w:autoSpaceDN w:val="0"/>
        <w:adjustRightInd w:val="0"/>
        <w:spacing w:line="182" w:lineRule="exact"/>
        <w:ind w:left="1134"/>
        <w:rPr>
          <w:rFonts w:ascii="Tw Cen MT" w:hAnsi="Tw Cen MT" w:cs="Calibri"/>
          <w:szCs w:val="22"/>
        </w:rPr>
      </w:pPr>
    </w:p>
    <w:p w14:paraId="65B610CC" w14:textId="77777777" w:rsidR="0036223A" w:rsidRDefault="0036223A" w:rsidP="0036223A">
      <w:pPr>
        <w:widowControl w:val="0"/>
        <w:autoSpaceDE w:val="0"/>
        <w:autoSpaceDN w:val="0"/>
        <w:adjustRightInd w:val="0"/>
        <w:spacing w:line="182" w:lineRule="exact"/>
        <w:ind w:left="1134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 xml:space="preserve">Visite annuelle d'une batterie de condensateurs </w:t>
      </w:r>
    </w:p>
    <w:p w14:paraId="14AF3F79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line="182" w:lineRule="exact"/>
        <w:ind w:left="1134"/>
        <w:rPr>
          <w:rFonts w:ascii="Tw Cen MT" w:hAnsi="Tw Cen MT" w:cs="Calibri"/>
          <w:szCs w:val="22"/>
        </w:rPr>
      </w:pPr>
    </w:p>
    <w:p w14:paraId="2222C4DF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67" w:line="182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pôles des contacteurs </w:t>
      </w:r>
    </w:p>
    <w:p w14:paraId="2AE77688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8" w:line="182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-Mesure de la résistance des condensateurs </w:t>
      </w:r>
    </w:p>
    <w:p w14:paraId="0CBAF8E1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8" w:line="182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général </w:t>
      </w:r>
    </w:p>
    <w:p w14:paraId="7BEA8F6D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57" w:line="182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-Resserrage des connexions </w:t>
      </w:r>
    </w:p>
    <w:p w14:paraId="708D3192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57" w:line="182" w:lineRule="exact"/>
        <w:ind w:left="1704"/>
        <w:rPr>
          <w:rFonts w:ascii="Tw Cen MT" w:hAnsi="Tw Cen MT" w:cs="Calibri"/>
          <w:i/>
          <w:iCs/>
          <w:szCs w:val="22"/>
        </w:rPr>
      </w:pPr>
    </w:p>
    <w:p w14:paraId="73B39A4F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57" w:line="182" w:lineRule="exact"/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t xml:space="preserve">Cellule haute tension </w:t>
      </w:r>
    </w:p>
    <w:p w14:paraId="4C33B4AC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0" w:line="182" w:lineRule="exact"/>
        <w:rPr>
          <w:rFonts w:ascii="Tw Cen MT" w:hAnsi="Tw Cen MT" w:cs="Calibri"/>
          <w:b/>
          <w:bCs/>
          <w:szCs w:val="22"/>
        </w:rPr>
      </w:pPr>
    </w:p>
    <w:p w14:paraId="76A6FA94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line="254" w:lineRule="exact"/>
        <w:ind w:left="1134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 xml:space="preserve">Visite annuelle d'une cellule moyenne tension de protection générale moyenne tension </w:t>
      </w:r>
    </w:p>
    <w:p w14:paraId="7EE806A2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9" w:line="254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-Graissage des axes, roulements, contacts, mécanisme, etc... </w:t>
      </w:r>
    </w:p>
    <w:p w14:paraId="26537342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9" w:line="254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-Resserrage jeux de barres -Réglage </w:t>
      </w:r>
    </w:p>
    <w:p w14:paraId="6A796EEF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8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soufflage d'arc </w:t>
      </w:r>
    </w:p>
    <w:p w14:paraId="4FA1BD5C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8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des isolateurs </w:t>
      </w:r>
    </w:p>
    <w:p w14:paraId="0AEA59E7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38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-Resserrage des connexions </w:t>
      </w:r>
    </w:p>
    <w:p w14:paraId="5B87A079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38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des composants </w:t>
      </w:r>
    </w:p>
    <w:p w14:paraId="7D242C94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52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du bon fonctionnement de l'ensemble </w:t>
      </w:r>
    </w:p>
    <w:p w14:paraId="6FCF15CF" w14:textId="77777777" w:rsidR="0036223A" w:rsidRDefault="0036223A" w:rsidP="0036223A">
      <w:pPr>
        <w:widowControl w:val="0"/>
        <w:autoSpaceDE w:val="0"/>
        <w:autoSpaceDN w:val="0"/>
        <w:adjustRightInd w:val="0"/>
        <w:spacing w:before="52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des contacts </w:t>
      </w:r>
    </w:p>
    <w:p w14:paraId="7684A3B3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52" w:line="196" w:lineRule="exact"/>
        <w:ind w:left="1704"/>
        <w:rPr>
          <w:rFonts w:ascii="Tw Cen MT" w:hAnsi="Tw Cen MT" w:cs="Calibri"/>
          <w:i/>
          <w:iCs/>
          <w:szCs w:val="22"/>
        </w:rPr>
      </w:pPr>
    </w:p>
    <w:p w14:paraId="598913D2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line="196" w:lineRule="exact"/>
        <w:ind w:left="1134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 xml:space="preserve">Visite annuelle d'une cellule moyenne tension </w:t>
      </w:r>
    </w:p>
    <w:p w14:paraId="7ACA3AA0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57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du bon fonctionnement de l'ensemble </w:t>
      </w:r>
    </w:p>
    <w:p w14:paraId="3B37F613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57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-Manoeuvre des commandes </w:t>
      </w:r>
    </w:p>
    <w:p w14:paraId="6CE80ABF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57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des composants </w:t>
      </w:r>
    </w:p>
    <w:p w14:paraId="1CF1250B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57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des contacts </w:t>
      </w:r>
    </w:p>
    <w:p w14:paraId="6A26E0F3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57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-Réglage </w:t>
      </w:r>
    </w:p>
    <w:p w14:paraId="7090AED4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3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>-Resserrage des connexions</w:t>
      </w:r>
    </w:p>
    <w:p w14:paraId="798FF213" w14:textId="77777777" w:rsidR="0036223A" w:rsidRPr="004D7CD6" w:rsidRDefault="0036223A" w:rsidP="0036223A">
      <w:pPr>
        <w:widowControl w:val="0"/>
        <w:autoSpaceDE w:val="0"/>
        <w:autoSpaceDN w:val="0"/>
        <w:adjustRightInd w:val="0"/>
        <w:spacing w:before="43" w:line="196" w:lineRule="exact"/>
        <w:ind w:left="1704"/>
        <w:rPr>
          <w:rFonts w:ascii="Tw Cen MT" w:hAnsi="Tw Cen MT" w:cs="Calibri"/>
          <w:szCs w:val="22"/>
        </w:rPr>
      </w:pPr>
      <w:r w:rsidRPr="004D7CD6">
        <w:rPr>
          <w:rFonts w:ascii="Tw Cen MT" w:hAnsi="Tw Cen MT" w:cs="Calibri"/>
          <w:szCs w:val="22"/>
        </w:rPr>
        <w:t xml:space="preserve">- Disjoncteur tête </w:t>
      </w:r>
    </w:p>
    <w:p w14:paraId="2246B4DF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0" w:line="196" w:lineRule="exact"/>
        <w:rPr>
          <w:rFonts w:ascii="Tw Cen MT" w:hAnsi="Tw Cen MT" w:cs="Calibri"/>
          <w:b/>
          <w:bCs/>
          <w:szCs w:val="22"/>
        </w:rPr>
      </w:pPr>
    </w:p>
    <w:p w14:paraId="0D958D21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line="196" w:lineRule="exact"/>
        <w:ind w:left="1134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 xml:space="preserve">Visite annuelle d'un disjoncteur débrochable motorisé </w:t>
      </w:r>
    </w:p>
    <w:p w14:paraId="3D53F4B8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67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coupelles d'extinction d'arc </w:t>
      </w:r>
    </w:p>
    <w:p w14:paraId="58E0067E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67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du relais électromagnétique </w:t>
      </w:r>
    </w:p>
    <w:p w14:paraId="2565ECD6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38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contacts principaux et auxiliaires </w:t>
      </w:r>
    </w:p>
    <w:p w14:paraId="523B9825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38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 fermeture totale </w:t>
      </w:r>
    </w:p>
    <w:p w14:paraId="5348AB71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38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des contacts </w:t>
      </w:r>
    </w:p>
    <w:p w14:paraId="25E5EC63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3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-Graissage des axes, roulements, contacts, mécanismes, etc... </w:t>
      </w:r>
    </w:p>
    <w:p w14:paraId="00AA5FBF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3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>-Nettoyage général</w:t>
      </w:r>
    </w:p>
    <w:p w14:paraId="2327C455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0" w:line="196" w:lineRule="exact"/>
        <w:ind w:left="1707"/>
        <w:rPr>
          <w:rFonts w:ascii="Tw Cen MT" w:hAnsi="Tw Cen MT" w:cs="Calibri"/>
          <w:i/>
          <w:iCs/>
          <w:szCs w:val="22"/>
        </w:rPr>
      </w:pPr>
    </w:p>
    <w:p w14:paraId="47A3AF38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3" w:line="196" w:lineRule="exact"/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t xml:space="preserve">TGBT </w:t>
      </w:r>
    </w:p>
    <w:p w14:paraId="6D85E17A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line="196" w:lineRule="exact"/>
        <w:ind w:left="1134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 xml:space="preserve">Visite annuelle d'une cellule </w:t>
      </w:r>
      <w:r w:rsidRPr="00A93274">
        <w:rPr>
          <w:rFonts w:ascii="Tw Cen MT" w:hAnsi="Tw Cen MT" w:cs="Calibri"/>
          <w:i/>
          <w:iCs/>
          <w:szCs w:val="22"/>
        </w:rPr>
        <w:t xml:space="preserve">basse </w:t>
      </w:r>
      <w:r w:rsidRPr="00A93274">
        <w:rPr>
          <w:rFonts w:ascii="Tw Cen MT" w:hAnsi="Tw Cen MT" w:cs="Calibri"/>
          <w:szCs w:val="22"/>
        </w:rPr>
        <w:t xml:space="preserve">tension </w:t>
      </w:r>
    </w:p>
    <w:p w14:paraId="4427FDA8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62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-Lubrification des pivots de </w:t>
      </w:r>
      <w:proofErr w:type="spellStart"/>
      <w:r w:rsidRPr="00A93274">
        <w:rPr>
          <w:rFonts w:ascii="Tw Cen MT" w:hAnsi="Tw Cen MT" w:cs="Calibri"/>
          <w:i/>
          <w:iCs/>
          <w:szCs w:val="22"/>
        </w:rPr>
        <w:t>poltes</w:t>
      </w:r>
      <w:proofErr w:type="spellEnd"/>
      <w:r w:rsidRPr="00A93274">
        <w:rPr>
          <w:rFonts w:ascii="Tw Cen MT" w:hAnsi="Tw Cen MT" w:cs="Calibri"/>
          <w:i/>
          <w:iCs/>
          <w:szCs w:val="22"/>
        </w:rPr>
        <w:t xml:space="preserve"> </w:t>
      </w:r>
    </w:p>
    <w:p w14:paraId="4D3AE515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62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fixations </w:t>
      </w:r>
    </w:p>
    <w:p w14:paraId="6773224E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8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 la continuité des terres </w:t>
      </w:r>
    </w:p>
    <w:p w14:paraId="46F7F5B5" w14:textId="77777777" w:rsidR="0036223A" w:rsidRDefault="0036223A" w:rsidP="0036223A">
      <w:pPr>
        <w:widowControl w:val="0"/>
        <w:autoSpaceDE w:val="0"/>
        <w:autoSpaceDN w:val="0"/>
        <w:adjustRightInd w:val="0"/>
        <w:spacing w:before="48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général </w:t>
      </w:r>
    </w:p>
    <w:p w14:paraId="319A05C2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8" w:line="196" w:lineRule="exact"/>
        <w:ind w:left="1704"/>
        <w:rPr>
          <w:rFonts w:ascii="Tw Cen MT" w:hAnsi="Tw Cen MT" w:cs="Calibri"/>
          <w:i/>
          <w:iCs/>
          <w:szCs w:val="22"/>
        </w:rPr>
      </w:pPr>
    </w:p>
    <w:p w14:paraId="7CDBB79E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line="196" w:lineRule="exact"/>
        <w:ind w:left="1134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>Visite annuelle d'une signalisation d'une façade de cellule B. T.</w:t>
      </w:r>
    </w:p>
    <w:p w14:paraId="142027EE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62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commutateurs </w:t>
      </w:r>
    </w:p>
    <w:p w14:paraId="30A88EEF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62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du voyant lumineux </w:t>
      </w:r>
    </w:p>
    <w:p w14:paraId="4D802683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62" w:line="196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voltmètres et ampèremètres </w:t>
      </w:r>
    </w:p>
    <w:p w14:paraId="48525890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14" w:line="499" w:lineRule="exact"/>
        <w:rPr>
          <w:rFonts w:ascii="Tw Cen MT" w:hAnsi="Tw Cen MT" w:cs="Calibri"/>
          <w:b/>
          <w:bCs/>
          <w:szCs w:val="22"/>
        </w:rPr>
      </w:pPr>
      <w:r w:rsidRPr="00A93274">
        <w:rPr>
          <w:rFonts w:ascii="Tw Cen MT" w:hAnsi="Tw Cen MT" w:cs="Calibri"/>
          <w:b/>
          <w:bCs/>
          <w:szCs w:val="22"/>
        </w:rPr>
        <w:t xml:space="preserve">Transformateur huile </w:t>
      </w:r>
    </w:p>
    <w:p w14:paraId="1A1C7883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line="249" w:lineRule="exact"/>
        <w:ind w:left="1136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lastRenderedPageBreak/>
        <w:t xml:space="preserve">Analyse d'un transformateur (liquide de refroidissement) </w:t>
      </w:r>
    </w:p>
    <w:p w14:paraId="5147F827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line="249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-Analyse du diélectrique par laboratoire spécialisé </w:t>
      </w:r>
    </w:p>
    <w:p w14:paraId="5107E3B5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" w:line="249" w:lineRule="exact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-Pose prise diélectrique pour analyse Contrôle mensuel d'un transformateur </w:t>
      </w:r>
    </w:p>
    <w:p w14:paraId="36B7740A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" w:line="249" w:lineRule="exact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 la charge </w:t>
      </w:r>
    </w:p>
    <w:p w14:paraId="36EB82F1" w14:textId="77777777" w:rsidR="0036223A" w:rsidRDefault="0036223A" w:rsidP="0036223A">
      <w:pPr>
        <w:widowControl w:val="0"/>
        <w:autoSpaceDE w:val="0"/>
        <w:autoSpaceDN w:val="0"/>
        <w:adjustRightInd w:val="0"/>
        <w:spacing w:before="4" w:line="240" w:lineRule="exact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 la température </w:t>
      </w:r>
    </w:p>
    <w:p w14:paraId="040B3331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" w:line="240" w:lineRule="exact"/>
        <w:ind w:left="1707"/>
        <w:rPr>
          <w:rFonts w:ascii="Tw Cen MT" w:hAnsi="Tw Cen MT" w:cs="Calibri"/>
          <w:i/>
          <w:iCs/>
          <w:szCs w:val="22"/>
        </w:rPr>
      </w:pPr>
    </w:p>
    <w:p w14:paraId="3CB797E6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line="240" w:lineRule="exact"/>
        <w:ind w:left="1136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 xml:space="preserve">Visite annuelle d'un transformateur </w:t>
      </w:r>
    </w:p>
    <w:p w14:paraId="6A4B15C3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line="240" w:lineRule="exact"/>
        <w:ind w:left="1704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-Resserrage visserie </w:t>
      </w:r>
    </w:p>
    <w:p w14:paraId="5D8ED76B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" w:line="240" w:lineRule="exact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-Resserrage des connexions </w:t>
      </w:r>
    </w:p>
    <w:p w14:paraId="4BEB0E32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" w:line="240" w:lineRule="exact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bornes T.L.H. femelle </w:t>
      </w:r>
    </w:p>
    <w:p w14:paraId="138C6457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" w:line="220" w:lineRule="exact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des équipements de sécurité D.G.P. T.2 </w:t>
      </w:r>
    </w:p>
    <w:p w14:paraId="0BF21EB9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" w:line="220" w:lineRule="exact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-Contrôle du capot B. T. </w:t>
      </w:r>
    </w:p>
    <w:p w14:paraId="62914CC3" w14:textId="77777777" w:rsidR="0036223A" w:rsidRPr="00A93274" w:rsidRDefault="0036223A" w:rsidP="0036223A">
      <w:pPr>
        <w:widowControl w:val="0"/>
        <w:autoSpaceDE w:val="0"/>
        <w:autoSpaceDN w:val="0"/>
        <w:adjustRightInd w:val="0"/>
        <w:spacing w:before="4" w:line="220" w:lineRule="exact"/>
        <w:ind w:left="1707"/>
        <w:rPr>
          <w:rFonts w:ascii="Tw Cen MT" w:hAnsi="Tw Cen MT" w:cs="Calibri"/>
          <w:i/>
          <w:iCs/>
          <w:szCs w:val="22"/>
        </w:rPr>
      </w:pPr>
      <w:r w:rsidRPr="00A93274">
        <w:rPr>
          <w:rFonts w:ascii="Tw Cen MT" w:hAnsi="Tw Cen MT" w:cs="Calibri"/>
          <w:i/>
          <w:iCs/>
          <w:szCs w:val="22"/>
        </w:rPr>
        <w:t xml:space="preserve">-Nettoyage général </w:t>
      </w:r>
    </w:p>
    <w:p w14:paraId="7B3ABF76" w14:textId="77777777" w:rsidR="0036223A" w:rsidRDefault="0036223A" w:rsidP="0036223A">
      <w:pPr>
        <w:pStyle w:val="Sansinterligne"/>
        <w:rPr>
          <w:rFonts w:ascii="Tw Cen MT" w:hAnsi="Tw Cen MT"/>
          <w:sz w:val="22"/>
          <w:szCs w:val="22"/>
        </w:rPr>
      </w:pPr>
    </w:p>
    <w:p w14:paraId="04375D43" w14:textId="77777777" w:rsidR="001B35BF" w:rsidRDefault="001B35BF"/>
    <w:sectPr w:rsidR="001B3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antGarde">
    <w:altName w:val="Century Gothic"/>
    <w:charset w:val="00"/>
    <w:family w:val="roman"/>
    <w:pitch w:val="variable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43224"/>
    <w:multiLevelType w:val="singleLevel"/>
    <w:tmpl w:val="928A1E5A"/>
    <w:lvl w:ilvl="0">
      <w:start w:val="1"/>
      <w:numFmt w:val="bullet"/>
      <w:pStyle w:val="Retrait1tir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AE"/>
    <w:rsid w:val="000064AE"/>
    <w:rsid w:val="001B35BF"/>
    <w:rsid w:val="0036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2B71A-B5D6-482C-8C1E-41E8E5A7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23A"/>
    <w:pPr>
      <w:suppressAutoHyphens/>
      <w:spacing w:after="0" w:line="240" w:lineRule="auto"/>
    </w:pPr>
    <w:rPr>
      <w:rFonts w:ascii="Calibri" w:hAnsi="Calibri" w:cs="Times New Roman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ansinterligneCar">
    <w:name w:val="Sans interligne Car"/>
    <w:link w:val="Sansinterligne"/>
    <w:uiPriority w:val="1"/>
    <w:qFormat/>
    <w:rsid w:val="0036223A"/>
    <w:rPr>
      <w:rFonts w:ascii="Calibri" w:eastAsia="Times New Roman" w:hAnsi="Calibri" w:cs="Times New Roman"/>
      <w:sz w:val="24"/>
      <w:szCs w:val="20"/>
      <w:lang w:eastAsia="fr-FR"/>
    </w:rPr>
  </w:style>
  <w:style w:type="paragraph" w:styleId="Sansinterligne">
    <w:name w:val="No Spacing"/>
    <w:link w:val="SansinterligneCar"/>
    <w:uiPriority w:val="1"/>
    <w:qFormat/>
    <w:rsid w:val="0036223A"/>
    <w:pPr>
      <w:suppressAutoHyphens/>
      <w:spacing w:after="0" w:line="240" w:lineRule="auto"/>
      <w:ind w:left="851"/>
      <w:jc w:val="both"/>
    </w:pPr>
    <w:rPr>
      <w:rFonts w:ascii="Calibri" w:eastAsia="Times New Roman" w:hAnsi="Calibri" w:cs="Times New Roman"/>
      <w:sz w:val="24"/>
      <w:szCs w:val="20"/>
      <w:lang w:eastAsia="fr-FR"/>
    </w:rPr>
  </w:style>
  <w:style w:type="paragraph" w:customStyle="1" w:styleId="Retrait1tiret">
    <w:name w:val="Retrait 1 tiret"/>
    <w:basedOn w:val="Retraitnormal"/>
    <w:rsid w:val="0036223A"/>
    <w:pPr>
      <w:keepLines/>
      <w:numPr>
        <w:numId w:val="1"/>
      </w:numPr>
      <w:tabs>
        <w:tab w:val="clear" w:pos="1069"/>
        <w:tab w:val="num" w:pos="360"/>
        <w:tab w:val="num" w:pos="1778"/>
      </w:tabs>
      <w:suppressAutoHyphens w:val="0"/>
      <w:spacing w:before="100" w:after="60"/>
      <w:ind w:left="1778" w:firstLine="0"/>
      <w:jc w:val="both"/>
    </w:pPr>
    <w:rPr>
      <w:rFonts w:ascii="AvantGarde" w:eastAsia="Times New Roman" w:hAnsi="AvantGarde"/>
      <w:sz w:val="20"/>
      <w:szCs w:val="20"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36223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3174</Characters>
  <Application>Microsoft Office Word</Application>
  <DocSecurity>0</DocSecurity>
  <Lines>26</Lines>
  <Paragraphs>7</Paragraphs>
  <ScaleCrop>false</ScaleCrop>
  <Company>ENAP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 Nelly</dc:creator>
  <cp:keywords/>
  <dc:description/>
  <cp:lastModifiedBy>JAGER Nelly</cp:lastModifiedBy>
  <cp:revision>2</cp:revision>
  <dcterms:created xsi:type="dcterms:W3CDTF">2025-08-26T07:16:00Z</dcterms:created>
  <dcterms:modified xsi:type="dcterms:W3CDTF">2025-08-26T07:16:00Z</dcterms:modified>
</cp:coreProperties>
</file>