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FDD3" w14:textId="77777777" w:rsidR="000552F1" w:rsidRPr="00A246B8" w:rsidRDefault="000552F1" w:rsidP="000552F1">
      <w:pPr>
        <w:jc w:val="center"/>
        <w:rPr>
          <w:rFonts w:cs="Calibri"/>
          <w:b/>
        </w:rPr>
      </w:pPr>
    </w:p>
    <w:p w14:paraId="090B69E3" w14:textId="77777777" w:rsidR="000552F1" w:rsidRPr="00A93274" w:rsidRDefault="000552F1" w:rsidP="000552F1">
      <w:pPr>
        <w:pBdr>
          <w:top w:val="single" w:sz="6" w:space="10" w:color="000000"/>
          <w:left w:val="single" w:sz="6" w:space="0" w:color="000000"/>
          <w:bottom w:val="single" w:sz="6" w:space="10" w:color="000000"/>
          <w:right w:val="single" w:sz="6" w:space="0" w:color="000000"/>
        </w:pBdr>
        <w:shd w:val="pct10" w:color="auto" w:fill="auto"/>
        <w:tabs>
          <w:tab w:val="left" w:pos="2835"/>
        </w:tabs>
        <w:spacing w:after="120"/>
        <w:jc w:val="center"/>
        <w:rPr>
          <w:rFonts w:ascii="Tw Cen MT" w:hAnsi="Tw Cen MT" w:cs="Calibri"/>
          <w:b/>
          <w:szCs w:val="22"/>
        </w:rPr>
      </w:pPr>
      <w:r w:rsidRPr="00A93274">
        <w:rPr>
          <w:rFonts w:ascii="Tw Cen MT" w:hAnsi="Tw Cen MT" w:cs="Calibri"/>
          <w:b/>
          <w:szCs w:val="22"/>
        </w:rPr>
        <w:t>ANNEXE 1</w:t>
      </w:r>
    </w:p>
    <w:p w14:paraId="15E9E1F7" w14:textId="77777777" w:rsidR="000552F1" w:rsidRPr="00A93274" w:rsidRDefault="000552F1" w:rsidP="000552F1">
      <w:pPr>
        <w:pBdr>
          <w:top w:val="single" w:sz="6" w:space="10" w:color="000000"/>
          <w:left w:val="single" w:sz="6" w:space="0" w:color="000000"/>
          <w:bottom w:val="single" w:sz="6" w:space="10" w:color="000000"/>
          <w:right w:val="single" w:sz="6" w:space="0" w:color="000000"/>
        </w:pBdr>
        <w:shd w:val="pct10" w:color="auto" w:fill="auto"/>
        <w:tabs>
          <w:tab w:val="left" w:pos="2835"/>
        </w:tabs>
        <w:jc w:val="center"/>
        <w:rPr>
          <w:rFonts w:ascii="Tw Cen MT" w:hAnsi="Tw Cen MT" w:cs="Calibri"/>
          <w:b/>
          <w:szCs w:val="22"/>
        </w:rPr>
      </w:pPr>
      <w:r w:rsidRPr="00A93274">
        <w:rPr>
          <w:rFonts w:ascii="Tw Cen MT" w:hAnsi="Tw Cen MT" w:cs="Calibri"/>
          <w:b/>
          <w:szCs w:val="22"/>
        </w:rPr>
        <w:t>FICHE DE PROCEDURE DANS LE CADRE DES ASTREINTES</w:t>
      </w:r>
    </w:p>
    <w:p w14:paraId="488E728F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</w:p>
    <w:p w14:paraId="1BCDA9C6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</w:p>
    <w:p w14:paraId="3BF6D1E5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>L’astreinte couvre les week-ends en 24/24h ainsi que les jours ouvrés de 19h00 le soir à 8h00 le lendemain matin.</w:t>
      </w:r>
    </w:p>
    <w:p w14:paraId="06DF042E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</w:p>
    <w:p w14:paraId="34AFFEDA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  <w:r w:rsidRPr="00A93274">
        <w:rPr>
          <w:rFonts w:ascii="Tw Cen MT" w:hAnsi="Tw Cen MT" w:cs="Calibri"/>
          <w:b/>
          <w:color w:val="C45911" w:themeColor="accent2" w:themeShade="BF"/>
          <w:szCs w:val="22"/>
          <w:u w:val="single"/>
        </w:rPr>
        <w:t>Astreinte week-ends jours fériés, en 24/24h</w:t>
      </w:r>
    </w:p>
    <w:p w14:paraId="5ED0B621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</w:p>
    <w:p w14:paraId="07E7EE07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Cs/>
          <w:szCs w:val="22"/>
        </w:rPr>
      </w:pPr>
      <w:r w:rsidRPr="00A93274">
        <w:rPr>
          <w:rFonts w:ascii="Tw Cen MT" w:hAnsi="Tw Cen MT" w:cs="Calibri"/>
          <w:szCs w:val="22"/>
        </w:rPr>
        <w:t xml:space="preserve">Les cadres de permanence ou les agents chargés de la surveillance du site solliciteront l’astreinte par téléphone et consigneront l’heure d’appel dans un registre, </w:t>
      </w:r>
      <w:r w:rsidRPr="00A93274">
        <w:rPr>
          <w:rFonts w:ascii="Tw Cen MT" w:hAnsi="Tw Cen MT" w:cs="Calibri"/>
          <w:bCs/>
          <w:szCs w:val="22"/>
        </w:rPr>
        <w:t xml:space="preserve">Le technicien d’astreinte doit débuter la recherche de panne </w:t>
      </w:r>
      <w:r w:rsidRPr="00A93274">
        <w:rPr>
          <w:rFonts w:ascii="Tw Cen MT" w:hAnsi="Tw Cen MT" w:cs="Calibri"/>
          <w:b/>
          <w:bCs/>
          <w:szCs w:val="22"/>
        </w:rPr>
        <w:t>dans l’heure</w:t>
      </w:r>
      <w:r w:rsidRPr="00A93274">
        <w:rPr>
          <w:rFonts w:ascii="Tw Cen MT" w:hAnsi="Tw Cen MT" w:cs="Calibri"/>
          <w:bCs/>
          <w:szCs w:val="22"/>
        </w:rPr>
        <w:t xml:space="preserve">, si le délai d’intervention est supérieur à deux heures la pénalité </w:t>
      </w:r>
      <w:r w:rsidRPr="000552F1">
        <w:rPr>
          <w:rFonts w:ascii="Tw Cen MT" w:hAnsi="Tw Cen MT" w:cs="Calibri"/>
          <w:bCs/>
          <w:szCs w:val="22"/>
        </w:rPr>
        <w:t xml:space="preserve">fixée à l’article 9.1 du CCAP </w:t>
      </w:r>
      <w:r w:rsidRPr="000552F1">
        <w:rPr>
          <w:rFonts w:ascii="Tw Cen MT" w:hAnsi="Tw Cen MT" w:cs="Calibri"/>
          <w:bCs/>
          <w:szCs w:val="22"/>
          <w:highlight w:val="yellow"/>
        </w:rPr>
        <w:t>sera systématiquement appliquée</w:t>
      </w:r>
      <w:r w:rsidRPr="00A93274">
        <w:rPr>
          <w:rFonts w:ascii="Tw Cen MT" w:hAnsi="Tw Cen MT" w:cs="Calibri"/>
          <w:bCs/>
          <w:szCs w:val="22"/>
        </w:rPr>
        <w:t>.</w:t>
      </w:r>
    </w:p>
    <w:p w14:paraId="67A33471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</w:p>
    <w:p w14:paraId="7B1FD233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  <w:r w:rsidRPr="00A93274">
        <w:rPr>
          <w:rFonts w:ascii="Tw Cen MT" w:hAnsi="Tw Cen MT" w:cs="Calibri"/>
          <w:b/>
          <w:color w:val="C45911" w:themeColor="accent2" w:themeShade="BF"/>
          <w:szCs w:val="22"/>
          <w:u w:val="single"/>
        </w:rPr>
        <w:t xml:space="preserve">Astreinte du lundi au vendredi hors jours fériés, de 19h00 à 8h00 </w:t>
      </w:r>
    </w:p>
    <w:p w14:paraId="0ECFF819" w14:textId="77777777" w:rsidR="000552F1" w:rsidRPr="00A93274" w:rsidRDefault="000552F1" w:rsidP="000552F1">
      <w:pPr>
        <w:tabs>
          <w:tab w:val="left" w:pos="6237"/>
        </w:tabs>
        <w:ind w:left="-142"/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</w:p>
    <w:p w14:paraId="5B6D9D70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Cs/>
          <w:szCs w:val="22"/>
        </w:rPr>
      </w:pPr>
      <w:r w:rsidRPr="00A93274">
        <w:rPr>
          <w:rFonts w:ascii="Tw Cen MT" w:hAnsi="Tw Cen MT" w:cs="Calibri"/>
          <w:szCs w:val="22"/>
        </w:rPr>
        <w:t xml:space="preserve">Les cadres de permanence ou les agents chargés de la surveillance du site solliciteront l’astreinte par téléphone et consigneront l’heure d’appel dans un registre, </w:t>
      </w:r>
      <w:r w:rsidRPr="00A93274">
        <w:rPr>
          <w:rFonts w:ascii="Tw Cen MT" w:hAnsi="Tw Cen MT" w:cs="Calibri"/>
          <w:bCs/>
          <w:szCs w:val="22"/>
        </w:rPr>
        <w:t xml:space="preserve">Le technicien d’astreinte doit débuter la recherche de panne </w:t>
      </w:r>
      <w:r w:rsidRPr="00A93274">
        <w:rPr>
          <w:rFonts w:ascii="Tw Cen MT" w:hAnsi="Tw Cen MT" w:cs="Calibri"/>
          <w:b/>
          <w:bCs/>
          <w:szCs w:val="22"/>
        </w:rPr>
        <w:t>dans l’heure</w:t>
      </w:r>
      <w:r w:rsidRPr="00A93274">
        <w:rPr>
          <w:rFonts w:ascii="Tw Cen MT" w:hAnsi="Tw Cen MT" w:cs="Calibri"/>
          <w:bCs/>
          <w:szCs w:val="22"/>
        </w:rPr>
        <w:t xml:space="preserve">, si le délai d’intervention est supérieur à deux heures la pénalité fixée </w:t>
      </w:r>
      <w:r w:rsidRPr="000552F1">
        <w:rPr>
          <w:rFonts w:ascii="Tw Cen MT" w:hAnsi="Tw Cen MT" w:cs="Calibri"/>
          <w:bCs/>
          <w:szCs w:val="22"/>
        </w:rPr>
        <w:t xml:space="preserve">à l’article 9.1 du CCAP </w:t>
      </w:r>
      <w:r w:rsidRPr="000552F1">
        <w:rPr>
          <w:rFonts w:ascii="Tw Cen MT" w:hAnsi="Tw Cen MT" w:cs="Calibri"/>
          <w:bCs/>
          <w:szCs w:val="22"/>
          <w:highlight w:val="yellow"/>
        </w:rPr>
        <w:t>sera systématiquement appliquée</w:t>
      </w:r>
      <w:r w:rsidRPr="00A93274">
        <w:rPr>
          <w:rFonts w:ascii="Tw Cen MT" w:hAnsi="Tw Cen MT" w:cs="Calibri"/>
          <w:bCs/>
          <w:szCs w:val="22"/>
        </w:rPr>
        <w:t>.</w:t>
      </w:r>
    </w:p>
    <w:p w14:paraId="173DC109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</w:p>
    <w:p w14:paraId="37232699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  <w:r w:rsidRPr="00A93274">
        <w:rPr>
          <w:rFonts w:ascii="Tw Cen MT" w:hAnsi="Tw Cen MT" w:cs="Calibri"/>
          <w:b/>
          <w:color w:val="C45911" w:themeColor="accent2" w:themeShade="BF"/>
          <w:szCs w:val="22"/>
          <w:u w:val="single"/>
        </w:rPr>
        <w:t>Obligations</w:t>
      </w:r>
    </w:p>
    <w:p w14:paraId="5A8C9B7D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</w:p>
    <w:p w14:paraId="5F35F76E" w14:textId="77777777" w:rsidR="000552F1" w:rsidRPr="00A93274" w:rsidRDefault="000552F1" w:rsidP="000552F1">
      <w:pPr>
        <w:pStyle w:val="Paragraphedeliste"/>
        <w:numPr>
          <w:ilvl w:val="0"/>
          <w:numId w:val="1"/>
        </w:numPr>
        <w:suppressAutoHyphens w:val="0"/>
        <w:ind w:left="426"/>
        <w:jc w:val="both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>Le technicien d’astreinte se présentera à l’entrée du site muni d’une pièce d’identité, et figurera sur le listing officiel répertoriant les personnes autorisées d’accès par la direction de l’école (accès Fallières).</w:t>
      </w:r>
    </w:p>
    <w:p w14:paraId="34621BD1" w14:textId="77777777" w:rsidR="000552F1" w:rsidRPr="00A93274" w:rsidRDefault="000552F1" w:rsidP="000552F1">
      <w:pPr>
        <w:pStyle w:val="Paragraphedeliste"/>
        <w:ind w:left="426"/>
        <w:rPr>
          <w:rFonts w:ascii="Tw Cen MT" w:hAnsi="Tw Cen MT" w:cs="Calibri"/>
          <w:szCs w:val="22"/>
        </w:rPr>
      </w:pPr>
    </w:p>
    <w:p w14:paraId="32D1E722" w14:textId="77777777" w:rsidR="000552F1" w:rsidRPr="00A93274" w:rsidRDefault="000552F1" w:rsidP="000552F1">
      <w:pPr>
        <w:pStyle w:val="Paragraphedeliste"/>
        <w:numPr>
          <w:ilvl w:val="0"/>
          <w:numId w:val="1"/>
        </w:numPr>
        <w:suppressAutoHyphens w:val="0"/>
        <w:ind w:left="426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>Le technicien devra en priorité alerté s’il constate la dégradation volontaire d’un équipement qui génère une coupure électrique d’un ou plusieurs bâtiments du site</w:t>
      </w:r>
    </w:p>
    <w:p w14:paraId="399CE4C2" w14:textId="77777777" w:rsidR="000552F1" w:rsidRPr="00A93274" w:rsidRDefault="000552F1" w:rsidP="000552F1">
      <w:pPr>
        <w:pStyle w:val="Paragraphedeliste"/>
        <w:rPr>
          <w:rFonts w:ascii="Tw Cen MT" w:hAnsi="Tw Cen MT" w:cs="Calibri"/>
          <w:szCs w:val="22"/>
        </w:rPr>
      </w:pPr>
    </w:p>
    <w:p w14:paraId="5300C569" w14:textId="77777777" w:rsidR="000552F1" w:rsidRPr="00A93274" w:rsidRDefault="000552F1" w:rsidP="000552F1">
      <w:pPr>
        <w:pStyle w:val="Paragraphedeliste"/>
        <w:numPr>
          <w:ilvl w:val="0"/>
          <w:numId w:val="1"/>
        </w:numPr>
        <w:suppressAutoHyphens w:val="0"/>
        <w:ind w:left="426"/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>Un trousseau d’intervention sera remis contre signature à une personne responsable du contrat pour le titulaire, celui-ci sera chargé de faire en sorte que le technicien d’astreinte en dispose.</w:t>
      </w:r>
    </w:p>
    <w:p w14:paraId="5FA22C4D" w14:textId="77777777" w:rsidR="000552F1" w:rsidRPr="00A93274" w:rsidRDefault="000552F1" w:rsidP="000552F1">
      <w:pPr>
        <w:pStyle w:val="Paragraphedeliste"/>
        <w:rPr>
          <w:rFonts w:ascii="Tw Cen MT" w:hAnsi="Tw Cen MT" w:cs="Calibri"/>
          <w:szCs w:val="22"/>
        </w:rPr>
      </w:pPr>
    </w:p>
    <w:p w14:paraId="6B8A7A09" w14:textId="77777777" w:rsidR="000552F1" w:rsidRPr="00A93274" w:rsidRDefault="000552F1" w:rsidP="000552F1">
      <w:pPr>
        <w:pStyle w:val="Paragraphedeliste"/>
        <w:numPr>
          <w:ilvl w:val="0"/>
          <w:numId w:val="1"/>
        </w:numPr>
        <w:tabs>
          <w:tab w:val="left" w:pos="6237"/>
        </w:tabs>
        <w:suppressAutoHyphens w:val="0"/>
        <w:ind w:left="426"/>
        <w:rPr>
          <w:rFonts w:ascii="Tw Cen MT" w:hAnsi="Tw Cen MT" w:cs="Calibri"/>
          <w:b/>
          <w:color w:val="C45911" w:themeColor="accent2" w:themeShade="BF"/>
          <w:szCs w:val="22"/>
        </w:rPr>
      </w:pPr>
      <w:r w:rsidRPr="00A93274">
        <w:rPr>
          <w:rFonts w:ascii="Tw Cen MT" w:hAnsi="Tw Cen MT" w:cs="Calibri"/>
          <w:szCs w:val="22"/>
        </w:rPr>
        <w:t>Un rapport détaillé sera transmis aux responsables du département technique après chaque intervention.</w:t>
      </w:r>
    </w:p>
    <w:p w14:paraId="3A7892F9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</w:p>
    <w:p w14:paraId="3EAB1CEB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  <w:r w:rsidRPr="00A93274">
        <w:rPr>
          <w:rFonts w:ascii="Tw Cen MT" w:hAnsi="Tw Cen MT" w:cs="Calibri"/>
          <w:b/>
          <w:color w:val="C45911" w:themeColor="accent2" w:themeShade="BF"/>
          <w:szCs w:val="22"/>
          <w:u w:val="single"/>
        </w:rPr>
        <w:t>Pannes électriques gérées en interne, estimations des interventions</w:t>
      </w:r>
    </w:p>
    <w:p w14:paraId="458141A2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</w:p>
    <w:p w14:paraId="0ABFAAAA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  <w:r w:rsidRPr="00A93274">
        <w:rPr>
          <w:rFonts w:ascii="Tw Cen MT" w:hAnsi="Tw Cen MT" w:cs="Calibri"/>
          <w:szCs w:val="22"/>
        </w:rPr>
        <w:t>Pour les hébergements l’organisation interne permet d’attribuer des chambres de secours ce qui évite de solliciter inutilement l’astreinte pour des disjonctions souvent générées par les utilisateurs.</w:t>
      </w:r>
    </w:p>
    <w:p w14:paraId="7602E1D2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</w:p>
    <w:p w14:paraId="679E199E" w14:textId="77777777" w:rsidR="000552F1" w:rsidRPr="00777B6C" w:rsidRDefault="000552F1" w:rsidP="000552F1">
      <w:pPr>
        <w:tabs>
          <w:tab w:val="left" w:pos="6237"/>
        </w:tabs>
        <w:rPr>
          <w:rFonts w:ascii="Tw Cen MT" w:hAnsi="Tw Cen MT" w:cs="Calibri"/>
          <w:b/>
          <w:bCs/>
          <w:color w:val="FF0000"/>
          <w:szCs w:val="22"/>
        </w:rPr>
      </w:pPr>
      <w:r w:rsidRPr="00777B6C">
        <w:rPr>
          <w:rFonts w:ascii="Tw Cen MT" w:hAnsi="Tw Cen MT" w:cs="Calibri"/>
          <w:b/>
          <w:bCs/>
          <w:color w:val="FF0000"/>
          <w:szCs w:val="22"/>
        </w:rPr>
        <w:t xml:space="preserve">Les cadres de permanence consignent tous les évènements dans un registre. </w:t>
      </w:r>
    </w:p>
    <w:p w14:paraId="3749A4A1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szCs w:val="22"/>
          <w:u w:val="single"/>
        </w:rPr>
      </w:pPr>
    </w:p>
    <w:p w14:paraId="1F3D935A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b/>
          <w:color w:val="C45911" w:themeColor="accent2" w:themeShade="BF"/>
          <w:szCs w:val="22"/>
          <w:u w:val="single"/>
        </w:rPr>
      </w:pPr>
    </w:p>
    <w:p w14:paraId="184A9586" w14:textId="77777777" w:rsidR="000552F1" w:rsidRPr="00A93274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</w:p>
    <w:p w14:paraId="00570781" w14:textId="77777777" w:rsidR="000552F1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</w:p>
    <w:p w14:paraId="25C7A0D4" w14:textId="77777777" w:rsidR="000552F1" w:rsidRDefault="000552F1" w:rsidP="000552F1">
      <w:pPr>
        <w:tabs>
          <w:tab w:val="left" w:pos="6237"/>
        </w:tabs>
        <w:rPr>
          <w:rFonts w:ascii="Tw Cen MT" w:hAnsi="Tw Cen MT" w:cs="Calibri"/>
          <w:szCs w:val="22"/>
        </w:rPr>
      </w:pPr>
    </w:p>
    <w:p w14:paraId="6ADEB794" w14:textId="77777777" w:rsidR="001B35BF" w:rsidRDefault="001B35BF"/>
    <w:sectPr w:rsidR="001B3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10153"/>
    <w:multiLevelType w:val="hybridMultilevel"/>
    <w:tmpl w:val="8EB2D016"/>
    <w:lvl w:ilvl="0" w:tplc="8A288D46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38"/>
    <w:rsid w:val="000552F1"/>
    <w:rsid w:val="001B35BF"/>
    <w:rsid w:val="0034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FB3BB-B46C-48B3-8693-0C706E8F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2F1"/>
    <w:pPr>
      <w:suppressAutoHyphens/>
      <w:spacing w:after="0" w:line="240" w:lineRule="auto"/>
    </w:pPr>
    <w:rPr>
      <w:rFonts w:ascii="Calibri" w:hAnsi="Calibri" w:cs="Times New Roman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05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1756</Characters>
  <Application>Microsoft Office Word</Application>
  <DocSecurity>0</DocSecurity>
  <Lines>14</Lines>
  <Paragraphs>4</Paragraphs>
  <ScaleCrop>false</ScaleCrop>
  <Company>ENAP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 Nelly</dc:creator>
  <cp:keywords/>
  <dc:description/>
  <cp:lastModifiedBy>JAGER Nelly</cp:lastModifiedBy>
  <cp:revision>2</cp:revision>
  <dcterms:created xsi:type="dcterms:W3CDTF">2025-08-26T07:14:00Z</dcterms:created>
  <dcterms:modified xsi:type="dcterms:W3CDTF">2025-08-26T07:15:00Z</dcterms:modified>
</cp:coreProperties>
</file>