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824638"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0.85pt;height:47.5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6CBAD847"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w:t>
      </w:r>
      <w:r w:rsidR="00824638">
        <w:rPr>
          <w:rFonts w:ascii="Arial" w:hAnsi="Arial" w:cs="Arial"/>
        </w:rPr>
        <w:t>3</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CCAG </w:t>
      </w:r>
      <w:r w:rsidRPr="00F64EA0">
        <w:rPr>
          <w:rFonts w:ascii="Arial" w:hAnsi="Arial" w:cs="Arial"/>
        </w:rPr>
        <w:t xml:space="preserve"> : </w:t>
      </w:r>
      <w:r w:rsidR="00281396">
        <w:rPr>
          <w:rFonts w:ascii="Arial" w:hAnsi="Arial" w:cs="Arial"/>
        </w:rPr>
        <w:t>f</w:t>
      </w:r>
      <w:r w:rsidRPr="004F7489">
        <w:rPr>
          <w:rFonts w:ascii="Arial" w:hAnsi="Arial" w:cs="Arial"/>
        </w:rPr>
        <w:t>ournitures courantes et de services (CCAG-FCS)</w:t>
      </w:r>
    </w:p>
    <w:p w14:paraId="7F1868D0" w14:textId="77777777" w:rsidR="00824638" w:rsidRDefault="007074FF" w:rsidP="00866313">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 xml:space="preserve">Pose et fourniture de matériel de suivi des niveaux d’eau </w:t>
      </w:r>
      <w:r w:rsidR="00824638" w:rsidRPr="00824638">
        <w:rPr>
          <w:rFonts w:ascii="Arial" w:hAnsi="Arial" w:cs="Arial"/>
        </w:rPr>
        <w:t>Lot 3 : Fourniture de sondes communicantes de mesure des niveaux d’eau.de surface (rivières et canaux)</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53579C9" w14:textId="77777777" w:rsidR="009B1CD0" w:rsidRDefault="009B1CD0" w:rsidP="004C5755">
      <w:pPr>
        <w:pStyle w:val="fcase1ertab"/>
        <w:spacing w:before="120"/>
        <w:ind w:left="567" w:firstLine="0"/>
      </w:pPr>
      <w:r>
        <w:rPr>
          <w:rFonts w:ascii="Arial" w:hAnsi="Arial" w:cs="Arial"/>
          <w:u w:val="single"/>
        </w:rPr>
        <w:t>OU</w:t>
      </w:r>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an </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125 Impasse Adam Smith  34470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altName w:val="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53EC"/>
    <w:rsid w:val="003A7270"/>
    <w:rsid w:val="003B2DC2"/>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24638"/>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B02608"/>
    <w:rsid w:val="00B0289C"/>
    <w:rsid w:val="00B054DA"/>
    <w:rsid w:val="00B1393C"/>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36D7E"/>
    <w:rsid w:val="00E47798"/>
    <w:rsid w:val="00E74C76"/>
    <w:rsid w:val="00E96FF6"/>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8</Pages>
  <Words>2348</Words>
  <Characters>12915</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15233</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8</cp:revision>
  <cp:lastPrinted>2016-11-04T12:53:00Z</cp:lastPrinted>
  <dcterms:created xsi:type="dcterms:W3CDTF">2025-04-16T09:47:00Z</dcterms:created>
  <dcterms:modified xsi:type="dcterms:W3CDTF">2025-08-28T10:13:00Z</dcterms:modified>
</cp:coreProperties>
</file>