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5DE99" w14:textId="1DBC3569" w:rsidR="004C438D" w:rsidRDefault="004C438D" w:rsidP="0050175C">
      <w:pPr>
        <w:pStyle w:val="Titre"/>
        <w:rPr>
          <w:rFonts w:ascii="Arial" w:hAnsi="Arial" w:cs="Arial"/>
          <w:sz w:val="28"/>
        </w:rPr>
      </w:pPr>
      <w:r w:rsidRPr="0050175C">
        <w:rPr>
          <w:rFonts w:ascii="Arial" w:hAnsi="Arial" w:cs="Arial"/>
          <w:sz w:val="28"/>
        </w:rPr>
        <w:t xml:space="preserve">ANNEXE </w:t>
      </w:r>
      <w:r w:rsidR="00FB2392">
        <w:rPr>
          <w:rFonts w:ascii="Arial" w:hAnsi="Arial" w:cs="Arial"/>
          <w:sz w:val="28"/>
        </w:rPr>
        <w:t>3</w:t>
      </w:r>
      <w:r w:rsidR="00FB2392" w:rsidRPr="0050175C">
        <w:rPr>
          <w:rFonts w:ascii="Arial" w:hAnsi="Arial" w:cs="Arial"/>
          <w:sz w:val="28"/>
        </w:rPr>
        <w:t xml:space="preserve"> </w:t>
      </w:r>
      <w:r w:rsidR="003632B6">
        <w:rPr>
          <w:rFonts w:ascii="Arial" w:hAnsi="Arial" w:cs="Arial"/>
          <w:sz w:val="28"/>
        </w:rPr>
        <w:t>AU</w:t>
      </w:r>
      <w:r w:rsidRPr="0050175C">
        <w:rPr>
          <w:rFonts w:ascii="Arial" w:hAnsi="Arial" w:cs="Arial"/>
          <w:sz w:val="28"/>
        </w:rPr>
        <w:t xml:space="preserve"> CCP</w:t>
      </w:r>
      <w:r w:rsidR="004900D7" w:rsidRPr="0050175C">
        <w:rPr>
          <w:rFonts w:ascii="Arial" w:hAnsi="Arial" w:cs="Arial"/>
          <w:sz w:val="28"/>
        </w:rPr>
        <w:t xml:space="preserve"> </w:t>
      </w:r>
    </w:p>
    <w:p w14:paraId="6335D57A" w14:textId="77777777" w:rsidR="0050175C" w:rsidRDefault="0050175C" w:rsidP="0050175C">
      <w:pPr>
        <w:pStyle w:val="Titre"/>
        <w:rPr>
          <w:rFonts w:ascii="Arial" w:hAnsi="Arial" w:cs="Arial"/>
        </w:rPr>
      </w:pPr>
    </w:p>
    <w:p w14:paraId="28A7560F" w14:textId="5FF893AE" w:rsidR="00200667" w:rsidRDefault="00507A18" w:rsidP="00012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507A18">
        <w:rPr>
          <w:rFonts w:ascii="Arial" w:hAnsi="Arial" w:cs="Arial"/>
          <w:b/>
          <w:caps/>
        </w:rPr>
        <w:t xml:space="preserve">Approvisionnement en carburéacteur JET A1 au profit du Service de l’énergie opérationnelle (SEO) et de ses clients au DEM de la Tontouta en Nouvelle Calédonie </w:t>
      </w:r>
      <w:r w:rsidR="00200667" w:rsidRPr="00EA70C6">
        <w:rPr>
          <w:rFonts w:ascii="Arial" w:hAnsi="Arial" w:cs="Arial"/>
          <w:b/>
        </w:rPr>
        <w:t>DAF_</w:t>
      </w:r>
      <w:r w:rsidR="00EA70C6" w:rsidRPr="00EA70C6">
        <w:rPr>
          <w:rFonts w:ascii="Arial" w:hAnsi="Arial" w:cs="Arial"/>
          <w:b/>
        </w:rPr>
        <w:t>202</w:t>
      </w:r>
      <w:r w:rsidR="00EA70C6" w:rsidRPr="00EA70C6">
        <w:rPr>
          <w:rFonts w:ascii="Arial" w:hAnsi="Arial" w:cs="Arial"/>
          <w:b/>
        </w:rPr>
        <w:t>5</w:t>
      </w:r>
      <w:r w:rsidR="00200667" w:rsidRPr="00EA70C6">
        <w:rPr>
          <w:rFonts w:ascii="Arial" w:hAnsi="Arial" w:cs="Arial"/>
          <w:b/>
        </w:rPr>
        <w:t>_</w:t>
      </w:r>
      <w:bookmarkStart w:id="0" w:name="_GoBack"/>
      <w:r w:rsidR="00EA70C6" w:rsidRPr="00EA70C6">
        <w:rPr>
          <w:rFonts w:ascii="Arial" w:hAnsi="Arial" w:cs="Arial"/>
          <w:b/>
        </w:rPr>
        <w:t>000</w:t>
      </w:r>
      <w:r w:rsidR="00EA70C6" w:rsidRPr="00EA70C6">
        <w:rPr>
          <w:rFonts w:ascii="Arial" w:hAnsi="Arial" w:cs="Arial"/>
          <w:b/>
        </w:rPr>
        <w:t>86</w:t>
      </w:r>
      <w:r w:rsidR="00EA70C6" w:rsidRPr="00EA70C6">
        <w:rPr>
          <w:rFonts w:ascii="Arial" w:hAnsi="Arial" w:cs="Arial"/>
          <w:b/>
        </w:rPr>
        <w:t>9</w:t>
      </w:r>
      <w:bookmarkEnd w:id="0"/>
    </w:p>
    <w:p w14:paraId="1EA9B410" w14:textId="77777777" w:rsidR="00012BAA" w:rsidRPr="00465E89" w:rsidRDefault="00012BAA" w:rsidP="00012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caps/>
        </w:rPr>
      </w:pPr>
    </w:p>
    <w:p w14:paraId="662CDA7A" w14:textId="77777777" w:rsidR="00012BAA" w:rsidRDefault="00012BAA" w:rsidP="0050175C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4"/>
          <w:lang w:eastAsia="fr-FR"/>
        </w:rPr>
      </w:pPr>
    </w:p>
    <w:p w14:paraId="5965DE9A" w14:textId="7C925104" w:rsidR="00786C6D" w:rsidRPr="0050175C" w:rsidRDefault="00786C6D" w:rsidP="0050175C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4"/>
          <w:lang w:eastAsia="fr-FR"/>
        </w:rPr>
      </w:pPr>
      <w:r w:rsidRPr="0050175C">
        <w:rPr>
          <w:rFonts w:ascii="Arial" w:eastAsia="Times New Roman" w:hAnsi="Arial" w:cs="Arial"/>
          <w:b/>
          <w:caps/>
          <w:sz w:val="28"/>
          <w:szCs w:val="24"/>
          <w:lang w:eastAsia="fr-FR"/>
        </w:rPr>
        <w:t>Demande de prolongation de d</w:t>
      </w:r>
      <w:r w:rsidR="003632B6">
        <w:rPr>
          <w:rFonts w:ascii="Arial" w:eastAsia="Times New Roman" w:hAnsi="Arial" w:cs="Arial"/>
          <w:b/>
          <w:caps/>
          <w:sz w:val="28"/>
          <w:szCs w:val="24"/>
          <w:lang w:eastAsia="fr-FR"/>
        </w:rPr>
        <w:t>É</w:t>
      </w:r>
      <w:r w:rsidRPr="0050175C">
        <w:rPr>
          <w:rFonts w:ascii="Arial" w:eastAsia="Times New Roman" w:hAnsi="Arial" w:cs="Arial"/>
          <w:b/>
          <w:caps/>
          <w:sz w:val="28"/>
          <w:szCs w:val="24"/>
          <w:lang w:eastAsia="fr-FR"/>
        </w:rPr>
        <w:t>lai d’</w:t>
      </w:r>
      <w:r w:rsidR="00587402" w:rsidRPr="0050175C">
        <w:rPr>
          <w:rFonts w:ascii="Arial" w:eastAsia="Times New Roman" w:hAnsi="Arial" w:cs="Arial"/>
          <w:b/>
          <w:caps/>
          <w:sz w:val="28"/>
          <w:szCs w:val="24"/>
          <w:lang w:eastAsia="fr-FR"/>
        </w:rPr>
        <w:t xml:space="preserve">exécution </w:t>
      </w:r>
      <w:r w:rsidR="00981E9B" w:rsidRPr="0050175C">
        <w:rPr>
          <w:rFonts w:ascii="Arial" w:eastAsia="Times New Roman" w:hAnsi="Arial" w:cs="Arial"/>
          <w:b/>
          <w:caps/>
          <w:sz w:val="28"/>
          <w:szCs w:val="24"/>
          <w:lang w:eastAsia="fr-FR"/>
        </w:rPr>
        <w:br/>
      </w:r>
      <w:r w:rsidRPr="0050175C">
        <w:rPr>
          <w:rFonts w:ascii="Arial" w:eastAsia="Times New Roman" w:hAnsi="Arial" w:cs="Arial"/>
          <w:b/>
          <w:caps/>
          <w:sz w:val="28"/>
          <w:szCs w:val="24"/>
          <w:lang w:eastAsia="fr-FR"/>
        </w:rPr>
        <w:t>ou</w:t>
      </w:r>
      <w:r w:rsidR="00587402" w:rsidRPr="0050175C">
        <w:rPr>
          <w:rFonts w:ascii="Arial" w:eastAsia="Times New Roman" w:hAnsi="Arial" w:cs="Arial"/>
          <w:b/>
          <w:caps/>
          <w:sz w:val="28"/>
          <w:szCs w:val="24"/>
          <w:lang w:eastAsia="fr-FR"/>
        </w:rPr>
        <w:t xml:space="preserve"> de sursis</w:t>
      </w:r>
      <w:r w:rsidRPr="0050175C">
        <w:rPr>
          <w:rFonts w:ascii="Arial" w:eastAsia="Times New Roman" w:hAnsi="Arial" w:cs="Arial"/>
          <w:b/>
          <w:caps/>
          <w:sz w:val="28"/>
          <w:szCs w:val="24"/>
          <w:lang w:eastAsia="fr-FR"/>
        </w:rPr>
        <w:t xml:space="preserve"> de livraison</w:t>
      </w:r>
    </w:p>
    <w:p w14:paraId="7A6855AB" w14:textId="77777777" w:rsidR="00B450EB" w:rsidRPr="005467A1" w:rsidRDefault="00B450EB" w:rsidP="00587402">
      <w:pPr>
        <w:spacing w:after="0"/>
        <w:jc w:val="center"/>
        <w:rPr>
          <w:rFonts w:ascii="Arial" w:hAnsi="Arial" w:cs="Arial"/>
          <w:b/>
          <w:szCs w:val="36"/>
        </w:rPr>
      </w:pPr>
    </w:p>
    <w:p w14:paraId="5965DEA0" w14:textId="66A2B579" w:rsidR="00587402" w:rsidRPr="004A083D" w:rsidRDefault="009C0E3E" w:rsidP="00B450EB">
      <w:pPr>
        <w:spacing w:after="0"/>
        <w:jc w:val="center"/>
        <w:rPr>
          <w:rFonts w:ascii="Arial" w:hAnsi="Arial" w:cs="Arial"/>
        </w:rPr>
      </w:pPr>
      <w:r w:rsidRPr="004A083D">
        <w:rPr>
          <w:rFonts w:ascii="Arial" w:hAnsi="Arial" w:cs="Arial"/>
        </w:rPr>
        <w:t>(</w:t>
      </w:r>
      <w:r w:rsidR="003632B6">
        <w:rPr>
          <w:rFonts w:ascii="Arial" w:hAnsi="Arial" w:cs="Arial"/>
        </w:rPr>
        <w:t>À</w:t>
      </w:r>
      <w:r w:rsidRPr="004A083D">
        <w:rPr>
          <w:rFonts w:ascii="Arial" w:hAnsi="Arial" w:cs="Arial"/>
        </w:rPr>
        <w:t xml:space="preserve"> envoyer par </w:t>
      </w:r>
      <w:r w:rsidRPr="005467A1">
        <w:rPr>
          <w:rFonts w:ascii="Arial" w:hAnsi="Arial" w:cs="Arial"/>
          <w:b/>
        </w:rPr>
        <w:t>courriel avec avis de réception au D</w:t>
      </w:r>
      <w:r w:rsidR="004A083D" w:rsidRPr="005467A1">
        <w:rPr>
          <w:rFonts w:ascii="Arial" w:hAnsi="Arial" w:cs="Arial"/>
          <w:b/>
        </w:rPr>
        <w:t>ETS</w:t>
      </w:r>
      <w:r w:rsidRPr="005467A1">
        <w:rPr>
          <w:rFonts w:ascii="Arial" w:hAnsi="Arial" w:cs="Arial"/>
          <w:b/>
        </w:rPr>
        <w:t>E</w:t>
      </w:r>
      <w:r w:rsidR="004A083D" w:rsidRPr="005467A1">
        <w:rPr>
          <w:rFonts w:ascii="Arial" w:hAnsi="Arial" w:cs="Arial"/>
          <w:b/>
        </w:rPr>
        <w:t>O</w:t>
      </w:r>
      <w:r w:rsidR="00BF421D">
        <w:rPr>
          <w:rFonts w:ascii="Arial" w:hAnsi="Arial" w:cs="Arial"/>
          <w:b/>
        </w:rPr>
        <w:t>-P</w:t>
      </w:r>
      <w:r w:rsidRPr="004A083D">
        <w:rPr>
          <w:rFonts w:ascii="Arial" w:hAnsi="Arial" w:cs="Arial"/>
        </w:rPr>
        <w:t xml:space="preserve"> à l’adresse indiquée en annexe </w:t>
      </w:r>
      <w:r w:rsidR="005467A1">
        <w:rPr>
          <w:rFonts w:ascii="Arial" w:hAnsi="Arial" w:cs="Arial"/>
        </w:rPr>
        <w:t>3</w:t>
      </w:r>
      <w:r w:rsidRPr="004A083D">
        <w:rPr>
          <w:rFonts w:ascii="Arial" w:hAnsi="Arial" w:cs="Arial"/>
        </w:rPr>
        <w:t xml:space="preserve"> au règlement de la consultation)</w:t>
      </w:r>
    </w:p>
    <w:p w14:paraId="5CB08197" w14:textId="77777777" w:rsidR="00B450EB" w:rsidRPr="004A083D" w:rsidRDefault="00B450EB" w:rsidP="00F05A1A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5"/>
        <w:gridCol w:w="3410"/>
        <w:gridCol w:w="4705"/>
      </w:tblGrid>
      <w:tr w:rsidR="00786C6D" w:rsidRPr="004A083D" w14:paraId="5965DEA4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A1" w14:textId="77777777" w:rsidR="00786C6D" w:rsidRPr="004A083D" w:rsidRDefault="00501FF3" w:rsidP="00587402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1</w:t>
            </w:r>
          </w:p>
        </w:tc>
        <w:tc>
          <w:tcPr>
            <w:tcW w:w="3447" w:type="dxa"/>
            <w:vAlign w:val="center"/>
          </w:tcPr>
          <w:p w14:paraId="5965DEA2" w14:textId="77777777" w:rsidR="00587402" w:rsidRPr="004A083D" w:rsidRDefault="00786C6D" w:rsidP="00587402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Raison sociale</w:t>
            </w:r>
          </w:p>
        </w:tc>
        <w:tc>
          <w:tcPr>
            <w:tcW w:w="4748" w:type="dxa"/>
            <w:vAlign w:val="center"/>
          </w:tcPr>
          <w:p w14:paraId="5965DEA3" w14:textId="61FBDB3A" w:rsidR="00786C6D" w:rsidRPr="004A083D" w:rsidRDefault="00786C6D" w:rsidP="00E54C24">
            <w:pPr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</w:p>
        </w:tc>
      </w:tr>
      <w:tr w:rsidR="00786C6D" w:rsidRPr="004A083D" w14:paraId="5965DEA8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A5" w14:textId="77777777" w:rsidR="00786C6D" w:rsidRPr="004A083D" w:rsidRDefault="00501FF3" w:rsidP="00587402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2</w:t>
            </w:r>
          </w:p>
        </w:tc>
        <w:tc>
          <w:tcPr>
            <w:tcW w:w="3447" w:type="dxa"/>
            <w:vAlign w:val="center"/>
          </w:tcPr>
          <w:p w14:paraId="5965DEA6" w14:textId="77777777" w:rsidR="00786C6D" w:rsidRPr="004A083D" w:rsidRDefault="00786C6D" w:rsidP="00587402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Identité de la personne faisant la demande</w:t>
            </w:r>
          </w:p>
        </w:tc>
        <w:tc>
          <w:tcPr>
            <w:tcW w:w="4748" w:type="dxa"/>
            <w:vAlign w:val="center"/>
          </w:tcPr>
          <w:p w14:paraId="5965DEA7" w14:textId="68F69F39" w:rsidR="00786C6D" w:rsidRPr="004A083D" w:rsidRDefault="00786C6D" w:rsidP="00CF7DC8">
            <w:pPr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</w:p>
        </w:tc>
      </w:tr>
      <w:tr w:rsidR="00501FF3" w:rsidRPr="004A083D" w14:paraId="5965DEAD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A9" w14:textId="77777777" w:rsidR="00501FF3" w:rsidRPr="004A083D" w:rsidRDefault="00501FF3" w:rsidP="00587402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3</w:t>
            </w:r>
          </w:p>
        </w:tc>
        <w:tc>
          <w:tcPr>
            <w:tcW w:w="3447" w:type="dxa"/>
            <w:vAlign w:val="center"/>
          </w:tcPr>
          <w:p w14:paraId="5965DEAA" w14:textId="2932A6A1" w:rsidR="00C27A65" w:rsidRPr="004A083D" w:rsidRDefault="00C27A65" w:rsidP="00C27A65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Courriel de contact</w:t>
            </w:r>
          </w:p>
        </w:tc>
        <w:tc>
          <w:tcPr>
            <w:tcW w:w="4748" w:type="dxa"/>
            <w:vAlign w:val="center"/>
          </w:tcPr>
          <w:p w14:paraId="5965DEAC" w14:textId="77777777" w:rsidR="00501FF3" w:rsidRPr="004A083D" w:rsidRDefault="00501FF3" w:rsidP="00895693">
            <w:pPr>
              <w:rPr>
                <w:rFonts w:ascii="Arial" w:hAnsi="Arial" w:cs="Arial"/>
              </w:rPr>
            </w:pPr>
          </w:p>
        </w:tc>
      </w:tr>
      <w:tr w:rsidR="00786C6D" w:rsidRPr="004A083D" w14:paraId="5965DEB2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AE" w14:textId="77777777" w:rsidR="00786C6D" w:rsidRPr="004A083D" w:rsidRDefault="00501FF3" w:rsidP="00587402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4</w:t>
            </w:r>
          </w:p>
        </w:tc>
        <w:tc>
          <w:tcPr>
            <w:tcW w:w="3447" w:type="dxa"/>
            <w:vAlign w:val="center"/>
          </w:tcPr>
          <w:p w14:paraId="5965DEAF" w14:textId="0B1F76C4" w:rsidR="00587402" w:rsidRPr="004A083D" w:rsidRDefault="00501FF3" w:rsidP="00421535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Téléphone</w:t>
            </w:r>
            <w:r w:rsidR="00C27A65" w:rsidRPr="004A083D">
              <w:rPr>
                <w:rFonts w:ascii="Arial" w:hAnsi="Arial" w:cs="Arial"/>
              </w:rPr>
              <w:t xml:space="preserve"> de contact</w:t>
            </w:r>
          </w:p>
        </w:tc>
        <w:tc>
          <w:tcPr>
            <w:tcW w:w="4748" w:type="dxa"/>
            <w:vAlign w:val="center"/>
          </w:tcPr>
          <w:p w14:paraId="5965DEB1" w14:textId="77777777" w:rsidR="00E54C24" w:rsidRPr="004A083D" w:rsidRDefault="00E54C24" w:rsidP="00895693">
            <w:pPr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</w:p>
        </w:tc>
      </w:tr>
      <w:tr w:rsidR="00786C6D" w:rsidRPr="004A083D" w14:paraId="5965DEB6" w14:textId="77777777" w:rsidTr="00EA70C6">
        <w:trPr>
          <w:trHeight w:val="443"/>
        </w:trPr>
        <w:tc>
          <w:tcPr>
            <w:tcW w:w="955" w:type="dxa"/>
            <w:vAlign w:val="center"/>
          </w:tcPr>
          <w:p w14:paraId="5965DEB3" w14:textId="77777777" w:rsidR="00786C6D" w:rsidRPr="004A083D" w:rsidRDefault="00786C6D" w:rsidP="00587402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5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5965DEB4" w14:textId="45904EE6" w:rsidR="00786C6D" w:rsidRPr="004A083D" w:rsidRDefault="004216B0" w:rsidP="00501FF3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Numéro de marché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965DEB5" w14:textId="00A2E140" w:rsidR="00786C6D" w:rsidRPr="00E80C0F" w:rsidRDefault="00440EC5" w:rsidP="00EA70C6">
            <w:pPr>
              <w:rPr>
                <w:rFonts w:ascii="Arial" w:hAnsi="Arial" w:cs="Arial"/>
                <w:b/>
                <w:color w:val="4F81BD" w:themeColor="accent1"/>
              </w:rPr>
            </w:pPr>
            <w:r w:rsidRPr="00EA70C6">
              <w:rPr>
                <w:rFonts w:ascii="Arial" w:hAnsi="Arial" w:cs="Arial"/>
                <w:b/>
                <w:color w:val="4F81BD" w:themeColor="accent1"/>
              </w:rPr>
              <w:t>20</w:t>
            </w:r>
            <w:r w:rsidR="004A083D" w:rsidRPr="00EA70C6">
              <w:rPr>
                <w:rFonts w:ascii="Arial" w:hAnsi="Arial" w:cs="Arial"/>
                <w:b/>
                <w:color w:val="4F81BD" w:themeColor="accent1"/>
              </w:rPr>
              <w:t>2</w:t>
            </w:r>
            <w:r w:rsidR="00EA70C6" w:rsidRPr="00EA70C6">
              <w:rPr>
                <w:rFonts w:ascii="Arial" w:hAnsi="Arial" w:cs="Arial"/>
                <w:b/>
                <w:color w:val="4F81BD" w:themeColor="accent1"/>
              </w:rPr>
              <w:t>5</w:t>
            </w:r>
            <w:r w:rsidR="004464BA" w:rsidRPr="00EA70C6">
              <w:rPr>
                <w:rFonts w:ascii="Arial" w:hAnsi="Arial" w:cs="Arial"/>
                <w:b/>
                <w:color w:val="4F81BD" w:themeColor="accent1"/>
              </w:rPr>
              <w:t>-2400</w:t>
            </w:r>
            <w:r w:rsidR="00354D19" w:rsidRPr="00EA70C6">
              <w:rPr>
                <w:rFonts w:ascii="Arial" w:hAnsi="Arial" w:cs="Arial"/>
                <w:b/>
                <w:color w:val="4F81BD" w:themeColor="accent1"/>
              </w:rPr>
              <w:t>XXXXXX</w:t>
            </w:r>
            <w:r w:rsidR="00600FC3" w:rsidRPr="00E80C0F">
              <w:rPr>
                <w:rFonts w:ascii="Arial" w:hAnsi="Arial" w:cs="Arial"/>
                <w:b/>
                <w:color w:val="4F81BD" w:themeColor="accent1"/>
              </w:rPr>
              <w:t xml:space="preserve"> </w:t>
            </w:r>
          </w:p>
        </w:tc>
      </w:tr>
      <w:tr w:rsidR="00981E9B" w:rsidRPr="004A083D" w14:paraId="5965DEBA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B7" w14:textId="77777777" w:rsidR="00981E9B" w:rsidRPr="004A083D" w:rsidRDefault="00501FF3" w:rsidP="00B75685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6</w:t>
            </w:r>
          </w:p>
        </w:tc>
        <w:tc>
          <w:tcPr>
            <w:tcW w:w="3447" w:type="dxa"/>
            <w:vAlign w:val="center"/>
          </w:tcPr>
          <w:p w14:paraId="5965DEB8" w14:textId="559CD6E4" w:rsidR="00981E9B" w:rsidRPr="004A083D" w:rsidRDefault="00FB2392" w:rsidP="00587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 de </w:t>
            </w:r>
            <w:r w:rsidR="00501FF3" w:rsidRPr="004A083D">
              <w:rPr>
                <w:rFonts w:ascii="Arial" w:hAnsi="Arial" w:cs="Arial"/>
              </w:rPr>
              <w:t>noti</w:t>
            </w:r>
            <w:r>
              <w:rPr>
                <w:rFonts w:ascii="Arial" w:hAnsi="Arial" w:cs="Arial"/>
              </w:rPr>
              <w:t>fication du marché</w:t>
            </w:r>
          </w:p>
        </w:tc>
        <w:tc>
          <w:tcPr>
            <w:tcW w:w="4748" w:type="dxa"/>
            <w:vAlign w:val="center"/>
          </w:tcPr>
          <w:p w14:paraId="5965DEB9" w14:textId="0BFF7F10" w:rsidR="00981E9B" w:rsidRPr="00E80C0F" w:rsidRDefault="004216B0" w:rsidP="001526CB">
            <w:pPr>
              <w:rPr>
                <w:rFonts w:ascii="Arial" w:hAnsi="Arial" w:cs="Arial"/>
                <w:b/>
                <w:color w:val="4F81BD" w:themeColor="accent1"/>
              </w:rPr>
            </w:pPr>
            <w:r w:rsidRPr="00E80C0F">
              <w:rPr>
                <w:rFonts w:ascii="Arial" w:hAnsi="Arial" w:cs="Arial"/>
                <w:b/>
                <w:color w:val="4F81BD" w:themeColor="accent1"/>
              </w:rPr>
              <w:t>Date de notification du marché</w:t>
            </w:r>
          </w:p>
        </w:tc>
      </w:tr>
      <w:tr w:rsidR="00501FF3" w:rsidRPr="004A083D" w14:paraId="5965DEBE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BB" w14:textId="77777777" w:rsidR="00501FF3" w:rsidRPr="004A083D" w:rsidRDefault="00501FF3" w:rsidP="000B0987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7</w:t>
            </w:r>
          </w:p>
        </w:tc>
        <w:tc>
          <w:tcPr>
            <w:tcW w:w="3447" w:type="dxa"/>
            <w:vAlign w:val="center"/>
          </w:tcPr>
          <w:p w14:paraId="5965DEBC" w14:textId="77777777" w:rsidR="00501FF3" w:rsidRPr="004A083D" w:rsidRDefault="00501FF3" w:rsidP="000B0987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Objet du marché</w:t>
            </w:r>
          </w:p>
        </w:tc>
        <w:tc>
          <w:tcPr>
            <w:tcW w:w="4748" w:type="dxa"/>
            <w:vAlign w:val="center"/>
          </w:tcPr>
          <w:p w14:paraId="5965DEBD" w14:textId="6674342D" w:rsidR="00501FF3" w:rsidRPr="00E80C0F" w:rsidRDefault="00507A18" w:rsidP="00BF421D">
            <w:pPr>
              <w:jc w:val="both"/>
              <w:rPr>
                <w:rFonts w:ascii="Arial" w:hAnsi="Arial" w:cs="Arial"/>
                <w:b/>
                <w:color w:val="4F81BD" w:themeColor="accent1"/>
              </w:rPr>
            </w:pPr>
            <w:r w:rsidRPr="00507A18">
              <w:rPr>
                <w:rFonts w:ascii="Arial" w:hAnsi="Arial" w:cs="Arial"/>
                <w:b/>
                <w:color w:val="4F81BD" w:themeColor="accent1"/>
              </w:rPr>
              <w:t>Approvisionnement en carburéacteur JET A1 au profit du Service de l’énergie opérationnelle (SEO) et de ses clients au DEM de la Tontouta en Nouvelle Calédonie</w:t>
            </w:r>
          </w:p>
        </w:tc>
      </w:tr>
      <w:tr w:rsidR="00501FF3" w:rsidRPr="004A083D" w14:paraId="5965DEC2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BF" w14:textId="7FCFB232" w:rsidR="00501FF3" w:rsidRPr="004A083D" w:rsidRDefault="00501FF3" w:rsidP="00B75685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8</w:t>
            </w:r>
          </w:p>
        </w:tc>
        <w:tc>
          <w:tcPr>
            <w:tcW w:w="3447" w:type="dxa"/>
            <w:vAlign w:val="center"/>
          </w:tcPr>
          <w:p w14:paraId="5965DEC0" w14:textId="77777777" w:rsidR="00501FF3" w:rsidRPr="004A083D" w:rsidRDefault="00501FF3" w:rsidP="00981E9B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 xml:space="preserve">Référence de la commande : Numéro du bon de commande </w:t>
            </w:r>
          </w:p>
        </w:tc>
        <w:tc>
          <w:tcPr>
            <w:tcW w:w="4748" w:type="dxa"/>
            <w:vAlign w:val="center"/>
          </w:tcPr>
          <w:p w14:paraId="5965DEC1" w14:textId="63BA32FF" w:rsidR="00501FF3" w:rsidRPr="00E80C0F" w:rsidRDefault="00501FF3" w:rsidP="00E54C24">
            <w:pPr>
              <w:rPr>
                <w:rFonts w:ascii="Arial" w:hAnsi="Arial" w:cs="Arial"/>
                <w:b/>
                <w:color w:val="4F81BD" w:themeColor="accent1"/>
              </w:rPr>
            </w:pPr>
          </w:p>
        </w:tc>
      </w:tr>
      <w:tr w:rsidR="00501FF3" w:rsidRPr="004A083D" w14:paraId="5965DEC6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C3" w14:textId="77777777" w:rsidR="00501FF3" w:rsidRPr="004A083D" w:rsidRDefault="00501FF3" w:rsidP="00B75685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9</w:t>
            </w:r>
          </w:p>
        </w:tc>
        <w:tc>
          <w:tcPr>
            <w:tcW w:w="3447" w:type="dxa"/>
            <w:vAlign w:val="center"/>
          </w:tcPr>
          <w:p w14:paraId="5965DEC4" w14:textId="77777777" w:rsidR="00501FF3" w:rsidRPr="004A083D" w:rsidRDefault="00501FF3" w:rsidP="00587402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 xml:space="preserve">Date de notification du bon de commande </w:t>
            </w:r>
            <w:r w:rsidRPr="004A083D">
              <w:rPr>
                <w:rStyle w:val="Appelnotedebasdep"/>
                <w:rFonts w:ascii="Arial" w:hAnsi="Arial" w:cs="Arial"/>
              </w:rPr>
              <w:footnoteReference w:id="1"/>
            </w:r>
          </w:p>
        </w:tc>
        <w:tc>
          <w:tcPr>
            <w:tcW w:w="4748" w:type="dxa"/>
            <w:vAlign w:val="center"/>
          </w:tcPr>
          <w:p w14:paraId="5965DEC5" w14:textId="79434496" w:rsidR="00501FF3" w:rsidRPr="00E80C0F" w:rsidRDefault="00501FF3" w:rsidP="001526CB">
            <w:pPr>
              <w:rPr>
                <w:rFonts w:ascii="Arial" w:hAnsi="Arial" w:cs="Arial"/>
                <w:b/>
                <w:color w:val="4F81BD" w:themeColor="accent1"/>
              </w:rPr>
            </w:pPr>
          </w:p>
        </w:tc>
      </w:tr>
      <w:tr w:rsidR="00501FF3" w:rsidRPr="004A083D" w14:paraId="5965DECA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C7" w14:textId="77777777" w:rsidR="00501FF3" w:rsidRPr="004A083D" w:rsidRDefault="00421535" w:rsidP="00B75685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10</w:t>
            </w:r>
          </w:p>
        </w:tc>
        <w:tc>
          <w:tcPr>
            <w:tcW w:w="3447" w:type="dxa"/>
            <w:vAlign w:val="center"/>
          </w:tcPr>
          <w:p w14:paraId="5965DEC8" w14:textId="41633F2A" w:rsidR="00501FF3" w:rsidRPr="004A083D" w:rsidRDefault="00501FF3" w:rsidP="00587402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Délai contractuel</w:t>
            </w:r>
            <w:r w:rsidR="005467A1">
              <w:rPr>
                <w:rFonts w:ascii="Arial" w:hAnsi="Arial" w:cs="Arial"/>
              </w:rPr>
              <w:t xml:space="preserve"> </w:t>
            </w:r>
            <w:r w:rsidRPr="004A083D">
              <w:rPr>
                <w:rStyle w:val="Appelnotedebasdep"/>
                <w:rFonts w:ascii="Arial" w:hAnsi="Arial" w:cs="Arial"/>
              </w:rPr>
              <w:footnoteReference w:id="2"/>
            </w:r>
          </w:p>
        </w:tc>
        <w:tc>
          <w:tcPr>
            <w:tcW w:w="4748" w:type="dxa"/>
            <w:vAlign w:val="center"/>
          </w:tcPr>
          <w:p w14:paraId="5965DEC9" w14:textId="24AB3A89" w:rsidR="00501FF3" w:rsidRPr="00E80C0F" w:rsidRDefault="00501FF3" w:rsidP="00E54C24">
            <w:pPr>
              <w:rPr>
                <w:rFonts w:ascii="Arial" w:hAnsi="Arial" w:cs="Arial"/>
                <w:b/>
                <w:color w:val="4F81BD" w:themeColor="accent1"/>
              </w:rPr>
            </w:pPr>
          </w:p>
        </w:tc>
      </w:tr>
      <w:tr w:rsidR="00501FF3" w:rsidRPr="004A083D" w14:paraId="5965DECE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CB" w14:textId="77777777" w:rsidR="00501FF3" w:rsidRPr="004A083D" w:rsidRDefault="00421535" w:rsidP="00B75685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11</w:t>
            </w:r>
          </w:p>
        </w:tc>
        <w:tc>
          <w:tcPr>
            <w:tcW w:w="3447" w:type="dxa"/>
            <w:vAlign w:val="center"/>
          </w:tcPr>
          <w:p w14:paraId="5965DECC" w14:textId="1DB37661" w:rsidR="00501FF3" w:rsidRPr="004A083D" w:rsidRDefault="00501FF3" w:rsidP="00587402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Congés annuels à neutraliser</w:t>
            </w:r>
            <w:r w:rsidR="005467A1">
              <w:rPr>
                <w:rFonts w:ascii="Arial" w:hAnsi="Arial" w:cs="Arial"/>
              </w:rPr>
              <w:t xml:space="preserve"> </w:t>
            </w:r>
            <w:r w:rsidRPr="004A083D">
              <w:rPr>
                <w:rStyle w:val="Appelnotedebasdep"/>
                <w:rFonts w:ascii="Arial" w:hAnsi="Arial" w:cs="Arial"/>
              </w:rPr>
              <w:footnoteReference w:id="3"/>
            </w:r>
          </w:p>
        </w:tc>
        <w:tc>
          <w:tcPr>
            <w:tcW w:w="4748" w:type="dxa"/>
            <w:vAlign w:val="center"/>
          </w:tcPr>
          <w:p w14:paraId="5965DECD" w14:textId="57F15FFA" w:rsidR="00501FF3" w:rsidRPr="00E80C0F" w:rsidRDefault="00501FF3" w:rsidP="001526CB">
            <w:pPr>
              <w:rPr>
                <w:rFonts w:ascii="Arial" w:hAnsi="Arial" w:cs="Arial"/>
                <w:b/>
                <w:color w:val="4F81BD" w:themeColor="accent1"/>
              </w:rPr>
            </w:pPr>
          </w:p>
        </w:tc>
      </w:tr>
      <w:tr w:rsidR="00501FF3" w:rsidRPr="004A083D" w14:paraId="5965DED2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CF" w14:textId="77777777" w:rsidR="00501FF3" w:rsidRPr="004A083D" w:rsidRDefault="00421535" w:rsidP="00B75685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12</w:t>
            </w:r>
          </w:p>
        </w:tc>
        <w:tc>
          <w:tcPr>
            <w:tcW w:w="3447" w:type="dxa"/>
            <w:vAlign w:val="center"/>
          </w:tcPr>
          <w:p w14:paraId="5965DED0" w14:textId="77777777" w:rsidR="00501FF3" w:rsidRPr="004A083D" w:rsidRDefault="00501FF3" w:rsidP="00501FF3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 xml:space="preserve">Date limite contractuelle initiale 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965DED1" w14:textId="3EE0534C" w:rsidR="00501FF3" w:rsidRPr="00E80C0F" w:rsidRDefault="00501FF3" w:rsidP="00E54C24">
            <w:pPr>
              <w:rPr>
                <w:rFonts w:ascii="Arial" w:hAnsi="Arial" w:cs="Arial"/>
                <w:b/>
                <w:color w:val="4F81BD" w:themeColor="accent1"/>
              </w:rPr>
            </w:pPr>
          </w:p>
        </w:tc>
      </w:tr>
      <w:tr w:rsidR="00501FF3" w:rsidRPr="004A083D" w14:paraId="5965DED6" w14:textId="77777777" w:rsidTr="00B450EB">
        <w:trPr>
          <w:trHeight w:val="443"/>
        </w:trPr>
        <w:tc>
          <w:tcPr>
            <w:tcW w:w="955" w:type="dxa"/>
            <w:vAlign w:val="center"/>
          </w:tcPr>
          <w:p w14:paraId="5965DED3" w14:textId="77777777" w:rsidR="00501FF3" w:rsidRPr="004A083D" w:rsidRDefault="00421535" w:rsidP="00B75685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13</w:t>
            </w:r>
          </w:p>
        </w:tc>
        <w:tc>
          <w:tcPr>
            <w:tcW w:w="3447" w:type="dxa"/>
            <w:vAlign w:val="center"/>
          </w:tcPr>
          <w:p w14:paraId="5965DED4" w14:textId="77777777" w:rsidR="00501FF3" w:rsidRPr="004A083D" w:rsidRDefault="00501FF3" w:rsidP="00587402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Report demandé au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965DED5" w14:textId="3EE8656C" w:rsidR="00501FF3" w:rsidRPr="00E80C0F" w:rsidRDefault="00501FF3" w:rsidP="00E54C24">
            <w:pPr>
              <w:rPr>
                <w:rFonts w:ascii="Arial" w:hAnsi="Arial" w:cs="Arial"/>
                <w:b/>
              </w:rPr>
            </w:pPr>
          </w:p>
        </w:tc>
      </w:tr>
      <w:tr w:rsidR="00501FF3" w:rsidRPr="004A083D" w14:paraId="5965DEDD" w14:textId="77777777" w:rsidTr="00200667">
        <w:trPr>
          <w:trHeight w:val="2316"/>
        </w:trPr>
        <w:tc>
          <w:tcPr>
            <w:tcW w:w="955" w:type="dxa"/>
            <w:vAlign w:val="center"/>
          </w:tcPr>
          <w:p w14:paraId="5965DED7" w14:textId="77777777" w:rsidR="00501FF3" w:rsidRPr="004A083D" w:rsidRDefault="00421535" w:rsidP="00587402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14</w:t>
            </w:r>
          </w:p>
        </w:tc>
        <w:tc>
          <w:tcPr>
            <w:tcW w:w="3447" w:type="dxa"/>
            <w:vAlign w:val="center"/>
          </w:tcPr>
          <w:p w14:paraId="5965DED8" w14:textId="4961AD56" w:rsidR="00501FF3" w:rsidRPr="004A083D" w:rsidRDefault="00501FF3" w:rsidP="00587402">
            <w:pPr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Motifs</w:t>
            </w:r>
            <w:r w:rsidR="005467A1">
              <w:rPr>
                <w:rFonts w:ascii="Arial" w:hAnsi="Arial" w:cs="Arial"/>
              </w:rPr>
              <w:t xml:space="preserve"> </w:t>
            </w:r>
            <w:r w:rsidRPr="004A083D">
              <w:rPr>
                <w:rStyle w:val="Appelnotedebasdep"/>
                <w:rFonts w:ascii="Arial" w:hAnsi="Arial" w:cs="Arial"/>
              </w:rPr>
              <w:footnoteReference w:id="4"/>
            </w:r>
          </w:p>
        </w:tc>
        <w:tc>
          <w:tcPr>
            <w:tcW w:w="4748" w:type="dxa"/>
            <w:vAlign w:val="center"/>
          </w:tcPr>
          <w:p w14:paraId="5965DEDC" w14:textId="6091C825" w:rsidR="004216B0" w:rsidRPr="00E80C0F" w:rsidRDefault="004216B0" w:rsidP="00F05A1A">
            <w:pPr>
              <w:jc w:val="both"/>
              <w:rPr>
                <w:rFonts w:ascii="Arial" w:hAnsi="Arial" w:cs="Arial"/>
                <w:b/>
                <w:color w:val="4F81BD" w:themeColor="accent1"/>
              </w:rPr>
            </w:pPr>
            <w:r w:rsidRPr="00E80C0F">
              <w:rPr>
                <w:rFonts w:ascii="Arial" w:hAnsi="Arial" w:cs="Arial"/>
                <w:b/>
                <w:color w:val="4F81BD" w:themeColor="accent1"/>
              </w:rPr>
              <w:t xml:space="preserve">Préciser explicitement les motifs du retard d’approvisionnement en indiquant la date initiale de livraison et la date effective. </w:t>
            </w:r>
          </w:p>
        </w:tc>
      </w:tr>
    </w:tbl>
    <w:p w14:paraId="795D6DAF" w14:textId="74BA7AFF" w:rsidR="00DE1C26" w:rsidRDefault="0050175C">
      <w:pPr>
        <w:rPr>
          <w:rFonts w:ascii="Arial" w:hAnsi="Arial" w:cs="Arial"/>
        </w:rPr>
      </w:pPr>
      <w:r w:rsidRPr="004A083D">
        <w:rPr>
          <w:rFonts w:ascii="Arial" w:hAnsi="Arial" w:cs="Arial"/>
        </w:rPr>
        <w:t>Voir page suivante pour décision du DETSEO</w:t>
      </w:r>
      <w:r w:rsidR="00754B86">
        <w:rPr>
          <w:rFonts w:ascii="Arial" w:hAnsi="Arial" w:cs="Arial"/>
        </w:rPr>
        <w:t>-P</w:t>
      </w:r>
      <w:r w:rsidRPr="004A083D">
        <w:rPr>
          <w:rFonts w:ascii="Arial" w:hAnsi="Arial" w:cs="Arial"/>
        </w:rPr>
        <w:t>.</w:t>
      </w:r>
      <w:r w:rsidR="00DE1C26">
        <w:rPr>
          <w:rFonts w:ascii="Arial" w:hAnsi="Arial" w:cs="Arial"/>
        </w:rPr>
        <w:br w:type="page"/>
      </w:r>
    </w:p>
    <w:p w14:paraId="4B6685C9" w14:textId="77777777" w:rsidR="0050175C" w:rsidRDefault="0050175C" w:rsidP="0050175C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7"/>
        <w:gridCol w:w="3487"/>
        <w:gridCol w:w="4626"/>
      </w:tblGrid>
      <w:tr w:rsidR="001422F6" w:rsidRPr="004A083D" w14:paraId="25C48993" w14:textId="77777777" w:rsidTr="00E41BDB">
        <w:trPr>
          <w:trHeight w:val="525"/>
        </w:trPr>
        <w:tc>
          <w:tcPr>
            <w:tcW w:w="959" w:type="dxa"/>
            <w:vAlign w:val="center"/>
          </w:tcPr>
          <w:p w14:paraId="5113A67A" w14:textId="7C0E73E3" w:rsidR="001422F6" w:rsidRPr="004A083D" w:rsidRDefault="0050175C" w:rsidP="00B450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 w:type="page"/>
            </w:r>
            <w:r w:rsidR="00B450EB" w:rsidRPr="004A083D">
              <w:rPr>
                <w:rFonts w:ascii="Arial" w:hAnsi="Arial" w:cs="Arial"/>
              </w:rPr>
              <w:t>15</w:t>
            </w:r>
          </w:p>
        </w:tc>
        <w:tc>
          <w:tcPr>
            <w:tcW w:w="3544" w:type="dxa"/>
            <w:vAlign w:val="center"/>
          </w:tcPr>
          <w:p w14:paraId="79E680F1" w14:textId="6CD8DB7F" w:rsidR="001422F6" w:rsidRPr="004A083D" w:rsidRDefault="001422F6" w:rsidP="00754B86">
            <w:pPr>
              <w:rPr>
                <w:rFonts w:ascii="Arial" w:hAnsi="Arial" w:cs="Arial"/>
                <w:b/>
              </w:rPr>
            </w:pPr>
            <w:r w:rsidRPr="004A083D">
              <w:rPr>
                <w:rFonts w:ascii="Arial" w:hAnsi="Arial" w:cs="Arial"/>
                <w:b/>
              </w:rPr>
              <w:t xml:space="preserve">Date de réception par le </w:t>
            </w:r>
            <w:r w:rsidR="004A083D" w:rsidRPr="004A083D">
              <w:rPr>
                <w:rFonts w:ascii="Arial" w:hAnsi="Arial" w:cs="Arial"/>
                <w:b/>
              </w:rPr>
              <w:t>DETSEO</w:t>
            </w:r>
            <w:r w:rsidR="00754B86">
              <w:rPr>
                <w:rFonts w:ascii="Arial" w:hAnsi="Arial" w:cs="Arial"/>
                <w:b/>
              </w:rPr>
              <w:t>-P</w:t>
            </w:r>
          </w:p>
        </w:tc>
        <w:tc>
          <w:tcPr>
            <w:tcW w:w="4709" w:type="dxa"/>
          </w:tcPr>
          <w:p w14:paraId="1AED899A" w14:textId="77777777" w:rsidR="001422F6" w:rsidRPr="004A083D" w:rsidRDefault="001422F6">
            <w:pPr>
              <w:rPr>
                <w:rFonts w:ascii="Arial" w:hAnsi="Arial" w:cs="Arial"/>
              </w:rPr>
            </w:pPr>
          </w:p>
        </w:tc>
      </w:tr>
      <w:tr w:rsidR="001422F6" w:rsidRPr="004A083D" w14:paraId="71ED4EB7" w14:textId="77777777" w:rsidTr="00E41BDB">
        <w:trPr>
          <w:trHeight w:val="575"/>
        </w:trPr>
        <w:tc>
          <w:tcPr>
            <w:tcW w:w="959" w:type="dxa"/>
            <w:vAlign w:val="center"/>
          </w:tcPr>
          <w:p w14:paraId="7FDEA1D1" w14:textId="504E5310" w:rsidR="001422F6" w:rsidRPr="004A083D" w:rsidRDefault="00B450EB" w:rsidP="00B450EB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16</w:t>
            </w:r>
          </w:p>
        </w:tc>
        <w:tc>
          <w:tcPr>
            <w:tcW w:w="3544" w:type="dxa"/>
            <w:vAlign w:val="center"/>
          </w:tcPr>
          <w:p w14:paraId="1AF2D1D4" w14:textId="1B8E5B06" w:rsidR="001422F6" w:rsidRPr="004A083D" w:rsidRDefault="001422F6">
            <w:pPr>
              <w:rPr>
                <w:rFonts w:ascii="Arial" w:hAnsi="Arial" w:cs="Arial"/>
                <w:b/>
              </w:rPr>
            </w:pPr>
            <w:r w:rsidRPr="004A083D">
              <w:rPr>
                <w:rFonts w:ascii="Arial" w:hAnsi="Arial" w:cs="Arial"/>
                <w:b/>
              </w:rPr>
              <w:t xml:space="preserve">Nom et grade du </w:t>
            </w:r>
            <w:r w:rsidR="004A083D" w:rsidRPr="004A083D">
              <w:rPr>
                <w:rFonts w:ascii="Arial" w:hAnsi="Arial" w:cs="Arial"/>
                <w:b/>
              </w:rPr>
              <w:t>DETSEO</w:t>
            </w:r>
            <w:r w:rsidR="00754B86">
              <w:rPr>
                <w:rFonts w:ascii="Arial" w:hAnsi="Arial" w:cs="Arial"/>
                <w:b/>
              </w:rPr>
              <w:t>-P</w:t>
            </w:r>
          </w:p>
        </w:tc>
        <w:tc>
          <w:tcPr>
            <w:tcW w:w="4709" w:type="dxa"/>
          </w:tcPr>
          <w:p w14:paraId="70687214" w14:textId="77777777" w:rsidR="001422F6" w:rsidRPr="004A083D" w:rsidRDefault="001422F6">
            <w:pPr>
              <w:rPr>
                <w:rFonts w:ascii="Arial" w:hAnsi="Arial" w:cs="Arial"/>
              </w:rPr>
            </w:pPr>
          </w:p>
        </w:tc>
      </w:tr>
      <w:tr w:rsidR="001422F6" w:rsidRPr="004A083D" w14:paraId="0390C4D4" w14:textId="77777777" w:rsidTr="00E41BDB">
        <w:trPr>
          <w:trHeight w:val="555"/>
        </w:trPr>
        <w:tc>
          <w:tcPr>
            <w:tcW w:w="959" w:type="dxa"/>
            <w:vAlign w:val="center"/>
          </w:tcPr>
          <w:p w14:paraId="37F1C070" w14:textId="67D57EDA" w:rsidR="001422F6" w:rsidRPr="004A083D" w:rsidRDefault="00B450EB" w:rsidP="00B450EB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17</w:t>
            </w:r>
          </w:p>
        </w:tc>
        <w:tc>
          <w:tcPr>
            <w:tcW w:w="3544" w:type="dxa"/>
            <w:vAlign w:val="center"/>
          </w:tcPr>
          <w:p w14:paraId="50704933" w14:textId="1BA23429" w:rsidR="001422F6" w:rsidRPr="004A083D" w:rsidRDefault="001422F6" w:rsidP="00754B86">
            <w:pPr>
              <w:rPr>
                <w:rFonts w:ascii="Arial" w:hAnsi="Arial" w:cs="Arial"/>
                <w:b/>
              </w:rPr>
            </w:pPr>
            <w:r w:rsidRPr="004A083D">
              <w:rPr>
                <w:rFonts w:ascii="Arial" w:hAnsi="Arial" w:cs="Arial"/>
                <w:b/>
              </w:rPr>
              <w:t xml:space="preserve">Décision du </w:t>
            </w:r>
            <w:r w:rsidR="004A083D" w:rsidRPr="004A083D">
              <w:rPr>
                <w:rFonts w:ascii="Arial" w:hAnsi="Arial" w:cs="Arial"/>
                <w:b/>
              </w:rPr>
              <w:t>DETSEO</w:t>
            </w:r>
            <w:r w:rsidR="00754B86">
              <w:rPr>
                <w:rFonts w:ascii="Arial" w:hAnsi="Arial" w:cs="Arial"/>
                <w:b/>
              </w:rPr>
              <w:t>-P</w:t>
            </w:r>
          </w:p>
        </w:tc>
        <w:tc>
          <w:tcPr>
            <w:tcW w:w="4709" w:type="dxa"/>
          </w:tcPr>
          <w:p w14:paraId="6236C011" w14:textId="3D1488F0" w:rsidR="009C0E3E" w:rsidRPr="005467A1" w:rsidRDefault="009C0E3E" w:rsidP="00F05A1A">
            <w:pPr>
              <w:jc w:val="both"/>
              <w:rPr>
                <w:rFonts w:ascii="Arial" w:hAnsi="Arial" w:cs="Arial"/>
                <w:vertAlign w:val="superscript"/>
              </w:rPr>
            </w:pPr>
            <w:r w:rsidRPr="004A083D">
              <w:rPr>
                <w:rFonts w:ascii="Arial" w:hAnsi="Arial" w:cs="Arial"/>
              </w:rPr>
              <w:t>- Accord pour le report d’exécution de la prestation</w:t>
            </w:r>
            <w:r w:rsidR="005467A1">
              <w:rPr>
                <w:rFonts w:ascii="Arial" w:hAnsi="Arial" w:cs="Arial"/>
              </w:rPr>
              <w:t xml:space="preserve"> </w:t>
            </w:r>
            <w:r w:rsidR="005467A1" w:rsidRPr="005467A1">
              <w:rPr>
                <w:rFonts w:ascii="Arial" w:hAnsi="Arial" w:cs="Arial"/>
                <w:vertAlign w:val="superscript"/>
              </w:rPr>
              <w:t>(1)</w:t>
            </w:r>
          </w:p>
          <w:p w14:paraId="01A017F7" w14:textId="6DD3CD20" w:rsidR="009C0E3E" w:rsidRPr="004A083D" w:rsidRDefault="009C0E3E" w:rsidP="00F05A1A">
            <w:pPr>
              <w:jc w:val="both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- Refus pour le report d’exécution de la prestation</w:t>
            </w:r>
            <w:r w:rsidR="005467A1">
              <w:rPr>
                <w:rFonts w:ascii="Arial" w:hAnsi="Arial" w:cs="Arial"/>
              </w:rPr>
              <w:t xml:space="preserve"> </w:t>
            </w:r>
            <w:r w:rsidR="005467A1" w:rsidRPr="005467A1">
              <w:rPr>
                <w:rFonts w:ascii="Arial" w:hAnsi="Arial" w:cs="Arial"/>
                <w:vertAlign w:val="superscript"/>
              </w:rPr>
              <w:t>(1)</w:t>
            </w:r>
          </w:p>
          <w:p w14:paraId="7EB5126C" w14:textId="5AC95379" w:rsidR="001422F6" w:rsidRPr="004A083D" w:rsidRDefault="005467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(1)</w:t>
            </w:r>
            <w:r w:rsidR="009C0E3E" w:rsidRPr="004A083D">
              <w:rPr>
                <w:rFonts w:ascii="Arial" w:hAnsi="Arial" w:cs="Arial"/>
                <w:i/>
                <w:sz w:val="20"/>
                <w:szCs w:val="20"/>
              </w:rPr>
              <w:t>Barrer la mention inutile</w:t>
            </w:r>
          </w:p>
        </w:tc>
      </w:tr>
      <w:tr w:rsidR="001422F6" w:rsidRPr="004A083D" w14:paraId="1CE3F381" w14:textId="77777777" w:rsidTr="00E41BDB">
        <w:trPr>
          <w:trHeight w:val="549"/>
        </w:trPr>
        <w:tc>
          <w:tcPr>
            <w:tcW w:w="959" w:type="dxa"/>
            <w:vAlign w:val="center"/>
          </w:tcPr>
          <w:p w14:paraId="63DBBBC6" w14:textId="04705C92" w:rsidR="001422F6" w:rsidRPr="004A083D" w:rsidRDefault="00B450EB" w:rsidP="00B450EB">
            <w:pPr>
              <w:jc w:val="center"/>
              <w:rPr>
                <w:rFonts w:ascii="Arial" w:hAnsi="Arial" w:cs="Arial"/>
              </w:rPr>
            </w:pPr>
            <w:r w:rsidRPr="004A083D">
              <w:rPr>
                <w:rFonts w:ascii="Arial" w:hAnsi="Arial" w:cs="Arial"/>
              </w:rPr>
              <w:t>18</w:t>
            </w:r>
          </w:p>
        </w:tc>
        <w:tc>
          <w:tcPr>
            <w:tcW w:w="3544" w:type="dxa"/>
            <w:vAlign w:val="center"/>
          </w:tcPr>
          <w:p w14:paraId="7FBF950F" w14:textId="2D66C39E" w:rsidR="001422F6" w:rsidRPr="004A083D" w:rsidRDefault="001422F6" w:rsidP="00754B86">
            <w:pPr>
              <w:rPr>
                <w:rFonts w:ascii="Arial" w:hAnsi="Arial" w:cs="Arial"/>
                <w:b/>
              </w:rPr>
            </w:pPr>
            <w:r w:rsidRPr="004A083D">
              <w:rPr>
                <w:rFonts w:ascii="Arial" w:hAnsi="Arial" w:cs="Arial"/>
                <w:b/>
              </w:rPr>
              <w:t xml:space="preserve">Date de la décision du </w:t>
            </w:r>
            <w:r w:rsidR="004A083D" w:rsidRPr="004A083D">
              <w:rPr>
                <w:rFonts w:ascii="Arial" w:hAnsi="Arial" w:cs="Arial"/>
                <w:b/>
              </w:rPr>
              <w:t>DETSEO</w:t>
            </w:r>
            <w:r w:rsidR="00754B86">
              <w:rPr>
                <w:rFonts w:ascii="Arial" w:hAnsi="Arial" w:cs="Arial"/>
                <w:b/>
              </w:rPr>
              <w:t>-P</w:t>
            </w:r>
          </w:p>
        </w:tc>
        <w:tc>
          <w:tcPr>
            <w:tcW w:w="4709" w:type="dxa"/>
          </w:tcPr>
          <w:p w14:paraId="73C6637F" w14:textId="77777777" w:rsidR="001422F6" w:rsidRPr="004A083D" w:rsidRDefault="001422F6">
            <w:pPr>
              <w:rPr>
                <w:rFonts w:ascii="Arial" w:hAnsi="Arial" w:cs="Arial"/>
              </w:rPr>
            </w:pPr>
          </w:p>
        </w:tc>
      </w:tr>
    </w:tbl>
    <w:p w14:paraId="32DBE92B" w14:textId="7BC7F130" w:rsidR="009C0E3E" w:rsidRPr="004A083D" w:rsidRDefault="009C0E3E" w:rsidP="00F05A1A">
      <w:pPr>
        <w:jc w:val="both"/>
        <w:rPr>
          <w:rFonts w:ascii="Arial" w:hAnsi="Arial" w:cs="Arial"/>
          <w:color w:val="FF0000"/>
        </w:rPr>
      </w:pPr>
      <w:r w:rsidRPr="004A083D">
        <w:rPr>
          <w:rFonts w:ascii="Arial" w:hAnsi="Arial" w:cs="Arial"/>
          <w:color w:val="FF0000"/>
        </w:rPr>
        <w:t>*Les dates sont obligatoires pour la prise en compte de la demande de prolongation de délais</w:t>
      </w:r>
      <w:r w:rsidR="003632B6">
        <w:rPr>
          <w:rFonts w:ascii="Arial" w:hAnsi="Arial" w:cs="Arial"/>
          <w:color w:val="FF0000"/>
        </w:rPr>
        <w:t>.</w:t>
      </w:r>
    </w:p>
    <w:p w14:paraId="0B0C28F0" w14:textId="4CBCC278" w:rsidR="00851ECE" w:rsidRPr="004A083D" w:rsidRDefault="003632B6" w:rsidP="00F05A1A">
      <w:p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À</w:t>
      </w:r>
      <w:r w:rsidR="009C0E3E" w:rsidRPr="004A083D">
        <w:rPr>
          <w:rFonts w:ascii="Arial" w:hAnsi="Arial" w:cs="Arial"/>
        </w:rPr>
        <w:t xml:space="preserve"> l’étape finale, le </w:t>
      </w:r>
      <w:r w:rsidR="004A083D" w:rsidRPr="004A083D">
        <w:rPr>
          <w:rFonts w:ascii="Arial" w:hAnsi="Arial" w:cs="Arial"/>
        </w:rPr>
        <w:t>DETSEO</w:t>
      </w:r>
      <w:r w:rsidR="00754B86">
        <w:rPr>
          <w:rFonts w:ascii="Arial" w:hAnsi="Arial" w:cs="Arial"/>
        </w:rPr>
        <w:t>-P</w:t>
      </w:r>
      <w:r w:rsidR="00FB2392">
        <w:rPr>
          <w:rFonts w:ascii="Arial" w:hAnsi="Arial" w:cs="Arial"/>
        </w:rPr>
        <w:t xml:space="preserve"> </w:t>
      </w:r>
      <w:r w:rsidR="00851ECE" w:rsidRPr="004A083D">
        <w:rPr>
          <w:rFonts w:ascii="Arial" w:hAnsi="Arial" w:cs="Arial"/>
        </w:rPr>
        <w:t>:</w:t>
      </w:r>
    </w:p>
    <w:p w14:paraId="2C26DC2E" w14:textId="3BE37D9A" w:rsidR="001422F6" w:rsidRPr="00F05A1A" w:rsidRDefault="00C651A8" w:rsidP="00F05A1A">
      <w:pPr>
        <w:pStyle w:val="Paragraphedeliste"/>
        <w:numPr>
          <w:ilvl w:val="0"/>
          <w:numId w:val="2"/>
        </w:numPr>
        <w:spacing w:before="120"/>
        <w:ind w:left="284" w:hanging="284"/>
        <w:rPr>
          <w:rFonts w:ascii="Arial" w:hAnsi="Arial" w:cs="Arial"/>
        </w:rPr>
      </w:pPr>
      <w:proofErr w:type="gramStart"/>
      <w:r w:rsidRPr="00F05A1A">
        <w:rPr>
          <w:rFonts w:ascii="Arial" w:hAnsi="Arial" w:cs="Arial"/>
          <w:sz w:val="22"/>
          <w:szCs w:val="22"/>
        </w:rPr>
        <w:t>transmet</w:t>
      </w:r>
      <w:proofErr w:type="gramEnd"/>
      <w:r w:rsidRPr="00F05A1A">
        <w:rPr>
          <w:rFonts w:ascii="Arial" w:hAnsi="Arial" w:cs="Arial"/>
          <w:sz w:val="22"/>
          <w:szCs w:val="22"/>
        </w:rPr>
        <w:t xml:space="preserve"> à la société sa décision </w:t>
      </w:r>
      <w:r w:rsidR="00851ECE" w:rsidRPr="00F05A1A">
        <w:rPr>
          <w:rFonts w:ascii="Arial" w:hAnsi="Arial" w:cs="Arial"/>
          <w:sz w:val="22"/>
          <w:szCs w:val="22"/>
        </w:rPr>
        <w:t>par mail avec avis de réception,</w:t>
      </w:r>
      <w:r w:rsidR="005467A1" w:rsidRPr="00F05A1A">
        <w:rPr>
          <w:rFonts w:ascii="Arial" w:hAnsi="Arial" w:cs="Arial"/>
          <w:sz w:val="22"/>
          <w:szCs w:val="22"/>
        </w:rPr>
        <w:t xml:space="preserve"> sous 48 heures</w:t>
      </w:r>
      <w:r w:rsidR="003632B6">
        <w:rPr>
          <w:rFonts w:ascii="Arial" w:hAnsi="Arial" w:cs="Arial"/>
          <w:sz w:val="22"/>
          <w:szCs w:val="22"/>
        </w:rPr>
        <w:t> ;</w:t>
      </w:r>
    </w:p>
    <w:p w14:paraId="05B12E14" w14:textId="057D01EC" w:rsidR="004A083D" w:rsidRPr="00F05A1A" w:rsidRDefault="00851ECE" w:rsidP="00F05A1A">
      <w:pPr>
        <w:pStyle w:val="Paragraphedeliste"/>
        <w:numPr>
          <w:ilvl w:val="0"/>
          <w:numId w:val="2"/>
        </w:numPr>
        <w:spacing w:before="120"/>
        <w:ind w:left="284" w:hanging="284"/>
        <w:rPr>
          <w:rFonts w:ascii="Arial" w:hAnsi="Arial" w:cs="Arial"/>
          <w:bCs/>
          <w:color w:val="1F497D"/>
          <w:sz w:val="22"/>
          <w:szCs w:val="22"/>
        </w:rPr>
      </w:pPr>
      <w:r w:rsidRPr="00F05A1A">
        <w:rPr>
          <w:rFonts w:ascii="Arial" w:hAnsi="Arial" w:cs="Arial"/>
          <w:sz w:val="22"/>
          <w:szCs w:val="22"/>
        </w:rPr>
        <w:t xml:space="preserve">transmet </w:t>
      </w:r>
      <w:r w:rsidR="003F5A3E" w:rsidRPr="00F05A1A">
        <w:rPr>
          <w:rFonts w:ascii="Arial" w:hAnsi="Arial" w:cs="Arial"/>
          <w:sz w:val="22"/>
          <w:szCs w:val="22"/>
        </w:rPr>
        <w:t>une copie</w:t>
      </w:r>
      <w:r w:rsidRPr="00F05A1A">
        <w:rPr>
          <w:rFonts w:ascii="Arial" w:hAnsi="Arial" w:cs="Arial"/>
          <w:sz w:val="22"/>
          <w:szCs w:val="22"/>
        </w:rPr>
        <w:t xml:space="preserve"> au </w:t>
      </w:r>
      <w:r w:rsidR="004A083D" w:rsidRPr="00F05A1A">
        <w:rPr>
          <w:rFonts w:ascii="Arial" w:hAnsi="Arial" w:cs="Arial"/>
          <w:sz w:val="22"/>
          <w:szCs w:val="22"/>
        </w:rPr>
        <w:t>CSTA</w:t>
      </w:r>
      <w:r w:rsidR="003F5A3E" w:rsidRPr="00F05A1A">
        <w:rPr>
          <w:rFonts w:ascii="Arial" w:hAnsi="Arial" w:cs="Arial"/>
          <w:sz w:val="22"/>
          <w:szCs w:val="22"/>
        </w:rPr>
        <w:t>/BA (</w:t>
      </w:r>
      <w:hyperlink r:id="rId11" w:history="1">
        <w:r w:rsidR="004A083D" w:rsidRPr="00F05A1A">
          <w:rPr>
            <w:rStyle w:val="Lienhypertexte"/>
            <w:rFonts w:ascii="Arial" w:hAnsi="Arial" w:cs="Arial"/>
            <w:bCs/>
            <w:color w:val="0000FF"/>
            <w:sz w:val="22"/>
            <w:szCs w:val="22"/>
          </w:rPr>
          <w:t>csta-ba-carb.contact.fct@intradef.gouv.fr</w:t>
        </w:r>
      </w:hyperlink>
      <w:r w:rsidR="003F5A3E" w:rsidRPr="00F05A1A">
        <w:rPr>
          <w:rStyle w:val="Lienhypertexte"/>
          <w:rFonts w:ascii="Arial" w:hAnsi="Arial" w:cs="Arial"/>
          <w:bCs/>
          <w:color w:val="0000FF"/>
          <w:sz w:val="22"/>
          <w:szCs w:val="22"/>
        </w:rPr>
        <w:t>)</w:t>
      </w:r>
      <w:r w:rsidR="003632B6">
        <w:rPr>
          <w:rStyle w:val="Lienhypertexte"/>
          <w:rFonts w:ascii="Arial" w:hAnsi="Arial" w:cs="Arial"/>
          <w:bCs/>
          <w:color w:val="0000FF"/>
          <w:sz w:val="22"/>
          <w:szCs w:val="22"/>
        </w:rPr>
        <w:t xml:space="preserve"> </w:t>
      </w:r>
      <w:r w:rsidR="003632B6">
        <w:rPr>
          <w:rFonts w:ascii="Arial" w:hAnsi="Arial" w:cs="Arial"/>
          <w:color w:val="1F497D"/>
          <w:sz w:val="22"/>
          <w:szCs w:val="22"/>
        </w:rPr>
        <w:t>;</w:t>
      </w:r>
    </w:p>
    <w:p w14:paraId="31836A1F" w14:textId="02607AFB" w:rsidR="003F5A3E" w:rsidRPr="00F05A1A" w:rsidRDefault="003F5A3E" w:rsidP="00F05A1A">
      <w:pPr>
        <w:pStyle w:val="Paragraphedeliste"/>
        <w:numPr>
          <w:ilvl w:val="0"/>
          <w:numId w:val="2"/>
        </w:numPr>
        <w:spacing w:before="120"/>
        <w:ind w:left="284" w:hanging="284"/>
        <w:rPr>
          <w:rFonts w:ascii="Arial" w:hAnsi="Arial" w:cs="Arial"/>
        </w:rPr>
      </w:pPr>
      <w:proofErr w:type="gramStart"/>
      <w:r w:rsidRPr="00F05A1A">
        <w:rPr>
          <w:rFonts w:ascii="Arial" w:hAnsi="Arial" w:cs="Arial"/>
          <w:sz w:val="22"/>
          <w:szCs w:val="22"/>
        </w:rPr>
        <w:t>archive</w:t>
      </w:r>
      <w:proofErr w:type="gramEnd"/>
      <w:r w:rsidRPr="00F05A1A">
        <w:rPr>
          <w:rFonts w:ascii="Arial" w:hAnsi="Arial" w:cs="Arial"/>
          <w:sz w:val="22"/>
          <w:szCs w:val="22"/>
        </w:rPr>
        <w:t xml:space="preserve"> la demande.</w:t>
      </w:r>
    </w:p>
    <w:p w14:paraId="5549FF90" w14:textId="47BBCBB4" w:rsidR="00851ECE" w:rsidRPr="004A083D" w:rsidRDefault="004A083D" w:rsidP="004A083D">
      <w:pPr>
        <w:ind w:right="-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B567A6">
        <w:rPr>
          <w:rFonts w:ascii="Arial" w:eastAsia="Times New Roman" w:hAnsi="Arial" w:cs="Arial"/>
          <w:sz w:val="20"/>
          <w:szCs w:val="20"/>
          <w:highlight w:val="yellow"/>
          <w:lang w:eastAsia="fr-FR"/>
        </w:rPr>
        <w:t xml:space="preserve"> </w:t>
      </w:r>
    </w:p>
    <w:p w14:paraId="69D98A54" w14:textId="77777777" w:rsidR="001422F6" w:rsidRPr="004A083D" w:rsidRDefault="001422F6">
      <w:pPr>
        <w:rPr>
          <w:rFonts w:ascii="Arial" w:hAnsi="Arial" w:cs="Arial"/>
        </w:rPr>
      </w:pPr>
    </w:p>
    <w:p w14:paraId="6FA9ABA4" w14:textId="77777777" w:rsidR="00C27A65" w:rsidRPr="004A083D" w:rsidRDefault="00C27A65" w:rsidP="00C27A65">
      <w:pPr>
        <w:rPr>
          <w:rFonts w:ascii="Arial" w:hAnsi="Arial" w:cs="Arial"/>
        </w:rPr>
      </w:pPr>
    </w:p>
    <w:p w14:paraId="0DD1EE96" w14:textId="77777777" w:rsidR="00C27A65" w:rsidRPr="004A083D" w:rsidRDefault="00C27A65" w:rsidP="00C27A65">
      <w:pPr>
        <w:rPr>
          <w:rFonts w:ascii="Arial" w:hAnsi="Arial" w:cs="Arial"/>
        </w:rPr>
      </w:pPr>
    </w:p>
    <w:p w14:paraId="2A046D9B" w14:textId="77777777" w:rsidR="00C27A65" w:rsidRPr="004A083D" w:rsidRDefault="00C27A65">
      <w:pPr>
        <w:rPr>
          <w:rFonts w:ascii="Arial" w:hAnsi="Arial" w:cs="Arial"/>
        </w:rPr>
      </w:pPr>
    </w:p>
    <w:sectPr w:rsidR="00C27A65" w:rsidRPr="004A083D" w:rsidSect="00A164F6">
      <w:footerReference w:type="default" r:id="rId12"/>
      <w:pgSz w:w="11906" w:h="16838"/>
      <w:pgMar w:top="567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80790" w14:textId="77777777" w:rsidR="00F11163" w:rsidRDefault="00F11163" w:rsidP="00786C6D">
      <w:pPr>
        <w:spacing w:after="0" w:line="240" w:lineRule="auto"/>
      </w:pPr>
      <w:r>
        <w:separator/>
      </w:r>
    </w:p>
  </w:endnote>
  <w:endnote w:type="continuationSeparator" w:id="0">
    <w:p w14:paraId="7DE293F9" w14:textId="77777777" w:rsidR="00F11163" w:rsidRDefault="00F11163" w:rsidP="007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0823817"/>
      <w:docPartObj>
        <w:docPartGallery w:val="Page Numbers (Bottom of Page)"/>
        <w:docPartUnique/>
      </w:docPartObj>
    </w:sdtPr>
    <w:sdtEndPr/>
    <w:sdtContent>
      <w:p w14:paraId="275C02AE" w14:textId="48E46D04" w:rsidR="00C27A65" w:rsidRDefault="00C27A6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0C6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35A0CD9B" w14:textId="77777777" w:rsidR="00C27A65" w:rsidRDefault="00C27A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FFFFF" w14:textId="77777777" w:rsidR="00F11163" w:rsidRDefault="00F11163" w:rsidP="00786C6D">
      <w:pPr>
        <w:spacing w:after="0" w:line="240" w:lineRule="auto"/>
      </w:pPr>
      <w:r>
        <w:separator/>
      </w:r>
    </w:p>
  </w:footnote>
  <w:footnote w:type="continuationSeparator" w:id="0">
    <w:p w14:paraId="4AD04E92" w14:textId="77777777" w:rsidR="00F11163" w:rsidRDefault="00F11163" w:rsidP="00786C6D">
      <w:pPr>
        <w:spacing w:after="0" w:line="240" w:lineRule="auto"/>
      </w:pPr>
      <w:r>
        <w:continuationSeparator/>
      </w:r>
    </w:p>
  </w:footnote>
  <w:footnote w:id="1">
    <w:p w14:paraId="5965DEE5" w14:textId="0D199BC5" w:rsidR="00501FF3" w:rsidRPr="0050175C" w:rsidRDefault="00501FF3" w:rsidP="003632B6">
      <w:pPr>
        <w:pStyle w:val="Notedebasdepage"/>
        <w:jc w:val="both"/>
        <w:rPr>
          <w:rFonts w:ascii="Arial" w:hAnsi="Arial" w:cs="Arial"/>
          <w:sz w:val="18"/>
        </w:rPr>
      </w:pPr>
      <w:r w:rsidRPr="00DC6B53">
        <w:rPr>
          <w:rStyle w:val="Appelnotedebasdep"/>
        </w:rPr>
        <w:footnoteRef/>
      </w:r>
      <w:r w:rsidRPr="00DC6B53">
        <w:t xml:space="preserve">  </w:t>
      </w:r>
      <w:r w:rsidRPr="0050175C">
        <w:rPr>
          <w:rFonts w:ascii="Arial" w:hAnsi="Arial" w:cs="Arial"/>
          <w:sz w:val="18"/>
        </w:rPr>
        <w:t>C’est-à-dire la date d</w:t>
      </w:r>
      <w:r w:rsidR="001459E5">
        <w:rPr>
          <w:rFonts w:ascii="Arial" w:hAnsi="Arial" w:cs="Arial"/>
          <w:sz w:val="18"/>
        </w:rPr>
        <w:t>’envoi</w:t>
      </w:r>
      <w:r w:rsidRPr="0050175C">
        <w:rPr>
          <w:rFonts w:ascii="Arial" w:hAnsi="Arial" w:cs="Arial"/>
          <w:sz w:val="18"/>
        </w:rPr>
        <w:t xml:space="preserve"> </w:t>
      </w:r>
      <w:r w:rsidR="005467A1" w:rsidRPr="0050175C">
        <w:rPr>
          <w:rFonts w:ascii="Arial" w:hAnsi="Arial" w:cs="Arial"/>
          <w:sz w:val="18"/>
        </w:rPr>
        <w:t>du bon de commande</w:t>
      </w:r>
      <w:r w:rsidRPr="0050175C">
        <w:rPr>
          <w:rFonts w:ascii="Arial" w:hAnsi="Arial" w:cs="Arial"/>
          <w:sz w:val="18"/>
        </w:rPr>
        <w:t xml:space="preserve"> par voie dématérialisée</w:t>
      </w:r>
      <w:r w:rsidR="00B16E01">
        <w:rPr>
          <w:rFonts w:ascii="Arial" w:hAnsi="Arial" w:cs="Arial"/>
          <w:sz w:val="18"/>
        </w:rPr>
        <w:t>.</w:t>
      </w:r>
    </w:p>
  </w:footnote>
  <w:footnote w:id="2">
    <w:p w14:paraId="5965DEE6" w14:textId="19B5C4E0" w:rsidR="00501FF3" w:rsidRPr="0050175C" w:rsidRDefault="00501FF3" w:rsidP="003632B6">
      <w:pPr>
        <w:pStyle w:val="Notedebasdepage"/>
        <w:jc w:val="both"/>
        <w:rPr>
          <w:rFonts w:ascii="Arial" w:hAnsi="Arial" w:cs="Arial"/>
          <w:sz w:val="18"/>
        </w:rPr>
      </w:pPr>
      <w:r w:rsidRPr="0050175C">
        <w:rPr>
          <w:rStyle w:val="Appelnotedebasdep"/>
          <w:rFonts w:ascii="Arial" w:hAnsi="Arial" w:cs="Arial"/>
          <w:sz w:val="18"/>
        </w:rPr>
        <w:footnoteRef/>
      </w:r>
      <w:r w:rsidRPr="0050175C">
        <w:rPr>
          <w:rFonts w:ascii="Arial" w:hAnsi="Arial" w:cs="Arial"/>
          <w:sz w:val="18"/>
        </w:rPr>
        <w:t xml:space="preserve"> Indiqué dans le marché public</w:t>
      </w:r>
      <w:r w:rsidR="00B16E01">
        <w:rPr>
          <w:rFonts w:ascii="Arial" w:hAnsi="Arial" w:cs="Arial"/>
          <w:sz w:val="18"/>
        </w:rPr>
        <w:t>.</w:t>
      </w:r>
    </w:p>
  </w:footnote>
  <w:footnote w:id="3">
    <w:p w14:paraId="5965DEE7" w14:textId="3BFF6152" w:rsidR="00501FF3" w:rsidRPr="0050175C" w:rsidRDefault="00501FF3" w:rsidP="003632B6">
      <w:pPr>
        <w:pStyle w:val="Notedebasdepage"/>
        <w:jc w:val="both"/>
        <w:rPr>
          <w:rFonts w:ascii="Arial" w:hAnsi="Arial" w:cs="Arial"/>
          <w:sz w:val="18"/>
        </w:rPr>
      </w:pPr>
      <w:r w:rsidRPr="0050175C">
        <w:rPr>
          <w:rStyle w:val="Appelnotedebasdep"/>
          <w:rFonts w:ascii="Arial" w:hAnsi="Arial" w:cs="Arial"/>
          <w:sz w:val="18"/>
        </w:rPr>
        <w:footnoteRef/>
      </w:r>
      <w:r w:rsidRPr="0050175C">
        <w:rPr>
          <w:rFonts w:ascii="Arial" w:hAnsi="Arial" w:cs="Arial"/>
          <w:sz w:val="18"/>
        </w:rPr>
        <w:t xml:space="preserve"> Si la neutralisation des délais lors des congés annuels </w:t>
      </w:r>
      <w:r w:rsidR="005467A1" w:rsidRPr="0050175C">
        <w:rPr>
          <w:rFonts w:ascii="Arial" w:hAnsi="Arial" w:cs="Arial"/>
          <w:sz w:val="18"/>
        </w:rPr>
        <w:t>n’</w:t>
      </w:r>
      <w:r w:rsidRPr="0050175C">
        <w:rPr>
          <w:rFonts w:ascii="Arial" w:hAnsi="Arial" w:cs="Arial"/>
          <w:sz w:val="18"/>
        </w:rPr>
        <w:t xml:space="preserve">est </w:t>
      </w:r>
      <w:r w:rsidR="005467A1" w:rsidRPr="0050175C">
        <w:rPr>
          <w:rFonts w:ascii="Arial" w:hAnsi="Arial" w:cs="Arial"/>
          <w:sz w:val="18"/>
        </w:rPr>
        <w:t xml:space="preserve">pas </w:t>
      </w:r>
      <w:r w:rsidRPr="0050175C">
        <w:rPr>
          <w:rFonts w:ascii="Arial" w:hAnsi="Arial" w:cs="Arial"/>
          <w:sz w:val="18"/>
        </w:rPr>
        <w:t>prévue au marché</w:t>
      </w:r>
      <w:r w:rsidR="005467A1" w:rsidRPr="0050175C">
        <w:rPr>
          <w:rFonts w:ascii="Arial" w:hAnsi="Arial" w:cs="Arial"/>
          <w:sz w:val="18"/>
        </w:rPr>
        <w:t xml:space="preserve"> ou modifiée depuis la remise de l’offre</w:t>
      </w:r>
      <w:r w:rsidRPr="0050175C">
        <w:rPr>
          <w:rFonts w:ascii="Arial" w:hAnsi="Arial" w:cs="Arial"/>
          <w:sz w:val="18"/>
        </w:rPr>
        <w:t xml:space="preserve">, le titulaire doit informer l’administration des </w:t>
      </w:r>
      <w:r w:rsidR="005467A1" w:rsidRPr="0050175C">
        <w:rPr>
          <w:rFonts w:ascii="Arial" w:hAnsi="Arial" w:cs="Arial"/>
          <w:sz w:val="18"/>
        </w:rPr>
        <w:t xml:space="preserve">nouvelles </w:t>
      </w:r>
      <w:r w:rsidRPr="0050175C">
        <w:rPr>
          <w:rFonts w:ascii="Arial" w:hAnsi="Arial" w:cs="Arial"/>
          <w:sz w:val="18"/>
        </w:rPr>
        <w:t>dates</w:t>
      </w:r>
      <w:r w:rsidR="005467A1" w:rsidRPr="0050175C">
        <w:rPr>
          <w:rFonts w:ascii="Arial" w:hAnsi="Arial" w:cs="Arial"/>
          <w:sz w:val="18"/>
        </w:rPr>
        <w:t xml:space="preserve"> </w:t>
      </w:r>
      <w:r w:rsidRPr="0050175C">
        <w:rPr>
          <w:rFonts w:ascii="Arial" w:hAnsi="Arial" w:cs="Arial"/>
          <w:sz w:val="18"/>
        </w:rPr>
        <w:t>au moins un mois avant leur début.</w:t>
      </w:r>
    </w:p>
  </w:footnote>
  <w:footnote w:id="4">
    <w:p w14:paraId="5965DEE8" w14:textId="77777777" w:rsidR="00501FF3" w:rsidRPr="0050175C" w:rsidRDefault="00501FF3" w:rsidP="00F05A1A">
      <w:pPr>
        <w:pStyle w:val="Notedebasdepage"/>
        <w:jc w:val="both"/>
        <w:rPr>
          <w:rFonts w:ascii="Arial" w:hAnsi="Arial" w:cs="Arial"/>
          <w:sz w:val="18"/>
        </w:rPr>
      </w:pPr>
      <w:r w:rsidRPr="0050175C">
        <w:rPr>
          <w:rStyle w:val="Appelnotedebasdep"/>
          <w:rFonts w:ascii="Arial" w:hAnsi="Arial" w:cs="Arial"/>
          <w:sz w:val="18"/>
        </w:rPr>
        <w:footnoteRef/>
      </w:r>
      <w:r w:rsidRPr="0050175C">
        <w:rPr>
          <w:rFonts w:ascii="Arial" w:hAnsi="Arial" w:cs="Arial"/>
          <w:sz w:val="18"/>
        </w:rPr>
        <w:t xml:space="preserve"> Les motifs invoqués doivent être indépendants de la volonté du titulaire.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4EEA"/>
    <w:multiLevelType w:val="hybridMultilevel"/>
    <w:tmpl w:val="65E69742"/>
    <w:lvl w:ilvl="0" w:tplc="48F8B45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87B10"/>
    <w:multiLevelType w:val="hybridMultilevel"/>
    <w:tmpl w:val="EF588B66"/>
    <w:lvl w:ilvl="0" w:tplc="DE4CAA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45CDE"/>
    <w:multiLevelType w:val="hybridMultilevel"/>
    <w:tmpl w:val="4732D718"/>
    <w:lvl w:ilvl="0" w:tplc="AF107FEE">
      <w:start w:val="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C6D"/>
    <w:rsid w:val="00012BAA"/>
    <w:rsid w:val="00014B1D"/>
    <w:rsid w:val="0001535D"/>
    <w:rsid w:val="00085092"/>
    <w:rsid w:val="000D376D"/>
    <w:rsid w:val="00122C67"/>
    <w:rsid w:val="001422F6"/>
    <w:rsid w:val="001459E5"/>
    <w:rsid w:val="001526CB"/>
    <w:rsid w:val="001B0C33"/>
    <w:rsid w:val="001F4700"/>
    <w:rsid w:val="00200667"/>
    <w:rsid w:val="002750D5"/>
    <w:rsid w:val="002D345E"/>
    <w:rsid w:val="003002BF"/>
    <w:rsid w:val="00323111"/>
    <w:rsid w:val="00354D19"/>
    <w:rsid w:val="00356FC0"/>
    <w:rsid w:val="003632B6"/>
    <w:rsid w:val="003F5A3E"/>
    <w:rsid w:val="00421535"/>
    <w:rsid w:val="004216B0"/>
    <w:rsid w:val="00440EC5"/>
    <w:rsid w:val="004464BA"/>
    <w:rsid w:val="004900D7"/>
    <w:rsid w:val="004A083D"/>
    <w:rsid w:val="004C438D"/>
    <w:rsid w:val="004F1BAB"/>
    <w:rsid w:val="0050175C"/>
    <w:rsid w:val="00501FF3"/>
    <w:rsid w:val="00507A18"/>
    <w:rsid w:val="0051782D"/>
    <w:rsid w:val="005467A1"/>
    <w:rsid w:val="005564E4"/>
    <w:rsid w:val="00587402"/>
    <w:rsid w:val="005E541E"/>
    <w:rsid w:val="005E6EB7"/>
    <w:rsid w:val="00600FC3"/>
    <w:rsid w:val="00610974"/>
    <w:rsid w:val="00670989"/>
    <w:rsid w:val="006D1E9C"/>
    <w:rsid w:val="00702CA7"/>
    <w:rsid w:val="007073CE"/>
    <w:rsid w:val="0075374B"/>
    <w:rsid w:val="00754B86"/>
    <w:rsid w:val="00786C6D"/>
    <w:rsid w:val="00851ECE"/>
    <w:rsid w:val="00857530"/>
    <w:rsid w:val="00895693"/>
    <w:rsid w:val="00981E9B"/>
    <w:rsid w:val="009C0E3E"/>
    <w:rsid w:val="009C6345"/>
    <w:rsid w:val="009D5960"/>
    <w:rsid w:val="00A164F6"/>
    <w:rsid w:val="00A63A2A"/>
    <w:rsid w:val="00A707D7"/>
    <w:rsid w:val="00A7335F"/>
    <w:rsid w:val="00A817B5"/>
    <w:rsid w:val="00AA36E9"/>
    <w:rsid w:val="00AA5546"/>
    <w:rsid w:val="00AD0A0F"/>
    <w:rsid w:val="00AE0D72"/>
    <w:rsid w:val="00B16E01"/>
    <w:rsid w:val="00B450EB"/>
    <w:rsid w:val="00B536B4"/>
    <w:rsid w:val="00B567A6"/>
    <w:rsid w:val="00BF421D"/>
    <w:rsid w:val="00C056F9"/>
    <w:rsid w:val="00C27A65"/>
    <w:rsid w:val="00C651A8"/>
    <w:rsid w:val="00C93805"/>
    <w:rsid w:val="00CC6445"/>
    <w:rsid w:val="00CF3666"/>
    <w:rsid w:val="00CF7DC8"/>
    <w:rsid w:val="00D14FEE"/>
    <w:rsid w:val="00D61028"/>
    <w:rsid w:val="00DA21A0"/>
    <w:rsid w:val="00DB5946"/>
    <w:rsid w:val="00DC6B53"/>
    <w:rsid w:val="00DE1C26"/>
    <w:rsid w:val="00DF40FF"/>
    <w:rsid w:val="00E41BDB"/>
    <w:rsid w:val="00E47E9D"/>
    <w:rsid w:val="00E54C24"/>
    <w:rsid w:val="00E80C0F"/>
    <w:rsid w:val="00E90EFA"/>
    <w:rsid w:val="00EA70C6"/>
    <w:rsid w:val="00F05A1A"/>
    <w:rsid w:val="00F11163"/>
    <w:rsid w:val="00F80663"/>
    <w:rsid w:val="00FB2392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5DE99"/>
  <w15:docId w15:val="{867BF5D6-DD68-475B-BDA0-E44F20B3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86C6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86C6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86C6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587402"/>
    <w:rPr>
      <w:color w:val="0000FF" w:themeColor="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B594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B594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B5946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27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7A65"/>
  </w:style>
  <w:style w:type="paragraph" w:styleId="Pieddepage">
    <w:name w:val="footer"/>
    <w:basedOn w:val="Normal"/>
    <w:link w:val="PieddepageCar"/>
    <w:uiPriority w:val="99"/>
    <w:unhideWhenUsed/>
    <w:rsid w:val="00C27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7A65"/>
  </w:style>
  <w:style w:type="paragraph" w:styleId="Paragraphedeliste">
    <w:name w:val="List Paragraph"/>
    <w:basedOn w:val="Normal"/>
    <w:rsid w:val="00851ECE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B567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67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67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67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67A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6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67A6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567A6"/>
    <w:pPr>
      <w:spacing w:after="0" w:line="240" w:lineRule="auto"/>
    </w:pPr>
  </w:style>
  <w:style w:type="paragraph" w:styleId="Titre">
    <w:name w:val="Title"/>
    <w:basedOn w:val="Normal"/>
    <w:link w:val="TitreCar"/>
    <w:qFormat/>
    <w:rsid w:val="00501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50175C"/>
    <w:rPr>
      <w:rFonts w:ascii="Times New Roman" w:eastAsia="Times New Roman" w:hAnsi="Times New Roman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sta-ba-carb.contact.fct@intradef.gouv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AA72F494716E4FACE92B78B0B07554" ma:contentTypeVersion="1" ma:contentTypeDescription="Crée un document." ma:contentTypeScope="" ma:versionID="9613f0045db29d435643f8927064ab91">
  <xsd:schema xmlns:xsd="http://www.w3.org/2001/XMLSchema" xmlns:xs="http://www.w3.org/2001/XMLSchema" xmlns:p="http://schemas.microsoft.com/office/2006/metadata/properties" xmlns:ns2="22328c97-c328-4cf0-b674-7a776fe14464" targetNamespace="http://schemas.microsoft.com/office/2006/metadata/properties" ma:root="true" ma:fieldsID="f68bb2a2c6950f76f366a8e5591cb667" ns2:_="">
    <xsd:import namespace="22328c97-c328-4cf0-b674-7a776fe1446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28c97-c328-4cf0-b674-7a776fe144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F408B-6F8C-494F-98FB-423E4B0AEA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3402E-9721-4D0F-AF97-921E1C254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28c97-c328-4cf0-b674-7a776fe144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7136C8-C51A-4A4D-8F64-54FE5F2096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5303DB-8408-45BF-A86D-048C80BE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SEA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DELRIEUX Audrey CNE</dc:creator>
  <dc:description>Version du 13 juin 2016</dc:description>
  <cp:lastModifiedBy>LIGNIER Christine SA CE MINDEF</cp:lastModifiedBy>
  <cp:revision>6</cp:revision>
  <cp:lastPrinted>2024-06-19T07:55:00Z</cp:lastPrinted>
  <dcterms:created xsi:type="dcterms:W3CDTF">2024-09-13T13:20:00Z</dcterms:created>
  <dcterms:modified xsi:type="dcterms:W3CDTF">2025-08-04T07:32:00Z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0x010100B0AA72F494716E4FACE92B78B0B07554</vt:lpwstr>
  </property>
</Properties>
</file>