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4B0B" w14:textId="77777777" w:rsidR="00FE3D85" w:rsidRDefault="00FE3D85" w:rsidP="00B1165B"/>
    <w:p w14:paraId="1139C582" w14:textId="77777777" w:rsidR="00FE3D85" w:rsidRDefault="00FE3D85" w:rsidP="00B1165B"/>
    <w:p w14:paraId="705ABDE7" w14:textId="77777777" w:rsidR="00FE3D85" w:rsidRPr="00A75CB5" w:rsidRDefault="00FE3D85" w:rsidP="00B1165B">
      <w:pPr>
        <w:pStyle w:val="Titre1"/>
        <w:rPr>
          <w:sz w:val="28"/>
          <w:szCs w:val="32"/>
        </w:rPr>
      </w:pPr>
      <w:bookmarkStart w:id="0" w:name="_Toc197512850"/>
      <w:bookmarkStart w:id="1" w:name="_Toc197512904"/>
      <w:bookmarkStart w:id="2" w:name="_Toc202952466"/>
      <w:bookmarkStart w:id="3" w:name="_Toc205545636"/>
      <w:r w:rsidRPr="00A75CB5">
        <w:rPr>
          <w:sz w:val="28"/>
          <w:szCs w:val="32"/>
        </w:rPr>
        <w:t>MARCHE PUBLIC DE FOURNITURES COURANTES ET SERVICES</w:t>
      </w:r>
      <w:bookmarkEnd w:id="0"/>
      <w:bookmarkEnd w:id="1"/>
      <w:bookmarkEnd w:id="2"/>
      <w:bookmarkEnd w:id="3"/>
    </w:p>
    <w:p w14:paraId="6434312A" w14:textId="77777777" w:rsidR="00FE3D85" w:rsidRDefault="00FE3D85" w:rsidP="00B1165B"/>
    <w:p w14:paraId="414F07FA" w14:textId="77777777" w:rsidR="00FE3D85" w:rsidRDefault="00FE3D85" w:rsidP="00B1165B"/>
    <w:p w14:paraId="5741DCDD" w14:textId="77777777" w:rsidR="00A75CB5" w:rsidRPr="003936DE" w:rsidRDefault="00A75CB5" w:rsidP="00A75CB5">
      <w:pPr>
        <w:jc w:val="center"/>
        <w:rPr>
          <w:rFonts w:ascii="Marianne Medium" w:hAnsi="Marianne Medium"/>
          <w:b/>
          <w:bCs/>
          <w:sz w:val="36"/>
          <w:szCs w:val="40"/>
        </w:rPr>
      </w:pPr>
      <w:r w:rsidRPr="003936DE">
        <w:rPr>
          <w:rFonts w:ascii="Marianne Medium" w:hAnsi="Marianne Medium"/>
          <w:b/>
          <w:bCs/>
          <w:sz w:val="36"/>
          <w:szCs w:val="40"/>
        </w:rPr>
        <w:t>Prestation de collecte et de revalorisation des biodéchets pour les établissements pénitentiaires de la Direction interrégionale des services pénitentiaires du Grand Est</w:t>
      </w:r>
    </w:p>
    <w:p w14:paraId="4B84DF93" w14:textId="3D7F1843" w:rsidR="00FE3D85" w:rsidRPr="00A75CB5" w:rsidRDefault="00FE3D85" w:rsidP="00ED11E8">
      <w:pPr>
        <w:jc w:val="center"/>
        <w:rPr>
          <w:sz w:val="36"/>
          <w:szCs w:val="36"/>
          <w:u w:val="single"/>
        </w:rPr>
      </w:pPr>
      <w:r w:rsidRPr="00A75CB5">
        <w:rPr>
          <w:sz w:val="36"/>
          <w:szCs w:val="36"/>
          <w:u w:val="single"/>
        </w:rPr>
        <w:t>Marché n°</w:t>
      </w:r>
      <w:r w:rsidRPr="00F86587">
        <w:rPr>
          <w:sz w:val="36"/>
          <w:szCs w:val="36"/>
          <w:u w:val="single"/>
        </w:rPr>
        <w:t>25DISP67DBF</w:t>
      </w:r>
      <w:r w:rsidR="00F86587" w:rsidRPr="00F86587">
        <w:rPr>
          <w:sz w:val="36"/>
          <w:szCs w:val="36"/>
          <w:u w:val="single"/>
        </w:rPr>
        <w:t>30</w:t>
      </w:r>
    </w:p>
    <w:p w14:paraId="4381F94C" w14:textId="35CABB45" w:rsidR="00FE3D85" w:rsidRPr="003D1F10" w:rsidRDefault="00FE3D85" w:rsidP="00B1165B">
      <w:r>
        <w:rPr>
          <w:noProof/>
        </w:rPr>
        <mc:AlternateContent>
          <mc:Choice Requires="wps">
            <w:drawing>
              <wp:anchor distT="0" distB="0" distL="114300" distR="114300" simplePos="0" relativeHeight="251659264" behindDoc="0" locked="0" layoutInCell="1" allowOverlap="1" wp14:anchorId="6349EE27" wp14:editId="36662673">
                <wp:simplePos x="0" y="0"/>
                <wp:positionH relativeFrom="column">
                  <wp:posOffset>-121873</wp:posOffset>
                </wp:positionH>
                <wp:positionV relativeFrom="paragraph">
                  <wp:posOffset>340208</wp:posOffset>
                </wp:positionV>
                <wp:extent cx="6029325" cy="1160060"/>
                <wp:effectExtent l="0" t="0" r="28575" b="21590"/>
                <wp:wrapNone/>
                <wp:docPr id="7" name="Rectangle 7"/>
                <wp:cNvGraphicFramePr/>
                <a:graphic xmlns:a="http://schemas.openxmlformats.org/drawingml/2006/main">
                  <a:graphicData uri="http://schemas.microsoft.com/office/word/2010/wordprocessingShape">
                    <wps:wsp>
                      <wps:cNvSpPr/>
                      <wps:spPr>
                        <a:xfrm>
                          <a:off x="0" y="0"/>
                          <a:ext cx="6029325" cy="1160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C57530" id="Rectangle 7" o:spid="_x0000_s1026" style="position:absolute;margin-left:-9.6pt;margin-top:26.8pt;width:474.75pt;height:9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" filled="f" strokecolor="#1f3763 [1604]" strokeweight="1pt"/>
            </w:pict>
          </mc:Fallback>
        </mc:AlternateContent>
      </w:r>
    </w:p>
    <w:p w14:paraId="6C45ABDA" w14:textId="1D62DAB3" w:rsidR="00FE3D85" w:rsidRDefault="00FE3D85" w:rsidP="00B1165B">
      <w:pPr>
        <w:pStyle w:val="Titre1"/>
      </w:pPr>
      <w:bookmarkStart w:id="4" w:name="_Toc197512852"/>
      <w:bookmarkStart w:id="5" w:name="_Toc197512906"/>
      <w:bookmarkStart w:id="6" w:name="_Toc202952467"/>
      <w:bookmarkStart w:id="7" w:name="_Toc205545637"/>
      <w:r>
        <w:t>REGLEMENT DE CONSULTATION</w:t>
      </w:r>
      <w:bookmarkEnd w:id="4"/>
      <w:bookmarkEnd w:id="5"/>
      <w:bookmarkEnd w:id="6"/>
      <w:bookmarkEnd w:id="7"/>
    </w:p>
    <w:p w14:paraId="746CC1CB" w14:textId="1EC21BD7" w:rsidR="00FE3D85" w:rsidRPr="00A75CB5" w:rsidRDefault="00FE3D85" w:rsidP="00A75CB5">
      <w:pPr>
        <w:pStyle w:val="Titre1"/>
        <w:rPr>
          <w:highlight w:val="yellow"/>
        </w:rPr>
      </w:pPr>
      <w:bookmarkStart w:id="8" w:name="_Toc197512853"/>
      <w:bookmarkStart w:id="9" w:name="_Toc197512907"/>
      <w:bookmarkStart w:id="10" w:name="_Toc202952468"/>
      <w:bookmarkStart w:id="11" w:name="_Toc205545638"/>
      <w:r>
        <w:t xml:space="preserve">Date limite de remise des offres : </w:t>
      </w:r>
      <w:bookmarkEnd w:id="8"/>
      <w:bookmarkEnd w:id="9"/>
      <w:r w:rsidR="00561A70" w:rsidRPr="00561A70">
        <w:t>28</w:t>
      </w:r>
      <w:r w:rsidR="002E648F" w:rsidRPr="00561A70">
        <w:t>/</w:t>
      </w:r>
      <w:r w:rsidR="00561A70" w:rsidRPr="00561A70">
        <w:t>11</w:t>
      </w:r>
      <w:r w:rsidR="002E648F" w:rsidRPr="00561A70">
        <w:t>/2025 1</w:t>
      </w:r>
      <w:bookmarkEnd w:id="10"/>
      <w:bookmarkEnd w:id="11"/>
      <w:r w:rsidR="00561A70" w:rsidRPr="00561A70">
        <w:t>6h30 (heure de Paris)</w:t>
      </w:r>
    </w:p>
    <w:p w14:paraId="47DEC2D4" w14:textId="77777777" w:rsidR="00FE3D85" w:rsidRDefault="00FE3D85" w:rsidP="00FE3D85">
      <w:pPr>
        <w:pStyle w:val="Default"/>
      </w:pPr>
    </w:p>
    <w:p w14:paraId="47E529F0" w14:textId="77777777" w:rsidR="00FE3D85" w:rsidRDefault="00FE3D85" w:rsidP="00B1165B"/>
    <w:p w14:paraId="3D86BDBF" w14:textId="77777777" w:rsidR="00FE3D85" w:rsidRPr="00812209" w:rsidRDefault="00FE3D85" w:rsidP="00B1165B">
      <w:pPr>
        <w:pStyle w:val="Sous-titre"/>
      </w:pPr>
      <w:r w:rsidRPr="00812209">
        <w:t xml:space="preserve"> Code de la commande publique (CCP) adopté par l’ordonnance 2018-1074 du 26 novembre 2018 et le décret 2018-1075 du 3 décembre 2018</w:t>
      </w:r>
    </w:p>
    <w:p w14:paraId="752A0EE4" w14:textId="77777777" w:rsidR="00FE3D85" w:rsidRPr="00CE61E1" w:rsidRDefault="00FE3D85" w:rsidP="00B1165B"/>
    <w:p w14:paraId="698A3E1B" w14:textId="77777777" w:rsidR="00FE3D85" w:rsidRDefault="00FE3D85" w:rsidP="00B1165B"/>
    <w:p w14:paraId="25A2626C" w14:textId="624C67BB" w:rsidR="00FE3D85" w:rsidRDefault="00FE3D85" w:rsidP="00B1165B"/>
    <w:p w14:paraId="5A5ACFBB" w14:textId="77777777" w:rsidR="00812209" w:rsidRDefault="00812209" w:rsidP="00B1165B"/>
    <w:p w14:paraId="61A688FF" w14:textId="77777777" w:rsidR="00FE3D85" w:rsidRDefault="00FE3D85" w:rsidP="00B1165B"/>
    <w:p w14:paraId="4CE28E94" w14:textId="77777777" w:rsidR="00FE3D85" w:rsidRPr="00520B4F" w:rsidRDefault="00FE3D85" w:rsidP="00A75CB5">
      <w:pPr>
        <w:spacing w:after="0"/>
        <w:jc w:val="center"/>
        <w:rPr>
          <w:b/>
          <w:bCs/>
        </w:rPr>
      </w:pPr>
      <w:r w:rsidRPr="00520B4F">
        <w:rPr>
          <w:b/>
          <w:bCs/>
        </w:rPr>
        <w:t>DIRECTION INTERREGIONALE DES SERVICES PENITENTIAIRES DE STRASBOURG</w:t>
      </w:r>
    </w:p>
    <w:p w14:paraId="2A84ABD8" w14:textId="77777777" w:rsidR="00FE3D85" w:rsidRDefault="00FE3D85" w:rsidP="00A75CB5">
      <w:pPr>
        <w:spacing w:after="0"/>
        <w:jc w:val="center"/>
      </w:pPr>
      <w:r>
        <w:t>19 rue Eugène Delacroix</w:t>
      </w:r>
    </w:p>
    <w:p w14:paraId="3EC13C69" w14:textId="77777777" w:rsidR="00FE3D85" w:rsidRDefault="00FE3D85" w:rsidP="00A75CB5">
      <w:pPr>
        <w:spacing w:after="0"/>
        <w:jc w:val="center"/>
      </w:pPr>
      <w:r>
        <w:t>BP 16</w:t>
      </w:r>
    </w:p>
    <w:p w14:paraId="163751CD" w14:textId="10E95923" w:rsidR="00A75CB5" w:rsidRDefault="00FE3D85" w:rsidP="00A75CB5">
      <w:pPr>
        <w:spacing w:after="0"/>
        <w:jc w:val="center"/>
      </w:pPr>
      <w:r>
        <w:t>67035 STRASBOURG CEDEX 2</w:t>
      </w:r>
      <w:r w:rsidR="00A75CB5">
        <w:br w:type="page"/>
      </w:r>
    </w:p>
    <w:p w14:paraId="630D3DC0" w14:textId="77777777" w:rsidR="00FE3D85" w:rsidRDefault="00FE3D85" w:rsidP="00A75CB5">
      <w:pPr>
        <w:spacing w:after="0"/>
        <w:jc w:val="center"/>
      </w:pPr>
    </w:p>
    <w:sdt>
      <w:sdtPr>
        <w:rPr>
          <w:rFonts w:ascii="Marianne" w:hAnsi="Marianne"/>
          <w:b w:val="0"/>
          <w:bCs w:val="0"/>
          <w:sz w:val="20"/>
          <w:szCs w:val="20"/>
          <w:lang w:eastAsia="en-US"/>
        </w:rPr>
        <w:id w:val="-2135159144"/>
        <w:docPartObj>
          <w:docPartGallery w:val="Table of Contents"/>
          <w:docPartUnique/>
        </w:docPartObj>
      </w:sdtPr>
      <w:sdtEndPr/>
      <w:sdtContent>
        <w:p w14:paraId="0510A274" w14:textId="77777777" w:rsidR="00557AE1" w:rsidRDefault="00B1165B" w:rsidP="00B1165B">
          <w:pPr>
            <w:pStyle w:val="En-ttedetabledesmatires"/>
            <w:jc w:val="left"/>
            <w:rPr>
              <w:noProof/>
            </w:rPr>
          </w:pPr>
          <w:r w:rsidRPr="00B1165B">
            <w:rPr>
              <w:rStyle w:val="Titre2Car"/>
            </w:rPr>
            <w:t>Table des matières</w:t>
          </w:r>
          <w:r>
            <w:fldChar w:fldCharType="begin"/>
          </w:r>
          <w:r>
            <w:instrText xml:space="preserve"> TOC \o "1-3" \h \z \u </w:instrText>
          </w:r>
          <w:r>
            <w:fldChar w:fldCharType="separate"/>
          </w:r>
        </w:p>
        <w:p w14:paraId="06BBAF8D" w14:textId="693CEEA3" w:rsidR="00557AE1" w:rsidRDefault="001514CF">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205545639" w:history="1">
            <w:r w:rsidR="00557AE1" w:rsidRPr="00FA1758">
              <w:rPr>
                <w:rStyle w:val="Lienhypertexte"/>
                <w:noProof/>
              </w:rPr>
              <w:t>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Objet du marché</w:t>
            </w:r>
            <w:r w:rsidR="00557AE1">
              <w:rPr>
                <w:noProof/>
                <w:webHidden/>
              </w:rPr>
              <w:tab/>
            </w:r>
            <w:r w:rsidR="00557AE1">
              <w:rPr>
                <w:noProof/>
                <w:webHidden/>
              </w:rPr>
              <w:fldChar w:fldCharType="begin"/>
            </w:r>
            <w:r w:rsidR="00557AE1">
              <w:rPr>
                <w:noProof/>
                <w:webHidden/>
              </w:rPr>
              <w:instrText xml:space="preserve"> PAGEREF _Toc205545639 \h </w:instrText>
            </w:r>
            <w:r w:rsidR="00557AE1">
              <w:rPr>
                <w:noProof/>
                <w:webHidden/>
              </w:rPr>
            </w:r>
            <w:r w:rsidR="00557AE1">
              <w:rPr>
                <w:noProof/>
                <w:webHidden/>
              </w:rPr>
              <w:fldChar w:fldCharType="separate"/>
            </w:r>
            <w:r>
              <w:rPr>
                <w:noProof/>
                <w:webHidden/>
              </w:rPr>
              <w:t>3</w:t>
            </w:r>
            <w:r w:rsidR="00557AE1">
              <w:rPr>
                <w:noProof/>
                <w:webHidden/>
              </w:rPr>
              <w:fldChar w:fldCharType="end"/>
            </w:r>
          </w:hyperlink>
        </w:p>
        <w:p w14:paraId="694A703D" w14:textId="77E84CC3" w:rsidR="00557AE1" w:rsidRDefault="001514CF">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205545640" w:history="1">
            <w:r w:rsidR="00557AE1" w:rsidRPr="00FA1758">
              <w:rPr>
                <w:rStyle w:val="Lienhypertexte"/>
                <w:noProof/>
              </w:rPr>
              <w:t>II.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Téléchargement et composition du dossier de consultation</w:t>
            </w:r>
            <w:r w:rsidR="00557AE1">
              <w:rPr>
                <w:noProof/>
                <w:webHidden/>
              </w:rPr>
              <w:tab/>
            </w:r>
            <w:r w:rsidR="00557AE1">
              <w:rPr>
                <w:noProof/>
                <w:webHidden/>
              </w:rPr>
              <w:fldChar w:fldCharType="begin"/>
            </w:r>
            <w:r w:rsidR="00557AE1">
              <w:rPr>
                <w:noProof/>
                <w:webHidden/>
              </w:rPr>
              <w:instrText xml:space="preserve"> PAGEREF _Toc205545640 \h </w:instrText>
            </w:r>
            <w:r w:rsidR="00557AE1">
              <w:rPr>
                <w:noProof/>
                <w:webHidden/>
              </w:rPr>
            </w:r>
            <w:r w:rsidR="00557AE1">
              <w:rPr>
                <w:noProof/>
                <w:webHidden/>
              </w:rPr>
              <w:fldChar w:fldCharType="separate"/>
            </w:r>
            <w:r>
              <w:rPr>
                <w:noProof/>
                <w:webHidden/>
              </w:rPr>
              <w:t>3</w:t>
            </w:r>
            <w:r w:rsidR="00557AE1">
              <w:rPr>
                <w:noProof/>
                <w:webHidden/>
              </w:rPr>
              <w:fldChar w:fldCharType="end"/>
            </w:r>
          </w:hyperlink>
        </w:p>
        <w:p w14:paraId="67C0C0F4" w14:textId="2B0D2F8E" w:rsidR="00557AE1" w:rsidRDefault="001514CF">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205545641" w:history="1">
            <w:r w:rsidR="00557AE1" w:rsidRPr="00FA1758">
              <w:rPr>
                <w:rStyle w:val="Lienhypertexte"/>
                <w:noProof/>
              </w:rPr>
              <w:t>III.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Conditions du marché</w:t>
            </w:r>
            <w:r w:rsidR="00557AE1">
              <w:rPr>
                <w:noProof/>
                <w:webHidden/>
              </w:rPr>
              <w:tab/>
            </w:r>
            <w:r w:rsidR="00557AE1">
              <w:rPr>
                <w:noProof/>
                <w:webHidden/>
              </w:rPr>
              <w:fldChar w:fldCharType="begin"/>
            </w:r>
            <w:r w:rsidR="00557AE1">
              <w:rPr>
                <w:noProof/>
                <w:webHidden/>
              </w:rPr>
              <w:instrText xml:space="preserve"> PAGEREF _Toc205545641 \h </w:instrText>
            </w:r>
            <w:r w:rsidR="00557AE1">
              <w:rPr>
                <w:noProof/>
                <w:webHidden/>
              </w:rPr>
            </w:r>
            <w:r w:rsidR="00557AE1">
              <w:rPr>
                <w:noProof/>
                <w:webHidden/>
              </w:rPr>
              <w:fldChar w:fldCharType="separate"/>
            </w:r>
            <w:r>
              <w:rPr>
                <w:noProof/>
                <w:webHidden/>
              </w:rPr>
              <w:t>3</w:t>
            </w:r>
            <w:r w:rsidR="00557AE1">
              <w:rPr>
                <w:noProof/>
                <w:webHidden/>
              </w:rPr>
              <w:fldChar w:fldCharType="end"/>
            </w:r>
          </w:hyperlink>
        </w:p>
        <w:p w14:paraId="68B746F3" w14:textId="74261160"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2" w:history="1">
            <w:r w:rsidR="00557AE1" w:rsidRPr="00FA1758">
              <w:rPr>
                <w:rStyle w:val="Lienhypertexte"/>
                <w:noProof/>
              </w:rPr>
              <w:t>1.</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Étendue de la consultation et mode du marché</w:t>
            </w:r>
            <w:r w:rsidR="00557AE1">
              <w:rPr>
                <w:noProof/>
                <w:webHidden/>
              </w:rPr>
              <w:tab/>
            </w:r>
            <w:r w:rsidR="00557AE1">
              <w:rPr>
                <w:noProof/>
                <w:webHidden/>
              </w:rPr>
              <w:fldChar w:fldCharType="begin"/>
            </w:r>
            <w:r w:rsidR="00557AE1">
              <w:rPr>
                <w:noProof/>
                <w:webHidden/>
              </w:rPr>
              <w:instrText xml:space="preserve"> PAGEREF _Toc205545642 \h </w:instrText>
            </w:r>
            <w:r w:rsidR="00557AE1">
              <w:rPr>
                <w:noProof/>
                <w:webHidden/>
              </w:rPr>
            </w:r>
            <w:r w:rsidR="00557AE1">
              <w:rPr>
                <w:noProof/>
                <w:webHidden/>
              </w:rPr>
              <w:fldChar w:fldCharType="separate"/>
            </w:r>
            <w:r>
              <w:rPr>
                <w:noProof/>
                <w:webHidden/>
              </w:rPr>
              <w:t>3</w:t>
            </w:r>
            <w:r w:rsidR="00557AE1">
              <w:rPr>
                <w:noProof/>
                <w:webHidden/>
              </w:rPr>
              <w:fldChar w:fldCharType="end"/>
            </w:r>
          </w:hyperlink>
        </w:p>
        <w:p w14:paraId="5A29D136" w14:textId="78539198"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3" w:history="1">
            <w:r w:rsidR="00557AE1" w:rsidRPr="00FA1758">
              <w:rPr>
                <w:rStyle w:val="Lienhypertexte"/>
                <w:noProof/>
              </w:rPr>
              <w:t>2.</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Compléments</w:t>
            </w:r>
            <w:r w:rsidR="00557AE1">
              <w:rPr>
                <w:noProof/>
                <w:webHidden/>
              </w:rPr>
              <w:tab/>
            </w:r>
            <w:r w:rsidR="00557AE1">
              <w:rPr>
                <w:noProof/>
                <w:webHidden/>
              </w:rPr>
              <w:fldChar w:fldCharType="begin"/>
            </w:r>
            <w:r w:rsidR="00557AE1">
              <w:rPr>
                <w:noProof/>
                <w:webHidden/>
              </w:rPr>
              <w:instrText xml:space="preserve"> PAGEREF _Toc205545643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114BE4E7" w14:textId="0F7FA607"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4" w:history="1">
            <w:r w:rsidR="00557AE1" w:rsidRPr="00FA1758">
              <w:rPr>
                <w:rStyle w:val="Lienhypertexte"/>
                <w:noProof/>
              </w:rPr>
              <w:t>3.</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Variantes</w:t>
            </w:r>
            <w:r w:rsidR="00557AE1">
              <w:rPr>
                <w:noProof/>
                <w:webHidden/>
              </w:rPr>
              <w:tab/>
            </w:r>
            <w:r w:rsidR="00557AE1">
              <w:rPr>
                <w:noProof/>
                <w:webHidden/>
              </w:rPr>
              <w:fldChar w:fldCharType="begin"/>
            </w:r>
            <w:r w:rsidR="00557AE1">
              <w:rPr>
                <w:noProof/>
                <w:webHidden/>
              </w:rPr>
              <w:instrText xml:space="preserve"> PAGEREF _Toc205545644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2799350E" w14:textId="684F21A4"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5" w:history="1">
            <w:r w:rsidR="00557AE1" w:rsidRPr="00FA1758">
              <w:rPr>
                <w:rStyle w:val="Lienhypertexte"/>
                <w:noProof/>
              </w:rPr>
              <w:t>4.</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Visite sur site</w:t>
            </w:r>
            <w:r w:rsidR="00557AE1">
              <w:rPr>
                <w:noProof/>
                <w:webHidden/>
              </w:rPr>
              <w:tab/>
            </w:r>
            <w:r w:rsidR="00557AE1">
              <w:rPr>
                <w:noProof/>
                <w:webHidden/>
              </w:rPr>
              <w:fldChar w:fldCharType="begin"/>
            </w:r>
            <w:r w:rsidR="00557AE1">
              <w:rPr>
                <w:noProof/>
                <w:webHidden/>
              </w:rPr>
              <w:instrText xml:space="preserve"> PAGEREF _Toc205545645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3B952A56" w14:textId="0C39F0D2"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6" w:history="1">
            <w:r w:rsidR="00557AE1" w:rsidRPr="00FA1758">
              <w:rPr>
                <w:rStyle w:val="Lienhypertexte"/>
                <w:noProof/>
              </w:rPr>
              <w:t>5.</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Forme juridique de l'attributaire du marché</w:t>
            </w:r>
            <w:r w:rsidR="00557AE1">
              <w:rPr>
                <w:noProof/>
                <w:webHidden/>
              </w:rPr>
              <w:tab/>
            </w:r>
            <w:r w:rsidR="00557AE1">
              <w:rPr>
                <w:noProof/>
                <w:webHidden/>
              </w:rPr>
              <w:fldChar w:fldCharType="begin"/>
            </w:r>
            <w:r w:rsidR="00557AE1">
              <w:rPr>
                <w:noProof/>
                <w:webHidden/>
              </w:rPr>
              <w:instrText xml:space="preserve"> PAGEREF _Toc205545646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6485ED52" w14:textId="41586B50"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7" w:history="1">
            <w:r w:rsidR="00557AE1" w:rsidRPr="00FA1758">
              <w:rPr>
                <w:rStyle w:val="Lienhypertexte"/>
                <w:noProof/>
              </w:rPr>
              <w:t>6.</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Délai d’exécution</w:t>
            </w:r>
            <w:r w:rsidR="00557AE1">
              <w:rPr>
                <w:noProof/>
                <w:webHidden/>
              </w:rPr>
              <w:tab/>
            </w:r>
            <w:r w:rsidR="00557AE1">
              <w:rPr>
                <w:noProof/>
                <w:webHidden/>
              </w:rPr>
              <w:fldChar w:fldCharType="begin"/>
            </w:r>
            <w:r w:rsidR="00557AE1">
              <w:rPr>
                <w:noProof/>
                <w:webHidden/>
              </w:rPr>
              <w:instrText xml:space="preserve"> PAGEREF _Toc205545647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00EE58F5" w14:textId="35A1D382"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8" w:history="1">
            <w:r w:rsidR="00557AE1" w:rsidRPr="00FA1758">
              <w:rPr>
                <w:rStyle w:val="Lienhypertexte"/>
                <w:noProof/>
              </w:rPr>
              <w:t>7.</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Modification de détail au dossier de consultation</w:t>
            </w:r>
            <w:r w:rsidR="00557AE1">
              <w:rPr>
                <w:noProof/>
                <w:webHidden/>
              </w:rPr>
              <w:tab/>
            </w:r>
            <w:r w:rsidR="00557AE1">
              <w:rPr>
                <w:noProof/>
                <w:webHidden/>
              </w:rPr>
              <w:fldChar w:fldCharType="begin"/>
            </w:r>
            <w:r w:rsidR="00557AE1">
              <w:rPr>
                <w:noProof/>
                <w:webHidden/>
              </w:rPr>
              <w:instrText xml:space="preserve"> PAGEREF _Toc205545648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52D74D46" w14:textId="26B5AD80"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49" w:history="1">
            <w:r w:rsidR="00557AE1" w:rsidRPr="00FA1758">
              <w:rPr>
                <w:rStyle w:val="Lienhypertexte"/>
                <w:noProof/>
              </w:rPr>
              <w:t>8.</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Délai de validité des offres</w:t>
            </w:r>
            <w:r w:rsidR="00557AE1">
              <w:rPr>
                <w:noProof/>
                <w:webHidden/>
              </w:rPr>
              <w:tab/>
            </w:r>
            <w:r w:rsidR="00557AE1">
              <w:rPr>
                <w:noProof/>
                <w:webHidden/>
              </w:rPr>
              <w:fldChar w:fldCharType="begin"/>
            </w:r>
            <w:r w:rsidR="00557AE1">
              <w:rPr>
                <w:noProof/>
                <w:webHidden/>
              </w:rPr>
              <w:instrText xml:space="preserve"> PAGEREF _Toc205545649 \h </w:instrText>
            </w:r>
            <w:r w:rsidR="00557AE1">
              <w:rPr>
                <w:noProof/>
                <w:webHidden/>
              </w:rPr>
            </w:r>
            <w:r w:rsidR="00557AE1">
              <w:rPr>
                <w:noProof/>
                <w:webHidden/>
              </w:rPr>
              <w:fldChar w:fldCharType="separate"/>
            </w:r>
            <w:r>
              <w:rPr>
                <w:noProof/>
                <w:webHidden/>
              </w:rPr>
              <w:t>4</w:t>
            </w:r>
            <w:r w:rsidR="00557AE1">
              <w:rPr>
                <w:noProof/>
                <w:webHidden/>
              </w:rPr>
              <w:fldChar w:fldCharType="end"/>
            </w:r>
          </w:hyperlink>
        </w:p>
        <w:p w14:paraId="28BC5EF5" w14:textId="6A68FEB9" w:rsidR="00557AE1" w:rsidRDefault="001514CF">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0" w:history="1">
            <w:r w:rsidR="00557AE1" w:rsidRPr="00FA1758">
              <w:rPr>
                <w:rStyle w:val="Lienhypertexte"/>
                <w:noProof/>
              </w:rPr>
              <w:t>IV.</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Présentation des offres</w:t>
            </w:r>
            <w:r w:rsidR="00557AE1">
              <w:rPr>
                <w:noProof/>
                <w:webHidden/>
              </w:rPr>
              <w:tab/>
            </w:r>
            <w:r w:rsidR="00557AE1">
              <w:rPr>
                <w:noProof/>
                <w:webHidden/>
              </w:rPr>
              <w:fldChar w:fldCharType="begin"/>
            </w:r>
            <w:r w:rsidR="00557AE1">
              <w:rPr>
                <w:noProof/>
                <w:webHidden/>
              </w:rPr>
              <w:instrText xml:space="preserve"> PAGEREF _Toc205545650 \h </w:instrText>
            </w:r>
            <w:r w:rsidR="00557AE1">
              <w:rPr>
                <w:noProof/>
                <w:webHidden/>
              </w:rPr>
            </w:r>
            <w:r w:rsidR="00557AE1">
              <w:rPr>
                <w:noProof/>
                <w:webHidden/>
              </w:rPr>
              <w:fldChar w:fldCharType="separate"/>
            </w:r>
            <w:r>
              <w:rPr>
                <w:noProof/>
                <w:webHidden/>
              </w:rPr>
              <w:t>5</w:t>
            </w:r>
            <w:r w:rsidR="00557AE1">
              <w:rPr>
                <w:noProof/>
                <w:webHidden/>
              </w:rPr>
              <w:fldChar w:fldCharType="end"/>
            </w:r>
          </w:hyperlink>
        </w:p>
        <w:p w14:paraId="5D93AADA" w14:textId="7789A4FF" w:rsidR="00557AE1" w:rsidRDefault="001514CF">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1" w:history="1">
            <w:r w:rsidR="00557AE1" w:rsidRPr="00FA1758">
              <w:rPr>
                <w:rStyle w:val="Lienhypertexte"/>
                <w:noProof/>
              </w:rPr>
              <w:t>1.</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Pièces de la candidature et de l’offre</w:t>
            </w:r>
            <w:r w:rsidR="00557AE1">
              <w:rPr>
                <w:noProof/>
                <w:webHidden/>
              </w:rPr>
              <w:tab/>
            </w:r>
            <w:r w:rsidR="00557AE1">
              <w:rPr>
                <w:noProof/>
                <w:webHidden/>
              </w:rPr>
              <w:fldChar w:fldCharType="begin"/>
            </w:r>
            <w:r w:rsidR="00557AE1">
              <w:rPr>
                <w:noProof/>
                <w:webHidden/>
              </w:rPr>
              <w:instrText xml:space="preserve"> PAGEREF _Toc205545651 \h </w:instrText>
            </w:r>
            <w:r w:rsidR="00557AE1">
              <w:rPr>
                <w:noProof/>
                <w:webHidden/>
              </w:rPr>
            </w:r>
            <w:r w:rsidR="00557AE1">
              <w:rPr>
                <w:noProof/>
                <w:webHidden/>
              </w:rPr>
              <w:fldChar w:fldCharType="separate"/>
            </w:r>
            <w:r>
              <w:rPr>
                <w:noProof/>
                <w:webHidden/>
              </w:rPr>
              <w:t>5</w:t>
            </w:r>
            <w:r w:rsidR="00557AE1">
              <w:rPr>
                <w:noProof/>
                <w:webHidden/>
              </w:rPr>
              <w:fldChar w:fldCharType="end"/>
            </w:r>
          </w:hyperlink>
        </w:p>
        <w:p w14:paraId="050E62D6" w14:textId="61F2809C" w:rsidR="00557AE1" w:rsidRDefault="001514CF">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205545652" w:history="1">
            <w:r w:rsidR="00557AE1" w:rsidRPr="00FA1758">
              <w:rPr>
                <w:rStyle w:val="Lienhypertexte"/>
                <w:noProof/>
              </w:rPr>
              <w:t>V.</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Jugement des offres</w:t>
            </w:r>
            <w:r w:rsidR="00557AE1">
              <w:rPr>
                <w:noProof/>
                <w:webHidden/>
              </w:rPr>
              <w:tab/>
            </w:r>
            <w:r w:rsidR="00557AE1">
              <w:rPr>
                <w:noProof/>
                <w:webHidden/>
              </w:rPr>
              <w:fldChar w:fldCharType="begin"/>
            </w:r>
            <w:r w:rsidR="00557AE1">
              <w:rPr>
                <w:noProof/>
                <w:webHidden/>
              </w:rPr>
              <w:instrText xml:space="preserve"> PAGEREF _Toc205545652 \h </w:instrText>
            </w:r>
            <w:r w:rsidR="00557AE1">
              <w:rPr>
                <w:noProof/>
                <w:webHidden/>
              </w:rPr>
            </w:r>
            <w:r w:rsidR="00557AE1">
              <w:rPr>
                <w:noProof/>
                <w:webHidden/>
              </w:rPr>
              <w:fldChar w:fldCharType="separate"/>
            </w:r>
            <w:r>
              <w:rPr>
                <w:noProof/>
                <w:webHidden/>
              </w:rPr>
              <w:t>6</w:t>
            </w:r>
            <w:r w:rsidR="00557AE1">
              <w:rPr>
                <w:noProof/>
                <w:webHidden/>
              </w:rPr>
              <w:fldChar w:fldCharType="end"/>
            </w:r>
          </w:hyperlink>
        </w:p>
        <w:p w14:paraId="13F265F7" w14:textId="1F873F8E" w:rsidR="00557AE1" w:rsidRDefault="001514CF">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3" w:history="1">
            <w:r w:rsidR="00557AE1" w:rsidRPr="00FA1758">
              <w:rPr>
                <w:rStyle w:val="Lienhypertexte"/>
                <w:noProof/>
              </w:rPr>
              <w:t>VI.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Conditions de remise des offres</w:t>
            </w:r>
            <w:r w:rsidR="00557AE1">
              <w:rPr>
                <w:noProof/>
                <w:webHidden/>
              </w:rPr>
              <w:tab/>
            </w:r>
            <w:r w:rsidR="00557AE1">
              <w:rPr>
                <w:noProof/>
                <w:webHidden/>
              </w:rPr>
              <w:fldChar w:fldCharType="begin"/>
            </w:r>
            <w:r w:rsidR="00557AE1">
              <w:rPr>
                <w:noProof/>
                <w:webHidden/>
              </w:rPr>
              <w:instrText xml:space="preserve"> PAGEREF _Toc205545653 \h </w:instrText>
            </w:r>
            <w:r w:rsidR="00557AE1">
              <w:rPr>
                <w:noProof/>
                <w:webHidden/>
              </w:rPr>
            </w:r>
            <w:r w:rsidR="00557AE1">
              <w:rPr>
                <w:noProof/>
                <w:webHidden/>
              </w:rPr>
              <w:fldChar w:fldCharType="separate"/>
            </w:r>
            <w:r>
              <w:rPr>
                <w:noProof/>
                <w:webHidden/>
              </w:rPr>
              <w:t>7</w:t>
            </w:r>
            <w:r w:rsidR="00557AE1">
              <w:rPr>
                <w:noProof/>
                <w:webHidden/>
              </w:rPr>
              <w:fldChar w:fldCharType="end"/>
            </w:r>
          </w:hyperlink>
        </w:p>
        <w:p w14:paraId="553E6D60" w14:textId="135E0903" w:rsidR="00557AE1" w:rsidRDefault="001514CF">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4" w:history="1">
            <w:r w:rsidR="00557AE1" w:rsidRPr="00FA1758">
              <w:rPr>
                <w:rStyle w:val="Lienhypertexte"/>
                <w:noProof/>
              </w:rPr>
              <w:t>VII.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Information aux candidats non retenus</w:t>
            </w:r>
            <w:r w:rsidR="00557AE1">
              <w:rPr>
                <w:noProof/>
                <w:webHidden/>
              </w:rPr>
              <w:tab/>
            </w:r>
            <w:r w:rsidR="00557AE1">
              <w:rPr>
                <w:noProof/>
                <w:webHidden/>
              </w:rPr>
              <w:fldChar w:fldCharType="begin"/>
            </w:r>
            <w:r w:rsidR="00557AE1">
              <w:rPr>
                <w:noProof/>
                <w:webHidden/>
              </w:rPr>
              <w:instrText xml:space="preserve"> PAGEREF _Toc205545654 \h </w:instrText>
            </w:r>
            <w:r w:rsidR="00557AE1">
              <w:rPr>
                <w:noProof/>
                <w:webHidden/>
              </w:rPr>
            </w:r>
            <w:r w:rsidR="00557AE1">
              <w:rPr>
                <w:noProof/>
                <w:webHidden/>
              </w:rPr>
              <w:fldChar w:fldCharType="separate"/>
            </w:r>
            <w:r>
              <w:rPr>
                <w:noProof/>
                <w:webHidden/>
              </w:rPr>
              <w:t>8</w:t>
            </w:r>
            <w:r w:rsidR="00557AE1">
              <w:rPr>
                <w:noProof/>
                <w:webHidden/>
              </w:rPr>
              <w:fldChar w:fldCharType="end"/>
            </w:r>
          </w:hyperlink>
        </w:p>
        <w:p w14:paraId="56F6E200" w14:textId="438EF907" w:rsidR="00557AE1" w:rsidRDefault="001514CF">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5" w:history="1">
            <w:r w:rsidR="00557AE1" w:rsidRPr="00FA1758">
              <w:rPr>
                <w:rStyle w:val="Lienhypertexte"/>
                <w:noProof/>
              </w:rPr>
              <w:t>VIII.</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Procédures de recours</w:t>
            </w:r>
            <w:r w:rsidR="00557AE1">
              <w:rPr>
                <w:noProof/>
                <w:webHidden/>
              </w:rPr>
              <w:tab/>
            </w:r>
            <w:r w:rsidR="00557AE1">
              <w:rPr>
                <w:noProof/>
                <w:webHidden/>
              </w:rPr>
              <w:fldChar w:fldCharType="begin"/>
            </w:r>
            <w:r w:rsidR="00557AE1">
              <w:rPr>
                <w:noProof/>
                <w:webHidden/>
              </w:rPr>
              <w:instrText xml:space="preserve"> PAGEREF _Toc205545655 \h </w:instrText>
            </w:r>
            <w:r w:rsidR="00557AE1">
              <w:rPr>
                <w:noProof/>
                <w:webHidden/>
              </w:rPr>
            </w:r>
            <w:r w:rsidR="00557AE1">
              <w:rPr>
                <w:noProof/>
                <w:webHidden/>
              </w:rPr>
              <w:fldChar w:fldCharType="separate"/>
            </w:r>
            <w:r>
              <w:rPr>
                <w:noProof/>
                <w:webHidden/>
              </w:rPr>
              <w:t>8</w:t>
            </w:r>
            <w:r w:rsidR="00557AE1">
              <w:rPr>
                <w:noProof/>
                <w:webHidden/>
              </w:rPr>
              <w:fldChar w:fldCharType="end"/>
            </w:r>
          </w:hyperlink>
        </w:p>
        <w:p w14:paraId="584909F1" w14:textId="5350F9C4" w:rsidR="00557AE1" w:rsidRDefault="001514CF">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205545656" w:history="1">
            <w:r w:rsidR="00557AE1" w:rsidRPr="00FA1758">
              <w:rPr>
                <w:rStyle w:val="Lienhypertexte"/>
                <w:noProof/>
              </w:rPr>
              <w:t>IX.</w:t>
            </w:r>
            <w:r w:rsidR="00557AE1">
              <w:rPr>
                <w:rFonts w:asciiTheme="minorHAnsi" w:eastAsiaTheme="minorEastAsia" w:hAnsiTheme="minorHAnsi"/>
                <w:noProof/>
                <w:kern w:val="2"/>
                <w:sz w:val="24"/>
                <w:szCs w:val="24"/>
                <w:lang w:eastAsia="fr-FR"/>
                <w14:ligatures w14:val="standardContextual"/>
              </w:rPr>
              <w:tab/>
            </w:r>
            <w:r w:rsidR="00557AE1" w:rsidRPr="00FA1758">
              <w:rPr>
                <w:rStyle w:val="Lienhypertexte"/>
                <w:noProof/>
              </w:rPr>
              <w:t>Renseignements complémentaires</w:t>
            </w:r>
            <w:r w:rsidR="00557AE1">
              <w:rPr>
                <w:noProof/>
                <w:webHidden/>
              </w:rPr>
              <w:tab/>
            </w:r>
            <w:r w:rsidR="00557AE1">
              <w:rPr>
                <w:noProof/>
                <w:webHidden/>
              </w:rPr>
              <w:fldChar w:fldCharType="begin"/>
            </w:r>
            <w:r w:rsidR="00557AE1">
              <w:rPr>
                <w:noProof/>
                <w:webHidden/>
              </w:rPr>
              <w:instrText xml:space="preserve"> PAGEREF _Toc205545656 \h </w:instrText>
            </w:r>
            <w:r w:rsidR="00557AE1">
              <w:rPr>
                <w:noProof/>
                <w:webHidden/>
              </w:rPr>
            </w:r>
            <w:r w:rsidR="00557AE1">
              <w:rPr>
                <w:noProof/>
                <w:webHidden/>
              </w:rPr>
              <w:fldChar w:fldCharType="separate"/>
            </w:r>
            <w:r>
              <w:rPr>
                <w:noProof/>
                <w:webHidden/>
              </w:rPr>
              <w:t>8</w:t>
            </w:r>
            <w:r w:rsidR="00557AE1">
              <w:rPr>
                <w:noProof/>
                <w:webHidden/>
              </w:rPr>
              <w:fldChar w:fldCharType="end"/>
            </w:r>
          </w:hyperlink>
        </w:p>
        <w:p w14:paraId="67748A57" w14:textId="6BA3273B" w:rsidR="00B1165B" w:rsidRDefault="00B1165B">
          <w:r>
            <w:rPr>
              <w:b/>
              <w:bCs/>
            </w:rPr>
            <w:fldChar w:fldCharType="end"/>
          </w:r>
        </w:p>
      </w:sdtContent>
    </w:sdt>
    <w:p w14:paraId="54F1EFE4" w14:textId="11B70341" w:rsidR="0080705E" w:rsidRDefault="0080705E" w:rsidP="00B1165B">
      <w:r>
        <w:br w:type="page"/>
      </w:r>
    </w:p>
    <w:p w14:paraId="2A55370E" w14:textId="1AB7D88F" w:rsidR="005D76AA" w:rsidRPr="00FE3D85" w:rsidRDefault="005D76AA" w:rsidP="00B1165B">
      <w:pPr>
        <w:pStyle w:val="Titre2"/>
      </w:pPr>
      <w:bookmarkStart w:id="12" w:name="_Toc205545639"/>
      <w:r w:rsidRPr="00FE3D85">
        <w:lastRenderedPageBreak/>
        <w:t>Objet du marché</w:t>
      </w:r>
      <w:bookmarkEnd w:id="12"/>
    </w:p>
    <w:p w14:paraId="7D361D88" w14:textId="77777777" w:rsidR="00FB4B56" w:rsidRDefault="00FB4B56" w:rsidP="00FB4B56">
      <w:pPr>
        <w:ind w:firstLine="360"/>
      </w:pPr>
      <w:bookmarkStart w:id="13" w:name="_Hlk202887894"/>
      <w:r>
        <w:t xml:space="preserve">Le contrat porte sur la </w:t>
      </w:r>
      <w:r w:rsidRPr="00207110">
        <w:t xml:space="preserve">prestation de collecte et de revalorisation des biodéchets pour les établissements pénitentiaires </w:t>
      </w:r>
      <w:r>
        <w:t xml:space="preserve">en gestion publique </w:t>
      </w:r>
      <w:r w:rsidRPr="00207110">
        <w:t>de la Direction interrégionale des services pénitentiaires du Grand Est</w:t>
      </w:r>
      <w:r>
        <w:t>.</w:t>
      </w:r>
    </w:p>
    <w:p w14:paraId="2017DCD3" w14:textId="77777777" w:rsidR="00FB4B56" w:rsidRDefault="00FB4B56" w:rsidP="00FB4B56">
      <w:r>
        <w:t>La prestation englobe quatre aspects principaux :</w:t>
      </w:r>
    </w:p>
    <w:p w14:paraId="4E7F4C37" w14:textId="77777777" w:rsidR="00FB4B56" w:rsidRDefault="00FB4B56" w:rsidP="00FB4B56">
      <w:pPr>
        <w:pStyle w:val="Paragraphedeliste"/>
        <w:numPr>
          <w:ilvl w:val="0"/>
          <w:numId w:val="23"/>
        </w:numPr>
        <w:jc w:val="both"/>
      </w:pPr>
      <w:r>
        <w:t xml:space="preserve">La collecte des biodéchets </w:t>
      </w:r>
    </w:p>
    <w:p w14:paraId="049BB15A" w14:textId="77777777" w:rsidR="00FB4B56" w:rsidRDefault="00FB4B56" w:rsidP="00FB4B56">
      <w:pPr>
        <w:pStyle w:val="Paragraphedeliste"/>
        <w:numPr>
          <w:ilvl w:val="0"/>
          <w:numId w:val="23"/>
        </w:numPr>
        <w:jc w:val="both"/>
      </w:pPr>
      <w:r>
        <w:t>La mise à disposition et maintenance d’équipements de collecte de biodéchets</w:t>
      </w:r>
    </w:p>
    <w:p w14:paraId="63EF753A" w14:textId="77777777" w:rsidR="00FB4B56" w:rsidRDefault="00FB4B56" w:rsidP="00FB4B56">
      <w:pPr>
        <w:pStyle w:val="Paragraphedeliste"/>
        <w:numPr>
          <w:ilvl w:val="0"/>
          <w:numId w:val="23"/>
        </w:numPr>
        <w:jc w:val="both"/>
      </w:pPr>
      <w:r>
        <w:t>Le nettoyage des équipements de collectes de biodéchets</w:t>
      </w:r>
    </w:p>
    <w:p w14:paraId="7471205D" w14:textId="77777777" w:rsidR="00FB4B56" w:rsidRPr="00AF081C" w:rsidRDefault="00FB4B56" w:rsidP="00FB4B56">
      <w:pPr>
        <w:pStyle w:val="Paragraphedeliste"/>
        <w:numPr>
          <w:ilvl w:val="0"/>
          <w:numId w:val="23"/>
        </w:numPr>
        <w:jc w:val="both"/>
      </w:pPr>
      <w:r>
        <w:t>La revalorisation des biodéchets collectés</w:t>
      </w:r>
    </w:p>
    <w:p w14:paraId="0FB4B2B1" w14:textId="31B5700D" w:rsidR="00A75CB5" w:rsidRPr="00601695" w:rsidRDefault="00A75CB5" w:rsidP="00A75CB5">
      <w:r>
        <w:t>Le marché est alloti en 16 lots, correspondants aux 16 établissements pénitentiaires concernés.</w:t>
      </w:r>
    </w:p>
    <w:bookmarkEnd w:id="13"/>
    <w:p w14:paraId="24144995" w14:textId="19B94C94" w:rsidR="005D76AA" w:rsidRDefault="005D76AA" w:rsidP="00152F21">
      <w:pPr>
        <w:jc w:val="both"/>
      </w:pPr>
      <w:r>
        <w:t xml:space="preserve">La description des prestations et leurs spécifications techniques figurent dans le </w:t>
      </w:r>
      <w:r w:rsidR="00A75CB5">
        <w:t>c</w:t>
      </w:r>
      <w:r>
        <w:t xml:space="preserve">ahier des </w:t>
      </w:r>
      <w:r w:rsidR="00A75CB5">
        <w:t>c</w:t>
      </w:r>
      <w:r>
        <w:t xml:space="preserve">lauses </w:t>
      </w:r>
      <w:r w:rsidR="00A75CB5">
        <w:t>administratives et techniques p</w:t>
      </w:r>
      <w:r>
        <w:t>articulières (CC</w:t>
      </w:r>
      <w:r w:rsidR="00A75CB5">
        <w:t>AP et CCTP)</w:t>
      </w:r>
      <w:r>
        <w:t>.</w:t>
      </w:r>
    </w:p>
    <w:p w14:paraId="60660A77" w14:textId="5E86F242" w:rsidR="005D76AA" w:rsidRDefault="005D76AA" w:rsidP="00B1165B">
      <w:pPr>
        <w:pStyle w:val="Titre2"/>
      </w:pPr>
      <w:bookmarkStart w:id="14" w:name="_Toc205545640"/>
      <w:r>
        <w:t>Téléchargement et composition du dossier de consultation</w:t>
      </w:r>
      <w:bookmarkEnd w:id="14"/>
    </w:p>
    <w:p w14:paraId="71FF819C" w14:textId="527D517B" w:rsidR="005D76AA" w:rsidRDefault="005D76AA" w:rsidP="00FB4B56">
      <w:pPr>
        <w:ind w:firstLine="360"/>
        <w:jc w:val="both"/>
      </w:pPr>
      <w:r>
        <w:t>Le DCE est téléchargeable intégralement sur PLACE.</w:t>
      </w:r>
    </w:p>
    <w:p w14:paraId="4105A61E" w14:textId="2CABBEAA" w:rsidR="005D76AA" w:rsidRDefault="005D76AA" w:rsidP="00152F21">
      <w:pPr>
        <w:jc w:val="both"/>
      </w:pPr>
      <w:r>
        <w:t>Il est recommandé de créer un compte sur la plateforme où vous renseignerez notamment le numéro SIRET et la raison sociale de votre société ainsi qu'une adresse électronique de façon à vous tenir informé des modifications éventuelles intervenant en cours de procédure.</w:t>
      </w:r>
    </w:p>
    <w:p w14:paraId="10C2B26E" w14:textId="77777777" w:rsidR="005D76AA" w:rsidRDefault="005D76AA" w:rsidP="00152F21">
      <w:pPr>
        <w:jc w:val="both"/>
      </w:pPr>
      <w:r>
        <w:t>Le dossier de consultation relatif à la consultation objet du présent règlement comprend les documents suivants :</w:t>
      </w:r>
    </w:p>
    <w:p w14:paraId="54E2D1FE" w14:textId="77777777" w:rsidR="00A75CB5" w:rsidRPr="003D002D" w:rsidRDefault="00A75CB5" w:rsidP="00A75CB5">
      <w:pPr>
        <w:pStyle w:val="Paragraphedeliste"/>
        <w:numPr>
          <w:ilvl w:val="0"/>
          <w:numId w:val="24"/>
        </w:numPr>
        <w:jc w:val="both"/>
        <w:rPr>
          <w:b/>
          <w:bCs/>
        </w:rPr>
      </w:pPr>
      <w:r w:rsidRPr="003D002D">
        <w:rPr>
          <w:b/>
          <w:bCs/>
        </w:rPr>
        <w:t>L’acte d'engagement (AE)</w:t>
      </w:r>
    </w:p>
    <w:p w14:paraId="1C9EF23E" w14:textId="77777777" w:rsidR="00A75CB5" w:rsidRPr="003D002D" w:rsidRDefault="00A75CB5" w:rsidP="00A75CB5">
      <w:pPr>
        <w:pStyle w:val="Paragraphedeliste"/>
        <w:numPr>
          <w:ilvl w:val="0"/>
          <w:numId w:val="24"/>
        </w:numPr>
        <w:jc w:val="both"/>
        <w:rPr>
          <w:b/>
          <w:bCs/>
        </w:rPr>
      </w:pPr>
      <w:r w:rsidRPr="003D002D">
        <w:rPr>
          <w:b/>
          <w:bCs/>
        </w:rPr>
        <w:t>Le présent cahier des clauses administratives particulières (CCAP)</w:t>
      </w:r>
    </w:p>
    <w:p w14:paraId="18BFED66" w14:textId="77777777" w:rsidR="00A75CB5" w:rsidRPr="003D002D" w:rsidRDefault="00A75CB5" w:rsidP="00A75CB5">
      <w:pPr>
        <w:pStyle w:val="Paragraphedeliste"/>
        <w:numPr>
          <w:ilvl w:val="0"/>
          <w:numId w:val="24"/>
        </w:numPr>
        <w:jc w:val="both"/>
        <w:rPr>
          <w:b/>
          <w:bCs/>
        </w:rPr>
      </w:pPr>
      <w:r w:rsidRPr="003D002D">
        <w:rPr>
          <w:b/>
          <w:bCs/>
        </w:rPr>
        <w:t xml:space="preserve">Le </w:t>
      </w:r>
      <w:r w:rsidRPr="003D002D">
        <w:rPr>
          <w:rFonts w:eastAsia="Times New Roman" w:cs="Times New Roman"/>
          <w:b/>
          <w:bCs/>
          <w:color w:val="000000"/>
        </w:rPr>
        <w:t>cahier des clauses techniques particulières (</w:t>
      </w:r>
      <w:r w:rsidRPr="003D002D">
        <w:rPr>
          <w:b/>
          <w:bCs/>
        </w:rPr>
        <w:t>CCTP)</w:t>
      </w:r>
    </w:p>
    <w:p w14:paraId="1603105D" w14:textId="77777777" w:rsidR="00A75CB5" w:rsidRPr="003D002D" w:rsidRDefault="00A75CB5" w:rsidP="00A75CB5">
      <w:pPr>
        <w:pStyle w:val="Paragraphedeliste"/>
        <w:numPr>
          <w:ilvl w:val="0"/>
          <w:numId w:val="24"/>
        </w:numPr>
        <w:jc w:val="both"/>
        <w:rPr>
          <w:b/>
          <w:bCs/>
        </w:rPr>
      </w:pPr>
      <w:r w:rsidRPr="003D002D">
        <w:rPr>
          <w:b/>
          <w:bCs/>
        </w:rPr>
        <w:t>Le cahier des clauses de sécurité (CCS)</w:t>
      </w:r>
    </w:p>
    <w:p w14:paraId="0E977D01" w14:textId="77777777" w:rsidR="00A75CB5" w:rsidRPr="003D002D" w:rsidRDefault="00A75CB5" w:rsidP="00A75CB5">
      <w:pPr>
        <w:pStyle w:val="Paragraphedeliste"/>
        <w:numPr>
          <w:ilvl w:val="0"/>
          <w:numId w:val="24"/>
        </w:numPr>
        <w:jc w:val="both"/>
        <w:rPr>
          <w:b/>
          <w:bCs/>
        </w:rPr>
      </w:pPr>
      <w:r w:rsidRPr="003D002D">
        <w:rPr>
          <w:b/>
          <w:bCs/>
          <w:color w:val="000000"/>
        </w:rPr>
        <w:t>Annexe 1 : le bordereau de prix unitaire (BPU)</w:t>
      </w:r>
      <w:bookmarkStart w:id="15" w:name="_Hlk156987399"/>
    </w:p>
    <w:bookmarkEnd w:id="15"/>
    <w:p w14:paraId="68954943" w14:textId="304607D2" w:rsidR="00A75CB5" w:rsidRPr="003D002D" w:rsidRDefault="00A75CB5" w:rsidP="00A75CB5">
      <w:pPr>
        <w:pStyle w:val="Paragraphedeliste"/>
        <w:numPr>
          <w:ilvl w:val="0"/>
          <w:numId w:val="24"/>
        </w:numPr>
        <w:jc w:val="both"/>
        <w:rPr>
          <w:b/>
          <w:bCs/>
        </w:rPr>
      </w:pPr>
      <w:r w:rsidRPr="003D002D">
        <w:rPr>
          <w:b/>
          <w:bCs/>
          <w:color w:val="000000"/>
        </w:rPr>
        <w:t xml:space="preserve">Annexe </w:t>
      </w:r>
      <w:r w:rsidR="00FB4B56" w:rsidRPr="003D002D">
        <w:rPr>
          <w:b/>
          <w:bCs/>
          <w:color w:val="000000"/>
        </w:rPr>
        <w:t>2</w:t>
      </w:r>
      <w:r w:rsidRPr="003D002D">
        <w:rPr>
          <w:b/>
          <w:bCs/>
          <w:color w:val="000000"/>
        </w:rPr>
        <w:t xml:space="preserve"> : le cadre de réponse technique (CRT)</w:t>
      </w:r>
      <w:bookmarkStart w:id="16" w:name="_Hlk161840933"/>
    </w:p>
    <w:p w14:paraId="42288E45" w14:textId="6155CE78" w:rsidR="00A75CB5" w:rsidRPr="003D002D" w:rsidRDefault="00A75CB5" w:rsidP="00A75CB5">
      <w:pPr>
        <w:pStyle w:val="Paragraphedeliste"/>
        <w:numPr>
          <w:ilvl w:val="0"/>
          <w:numId w:val="24"/>
        </w:numPr>
        <w:jc w:val="both"/>
        <w:rPr>
          <w:b/>
          <w:bCs/>
        </w:rPr>
      </w:pPr>
      <w:r w:rsidRPr="003D002D">
        <w:rPr>
          <w:b/>
          <w:bCs/>
          <w:color w:val="000000"/>
        </w:rPr>
        <w:t xml:space="preserve">Annexe </w:t>
      </w:r>
      <w:r w:rsidR="00FB4B56" w:rsidRPr="003D002D">
        <w:rPr>
          <w:b/>
          <w:bCs/>
          <w:color w:val="000000"/>
        </w:rPr>
        <w:t>3</w:t>
      </w:r>
      <w:r w:rsidRPr="003D002D">
        <w:rPr>
          <w:b/>
          <w:bCs/>
          <w:color w:val="000000"/>
        </w:rPr>
        <w:t xml:space="preserve"> : Attestation de visite obligatoire</w:t>
      </w:r>
    </w:p>
    <w:bookmarkEnd w:id="16"/>
    <w:p w14:paraId="3324F8CD" w14:textId="77777777" w:rsidR="005D76AA" w:rsidRDefault="005D76AA" w:rsidP="00152F21">
      <w:pPr>
        <w:jc w:val="both"/>
      </w:pPr>
      <w:r>
        <w:t>Le soumissionnaire prend soin de vérifier que le dossier de consultation est complet. Il dispose à cet effet d'un délai de six (6) jours à compter de son téléchargement. Au-delà de cette échéance, le dossier sera réputé complet.</w:t>
      </w:r>
    </w:p>
    <w:p w14:paraId="2C698DEA" w14:textId="77777777" w:rsidR="005D76AA" w:rsidRDefault="005D76AA" w:rsidP="00B1165B"/>
    <w:p w14:paraId="687621BF" w14:textId="693AD34A" w:rsidR="005D76AA" w:rsidRDefault="005D76AA" w:rsidP="00B1165B">
      <w:pPr>
        <w:pStyle w:val="Titre2"/>
      </w:pPr>
      <w:bookmarkStart w:id="17" w:name="_Toc205545641"/>
      <w:r>
        <w:t>Conditions du marché</w:t>
      </w:r>
      <w:bookmarkEnd w:id="17"/>
    </w:p>
    <w:p w14:paraId="7F415250" w14:textId="53E62153" w:rsidR="005D76AA" w:rsidRDefault="005D76AA" w:rsidP="00B1165B">
      <w:pPr>
        <w:pStyle w:val="Titre3"/>
        <w:numPr>
          <w:ilvl w:val="0"/>
          <w:numId w:val="16"/>
        </w:numPr>
      </w:pPr>
      <w:bookmarkStart w:id="18" w:name="_Toc205545642"/>
      <w:r>
        <w:t>Étendue de la consultation et mode du marché</w:t>
      </w:r>
      <w:bookmarkEnd w:id="18"/>
    </w:p>
    <w:p w14:paraId="773C5386" w14:textId="52C5F28E" w:rsidR="005D76AA" w:rsidRDefault="00A75CB5" w:rsidP="001123CB">
      <w:pPr>
        <w:ind w:firstLine="420"/>
        <w:jc w:val="both"/>
      </w:pPr>
      <w:r>
        <w:t>Le présent marché est passés selon une procédure formalisée par un appel d’offre ouvert (</w:t>
      </w:r>
      <w:r w:rsidR="003D002D" w:rsidRPr="003D002D">
        <w:t>L.2124 2, R.2124-2- 1° et des articles R.2161-2 à R.2161-5 du code de la commande publique</w:t>
      </w:r>
      <w:r>
        <w:t>).</w:t>
      </w:r>
    </w:p>
    <w:p w14:paraId="605D2F84" w14:textId="1C1D9F54" w:rsidR="005D76AA" w:rsidRPr="00FE3D85" w:rsidRDefault="005D76AA" w:rsidP="00B1165B">
      <w:pPr>
        <w:pStyle w:val="Titre3"/>
        <w:numPr>
          <w:ilvl w:val="0"/>
          <w:numId w:val="16"/>
        </w:numPr>
      </w:pPr>
      <w:bookmarkStart w:id="19" w:name="_Toc205545643"/>
      <w:r w:rsidRPr="00FE3D85">
        <w:lastRenderedPageBreak/>
        <w:t>Compléments</w:t>
      </w:r>
      <w:bookmarkEnd w:id="19"/>
      <w:r w:rsidRPr="00FE3D85">
        <w:t xml:space="preserve"> </w:t>
      </w:r>
    </w:p>
    <w:p w14:paraId="587FEB1A" w14:textId="228DD9C6" w:rsidR="005D76AA" w:rsidRDefault="005D76AA" w:rsidP="001123CB">
      <w:pPr>
        <w:ind w:firstLine="420"/>
        <w:jc w:val="both"/>
      </w:pPr>
      <w:r>
        <w:t>Le candidat n'a pas à apporter de modifications ni de compléments a</w:t>
      </w:r>
      <w:r w:rsidR="00A75CB5">
        <w:t>ux CCAP et CCTP</w:t>
      </w:r>
      <w:r w:rsidR="00812209">
        <w:t xml:space="preserve"> </w:t>
      </w:r>
      <w:r>
        <w:t>sauf dispositions contraires.</w:t>
      </w:r>
    </w:p>
    <w:p w14:paraId="3E6B197D" w14:textId="4E4DA56A" w:rsidR="005D76AA" w:rsidRDefault="005D76AA" w:rsidP="00B1165B">
      <w:pPr>
        <w:pStyle w:val="Titre3"/>
        <w:numPr>
          <w:ilvl w:val="0"/>
          <w:numId w:val="16"/>
        </w:numPr>
      </w:pPr>
      <w:bookmarkStart w:id="20" w:name="_Toc205545644"/>
      <w:r>
        <w:t>Variantes</w:t>
      </w:r>
      <w:bookmarkEnd w:id="20"/>
    </w:p>
    <w:p w14:paraId="59F5E274" w14:textId="79EA2F42" w:rsidR="005D76AA" w:rsidRDefault="005D76AA" w:rsidP="00B1165B">
      <w:r>
        <w:t>Les variantes à l'initiative du candidat ne sont pas autorisées.</w:t>
      </w:r>
    </w:p>
    <w:p w14:paraId="27AF99D2" w14:textId="79DD0050" w:rsidR="009356E4" w:rsidRDefault="009356E4" w:rsidP="009356E4">
      <w:pPr>
        <w:pStyle w:val="Titre3"/>
        <w:numPr>
          <w:ilvl w:val="0"/>
          <w:numId w:val="16"/>
        </w:numPr>
      </w:pPr>
      <w:bookmarkStart w:id="21" w:name="_Toc205545645"/>
      <w:r>
        <w:t>Visite sur site</w:t>
      </w:r>
      <w:bookmarkEnd w:id="21"/>
    </w:p>
    <w:p w14:paraId="7F693504" w14:textId="28598D57" w:rsidR="009356E4" w:rsidRDefault="009356E4" w:rsidP="001123CB">
      <w:pPr>
        <w:ind w:firstLine="420"/>
      </w:pPr>
      <w:r>
        <w:t xml:space="preserve">Afin de prendre en compte les particularités </w:t>
      </w:r>
      <w:r w:rsidR="001123CB">
        <w:t>et proposer un contenant et une fréquence de passage adaptée à chaque site</w:t>
      </w:r>
      <w:r>
        <w:t>, les candidats doivent obligatoirement visite</w:t>
      </w:r>
      <w:r w:rsidR="001123CB">
        <w:t>r</w:t>
      </w:r>
      <w:r>
        <w:t xml:space="preserve"> les sites identifiés </w:t>
      </w:r>
      <w:r w:rsidR="00CA5957">
        <w:t xml:space="preserve">à l’article I.4. </w:t>
      </w:r>
      <w:proofErr w:type="gramStart"/>
      <w:r w:rsidR="00CA5957">
        <w:t>du</w:t>
      </w:r>
      <w:proofErr w:type="gramEnd"/>
      <w:r w:rsidR="00CA5957">
        <w:t xml:space="preserve"> CCAP.</w:t>
      </w:r>
    </w:p>
    <w:p w14:paraId="23760596" w14:textId="38418F65" w:rsidR="009356E4" w:rsidRDefault="009356E4" w:rsidP="009356E4">
      <w:r>
        <w:t>Pour procéder à cette visite, les candidats doivent contacter les agents référencés pour chaque site pour convenir d’un rendez-vous.</w:t>
      </w:r>
    </w:p>
    <w:p w14:paraId="3E1A93A7" w14:textId="62CADFA9" w:rsidR="009356E4" w:rsidRPr="009356E4" w:rsidRDefault="00CA5957" w:rsidP="009356E4">
      <w:pPr>
        <w:rPr>
          <w:b/>
          <w:bCs/>
        </w:rPr>
      </w:pPr>
      <w:r>
        <w:t>À</w:t>
      </w:r>
      <w:r w:rsidR="009356E4">
        <w:t xml:space="preserve"> l’issu</w:t>
      </w:r>
      <w:r w:rsidR="004526DC">
        <w:t>e</w:t>
      </w:r>
      <w:r w:rsidR="009356E4">
        <w:t xml:space="preserve"> de la visite, les candidats doivent faire signer l’attestation de visite jointe en </w:t>
      </w:r>
      <w:r w:rsidR="009356E4" w:rsidRPr="00CA5957">
        <w:t xml:space="preserve">annexe </w:t>
      </w:r>
      <w:r w:rsidRPr="00CA5957">
        <w:t>3</w:t>
      </w:r>
      <w:r w:rsidR="009356E4" w:rsidRPr="00CA5957">
        <w:t> : Attestation de visite</w:t>
      </w:r>
      <w:r w:rsidR="009356E4">
        <w:t xml:space="preserve">. </w:t>
      </w:r>
      <w:r w:rsidR="009356E4" w:rsidRPr="009356E4">
        <w:rPr>
          <w:b/>
          <w:bCs/>
        </w:rPr>
        <w:t xml:space="preserve">L’attestation est signée par </w:t>
      </w:r>
      <w:r w:rsidR="004526DC">
        <w:rPr>
          <w:b/>
          <w:bCs/>
        </w:rPr>
        <w:t>le</w:t>
      </w:r>
      <w:r w:rsidR="009356E4" w:rsidRPr="009356E4">
        <w:rPr>
          <w:b/>
          <w:bCs/>
        </w:rPr>
        <w:t xml:space="preserve"> responsable de site et remise au candidat. Les candidats doivent joindre les attestations de visite des sites dans leur réponse à la consultation.</w:t>
      </w:r>
    </w:p>
    <w:p w14:paraId="749B2EF1" w14:textId="6FF63886" w:rsidR="009356E4" w:rsidRPr="009356E4" w:rsidRDefault="009356E4" w:rsidP="009356E4">
      <w:pPr>
        <w:rPr>
          <w:b/>
          <w:bCs/>
        </w:rPr>
      </w:pPr>
      <w:r w:rsidRPr="009356E4">
        <w:rPr>
          <w:b/>
          <w:bCs/>
        </w:rPr>
        <w:t>L’offre d’un candidat n’ayant pas procédé à la visite préalable obligatoire d’un site sera éliminée pour le ou les lots concernés.</w:t>
      </w:r>
    </w:p>
    <w:p w14:paraId="18A6F551" w14:textId="2552356F" w:rsidR="005D76AA" w:rsidRDefault="005D76AA" w:rsidP="00B1165B">
      <w:pPr>
        <w:pStyle w:val="Titre3"/>
        <w:numPr>
          <w:ilvl w:val="0"/>
          <w:numId w:val="16"/>
        </w:numPr>
      </w:pPr>
      <w:bookmarkStart w:id="22" w:name="_Toc205545646"/>
      <w:r>
        <w:t>Forme juridique de l'attributaire du marché</w:t>
      </w:r>
      <w:bookmarkEnd w:id="22"/>
    </w:p>
    <w:p w14:paraId="33AEBA99" w14:textId="00BAA0DD" w:rsidR="005D76AA" w:rsidRDefault="005D76AA" w:rsidP="00BE2A0C">
      <w:pPr>
        <w:ind w:firstLine="420"/>
        <w:jc w:val="both"/>
      </w:pPr>
      <w:r>
        <w:t>Le marché sera attribué à une entreprise unique ou à un groupement d'opérateurs économiques.</w:t>
      </w:r>
      <w:r w:rsidR="00812209">
        <w:t xml:space="preserve"> </w:t>
      </w:r>
      <w:r>
        <w:t>En cas de groupement, le mandataire sera solidaire de chacun des membres du groupement.</w:t>
      </w:r>
    </w:p>
    <w:p w14:paraId="51394BF0" w14:textId="3AB936B5" w:rsidR="005D76AA" w:rsidRDefault="005D76AA" w:rsidP="00B1165B">
      <w:pPr>
        <w:pStyle w:val="Titre3"/>
        <w:numPr>
          <w:ilvl w:val="0"/>
          <w:numId w:val="16"/>
        </w:numPr>
      </w:pPr>
      <w:bookmarkStart w:id="23" w:name="_Toc205545647"/>
      <w:r>
        <w:t xml:space="preserve">Délai </w:t>
      </w:r>
      <w:r w:rsidR="00A75CB5">
        <w:t>d’exécution</w:t>
      </w:r>
      <w:bookmarkEnd w:id="23"/>
    </w:p>
    <w:p w14:paraId="406482A6" w14:textId="09085072" w:rsidR="005D76AA" w:rsidRDefault="005D76AA" w:rsidP="00BE2A0C">
      <w:pPr>
        <w:ind w:firstLine="420"/>
        <w:jc w:val="both"/>
      </w:pPr>
      <w:r>
        <w:t>Le délai d</w:t>
      </w:r>
      <w:r w:rsidR="00A75CB5">
        <w:t xml:space="preserve">’exécution </w:t>
      </w:r>
      <w:r>
        <w:t xml:space="preserve">est fixé dans l'acte d'engagement et ne pourra pas excéder </w:t>
      </w:r>
      <w:r w:rsidR="00812209">
        <w:t>60 jours</w:t>
      </w:r>
      <w:r>
        <w:t xml:space="preserve"> </w:t>
      </w:r>
      <w:r w:rsidR="00812209">
        <w:t>ouvrés</w:t>
      </w:r>
      <w:r>
        <w:t xml:space="preserve"> à compter de la notification du marché.</w:t>
      </w:r>
    </w:p>
    <w:p w14:paraId="6AF4F2A5" w14:textId="408D6773" w:rsidR="005D76AA" w:rsidRDefault="005D76AA" w:rsidP="00B1165B">
      <w:pPr>
        <w:pStyle w:val="Titre3"/>
        <w:numPr>
          <w:ilvl w:val="0"/>
          <w:numId w:val="16"/>
        </w:numPr>
      </w:pPr>
      <w:bookmarkStart w:id="24" w:name="_Toc205545648"/>
      <w:r>
        <w:t>Modification de détail au dossier de consultation</w:t>
      </w:r>
      <w:bookmarkEnd w:id="24"/>
    </w:p>
    <w:p w14:paraId="6B824942" w14:textId="44522A85" w:rsidR="005D76AA" w:rsidRDefault="005D76AA" w:rsidP="00BE2A0C">
      <w:pPr>
        <w:ind w:firstLine="420"/>
        <w:jc w:val="both"/>
      </w:pPr>
      <w:r>
        <w:t xml:space="preserve">Le pouvoir adjudicateur se réserve le droit d'apporter au plus tard 6 jours avant la date limite fixée pour la réception des offres, des modifications de détail au dossier de consultation. Les candidats devront alors répondre sur la base du dossier modifié sans pouvoir </w:t>
      </w:r>
      <w:r w:rsidR="00496096">
        <w:t xml:space="preserve">former de </w:t>
      </w:r>
      <w:r>
        <w:t>réclamation à ce sujet.</w:t>
      </w:r>
    </w:p>
    <w:p w14:paraId="00416403" w14:textId="74EBADD1" w:rsidR="005D76AA" w:rsidRDefault="005D76AA" w:rsidP="00B1165B">
      <w:pPr>
        <w:pStyle w:val="Titre3"/>
        <w:numPr>
          <w:ilvl w:val="0"/>
          <w:numId w:val="16"/>
        </w:numPr>
      </w:pPr>
      <w:bookmarkStart w:id="25" w:name="_Toc205545649"/>
      <w:r>
        <w:t>Délai de validité des offres</w:t>
      </w:r>
      <w:bookmarkEnd w:id="25"/>
    </w:p>
    <w:p w14:paraId="67A68474" w14:textId="2680826D" w:rsidR="005D76AA" w:rsidRDefault="005D76AA" w:rsidP="00496096">
      <w:pPr>
        <w:jc w:val="both"/>
      </w:pPr>
      <w:r>
        <w:t xml:space="preserve">Le délai de validité des offres est fixé à </w:t>
      </w:r>
      <w:r w:rsidR="008B58EA">
        <w:t>cent vingt</w:t>
      </w:r>
      <w:r>
        <w:t xml:space="preserve"> (</w:t>
      </w:r>
      <w:r w:rsidR="008B58EA">
        <w:t>120</w:t>
      </w:r>
      <w:r>
        <w:t>) jours à compter de la date limite de remise des offres.</w:t>
      </w:r>
    </w:p>
    <w:p w14:paraId="7A344D46" w14:textId="77777777" w:rsidR="005D76AA" w:rsidRDefault="005D76AA" w:rsidP="00B1165B"/>
    <w:p w14:paraId="43857DAD" w14:textId="073BF932" w:rsidR="005D76AA" w:rsidRDefault="005D76AA" w:rsidP="00B1165B">
      <w:pPr>
        <w:pStyle w:val="Titre2"/>
      </w:pPr>
      <w:r>
        <w:lastRenderedPageBreak/>
        <w:t xml:space="preserve"> </w:t>
      </w:r>
      <w:bookmarkStart w:id="26" w:name="_Toc205545650"/>
      <w:r w:rsidR="00470E90">
        <w:t>Présentation des offres</w:t>
      </w:r>
      <w:bookmarkEnd w:id="26"/>
      <w:r w:rsidR="00470E90">
        <w:t xml:space="preserve"> </w:t>
      </w:r>
    </w:p>
    <w:p w14:paraId="0CF00DAA" w14:textId="14EFECD1" w:rsidR="005D76AA" w:rsidRDefault="005D76AA" w:rsidP="00BE2A0C">
      <w:pPr>
        <w:ind w:firstLine="360"/>
        <w:jc w:val="both"/>
      </w:pPr>
      <w:r>
        <w:t>Les soumissionnaires doivent répondre obligatoirement par voie électronique à la présente consultation. Leur offre électronique sera constituée des éléments suivants :</w:t>
      </w:r>
    </w:p>
    <w:p w14:paraId="7048F9B6" w14:textId="24B78908" w:rsidR="005D76AA" w:rsidRDefault="005D76AA" w:rsidP="00B1165B">
      <w:pPr>
        <w:pStyle w:val="Titre3"/>
        <w:numPr>
          <w:ilvl w:val="0"/>
          <w:numId w:val="17"/>
        </w:numPr>
      </w:pPr>
      <w:bookmarkStart w:id="27" w:name="_Toc205545651"/>
      <w:r>
        <w:t>Pièces de la candidature</w:t>
      </w:r>
      <w:r w:rsidR="00986050">
        <w:t xml:space="preserve"> et de l’offre</w:t>
      </w:r>
      <w:bookmarkEnd w:id="27"/>
    </w:p>
    <w:p w14:paraId="3AA0BBD8" w14:textId="13375086" w:rsidR="005D76AA" w:rsidRDefault="005D76AA" w:rsidP="00496096">
      <w:pPr>
        <w:jc w:val="both"/>
      </w:pPr>
      <w:r>
        <w:t>Les documents suivants justifi</w:t>
      </w:r>
      <w:r w:rsidR="00496096">
        <w:t>e</w:t>
      </w:r>
      <w:r>
        <w:t>nt de la capacité du candidat à concourir :</w:t>
      </w:r>
    </w:p>
    <w:p w14:paraId="435329B5" w14:textId="7DF19B22" w:rsidR="005D76AA" w:rsidRPr="0018268F" w:rsidRDefault="005D76AA" w:rsidP="00986050">
      <w:pPr>
        <w:pStyle w:val="Paragraphedeliste"/>
        <w:numPr>
          <w:ilvl w:val="0"/>
          <w:numId w:val="31"/>
        </w:numPr>
        <w:jc w:val="both"/>
        <w:rPr>
          <w:b/>
          <w:bCs/>
        </w:rPr>
      </w:pPr>
      <w:r w:rsidRPr="0018268F">
        <w:rPr>
          <w:b/>
          <w:bCs/>
        </w:rPr>
        <w:t>Lettre de candidature (DC1) ou Document Unique de Marché Européen (DUME)</w:t>
      </w:r>
    </w:p>
    <w:p w14:paraId="6873CF3B" w14:textId="10FE7C60" w:rsidR="005D76AA" w:rsidRDefault="005D76AA" w:rsidP="00986050">
      <w:pPr>
        <w:pStyle w:val="Paragraphedeliste"/>
        <w:numPr>
          <w:ilvl w:val="0"/>
          <w:numId w:val="31"/>
        </w:numPr>
        <w:jc w:val="both"/>
        <w:rPr>
          <w:b/>
          <w:bCs/>
        </w:rPr>
      </w:pPr>
      <w:r w:rsidRPr="0018268F">
        <w:rPr>
          <w:b/>
          <w:bCs/>
        </w:rPr>
        <w:t>Déclaration du candidat (DC2)</w:t>
      </w:r>
    </w:p>
    <w:p w14:paraId="5CFE2EEA" w14:textId="7AF353BF" w:rsidR="00CA5957" w:rsidRDefault="00CA5957" w:rsidP="00986050">
      <w:pPr>
        <w:pStyle w:val="Paragraphedeliste"/>
        <w:numPr>
          <w:ilvl w:val="0"/>
          <w:numId w:val="31"/>
        </w:numPr>
        <w:jc w:val="both"/>
        <w:rPr>
          <w:b/>
          <w:bCs/>
        </w:rPr>
      </w:pPr>
      <w:proofErr w:type="gramStart"/>
      <w:r w:rsidRPr="00CA5957">
        <w:rPr>
          <w:b/>
          <w:bCs/>
        </w:rPr>
        <w:t>en</w:t>
      </w:r>
      <w:proofErr w:type="gramEnd"/>
      <w:r w:rsidRPr="00CA5957">
        <w:rPr>
          <w:b/>
          <w:bCs/>
        </w:rPr>
        <w:t xml:space="preserve"> cas de présentation d’un sous-traitant dans le dossier de candidature, une déclaration de sous-traitance (prestations sous-traitées égales ou supérieures à 600 euros T.T.C.) via le formulaire DC4 ou équivalent</w:t>
      </w:r>
    </w:p>
    <w:p w14:paraId="0DD20BC5" w14:textId="4AE4EA40" w:rsidR="00CA5957" w:rsidRPr="0018268F" w:rsidRDefault="00CA5957" w:rsidP="00986050">
      <w:pPr>
        <w:pStyle w:val="Paragraphedeliste"/>
        <w:numPr>
          <w:ilvl w:val="0"/>
          <w:numId w:val="31"/>
        </w:numPr>
        <w:jc w:val="both"/>
        <w:rPr>
          <w:b/>
          <w:bCs/>
        </w:rPr>
      </w:pPr>
      <w:proofErr w:type="gramStart"/>
      <w:r w:rsidRPr="00CA5957">
        <w:rPr>
          <w:b/>
          <w:bCs/>
        </w:rPr>
        <w:t>en</w:t>
      </w:r>
      <w:proofErr w:type="gramEnd"/>
      <w:r w:rsidRPr="00CA5957">
        <w:rPr>
          <w:b/>
          <w:bCs/>
        </w:rPr>
        <w:t xml:space="preserve"> cas de candidature présentée par une entreprise en situation de redressement judiciaire : la copie du jugement prononcé</w:t>
      </w:r>
    </w:p>
    <w:p w14:paraId="3DE1F967" w14:textId="5461167A" w:rsidR="005D76AA" w:rsidRPr="0018268F" w:rsidRDefault="0018268F" w:rsidP="00986050">
      <w:pPr>
        <w:pStyle w:val="Paragraphedeliste"/>
        <w:numPr>
          <w:ilvl w:val="0"/>
          <w:numId w:val="31"/>
        </w:numPr>
        <w:jc w:val="both"/>
        <w:rPr>
          <w:b/>
          <w:bCs/>
        </w:rPr>
      </w:pPr>
      <w:r w:rsidRPr="0018268F">
        <w:rPr>
          <w:b/>
          <w:bCs/>
        </w:rPr>
        <w:t>Chiffre d’affaires : d</w:t>
      </w:r>
      <w:r w:rsidR="005D76AA" w:rsidRPr="0018268F">
        <w:rPr>
          <w:b/>
          <w:bCs/>
        </w:rPr>
        <w:t>éclaration concernant le chiffre d'affaires global et le chiffre d'affaires concernant les fournitures similaires, réalisés au cours des trois derniers exercices</w:t>
      </w:r>
    </w:p>
    <w:p w14:paraId="1CB65A77" w14:textId="15F7C2F1" w:rsidR="0018268F" w:rsidRPr="0018268F" w:rsidRDefault="0018268F" w:rsidP="00986050">
      <w:pPr>
        <w:pStyle w:val="Paragraphedeliste"/>
        <w:numPr>
          <w:ilvl w:val="0"/>
          <w:numId w:val="31"/>
        </w:numPr>
        <w:jc w:val="both"/>
        <w:rPr>
          <w:b/>
          <w:bCs/>
        </w:rPr>
      </w:pPr>
      <w:r w:rsidRPr="0018268F">
        <w:rPr>
          <w:b/>
          <w:bCs/>
        </w:rPr>
        <w:t>Moyens humains : Déclaration indiquant les effectifs moyens annuels du candidat des trois dernières années</w:t>
      </w:r>
    </w:p>
    <w:p w14:paraId="47EBB55B" w14:textId="26233417" w:rsidR="005D76AA" w:rsidRPr="0018268F" w:rsidRDefault="0018268F" w:rsidP="00986050">
      <w:pPr>
        <w:pStyle w:val="Paragraphedeliste"/>
        <w:numPr>
          <w:ilvl w:val="0"/>
          <w:numId w:val="31"/>
        </w:numPr>
        <w:jc w:val="both"/>
        <w:rPr>
          <w:b/>
          <w:bCs/>
        </w:rPr>
      </w:pPr>
      <w:r w:rsidRPr="0018268F">
        <w:rPr>
          <w:b/>
          <w:bCs/>
        </w:rPr>
        <w:t>Moyens techniques : d</w:t>
      </w:r>
      <w:r w:rsidR="005D76AA" w:rsidRPr="0018268F">
        <w:rPr>
          <w:b/>
          <w:bCs/>
        </w:rPr>
        <w:t>éclaration indiquant l'outillage, le matériel et l'équipement technique dont le candidat dispose</w:t>
      </w:r>
    </w:p>
    <w:p w14:paraId="37C61740" w14:textId="0F43505C" w:rsidR="0018268F" w:rsidRDefault="005D76AA" w:rsidP="00986050">
      <w:pPr>
        <w:pStyle w:val="Paragraphedeliste"/>
        <w:numPr>
          <w:ilvl w:val="0"/>
          <w:numId w:val="31"/>
        </w:numPr>
        <w:jc w:val="both"/>
        <w:rPr>
          <w:b/>
          <w:bCs/>
        </w:rPr>
      </w:pPr>
      <w:r w:rsidRPr="0018268F">
        <w:rPr>
          <w:b/>
          <w:bCs/>
        </w:rPr>
        <w:t>Attestations d'assurance en cours de validité</w:t>
      </w:r>
    </w:p>
    <w:p w14:paraId="4F37F78B" w14:textId="32DC2506" w:rsidR="00CA5957" w:rsidRDefault="00CA5957" w:rsidP="00986050">
      <w:pPr>
        <w:pStyle w:val="Paragraphedeliste"/>
        <w:numPr>
          <w:ilvl w:val="0"/>
          <w:numId w:val="31"/>
        </w:numPr>
        <w:jc w:val="both"/>
        <w:rPr>
          <w:b/>
          <w:bCs/>
        </w:rPr>
      </w:pPr>
      <w:proofErr w:type="gramStart"/>
      <w:r w:rsidRPr="00CA5957">
        <w:rPr>
          <w:b/>
          <w:bCs/>
        </w:rPr>
        <w:t>la</w:t>
      </w:r>
      <w:proofErr w:type="gramEnd"/>
      <w:r w:rsidRPr="00CA5957">
        <w:rPr>
          <w:b/>
          <w:bCs/>
        </w:rPr>
        <w:t xml:space="preserve"> copie des derniers certificats </w:t>
      </w:r>
      <w:r w:rsidRPr="00CA5957">
        <w:rPr>
          <w:b/>
          <w:bCs/>
          <w:u w:val="single"/>
        </w:rPr>
        <w:t>fiscaux</w:t>
      </w:r>
      <w:r w:rsidRPr="00CA5957">
        <w:rPr>
          <w:b/>
          <w:bCs/>
        </w:rPr>
        <w:t xml:space="preserve"> et </w:t>
      </w:r>
      <w:r w:rsidRPr="00CA5957">
        <w:rPr>
          <w:b/>
          <w:bCs/>
          <w:u w:val="single"/>
        </w:rPr>
        <w:t>sociaux</w:t>
      </w:r>
      <w:r w:rsidRPr="00CA5957">
        <w:rPr>
          <w:b/>
          <w:bCs/>
        </w:rPr>
        <w:t xml:space="preserve"> disponibles.</w:t>
      </w:r>
    </w:p>
    <w:p w14:paraId="2F862463" w14:textId="5C635C2A" w:rsidR="00986050" w:rsidRPr="00986050" w:rsidRDefault="00986050" w:rsidP="00986050">
      <w:pPr>
        <w:jc w:val="both"/>
      </w:pPr>
      <w:r w:rsidRPr="00986050">
        <w:t>Dans un souci de traitement rapide du dossier, et sans que leur absence puisse justifier le rejet de l’offre, les soumissionnaires sont informés que l’acheteur souhaite la production des éléments ci-après :</w:t>
      </w:r>
    </w:p>
    <w:p w14:paraId="6516F05E" w14:textId="3E46BD87" w:rsidR="00986050" w:rsidRDefault="00986050" w:rsidP="00986050">
      <w:pPr>
        <w:pStyle w:val="Paragraphedeliste"/>
        <w:numPr>
          <w:ilvl w:val="0"/>
          <w:numId w:val="31"/>
        </w:numPr>
        <w:jc w:val="both"/>
        <w:rPr>
          <w:b/>
          <w:bCs/>
        </w:rPr>
      </w:pPr>
      <w:r>
        <w:rPr>
          <w:b/>
          <w:bCs/>
        </w:rPr>
        <w:t>Attestation d’assurance en cours de validité</w:t>
      </w:r>
    </w:p>
    <w:p w14:paraId="139415E9" w14:textId="42E41CD3" w:rsidR="00986050" w:rsidRPr="00986050" w:rsidRDefault="00986050" w:rsidP="00986050">
      <w:pPr>
        <w:pStyle w:val="Paragraphedeliste"/>
        <w:numPr>
          <w:ilvl w:val="0"/>
          <w:numId w:val="31"/>
        </w:numPr>
        <w:jc w:val="both"/>
        <w:rPr>
          <w:b/>
          <w:bCs/>
        </w:rPr>
      </w:pPr>
      <w:r>
        <w:rPr>
          <w:b/>
          <w:bCs/>
        </w:rPr>
        <w:t>Extrait KBIS</w:t>
      </w:r>
    </w:p>
    <w:p w14:paraId="0F206B83" w14:textId="40AC35CF" w:rsidR="00986050" w:rsidRPr="00A114ED" w:rsidRDefault="00986050" w:rsidP="00496096">
      <w:pPr>
        <w:pStyle w:val="Paragraphedeliste"/>
        <w:numPr>
          <w:ilvl w:val="0"/>
          <w:numId w:val="31"/>
        </w:numPr>
        <w:jc w:val="both"/>
        <w:rPr>
          <w:b/>
          <w:bCs/>
        </w:rPr>
      </w:pPr>
      <w:r>
        <w:rPr>
          <w:b/>
          <w:bCs/>
        </w:rPr>
        <w:t>RIB</w:t>
      </w:r>
    </w:p>
    <w:p w14:paraId="2B2DFD77" w14:textId="484D1394" w:rsidR="005D76AA" w:rsidRDefault="00986050" w:rsidP="00496096">
      <w:pPr>
        <w:jc w:val="both"/>
      </w:pPr>
      <w:r>
        <w:t xml:space="preserve">Le candidat devra fournir une offre </w:t>
      </w:r>
      <w:r w:rsidR="005D76AA">
        <w:t>comprenant :</w:t>
      </w:r>
    </w:p>
    <w:p w14:paraId="1E618770" w14:textId="7DB10A21" w:rsidR="005D76AA" w:rsidRPr="00986050" w:rsidRDefault="005D76AA" w:rsidP="00986050">
      <w:pPr>
        <w:pStyle w:val="Paragraphedeliste"/>
        <w:numPr>
          <w:ilvl w:val="0"/>
          <w:numId w:val="31"/>
        </w:numPr>
        <w:jc w:val="both"/>
        <w:rPr>
          <w:b/>
          <w:bCs/>
        </w:rPr>
      </w:pPr>
      <w:r w:rsidRPr="00986050">
        <w:rPr>
          <w:b/>
          <w:bCs/>
        </w:rPr>
        <w:t>L'acte d'engagement (AE) dûment complété et signé</w:t>
      </w:r>
    </w:p>
    <w:p w14:paraId="1B296DBB" w14:textId="2625E135" w:rsidR="00986050" w:rsidRPr="00986050" w:rsidRDefault="00986050" w:rsidP="00986050">
      <w:pPr>
        <w:pStyle w:val="Paragraphedeliste"/>
        <w:numPr>
          <w:ilvl w:val="0"/>
          <w:numId w:val="31"/>
        </w:numPr>
        <w:jc w:val="both"/>
        <w:rPr>
          <w:b/>
          <w:bCs/>
        </w:rPr>
      </w:pPr>
      <w:r w:rsidRPr="00986050">
        <w:rPr>
          <w:b/>
          <w:bCs/>
        </w:rPr>
        <w:t>LE BPU dûment complété</w:t>
      </w:r>
    </w:p>
    <w:p w14:paraId="6E51DE07" w14:textId="35CF2BF8" w:rsidR="00A75CB5" w:rsidRDefault="005D76AA" w:rsidP="00986050">
      <w:pPr>
        <w:pStyle w:val="Paragraphedeliste"/>
        <w:numPr>
          <w:ilvl w:val="0"/>
          <w:numId w:val="31"/>
        </w:numPr>
        <w:jc w:val="both"/>
        <w:rPr>
          <w:b/>
          <w:bCs/>
        </w:rPr>
      </w:pPr>
      <w:r w:rsidRPr="00986050">
        <w:rPr>
          <w:b/>
          <w:bCs/>
        </w:rPr>
        <w:t xml:space="preserve">Un mémoire technique détaillé </w:t>
      </w:r>
      <w:r w:rsidR="00986050" w:rsidRPr="00986050">
        <w:rPr>
          <w:b/>
          <w:bCs/>
        </w:rPr>
        <w:t>présentant tous les descriptifs et indications attendus conformément au CCAP, CCTP et RC, ainsi que tous les justificatifs permettant d’apprécier les caractérisés techniques. Il pourra être complété par tous documents que le soumissionnaire jugera nécessaires.</w:t>
      </w:r>
    </w:p>
    <w:p w14:paraId="2799B567" w14:textId="77777777" w:rsidR="004412DF" w:rsidRDefault="00A114ED" w:rsidP="00A114ED">
      <w:pPr>
        <w:jc w:val="both"/>
      </w:pPr>
      <w:r w:rsidRPr="00A114ED">
        <w:t xml:space="preserve">À l’appui de sa candidature, le candidat pourra, à la place du DC1 et DC2, produire le </w:t>
      </w:r>
      <w:r w:rsidRPr="00A114ED">
        <w:rPr>
          <w:b/>
          <w:bCs/>
        </w:rPr>
        <w:t>Document unique de marché européen (DUME)</w:t>
      </w:r>
      <w:r w:rsidRPr="00A114ED">
        <w:t xml:space="preserve">. Le document unique de marché européen (DUME) est une déclaration sur l'honneur des opérateurs économiques servant de preuve a priori en lieu et place des certificats délivrés par des autorités publiques ou des tiers. </w:t>
      </w:r>
    </w:p>
    <w:p w14:paraId="318328CD" w14:textId="2CDFFA7F" w:rsidR="00A114ED" w:rsidRDefault="00A114ED" w:rsidP="00A114ED">
      <w:pPr>
        <w:jc w:val="both"/>
      </w:pPr>
      <w:r w:rsidRPr="00A114ED">
        <w:t xml:space="preserve">Le DUME consiste en une déclaration officielle par laquelle l'opérateur économique affirme que les motifs d'exclusion concernés ne s'appliquent pas à lui, que les critères de sélection </w:t>
      </w:r>
      <w:r w:rsidRPr="00A114ED">
        <w:lastRenderedPageBreak/>
        <w:t xml:space="preserve">concernés sont remplis et qu'il fournira les informations pertinentes requises par le pouvoir adjudicateur ou l'entité adjudicatrice. Un opérateur économique qui participe à titre individuel, mais qui recourt aux capacités d'une ou de plusieurs autres entités, doit veiller à ce que le pouvoir adjudicateur ou l'entité adjudicatrice reçoive à la fois son DUME et un DUME distinct contenant les informations pertinentes pour chacune des entités auxquelles il fait appel. </w:t>
      </w:r>
    </w:p>
    <w:p w14:paraId="7CDC4617" w14:textId="03E72723" w:rsidR="00A114ED" w:rsidRDefault="00A114ED" w:rsidP="00A114ED">
      <w:pPr>
        <w:jc w:val="both"/>
      </w:pPr>
      <w:r w:rsidRPr="00A114ED">
        <w:t xml:space="preserve">Le Document Unique de Marché Européen est soit accessible directement sur le profil d’acheteur soit accessible via le Service DUME : </w:t>
      </w:r>
      <w:hyperlink r:id="rId8" w:history="1">
        <w:r w:rsidRPr="004713F7">
          <w:rPr>
            <w:rStyle w:val="Lienhypertexte"/>
          </w:rPr>
          <w:t>https://dume.chorus-pro.gouv.fr/#/accueil</w:t>
        </w:r>
      </w:hyperlink>
      <w:r>
        <w:t>.</w:t>
      </w:r>
      <w:r w:rsidRPr="00A114ED">
        <w:t xml:space="preserve"> </w:t>
      </w:r>
    </w:p>
    <w:p w14:paraId="726651B1" w14:textId="64519B7C" w:rsidR="00A114ED" w:rsidRPr="00A114ED" w:rsidRDefault="00A114ED" w:rsidP="00A114ED">
      <w:pPr>
        <w:jc w:val="both"/>
      </w:pPr>
      <w:r w:rsidRPr="00A114ED">
        <w:t xml:space="preserve">Une documentation complète pour l’utilisation ou l’implémentation du « Service DUME » sur un profil d’acheteur est mise à disposition sur le site : </w:t>
      </w:r>
      <w:hyperlink r:id="rId9" w:history="1">
        <w:r w:rsidRPr="00A114ED">
          <w:rPr>
            <w:rStyle w:val="Lienhypertexte"/>
          </w:rPr>
          <w:t>https://communaute.chorus-pro.gouv.fr/</w:t>
        </w:r>
      </w:hyperlink>
      <w:r w:rsidRPr="00A114ED">
        <w:t xml:space="preserve">. </w:t>
      </w:r>
    </w:p>
    <w:p w14:paraId="01B0E748" w14:textId="77777777" w:rsidR="005D76AA" w:rsidRDefault="005D76AA" w:rsidP="00B1165B"/>
    <w:p w14:paraId="7AA56BB3" w14:textId="4C821B0A" w:rsidR="005D76AA" w:rsidRDefault="00470E90" w:rsidP="00B1165B">
      <w:pPr>
        <w:pStyle w:val="Titre2"/>
      </w:pPr>
      <w:bookmarkStart w:id="28" w:name="_Toc205545652"/>
      <w:r>
        <w:t>Jugement des offres</w:t>
      </w:r>
      <w:bookmarkEnd w:id="28"/>
    </w:p>
    <w:p w14:paraId="006805A8" w14:textId="726DEE14" w:rsidR="00812209" w:rsidRDefault="005D76AA" w:rsidP="00BE2A0C">
      <w:pPr>
        <w:ind w:firstLine="360"/>
        <w:jc w:val="both"/>
      </w:pPr>
      <w:r>
        <w:t xml:space="preserve">Ce jugement sera effectué dans les conditions prévues aux articles L2152-7 et R2152-1 et suivants du Code de la </w:t>
      </w:r>
      <w:r w:rsidR="00812209">
        <w:t>c</w:t>
      </w:r>
      <w:r>
        <w:t>ommande publique.</w:t>
      </w:r>
    </w:p>
    <w:p w14:paraId="7E535A31" w14:textId="77777777" w:rsidR="00496096" w:rsidRDefault="00496096" w:rsidP="00496096">
      <w:pPr>
        <w:spacing w:after="0"/>
        <w:jc w:val="both"/>
      </w:pPr>
    </w:p>
    <w:p w14:paraId="2E55B065" w14:textId="6590E772" w:rsidR="005D76AA" w:rsidRDefault="005D76AA" w:rsidP="00A75CB5">
      <w:pPr>
        <w:jc w:val="both"/>
      </w:pPr>
      <w:r>
        <w:t>Les critères intervenant pour le jugement des candidatures sont les suivants :</w:t>
      </w:r>
    </w:p>
    <w:tbl>
      <w:tblPr>
        <w:tblStyle w:val="Grilledutableau"/>
        <w:tblW w:w="0" w:type="auto"/>
        <w:tblLook w:val="04A0" w:firstRow="1" w:lastRow="0" w:firstColumn="1" w:lastColumn="0" w:noHBand="0" w:noVBand="1"/>
      </w:tblPr>
      <w:tblGrid>
        <w:gridCol w:w="4890"/>
        <w:gridCol w:w="2304"/>
      </w:tblGrid>
      <w:tr w:rsidR="00812209" w14:paraId="1EEEEA40" w14:textId="77777777" w:rsidTr="00812209">
        <w:trPr>
          <w:trHeight w:val="525"/>
        </w:trPr>
        <w:tc>
          <w:tcPr>
            <w:tcW w:w="4890" w:type="dxa"/>
            <w:vAlign w:val="center"/>
          </w:tcPr>
          <w:p w14:paraId="469650FF" w14:textId="5D44DEA8" w:rsidR="00812209" w:rsidRPr="00812209" w:rsidRDefault="00812209" w:rsidP="00B1165B">
            <w:r w:rsidRPr="00812209">
              <w:t>Critère principal</w:t>
            </w:r>
          </w:p>
        </w:tc>
        <w:tc>
          <w:tcPr>
            <w:tcW w:w="2304" w:type="dxa"/>
            <w:vAlign w:val="center"/>
          </w:tcPr>
          <w:p w14:paraId="0FAE2FD7" w14:textId="3F39985E" w:rsidR="00812209" w:rsidRPr="00812209" w:rsidRDefault="00812209" w:rsidP="00B1165B">
            <w:r w:rsidRPr="00812209">
              <w:t>Pondération</w:t>
            </w:r>
          </w:p>
        </w:tc>
      </w:tr>
      <w:tr w:rsidR="00812209" w14:paraId="553733D3" w14:textId="77777777" w:rsidTr="00812209">
        <w:trPr>
          <w:trHeight w:val="495"/>
        </w:trPr>
        <w:tc>
          <w:tcPr>
            <w:tcW w:w="4890" w:type="dxa"/>
            <w:vAlign w:val="center"/>
          </w:tcPr>
          <w:p w14:paraId="4E9D678D" w14:textId="764FDA1F" w:rsidR="00812209" w:rsidRDefault="00812209" w:rsidP="00B1165B">
            <w:r>
              <w:t>Valeur technique de l’offre</w:t>
            </w:r>
          </w:p>
        </w:tc>
        <w:tc>
          <w:tcPr>
            <w:tcW w:w="2304" w:type="dxa"/>
            <w:vAlign w:val="center"/>
          </w:tcPr>
          <w:p w14:paraId="079A5EF2" w14:textId="42DB51EF" w:rsidR="00812209" w:rsidRDefault="00A75CB5" w:rsidP="00B1165B">
            <w:r>
              <w:t>4</w:t>
            </w:r>
            <w:r w:rsidR="00812209">
              <w:t>0%</w:t>
            </w:r>
          </w:p>
        </w:tc>
      </w:tr>
      <w:tr w:rsidR="00812209" w14:paraId="7670B122" w14:textId="77777777" w:rsidTr="00812209">
        <w:trPr>
          <w:trHeight w:val="525"/>
        </w:trPr>
        <w:tc>
          <w:tcPr>
            <w:tcW w:w="4890" w:type="dxa"/>
            <w:vAlign w:val="center"/>
          </w:tcPr>
          <w:p w14:paraId="41CBF6A6" w14:textId="1CCD105B" w:rsidR="00812209" w:rsidRDefault="00812209" w:rsidP="00B1165B">
            <w:r>
              <w:t>Prix</w:t>
            </w:r>
          </w:p>
        </w:tc>
        <w:tc>
          <w:tcPr>
            <w:tcW w:w="2304" w:type="dxa"/>
            <w:vAlign w:val="center"/>
          </w:tcPr>
          <w:p w14:paraId="48C225B5" w14:textId="0E1DDA47" w:rsidR="00812209" w:rsidRDefault="00A75CB5" w:rsidP="00B1165B">
            <w:r>
              <w:t>5</w:t>
            </w:r>
            <w:r w:rsidR="00812209">
              <w:t>0%</w:t>
            </w:r>
          </w:p>
        </w:tc>
      </w:tr>
      <w:tr w:rsidR="00812209" w14:paraId="7590B9B4" w14:textId="77777777" w:rsidTr="00812209">
        <w:trPr>
          <w:trHeight w:val="495"/>
        </w:trPr>
        <w:tc>
          <w:tcPr>
            <w:tcW w:w="4890" w:type="dxa"/>
            <w:vAlign w:val="center"/>
          </w:tcPr>
          <w:p w14:paraId="5C485106" w14:textId="11F59E0A" w:rsidR="00812209" w:rsidRDefault="00A84CBA" w:rsidP="00B1165B">
            <w:r>
              <w:t>Environnement</w:t>
            </w:r>
          </w:p>
        </w:tc>
        <w:tc>
          <w:tcPr>
            <w:tcW w:w="2304" w:type="dxa"/>
            <w:vAlign w:val="center"/>
          </w:tcPr>
          <w:p w14:paraId="5D592DC4" w14:textId="05233BA2" w:rsidR="00812209" w:rsidRDefault="00812209" w:rsidP="00B1165B">
            <w:r>
              <w:t>10%</w:t>
            </w:r>
          </w:p>
        </w:tc>
      </w:tr>
    </w:tbl>
    <w:p w14:paraId="285CECAF" w14:textId="77777777" w:rsidR="005D76AA" w:rsidRDefault="005D76AA" w:rsidP="00B1165B"/>
    <w:p w14:paraId="0FF0AED3" w14:textId="77777777" w:rsidR="005D76AA" w:rsidRDefault="005D76AA" w:rsidP="00496096">
      <w:pPr>
        <w:jc w:val="both"/>
      </w:pPr>
      <w:r>
        <w:t>Les critères de jugement des offres sont indiqués ci-dessous et pondérés de la manière suivante :</w:t>
      </w:r>
    </w:p>
    <w:p w14:paraId="1F6F7F70" w14:textId="656CA56F" w:rsidR="005D76AA" w:rsidRPr="00BE2A0C" w:rsidRDefault="005D76AA" w:rsidP="00A21FA6">
      <w:pPr>
        <w:pStyle w:val="Paragraphedeliste"/>
        <w:numPr>
          <w:ilvl w:val="0"/>
          <w:numId w:val="20"/>
        </w:numPr>
        <w:jc w:val="both"/>
        <w:rPr>
          <w:b/>
          <w:bCs/>
        </w:rPr>
      </w:pPr>
      <w:r w:rsidRPr="00BE2A0C">
        <w:rPr>
          <w:b/>
          <w:bCs/>
          <w:u w:val="single"/>
        </w:rPr>
        <w:t>Valeur technique de l'offre</w:t>
      </w:r>
      <w:r w:rsidRPr="00BE2A0C">
        <w:rPr>
          <w:b/>
          <w:bCs/>
        </w:rPr>
        <w:t xml:space="preserve"> : </w:t>
      </w:r>
      <w:r w:rsidR="009356E4" w:rsidRPr="00BE2A0C">
        <w:rPr>
          <w:b/>
          <w:bCs/>
        </w:rPr>
        <w:t>4</w:t>
      </w:r>
      <w:r w:rsidRPr="00BE2A0C">
        <w:rPr>
          <w:b/>
          <w:bCs/>
        </w:rPr>
        <w:t>0 %</w:t>
      </w:r>
    </w:p>
    <w:p w14:paraId="38596C0E" w14:textId="5ECEB919" w:rsidR="00A84CBA" w:rsidRPr="00BE2A0C" w:rsidRDefault="00A84CBA" w:rsidP="00A84CBA">
      <w:pPr>
        <w:spacing w:after="0"/>
        <w:rPr>
          <w:b/>
          <w:bCs/>
        </w:rPr>
      </w:pPr>
      <w:r w:rsidRPr="00BE2A0C">
        <w:rPr>
          <w:b/>
          <w:bCs/>
        </w:rPr>
        <w:t>Organisation de la collecte (15%)</w:t>
      </w:r>
    </w:p>
    <w:p w14:paraId="59933059" w14:textId="77777777" w:rsidR="00A84CBA" w:rsidRDefault="00A84CBA" w:rsidP="00A84CBA">
      <w:pPr>
        <w:spacing w:after="0"/>
      </w:pPr>
      <w:r>
        <w:t>Fréquence et fiabilité du service</w:t>
      </w:r>
    </w:p>
    <w:p w14:paraId="7EB2A94F" w14:textId="77777777" w:rsidR="00A84CBA" w:rsidRDefault="00A84CBA" w:rsidP="00A84CBA">
      <w:pPr>
        <w:spacing w:after="0"/>
      </w:pPr>
      <w:r>
        <w:t>Gestion des aléas et continuité de service</w:t>
      </w:r>
    </w:p>
    <w:p w14:paraId="271639E1" w14:textId="77777777" w:rsidR="00A84CBA" w:rsidRDefault="00A84CBA" w:rsidP="00A84CBA">
      <w:pPr>
        <w:spacing w:after="0"/>
      </w:pPr>
      <w:r>
        <w:t>Respect des créneaux horaires</w:t>
      </w:r>
    </w:p>
    <w:p w14:paraId="1AB74216" w14:textId="77777777" w:rsidR="00A84CBA" w:rsidRDefault="00A84CBA" w:rsidP="00A84CBA">
      <w:pPr>
        <w:pStyle w:val="Paragraphedeliste"/>
        <w:spacing w:after="0"/>
        <w:ind w:left="1440"/>
      </w:pPr>
    </w:p>
    <w:p w14:paraId="036EF533" w14:textId="77777777" w:rsidR="00A84CBA" w:rsidRPr="00BE2A0C" w:rsidRDefault="00A84CBA" w:rsidP="00A84CBA">
      <w:pPr>
        <w:spacing w:after="0"/>
        <w:rPr>
          <w:b/>
          <w:bCs/>
        </w:rPr>
      </w:pPr>
      <w:r w:rsidRPr="00BE2A0C">
        <w:rPr>
          <w:b/>
          <w:bCs/>
        </w:rPr>
        <w:t>Équipements de collecte (15%)</w:t>
      </w:r>
    </w:p>
    <w:p w14:paraId="60FE7053" w14:textId="77777777" w:rsidR="00A84CBA" w:rsidRDefault="00A84CBA" w:rsidP="00A84CBA">
      <w:pPr>
        <w:spacing w:after="0"/>
      </w:pPr>
      <w:r>
        <w:t>Qualité, durabilité et adaptabilité des contenants</w:t>
      </w:r>
    </w:p>
    <w:p w14:paraId="1C27FF64" w14:textId="77777777" w:rsidR="00A84CBA" w:rsidRDefault="00A84CBA" w:rsidP="00A84CBA">
      <w:pPr>
        <w:spacing w:after="0"/>
      </w:pPr>
      <w:r>
        <w:t>Diversité de l'offre selon les contraintes des sites</w:t>
      </w:r>
    </w:p>
    <w:p w14:paraId="457D4DA2" w14:textId="77777777" w:rsidR="00A84CBA" w:rsidRDefault="00A84CBA" w:rsidP="00A84CBA">
      <w:pPr>
        <w:spacing w:after="0"/>
      </w:pPr>
      <w:r>
        <w:t>Délais de mise à disposition et de remplacement</w:t>
      </w:r>
    </w:p>
    <w:p w14:paraId="7318236E" w14:textId="77777777" w:rsidR="00A84CBA" w:rsidRDefault="00A84CBA" w:rsidP="00A84CBA">
      <w:pPr>
        <w:pStyle w:val="Paragraphedeliste"/>
        <w:spacing w:after="0"/>
        <w:ind w:left="1440"/>
      </w:pPr>
    </w:p>
    <w:p w14:paraId="1E892BA3" w14:textId="05A0889F" w:rsidR="00A84CBA" w:rsidRPr="00BE2A0C" w:rsidRDefault="00A84CBA" w:rsidP="00A84CBA">
      <w:pPr>
        <w:spacing w:after="0"/>
        <w:rPr>
          <w:b/>
          <w:bCs/>
        </w:rPr>
      </w:pPr>
      <w:r w:rsidRPr="00BE2A0C">
        <w:rPr>
          <w:b/>
          <w:bCs/>
        </w:rPr>
        <w:t>Maintenance et nettoyage (10%)</w:t>
      </w:r>
    </w:p>
    <w:p w14:paraId="0F5BBE6C" w14:textId="77777777" w:rsidR="00A84CBA" w:rsidRDefault="00A84CBA" w:rsidP="00A84CBA">
      <w:pPr>
        <w:spacing w:after="0"/>
      </w:pPr>
      <w:r>
        <w:t>Fréquence et qualité du nettoyage</w:t>
      </w:r>
    </w:p>
    <w:p w14:paraId="4DA4EACF" w14:textId="77777777" w:rsidR="00A84CBA" w:rsidRDefault="00A84CBA" w:rsidP="00A84CBA">
      <w:pPr>
        <w:spacing w:after="0"/>
      </w:pPr>
      <w:r>
        <w:t>Maintenance préventive et curative</w:t>
      </w:r>
    </w:p>
    <w:p w14:paraId="25BFB12D" w14:textId="4AD0DC2B" w:rsidR="00A21FA6" w:rsidRDefault="00A84CBA" w:rsidP="00A84CBA">
      <w:r>
        <w:lastRenderedPageBreak/>
        <w:t>Réactivité en cas de dysfonctionnement</w:t>
      </w:r>
    </w:p>
    <w:p w14:paraId="2660E054" w14:textId="77777777" w:rsidR="00A84CBA" w:rsidRPr="00A84CBA" w:rsidRDefault="00A84CBA" w:rsidP="00A84CBA"/>
    <w:p w14:paraId="1F30086F" w14:textId="77777777" w:rsidR="00A84CBA" w:rsidRPr="00BE2A0C" w:rsidRDefault="005D76AA" w:rsidP="00A84CBA">
      <w:pPr>
        <w:pStyle w:val="Paragraphedeliste"/>
        <w:numPr>
          <w:ilvl w:val="0"/>
          <w:numId w:val="20"/>
        </w:numPr>
        <w:rPr>
          <w:b/>
          <w:bCs/>
        </w:rPr>
      </w:pPr>
      <w:r w:rsidRPr="00BE2A0C">
        <w:rPr>
          <w:b/>
          <w:bCs/>
          <w:u w:val="single"/>
        </w:rPr>
        <w:t>Prix</w:t>
      </w:r>
      <w:r w:rsidR="00BF6440" w:rsidRPr="00BE2A0C">
        <w:rPr>
          <w:b/>
          <w:bCs/>
          <w:u w:val="single"/>
        </w:rPr>
        <w:t> </w:t>
      </w:r>
      <w:r w:rsidR="00BF6440" w:rsidRPr="00BE2A0C">
        <w:rPr>
          <w:b/>
          <w:bCs/>
        </w:rPr>
        <w:t xml:space="preserve">: </w:t>
      </w:r>
      <w:r w:rsidR="009356E4" w:rsidRPr="00BE2A0C">
        <w:rPr>
          <w:b/>
          <w:bCs/>
        </w:rPr>
        <w:t>5</w:t>
      </w:r>
      <w:r w:rsidRPr="00BE2A0C">
        <w:rPr>
          <w:b/>
          <w:bCs/>
        </w:rPr>
        <w:t>0 %</w:t>
      </w:r>
    </w:p>
    <w:p w14:paraId="3A402788" w14:textId="4A6EFEC1" w:rsidR="005D76AA" w:rsidRPr="00A84CBA" w:rsidRDefault="005D76AA" w:rsidP="00A84CBA">
      <w:r w:rsidRPr="00A84CBA">
        <w:t>Modalités de calcul : 30 × (prix minimum observé / prix du candidat)</w:t>
      </w:r>
    </w:p>
    <w:p w14:paraId="4A396EDD" w14:textId="77777777" w:rsidR="005D76AA" w:rsidRPr="00A84CBA" w:rsidRDefault="005D76AA" w:rsidP="00A21FA6">
      <w:pPr>
        <w:spacing w:after="0"/>
      </w:pPr>
    </w:p>
    <w:p w14:paraId="397C2580" w14:textId="67C1A036" w:rsidR="00A21FA6" w:rsidRPr="00BE2A0C" w:rsidRDefault="008E75CC" w:rsidP="00A21FA6">
      <w:pPr>
        <w:pStyle w:val="Paragraphedeliste"/>
        <w:numPr>
          <w:ilvl w:val="0"/>
          <w:numId w:val="20"/>
        </w:numPr>
        <w:rPr>
          <w:b/>
          <w:bCs/>
        </w:rPr>
      </w:pPr>
      <w:r w:rsidRPr="00BE2A0C">
        <w:rPr>
          <w:b/>
          <w:bCs/>
          <w:u w:val="single"/>
        </w:rPr>
        <w:t>Développement durable :</w:t>
      </w:r>
      <w:r w:rsidRPr="00BE2A0C">
        <w:rPr>
          <w:b/>
          <w:bCs/>
        </w:rPr>
        <w:t xml:space="preserve"> 10</w:t>
      </w:r>
      <w:r w:rsidR="005D76AA" w:rsidRPr="00BE2A0C">
        <w:rPr>
          <w:b/>
          <w:bCs/>
        </w:rPr>
        <w:t xml:space="preserve"> %</w:t>
      </w:r>
    </w:p>
    <w:p w14:paraId="36DDF9B9" w14:textId="77777777" w:rsidR="00BE2A0C" w:rsidRDefault="00A84CBA" w:rsidP="00A84CBA">
      <w:r w:rsidRPr="00A84CBA">
        <w:t>Veuillez préciser dans votre réponse technique </w:t>
      </w:r>
    </w:p>
    <w:p w14:paraId="34C22B21" w14:textId="614904A6" w:rsidR="00BE2A0C" w:rsidRDefault="00BE2A0C" w:rsidP="00BE2A0C">
      <w:pPr>
        <w:pStyle w:val="Paragraphedeliste"/>
        <w:numPr>
          <w:ilvl w:val="0"/>
          <w:numId w:val="6"/>
        </w:numPr>
      </w:pPr>
      <w:r w:rsidRPr="00A84CBA">
        <w:t>Les</w:t>
      </w:r>
      <w:r w:rsidR="00A84CBA" w:rsidRPr="00A84CBA">
        <w:t xml:space="preserve"> </w:t>
      </w:r>
      <w:r w:rsidR="00A84CBA">
        <w:t>moyens de</w:t>
      </w:r>
      <w:r w:rsidR="00A84CBA" w:rsidRPr="00A84CBA">
        <w:t xml:space="preserve"> valorisation des biodéchets</w:t>
      </w:r>
    </w:p>
    <w:p w14:paraId="5D7614E1" w14:textId="6AB4906A" w:rsidR="00A84CBA" w:rsidRDefault="00BE2A0C" w:rsidP="00BE2A0C">
      <w:pPr>
        <w:pStyle w:val="Paragraphedeliste"/>
        <w:numPr>
          <w:ilvl w:val="0"/>
          <w:numId w:val="6"/>
        </w:numPr>
      </w:pPr>
      <w:r>
        <w:t>Les étapes et la traçabilité du processus</w:t>
      </w:r>
    </w:p>
    <w:p w14:paraId="15E2ED57" w14:textId="7169807E" w:rsidR="00BE2A0C" w:rsidRDefault="00BE2A0C" w:rsidP="00BE2A0C">
      <w:pPr>
        <w:pStyle w:val="Paragraphedeliste"/>
        <w:numPr>
          <w:ilvl w:val="0"/>
          <w:numId w:val="6"/>
        </w:numPr>
      </w:pPr>
      <w:r>
        <w:t xml:space="preserve">Le type de bilan proposé </w:t>
      </w:r>
    </w:p>
    <w:p w14:paraId="44F656EC" w14:textId="6224BF6C" w:rsidR="0018268F" w:rsidRPr="00A84CBA" w:rsidRDefault="0018268F" w:rsidP="0018268F">
      <w:pPr>
        <w:jc w:val="both"/>
      </w:pPr>
      <w:r w:rsidRPr="0018268F">
        <w:t xml:space="preserve">Les critères sont notés </w:t>
      </w:r>
      <w:r>
        <w:t>s</w:t>
      </w:r>
      <w:r w:rsidRPr="0018268F">
        <w:t xml:space="preserve">ur 100, la note pondérée est obtenue par multiplication du pourcentage de pondération. La note totale est notée </w:t>
      </w:r>
      <w:r>
        <w:t>s</w:t>
      </w:r>
      <w:r w:rsidRPr="0018268F">
        <w:t>ur 100.</w:t>
      </w:r>
    </w:p>
    <w:p w14:paraId="3B2D303A" w14:textId="77777777" w:rsidR="00BF6440" w:rsidRDefault="00BF6440" w:rsidP="00B1165B"/>
    <w:p w14:paraId="2B8E8629" w14:textId="246EE66F" w:rsidR="005D76AA" w:rsidRDefault="00BF6440" w:rsidP="00B1165B">
      <w:pPr>
        <w:pStyle w:val="Titre2"/>
      </w:pPr>
      <w:bookmarkStart w:id="29" w:name="_Toc205545653"/>
      <w:r>
        <w:t>Conditions de remise des offres</w:t>
      </w:r>
      <w:bookmarkEnd w:id="29"/>
    </w:p>
    <w:p w14:paraId="290B74CC" w14:textId="779BC606" w:rsidR="005D76AA" w:rsidRDefault="005D76AA" w:rsidP="00BE2A0C">
      <w:pPr>
        <w:ind w:firstLine="360"/>
        <w:jc w:val="both"/>
      </w:pPr>
      <w:r>
        <w:t xml:space="preserve">Les candidats doivent transmettre leurs offres exclusivement par voie électronique via la plateforme de dématérialisation </w:t>
      </w:r>
      <w:r w:rsidR="00BF6440">
        <w:t>PLACE</w:t>
      </w:r>
      <w:r w:rsidR="00986050">
        <w:t xml:space="preserve"> </w:t>
      </w:r>
      <w:hyperlink r:id="rId10" w:history="1">
        <w:r w:rsidR="00986050" w:rsidRPr="000B557F">
          <w:rPr>
            <w:rStyle w:val="Lienhypertexte"/>
          </w:rPr>
          <w:t>https://www.marches-publics.gouv.fr/entreprise</w:t>
        </w:r>
      </w:hyperlink>
      <w:r w:rsidR="00986050">
        <w:t xml:space="preserve">. </w:t>
      </w:r>
    </w:p>
    <w:p w14:paraId="24B50362" w14:textId="1D51C9E8" w:rsidR="005D76AA" w:rsidRDefault="005D76AA" w:rsidP="00A21FA6">
      <w:pPr>
        <w:jc w:val="both"/>
      </w:pPr>
      <w:r>
        <w:t>Les plis électroniques doivent être déposés avant la date et l'heure limites indiquées en première page du présent règlement</w:t>
      </w:r>
      <w:r w:rsidR="00BF6440">
        <w:t>.</w:t>
      </w:r>
    </w:p>
    <w:p w14:paraId="4F4F9EF1" w14:textId="77777777" w:rsidR="005D76AA" w:rsidRDefault="005D76AA" w:rsidP="00A21FA6">
      <w:pPr>
        <w:jc w:val="both"/>
      </w:pPr>
      <w:r>
        <w:t>Il est vivement recommandé aux candidats de ne pas attendre les derniers jours pour transmettre leur offre afin d'éviter tout problème technique lié à l'encombrement de la plateforme.</w:t>
      </w:r>
    </w:p>
    <w:p w14:paraId="6241B336" w14:textId="4782BE56" w:rsidR="005D76AA" w:rsidRDefault="005D76AA" w:rsidP="00691455">
      <w:pPr>
        <w:jc w:val="both"/>
      </w:pPr>
      <w:r>
        <w:t>Format des fichiers</w:t>
      </w:r>
      <w:r w:rsidR="00BF6440">
        <w:t xml:space="preserve"> : </w:t>
      </w:r>
      <w:r>
        <w:t>L'ensemble des documents à remettre à l'appui de l'offre devra être converti au format PDF, seul format de nature à supporter la signature électronique.</w:t>
      </w:r>
    </w:p>
    <w:p w14:paraId="32F79337" w14:textId="2A4D6CF0" w:rsidR="00691455" w:rsidRDefault="00691455" w:rsidP="00691455">
      <w:pPr>
        <w:jc w:val="both"/>
      </w:pPr>
      <w:r>
        <w:t>L</w:t>
      </w:r>
      <w:r w:rsidRPr="00691455">
        <w:t>e SIRET du candidat renseigné dans PLACE doit correspondre au SIRET du candidat renseigné dans l’acte d’engagement.</w:t>
      </w:r>
    </w:p>
    <w:p w14:paraId="3E688C17" w14:textId="23D14111" w:rsidR="0018268F" w:rsidRDefault="0018268F" w:rsidP="0018268F">
      <w:pPr>
        <w:jc w:val="both"/>
      </w:pPr>
      <w:r>
        <w:t>Les offres sont rejetées dans les cas suivants :</w:t>
      </w:r>
    </w:p>
    <w:p w14:paraId="509C5000" w14:textId="32EBD68B" w:rsidR="0018268F" w:rsidRDefault="0018268F" w:rsidP="0018268F">
      <w:pPr>
        <w:pStyle w:val="Paragraphedeliste"/>
        <w:numPr>
          <w:ilvl w:val="0"/>
          <w:numId w:val="26"/>
        </w:numPr>
        <w:jc w:val="both"/>
      </w:pPr>
      <w:r w:rsidRPr="0018268F">
        <w:t>Offre hors délai</w:t>
      </w:r>
      <w:r>
        <w:t xml:space="preserve"> : </w:t>
      </w:r>
      <w:r w:rsidRPr="0018268F">
        <w:t xml:space="preserve">Lorsque le pli est reçu par l’acheteur après la date et l’heure limite fixée dans la consultation. </w:t>
      </w:r>
    </w:p>
    <w:p w14:paraId="009EB6D9" w14:textId="798208C7" w:rsidR="0018268F" w:rsidRDefault="0018268F" w:rsidP="0018268F">
      <w:pPr>
        <w:pStyle w:val="Paragraphedeliste"/>
        <w:numPr>
          <w:ilvl w:val="0"/>
          <w:numId w:val="26"/>
        </w:numPr>
        <w:jc w:val="both"/>
      </w:pPr>
      <w:r w:rsidRPr="0018268F">
        <w:t>Offre anormalement basse</w:t>
      </w:r>
      <w:r>
        <w:t xml:space="preserve"> : </w:t>
      </w:r>
      <w:r w:rsidRPr="0018268F">
        <w:t>Le prix est manifestement sous-évalué, de nature à compromettre la bonne exécution du contrat, et le fournisseur n’apporte pas de justification du prix après demande de l’acheteur, notamment au regard du mode de fabrication, de la solution technique, de l’originalité, de la réglementation applicable ou d’une aide d’État.</w:t>
      </w:r>
    </w:p>
    <w:p w14:paraId="232D0DBF" w14:textId="77777777" w:rsidR="0018268F" w:rsidRDefault="0018268F" w:rsidP="0018268F">
      <w:pPr>
        <w:pStyle w:val="Paragraphedeliste"/>
        <w:numPr>
          <w:ilvl w:val="0"/>
          <w:numId w:val="26"/>
        </w:numPr>
        <w:jc w:val="both"/>
      </w:pPr>
      <w:r w:rsidRPr="0018268F">
        <w:t>Offre inappropriée</w:t>
      </w:r>
      <w:r>
        <w:t xml:space="preserve"> : </w:t>
      </w:r>
      <w:r w:rsidRPr="0018268F">
        <w:t xml:space="preserve">L’offre est sans rapport avec les besoins ou exigences exprimés par l’acheteur. </w:t>
      </w:r>
    </w:p>
    <w:p w14:paraId="52E1CFD5" w14:textId="7B7BE97F" w:rsidR="0018268F" w:rsidRDefault="0018268F" w:rsidP="0018268F">
      <w:pPr>
        <w:pStyle w:val="Paragraphedeliste"/>
        <w:numPr>
          <w:ilvl w:val="0"/>
          <w:numId w:val="26"/>
        </w:numPr>
        <w:jc w:val="both"/>
      </w:pPr>
      <w:r w:rsidRPr="0018268F">
        <w:t>Offre irrégulière</w:t>
      </w:r>
      <w:r>
        <w:t xml:space="preserve"> : </w:t>
      </w:r>
      <w:r w:rsidRPr="0018268F">
        <w:t xml:space="preserve">L’offre ne respecte pas les exigences formulées pour la consultation, est incomplète ou méconnaît la législation applicable en matière sociale ou </w:t>
      </w:r>
      <w:r w:rsidRPr="0018268F">
        <w:lastRenderedPageBreak/>
        <w:t>environnementale, malgré une éventuelle demande de régularisation par l’acheteur. Offre inacceptable Le prix excède les crédits budgétaires alloués par l’acheteur au contrat.</w:t>
      </w:r>
    </w:p>
    <w:p w14:paraId="0D850F8A" w14:textId="139D8291" w:rsidR="005D76AA" w:rsidRDefault="00BF6440" w:rsidP="00B1165B">
      <w:pPr>
        <w:pStyle w:val="Titre2"/>
      </w:pPr>
      <w:bookmarkStart w:id="30" w:name="_Toc205545654"/>
      <w:r>
        <w:t>Information aux candidats non retenus</w:t>
      </w:r>
      <w:bookmarkEnd w:id="30"/>
      <w:r>
        <w:t xml:space="preserve"> </w:t>
      </w:r>
    </w:p>
    <w:p w14:paraId="44B1CA58" w14:textId="15AEB498" w:rsidR="005D76AA" w:rsidRDefault="005D76AA" w:rsidP="0018268F">
      <w:pPr>
        <w:ind w:firstLine="360"/>
        <w:jc w:val="both"/>
      </w:pPr>
      <w:r>
        <w:t xml:space="preserve">La décision de rejet d'une offre sera notifiée au(x) candidat(s) non retenu(s) via l'envoi d'un </w:t>
      </w:r>
      <w:r w:rsidR="00722756">
        <w:t>message sur la plateforme PLACE,</w:t>
      </w:r>
      <w:r>
        <w:t xml:space="preserve"> transmis à l'adresse mail renseignée lors du dépôt de l'offre.</w:t>
      </w:r>
    </w:p>
    <w:p w14:paraId="14A8D21E" w14:textId="0AC50E2A" w:rsidR="008B58EA" w:rsidRDefault="008B58EA" w:rsidP="00B1165B">
      <w:pPr>
        <w:pStyle w:val="Titre2"/>
      </w:pPr>
      <w:r>
        <w:t xml:space="preserve"> </w:t>
      </w:r>
      <w:bookmarkStart w:id="31" w:name="_Toc205545655"/>
      <w:r>
        <w:t>Procédures de recours</w:t>
      </w:r>
      <w:bookmarkEnd w:id="31"/>
    </w:p>
    <w:p w14:paraId="2B917376" w14:textId="2C7E3DFB" w:rsidR="008B58EA" w:rsidRDefault="008B58EA" w:rsidP="00B60C4A">
      <w:pPr>
        <w:spacing w:after="0"/>
      </w:pPr>
      <w:r>
        <w:t>Le tribunal territorialement compétent est :</w:t>
      </w:r>
    </w:p>
    <w:p w14:paraId="021C9BD5" w14:textId="77777777" w:rsidR="00B60C4A" w:rsidRDefault="00B60C4A" w:rsidP="00B60C4A">
      <w:pPr>
        <w:spacing w:after="0"/>
      </w:pPr>
    </w:p>
    <w:p w14:paraId="06072FF1" w14:textId="77777777" w:rsidR="008B58EA" w:rsidRDefault="008B58EA" w:rsidP="002408CE">
      <w:pPr>
        <w:spacing w:after="0"/>
        <w:jc w:val="center"/>
      </w:pPr>
      <w:r>
        <w:t>Tribunal administratif de Strasbourg</w:t>
      </w:r>
    </w:p>
    <w:p w14:paraId="5CC6DB42" w14:textId="77777777" w:rsidR="008B58EA" w:rsidRDefault="008B58EA" w:rsidP="002408CE">
      <w:pPr>
        <w:spacing w:after="0"/>
        <w:jc w:val="center"/>
      </w:pPr>
      <w:r>
        <w:t>31 avenue de la Paix</w:t>
      </w:r>
    </w:p>
    <w:p w14:paraId="53D66158" w14:textId="77777777" w:rsidR="008B58EA" w:rsidRDefault="008B58EA" w:rsidP="002408CE">
      <w:pPr>
        <w:spacing w:after="0"/>
        <w:jc w:val="center"/>
      </w:pPr>
      <w:r>
        <w:t>BP 51038</w:t>
      </w:r>
    </w:p>
    <w:p w14:paraId="4C198003" w14:textId="0C74CAA4" w:rsidR="008B58EA" w:rsidRDefault="008B58EA" w:rsidP="002408CE">
      <w:pPr>
        <w:spacing w:after="0"/>
        <w:jc w:val="center"/>
      </w:pPr>
      <w:r>
        <w:t>67070 STRASBOURG</w:t>
      </w:r>
    </w:p>
    <w:p w14:paraId="0950DB3E" w14:textId="77777777" w:rsidR="008B58EA" w:rsidRDefault="008B58EA" w:rsidP="002408CE">
      <w:pPr>
        <w:spacing w:after="0"/>
        <w:jc w:val="center"/>
      </w:pPr>
      <w:r>
        <w:t>Tél : 03 88 21 23 23</w:t>
      </w:r>
    </w:p>
    <w:p w14:paraId="7DF79F6E" w14:textId="34A41308" w:rsidR="008B58EA" w:rsidRDefault="008B58EA" w:rsidP="002408CE">
      <w:pPr>
        <w:spacing w:after="0"/>
        <w:jc w:val="center"/>
      </w:pPr>
      <w:r>
        <w:t xml:space="preserve">Courriel : </w:t>
      </w:r>
      <w:hyperlink r:id="rId11" w:history="1">
        <w:r w:rsidR="00722756" w:rsidRPr="004713F7">
          <w:rPr>
            <w:rStyle w:val="Lienhypertexte"/>
          </w:rPr>
          <w:t>greffe.ta-strasbourg@juradm.fr</w:t>
        </w:r>
      </w:hyperlink>
      <w:r w:rsidR="00722756">
        <w:t xml:space="preserve"> </w:t>
      </w:r>
    </w:p>
    <w:p w14:paraId="23003F7B" w14:textId="77777777" w:rsidR="00B60C4A" w:rsidRDefault="00B60C4A" w:rsidP="00B60C4A">
      <w:pPr>
        <w:spacing w:after="0"/>
        <w:jc w:val="center"/>
      </w:pPr>
    </w:p>
    <w:p w14:paraId="73AC680F" w14:textId="0E65A9FD" w:rsidR="005D76AA" w:rsidRDefault="008B58EA" w:rsidP="00D12640">
      <w:pPr>
        <w:jc w:val="both"/>
      </w:pPr>
      <w:r>
        <w:t xml:space="preserve">Les voies de recours ouvertes aux candidats sont les suivantes : Référé </w:t>
      </w:r>
      <w:proofErr w:type="spellStart"/>
      <w:r>
        <w:t>pré-contractuel</w:t>
      </w:r>
      <w:proofErr w:type="spellEnd"/>
      <w: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p w14:paraId="74EFE447" w14:textId="77777777" w:rsidR="00D12640" w:rsidRDefault="00D12640" w:rsidP="00D12640">
      <w:pPr>
        <w:jc w:val="both"/>
      </w:pPr>
    </w:p>
    <w:p w14:paraId="3820FC57" w14:textId="2EFFCE34" w:rsidR="005D76AA" w:rsidRDefault="005D76AA" w:rsidP="00B1165B">
      <w:pPr>
        <w:pStyle w:val="Titre2"/>
      </w:pPr>
      <w:r>
        <w:t xml:space="preserve"> </w:t>
      </w:r>
      <w:bookmarkStart w:id="32" w:name="_Toc205545656"/>
      <w:r w:rsidR="00BF6440">
        <w:t>Renseignements complémentaires</w:t>
      </w:r>
      <w:bookmarkEnd w:id="32"/>
      <w:r w:rsidR="00BF6440">
        <w:t> </w:t>
      </w:r>
    </w:p>
    <w:p w14:paraId="647D56DE" w14:textId="2CA15AE4" w:rsidR="005D76AA" w:rsidRDefault="005D76AA" w:rsidP="00B1165B">
      <w:r>
        <w:t>Pour obtenir tout renseignement complémentaire, les candidats devront s'adresser à :</w:t>
      </w:r>
    </w:p>
    <w:p w14:paraId="6ADFF5D9" w14:textId="2CE76B10" w:rsidR="00ED11E8" w:rsidRDefault="0047468F" w:rsidP="009356E4">
      <w:pPr>
        <w:spacing w:after="0"/>
        <w:jc w:val="center"/>
      </w:pPr>
      <w:r>
        <w:t>Unité des Achats et des Marchés Publics (UAMP)</w:t>
      </w:r>
    </w:p>
    <w:p w14:paraId="3A0FA54C" w14:textId="45030793" w:rsidR="0047468F" w:rsidRDefault="0047468F" w:rsidP="009356E4">
      <w:pPr>
        <w:spacing w:after="0"/>
        <w:jc w:val="center"/>
      </w:pPr>
      <w:r>
        <w:t>Direction interrégionale des services pénitentiaires (DISP) du Grand Est</w:t>
      </w:r>
    </w:p>
    <w:p w14:paraId="2D3B7A6E" w14:textId="77777777" w:rsidR="00ED11E8" w:rsidRDefault="0047468F" w:rsidP="009356E4">
      <w:pPr>
        <w:spacing w:after="0"/>
        <w:jc w:val="center"/>
      </w:pPr>
      <w:r>
        <w:t xml:space="preserve">19 rue Eugène Delacroix </w:t>
      </w:r>
    </w:p>
    <w:p w14:paraId="13D271CC" w14:textId="77777777" w:rsidR="00ED11E8" w:rsidRDefault="0047468F" w:rsidP="009356E4">
      <w:pPr>
        <w:spacing w:after="0"/>
        <w:jc w:val="center"/>
      </w:pPr>
      <w:r>
        <w:t xml:space="preserve">BP 16 </w:t>
      </w:r>
    </w:p>
    <w:p w14:paraId="65094B26" w14:textId="082879B9" w:rsidR="00ED11E8" w:rsidRDefault="0047468F" w:rsidP="009356E4">
      <w:pPr>
        <w:spacing w:after="0"/>
        <w:jc w:val="center"/>
      </w:pPr>
      <w:r>
        <w:t>67035 STRASBOURG Cedex 2,</w:t>
      </w:r>
    </w:p>
    <w:p w14:paraId="6DF9EC58" w14:textId="04B39EB4" w:rsidR="00C55A9C" w:rsidRDefault="00ED11E8" w:rsidP="009356E4">
      <w:pPr>
        <w:spacing w:after="0"/>
        <w:jc w:val="center"/>
      </w:pPr>
      <w:r>
        <w:t xml:space="preserve">Courriel : </w:t>
      </w:r>
      <w:hyperlink r:id="rId12" w:history="1">
        <w:r w:rsidRPr="008F4338">
          <w:rPr>
            <w:rStyle w:val="Lienhypertexte"/>
          </w:rPr>
          <w:t>liste.uamp.disp-strasbourg@justice.fr</w:t>
        </w:r>
      </w:hyperlink>
    </w:p>
    <w:sectPr w:rsidR="00C55A9C" w:rsidSect="00FE3D85">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A9A1" w14:textId="77777777" w:rsidR="00FE3D85" w:rsidRDefault="00FE3D85" w:rsidP="00B1165B">
      <w:r>
        <w:separator/>
      </w:r>
    </w:p>
    <w:p w14:paraId="3E1B87B7" w14:textId="77777777" w:rsidR="004C42F2" w:rsidRDefault="004C42F2" w:rsidP="00B1165B"/>
    <w:p w14:paraId="5880F416" w14:textId="77777777" w:rsidR="004C42F2" w:rsidRDefault="004C42F2" w:rsidP="00B1165B"/>
  </w:endnote>
  <w:endnote w:type="continuationSeparator" w:id="0">
    <w:p w14:paraId="34E4618D" w14:textId="77777777" w:rsidR="00FE3D85" w:rsidRDefault="00FE3D85" w:rsidP="00B1165B">
      <w:r>
        <w:continuationSeparator/>
      </w:r>
    </w:p>
    <w:p w14:paraId="0FB094E4" w14:textId="77777777" w:rsidR="004C42F2" w:rsidRDefault="004C42F2" w:rsidP="00B1165B"/>
    <w:p w14:paraId="2F49F2DE" w14:textId="77777777" w:rsidR="004C42F2" w:rsidRDefault="004C42F2" w:rsidP="00B11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34138"/>
      <w:docPartObj>
        <w:docPartGallery w:val="Page Numbers (Bottom of Page)"/>
        <w:docPartUnique/>
      </w:docPartObj>
    </w:sdtPr>
    <w:sdtEndPr/>
    <w:sdtContent>
      <w:sdt>
        <w:sdtPr>
          <w:id w:val="-1769616900"/>
          <w:docPartObj>
            <w:docPartGallery w:val="Page Numbers (Top of Page)"/>
            <w:docPartUnique/>
          </w:docPartObj>
        </w:sdtPr>
        <w:sdtEndPr/>
        <w:sdtContent>
          <w:p w14:paraId="23D10DC2" w14:textId="170896A4" w:rsidR="009356E4" w:rsidRDefault="009356E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613E5C4" w14:textId="1739E9F5" w:rsidR="004C42F2" w:rsidRDefault="004C42F2" w:rsidP="00ED11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BF8D" w14:textId="77777777" w:rsidR="00FE3D85" w:rsidRDefault="00FE3D85" w:rsidP="00B1165B">
      <w:r>
        <w:separator/>
      </w:r>
    </w:p>
    <w:p w14:paraId="60EFCE40" w14:textId="77777777" w:rsidR="004C42F2" w:rsidRDefault="004C42F2" w:rsidP="00B1165B"/>
    <w:p w14:paraId="5869DBCE" w14:textId="77777777" w:rsidR="004C42F2" w:rsidRDefault="004C42F2" w:rsidP="00B1165B"/>
  </w:footnote>
  <w:footnote w:type="continuationSeparator" w:id="0">
    <w:p w14:paraId="17A990C7" w14:textId="77777777" w:rsidR="00FE3D85" w:rsidRDefault="00FE3D85" w:rsidP="00B1165B">
      <w:r>
        <w:continuationSeparator/>
      </w:r>
    </w:p>
    <w:p w14:paraId="36A839A6" w14:textId="77777777" w:rsidR="004C42F2" w:rsidRDefault="004C42F2" w:rsidP="00B1165B"/>
    <w:p w14:paraId="4F7BFC80" w14:textId="77777777" w:rsidR="004C42F2" w:rsidRDefault="004C42F2" w:rsidP="00B1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56E3" w14:textId="77777777" w:rsidR="00655318" w:rsidRDefault="00655318" w:rsidP="00655318">
    <w:pPr>
      <w:pStyle w:val="En-tte"/>
      <w:tabs>
        <w:tab w:val="clear" w:pos="9072"/>
        <w:tab w:val="right" w:pos="9923"/>
      </w:tabs>
      <w:ind w:left="794" w:firstLine="3175"/>
      <w:jc w:val="right"/>
      <w:rPr>
        <w:rFonts w:eastAsia="Arial Unicode MS" w:cs="Arial"/>
        <w:b/>
        <w:sz w:val="24"/>
        <w:szCs w:val="28"/>
      </w:rPr>
    </w:pPr>
    <w:r>
      <w:rPr>
        <w:noProof/>
      </w:rPr>
      <w:drawing>
        <wp:anchor distT="0" distB="0" distL="114300" distR="114300" simplePos="0" relativeHeight="251659264" behindDoc="0" locked="0" layoutInCell="1" allowOverlap="1" wp14:anchorId="4118655C" wp14:editId="5FF552E9">
          <wp:simplePos x="0" y="0"/>
          <wp:positionH relativeFrom="page">
            <wp:posOffset>238125</wp:posOffset>
          </wp:positionH>
          <wp:positionV relativeFrom="paragraph">
            <wp:posOffset>-125730</wp:posOffset>
          </wp:positionV>
          <wp:extent cx="3257550" cy="8629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Unicode MS" w:cs="Arial"/>
        <w:b/>
        <w:sz w:val="24"/>
        <w:szCs w:val="28"/>
      </w:rPr>
      <w:t xml:space="preserve">Direction de l’administration pénitentiaire </w:t>
    </w:r>
  </w:p>
  <w:p w14:paraId="1F4BFC3D" w14:textId="77777777" w:rsidR="00655318" w:rsidRPr="00474D2F" w:rsidRDefault="00655318" w:rsidP="00655318">
    <w:pPr>
      <w:pStyle w:val="En-tte"/>
      <w:tabs>
        <w:tab w:val="clear" w:pos="9072"/>
        <w:tab w:val="right" w:pos="9923"/>
      </w:tabs>
      <w:ind w:left="794" w:firstLine="3175"/>
      <w:jc w:val="right"/>
      <w:rPr>
        <w:rFonts w:eastAsia="Arial Unicode MS" w:cs="Arial"/>
        <w:b/>
        <w:sz w:val="24"/>
        <w:szCs w:val="24"/>
      </w:rPr>
    </w:pPr>
    <w:r>
      <w:rPr>
        <w:rFonts w:eastAsia="Arial Unicode MS" w:cs="Arial"/>
        <w:b/>
        <w:sz w:val="24"/>
        <w:szCs w:val="24"/>
      </w:rPr>
      <w:t>Direction interrégionale des services pénitentiaires de Strasbourg</w:t>
    </w:r>
  </w:p>
  <w:p w14:paraId="6263A355" w14:textId="77777777" w:rsidR="00FE3D85" w:rsidRDefault="00FE3D85" w:rsidP="00B116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27B"/>
    <w:multiLevelType w:val="hybridMultilevel"/>
    <w:tmpl w:val="876A70E4"/>
    <w:lvl w:ilvl="0" w:tplc="53A6975A">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AA76DF"/>
    <w:multiLevelType w:val="hybridMultilevel"/>
    <w:tmpl w:val="848EB5B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35EEC"/>
    <w:multiLevelType w:val="hybridMultilevel"/>
    <w:tmpl w:val="A99E8B80"/>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0E575D5C"/>
    <w:multiLevelType w:val="hybridMultilevel"/>
    <w:tmpl w:val="C978B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E4E81"/>
    <w:multiLevelType w:val="hybridMultilevel"/>
    <w:tmpl w:val="D8B65654"/>
    <w:lvl w:ilvl="0" w:tplc="569ACBEC">
      <w:numFmt w:val="bullet"/>
      <w:lvlText w:val=""/>
      <w:lvlJc w:val="left"/>
      <w:pPr>
        <w:ind w:left="460" w:hanging="360"/>
      </w:pPr>
      <w:rPr>
        <w:rFonts w:ascii="Symbol" w:eastAsiaTheme="minorHAnsi" w:hAnsi="Symbol" w:cstheme="minorBid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5" w15:restartNumberingAfterBreak="0">
    <w:nsid w:val="12C42FA2"/>
    <w:multiLevelType w:val="hybridMultilevel"/>
    <w:tmpl w:val="C39CDC94"/>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375FE"/>
    <w:multiLevelType w:val="hybridMultilevel"/>
    <w:tmpl w:val="211A6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51715A"/>
    <w:multiLevelType w:val="hybridMultilevel"/>
    <w:tmpl w:val="999A1162"/>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ED76A0"/>
    <w:multiLevelType w:val="hybridMultilevel"/>
    <w:tmpl w:val="5616E138"/>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5948B2"/>
    <w:multiLevelType w:val="multilevel"/>
    <w:tmpl w:val="F5846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5A2D74"/>
    <w:multiLevelType w:val="hybridMultilevel"/>
    <w:tmpl w:val="FAA898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97B1C84"/>
    <w:multiLevelType w:val="hybridMultilevel"/>
    <w:tmpl w:val="58063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D7CC1"/>
    <w:multiLevelType w:val="hybridMultilevel"/>
    <w:tmpl w:val="AFBC3272"/>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4F172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F00B10"/>
    <w:multiLevelType w:val="hybridMultilevel"/>
    <w:tmpl w:val="0C0A2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902B4D"/>
    <w:multiLevelType w:val="hybridMultilevel"/>
    <w:tmpl w:val="0794013E"/>
    <w:lvl w:ilvl="0" w:tplc="01BA7D02">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1052F4"/>
    <w:multiLevelType w:val="hybridMultilevel"/>
    <w:tmpl w:val="47DA0CF8"/>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981C64"/>
    <w:multiLevelType w:val="hybridMultilevel"/>
    <w:tmpl w:val="89EEF2E0"/>
    <w:lvl w:ilvl="0" w:tplc="90E07E2A">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47B6585A"/>
    <w:multiLevelType w:val="hybridMultilevel"/>
    <w:tmpl w:val="1A465FAE"/>
    <w:lvl w:ilvl="0" w:tplc="0948527E">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9" w15:restartNumberingAfterBreak="0">
    <w:nsid w:val="49C12875"/>
    <w:multiLevelType w:val="hybridMultilevel"/>
    <w:tmpl w:val="8E6660B8"/>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0E4353"/>
    <w:multiLevelType w:val="hybridMultilevel"/>
    <w:tmpl w:val="A78EA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A30122"/>
    <w:multiLevelType w:val="hybridMultilevel"/>
    <w:tmpl w:val="2D78D68E"/>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55E0A"/>
    <w:multiLevelType w:val="hybridMultilevel"/>
    <w:tmpl w:val="D9B48BF0"/>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BA1D66"/>
    <w:multiLevelType w:val="hybridMultilevel"/>
    <w:tmpl w:val="09DA32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424000F"/>
    <w:multiLevelType w:val="hybridMultilevel"/>
    <w:tmpl w:val="D5105AC0"/>
    <w:lvl w:ilvl="0" w:tplc="930485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712C61"/>
    <w:multiLevelType w:val="hybridMultilevel"/>
    <w:tmpl w:val="82BE501E"/>
    <w:lvl w:ilvl="0" w:tplc="53A6975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7E6247"/>
    <w:multiLevelType w:val="hybridMultilevel"/>
    <w:tmpl w:val="F8AC9A8E"/>
    <w:lvl w:ilvl="0" w:tplc="96CC73D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3E3DE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211C7E"/>
    <w:multiLevelType w:val="hybridMultilevel"/>
    <w:tmpl w:val="CCEE445E"/>
    <w:lvl w:ilvl="0" w:tplc="503685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A487E74"/>
    <w:multiLevelType w:val="hybridMultilevel"/>
    <w:tmpl w:val="1BF62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922B69"/>
    <w:multiLevelType w:val="hybridMultilevel"/>
    <w:tmpl w:val="4DF293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35468841">
    <w:abstractNumId w:val="6"/>
  </w:num>
  <w:num w:numId="2" w16cid:durableId="667097342">
    <w:abstractNumId w:val="9"/>
  </w:num>
  <w:num w:numId="3" w16cid:durableId="628778382">
    <w:abstractNumId w:val="3"/>
  </w:num>
  <w:num w:numId="4" w16cid:durableId="2064715599">
    <w:abstractNumId w:val="5"/>
  </w:num>
  <w:num w:numId="5" w16cid:durableId="975111498">
    <w:abstractNumId w:val="24"/>
  </w:num>
  <w:num w:numId="6" w16cid:durableId="1193375359">
    <w:abstractNumId w:val="21"/>
  </w:num>
  <w:num w:numId="7" w16cid:durableId="1001474073">
    <w:abstractNumId w:val="30"/>
  </w:num>
  <w:num w:numId="8" w16cid:durableId="738942700">
    <w:abstractNumId w:val="4"/>
  </w:num>
  <w:num w:numId="9" w16cid:durableId="23678203">
    <w:abstractNumId w:val="19"/>
  </w:num>
  <w:num w:numId="10" w16cid:durableId="1578635169">
    <w:abstractNumId w:val="29"/>
  </w:num>
  <w:num w:numId="11" w16cid:durableId="1356733459">
    <w:abstractNumId w:val="14"/>
  </w:num>
  <w:num w:numId="12" w16cid:durableId="14889766">
    <w:abstractNumId w:val="8"/>
  </w:num>
  <w:num w:numId="13" w16cid:durableId="2067298506">
    <w:abstractNumId w:val="2"/>
  </w:num>
  <w:num w:numId="14" w16cid:durableId="906841582">
    <w:abstractNumId w:val="16"/>
  </w:num>
  <w:num w:numId="15" w16cid:durableId="1040593927">
    <w:abstractNumId w:val="15"/>
  </w:num>
  <w:num w:numId="16" w16cid:durableId="337074669">
    <w:abstractNumId w:val="17"/>
  </w:num>
  <w:num w:numId="17" w16cid:durableId="1739353716">
    <w:abstractNumId w:val="18"/>
  </w:num>
  <w:num w:numId="18" w16cid:durableId="521168762">
    <w:abstractNumId w:val="7"/>
  </w:num>
  <w:num w:numId="19" w16cid:durableId="481389266">
    <w:abstractNumId w:val="11"/>
  </w:num>
  <w:num w:numId="20" w16cid:durableId="1157720798">
    <w:abstractNumId w:val="20"/>
  </w:num>
  <w:num w:numId="21" w16cid:durableId="2101683484">
    <w:abstractNumId w:val="10"/>
  </w:num>
  <w:num w:numId="22" w16cid:durableId="1719275901">
    <w:abstractNumId w:val="23"/>
  </w:num>
  <w:num w:numId="23" w16cid:durableId="1734422216">
    <w:abstractNumId w:val="26"/>
  </w:num>
  <w:num w:numId="24" w16cid:durableId="2001931915">
    <w:abstractNumId w:val="22"/>
  </w:num>
  <w:num w:numId="25" w16cid:durableId="1301305981">
    <w:abstractNumId w:val="28"/>
  </w:num>
  <w:num w:numId="26" w16cid:durableId="1013457704">
    <w:abstractNumId w:val="25"/>
  </w:num>
  <w:num w:numId="27" w16cid:durableId="1595937290">
    <w:abstractNumId w:val="0"/>
  </w:num>
  <w:num w:numId="28" w16cid:durableId="1276862187">
    <w:abstractNumId w:val="13"/>
  </w:num>
  <w:num w:numId="29" w16cid:durableId="983462535">
    <w:abstractNumId w:val="27"/>
  </w:num>
  <w:num w:numId="30" w16cid:durableId="240794045">
    <w:abstractNumId w:val="1"/>
  </w:num>
  <w:num w:numId="31" w16cid:durableId="1577469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A"/>
    <w:rsid w:val="001123CB"/>
    <w:rsid w:val="001514CF"/>
    <w:rsid w:val="00152F21"/>
    <w:rsid w:val="00167BD2"/>
    <w:rsid w:val="0018268F"/>
    <w:rsid w:val="00190338"/>
    <w:rsid w:val="002408CE"/>
    <w:rsid w:val="002810B1"/>
    <w:rsid w:val="00284C93"/>
    <w:rsid w:val="002E648F"/>
    <w:rsid w:val="003814B0"/>
    <w:rsid w:val="003D002D"/>
    <w:rsid w:val="004412DF"/>
    <w:rsid w:val="004526DC"/>
    <w:rsid w:val="00470E90"/>
    <w:rsid w:val="004739C7"/>
    <w:rsid w:val="0047468F"/>
    <w:rsid w:val="00496096"/>
    <w:rsid w:val="004C42F2"/>
    <w:rsid w:val="00520B4F"/>
    <w:rsid w:val="00536B9D"/>
    <w:rsid w:val="00557AE1"/>
    <w:rsid w:val="00561A70"/>
    <w:rsid w:val="00586ED1"/>
    <w:rsid w:val="005D76AA"/>
    <w:rsid w:val="00655318"/>
    <w:rsid w:val="00674014"/>
    <w:rsid w:val="00691455"/>
    <w:rsid w:val="00697339"/>
    <w:rsid w:val="006D16DF"/>
    <w:rsid w:val="006D48DD"/>
    <w:rsid w:val="00714229"/>
    <w:rsid w:val="00722756"/>
    <w:rsid w:val="007728ED"/>
    <w:rsid w:val="0080705E"/>
    <w:rsid w:val="00810011"/>
    <w:rsid w:val="00812209"/>
    <w:rsid w:val="00834E0C"/>
    <w:rsid w:val="008B58EA"/>
    <w:rsid w:val="008D5258"/>
    <w:rsid w:val="008E75CC"/>
    <w:rsid w:val="009356E4"/>
    <w:rsid w:val="00986050"/>
    <w:rsid w:val="00A114ED"/>
    <w:rsid w:val="00A21FA6"/>
    <w:rsid w:val="00A75CB5"/>
    <w:rsid w:val="00A84CBA"/>
    <w:rsid w:val="00A90CC2"/>
    <w:rsid w:val="00AD7A79"/>
    <w:rsid w:val="00AE2391"/>
    <w:rsid w:val="00B1165B"/>
    <w:rsid w:val="00B1303E"/>
    <w:rsid w:val="00B60C4A"/>
    <w:rsid w:val="00B7704C"/>
    <w:rsid w:val="00B84843"/>
    <w:rsid w:val="00BA5474"/>
    <w:rsid w:val="00BE2A0C"/>
    <w:rsid w:val="00BF6440"/>
    <w:rsid w:val="00C55A9C"/>
    <w:rsid w:val="00CA5957"/>
    <w:rsid w:val="00CD0750"/>
    <w:rsid w:val="00D12640"/>
    <w:rsid w:val="00E01D9C"/>
    <w:rsid w:val="00EC430A"/>
    <w:rsid w:val="00ED11E8"/>
    <w:rsid w:val="00EF6F02"/>
    <w:rsid w:val="00F12A21"/>
    <w:rsid w:val="00F701EC"/>
    <w:rsid w:val="00F86587"/>
    <w:rsid w:val="00FA2E09"/>
    <w:rsid w:val="00FB4B56"/>
    <w:rsid w:val="00FD279C"/>
    <w:rsid w:val="00FE3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F68DD"/>
  <w15:chartTrackingRefBased/>
  <w15:docId w15:val="{7D6CA8C1-7394-441B-921F-2DA456FF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5B"/>
    <w:rPr>
      <w:rFonts w:ascii="Marianne" w:hAnsi="Marianne"/>
      <w:sz w:val="20"/>
      <w:szCs w:val="20"/>
    </w:rPr>
  </w:style>
  <w:style w:type="paragraph" w:styleId="Titre1">
    <w:name w:val="heading 1"/>
    <w:basedOn w:val="Normal"/>
    <w:next w:val="Normal"/>
    <w:link w:val="Titre1Car"/>
    <w:uiPriority w:val="9"/>
    <w:qFormat/>
    <w:rsid w:val="00812209"/>
    <w:pPr>
      <w:jc w:val="center"/>
      <w:outlineLvl w:val="0"/>
    </w:pPr>
    <w:rPr>
      <w:rFonts w:ascii="Marianne Medium" w:hAnsi="Marianne Medium"/>
      <w:b/>
      <w:bCs/>
      <w:sz w:val="40"/>
      <w:szCs w:val="44"/>
    </w:rPr>
  </w:style>
  <w:style w:type="paragraph" w:styleId="Titre2">
    <w:name w:val="heading 2"/>
    <w:basedOn w:val="Normal"/>
    <w:next w:val="Normal"/>
    <w:link w:val="Titre2Car"/>
    <w:uiPriority w:val="9"/>
    <w:unhideWhenUsed/>
    <w:qFormat/>
    <w:rsid w:val="00FE3D85"/>
    <w:pPr>
      <w:keepNext/>
      <w:keepLines/>
      <w:numPr>
        <w:numId w:val="15"/>
      </w:numPr>
      <w:spacing w:before="40" w:after="240"/>
      <w:outlineLvl w:val="1"/>
    </w:pPr>
    <w:rPr>
      <w:rFonts w:ascii="Marianne Medium" w:eastAsiaTheme="majorEastAsia" w:hAnsi="Marianne Medium" w:cstheme="majorBidi"/>
      <w:color w:val="2F5496" w:themeColor="accent1" w:themeShade="BF"/>
      <w:sz w:val="28"/>
      <w:szCs w:val="28"/>
    </w:rPr>
  </w:style>
  <w:style w:type="paragraph" w:styleId="Titre3">
    <w:name w:val="heading 3"/>
    <w:basedOn w:val="Normal"/>
    <w:next w:val="Normal"/>
    <w:link w:val="Titre3Car"/>
    <w:uiPriority w:val="9"/>
    <w:unhideWhenUsed/>
    <w:qFormat/>
    <w:rsid w:val="00FE3D85"/>
    <w:pPr>
      <w:keepNext/>
      <w:keepLines/>
      <w:spacing w:before="40" w:after="240"/>
      <w:ind w:left="720" w:hanging="360"/>
      <w:jc w:val="both"/>
      <w:outlineLvl w:val="2"/>
    </w:pPr>
    <w:rPr>
      <w:rFonts w:ascii="Marianne Light" w:eastAsiaTheme="majorEastAsia" w:hAnsi="Marianne Light" w:cstheme="majorBidi"/>
      <w:color w:val="2F5496" w:themeColor="accent1" w:themeShade="BF"/>
      <w:sz w:val="24"/>
      <w:szCs w:val="24"/>
    </w:rPr>
  </w:style>
  <w:style w:type="paragraph" w:styleId="Titre4">
    <w:name w:val="heading 4"/>
    <w:basedOn w:val="Normal"/>
    <w:next w:val="Normal"/>
    <w:link w:val="Titre4Car"/>
    <w:uiPriority w:val="9"/>
    <w:semiHidden/>
    <w:unhideWhenUsed/>
    <w:qFormat/>
    <w:rsid w:val="00A84C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76AA"/>
    <w:pPr>
      <w:ind w:left="720"/>
      <w:contextualSpacing/>
    </w:pPr>
  </w:style>
  <w:style w:type="character" w:styleId="Marquedecommentaire">
    <w:name w:val="annotation reference"/>
    <w:basedOn w:val="Policepardfaut"/>
    <w:uiPriority w:val="99"/>
    <w:semiHidden/>
    <w:unhideWhenUsed/>
    <w:rsid w:val="008B58EA"/>
    <w:rPr>
      <w:sz w:val="16"/>
      <w:szCs w:val="16"/>
    </w:rPr>
  </w:style>
  <w:style w:type="paragraph" w:styleId="Commentaire">
    <w:name w:val="annotation text"/>
    <w:basedOn w:val="Normal"/>
    <w:link w:val="CommentaireCar"/>
    <w:uiPriority w:val="99"/>
    <w:semiHidden/>
    <w:unhideWhenUsed/>
    <w:rsid w:val="008B58EA"/>
    <w:pPr>
      <w:spacing w:line="240" w:lineRule="auto"/>
    </w:pPr>
  </w:style>
  <w:style w:type="character" w:customStyle="1" w:styleId="CommentaireCar">
    <w:name w:val="Commentaire Car"/>
    <w:basedOn w:val="Policepardfaut"/>
    <w:link w:val="Commentaire"/>
    <w:uiPriority w:val="99"/>
    <w:semiHidden/>
    <w:rsid w:val="008B58EA"/>
    <w:rPr>
      <w:sz w:val="20"/>
      <w:szCs w:val="20"/>
    </w:rPr>
  </w:style>
  <w:style w:type="paragraph" w:styleId="Objetducommentaire">
    <w:name w:val="annotation subject"/>
    <w:basedOn w:val="Commentaire"/>
    <w:next w:val="Commentaire"/>
    <w:link w:val="ObjetducommentaireCar"/>
    <w:uiPriority w:val="99"/>
    <w:semiHidden/>
    <w:unhideWhenUsed/>
    <w:rsid w:val="008B58EA"/>
    <w:rPr>
      <w:b/>
      <w:bCs/>
    </w:rPr>
  </w:style>
  <w:style w:type="character" w:customStyle="1" w:styleId="ObjetducommentaireCar">
    <w:name w:val="Objet du commentaire Car"/>
    <w:basedOn w:val="CommentaireCar"/>
    <w:link w:val="Objetducommentaire"/>
    <w:uiPriority w:val="99"/>
    <w:semiHidden/>
    <w:rsid w:val="008B58EA"/>
    <w:rPr>
      <w:b/>
      <w:bCs/>
      <w:sz w:val="20"/>
      <w:szCs w:val="20"/>
    </w:rPr>
  </w:style>
  <w:style w:type="character" w:customStyle="1" w:styleId="Titre2Car">
    <w:name w:val="Titre 2 Car"/>
    <w:basedOn w:val="Policepardfaut"/>
    <w:link w:val="Titre2"/>
    <w:uiPriority w:val="9"/>
    <w:rsid w:val="00FE3D85"/>
    <w:rPr>
      <w:rFonts w:ascii="Marianne Medium" w:eastAsiaTheme="majorEastAsia" w:hAnsi="Marianne Medium" w:cstheme="majorBidi"/>
      <w:color w:val="2F5496" w:themeColor="accent1" w:themeShade="BF"/>
      <w:sz w:val="28"/>
      <w:szCs w:val="28"/>
    </w:rPr>
  </w:style>
  <w:style w:type="character" w:customStyle="1" w:styleId="Titre3Car">
    <w:name w:val="Titre 3 Car"/>
    <w:basedOn w:val="Policepardfaut"/>
    <w:link w:val="Titre3"/>
    <w:uiPriority w:val="9"/>
    <w:rsid w:val="00FE3D85"/>
    <w:rPr>
      <w:rFonts w:ascii="Marianne Light" w:eastAsiaTheme="majorEastAsia" w:hAnsi="Marianne Light" w:cstheme="majorBidi"/>
      <w:color w:val="2F5496" w:themeColor="accent1" w:themeShade="BF"/>
      <w:sz w:val="24"/>
      <w:szCs w:val="24"/>
    </w:rPr>
  </w:style>
  <w:style w:type="character" w:customStyle="1" w:styleId="Titre1Car">
    <w:name w:val="Titre 1 Car"/>
    <w:basedOn w:val="Policepardfaut"/>
    <w:link w:val="Titre1"/>
    <w:uiPriority w:val="9"/>
    <w:rsid w:val="00812209"/>
    <w:rPr>
      <w:rFonts w:ascii="Marianne Medium" w:hAnsi="Marianne Medium"/>
      <w:b/>
      <w:bCs/>
      <w:sz w:val="40"/>
      <w:szCs w:val="44"/>
    </w:rPr>
  </w:style>
  <w:style w:type="paragraph" w:styleId="En-ttedetabledesmatires">
    <w:name w:val="TOC Heading"/>
    <w:basedOn w:val="Titre1"/>
    <w:next w:val="Normal"/>
    <w:uiPriority w:val="39"/>
    <w:unhideWhenUsed/>
    <w:qFormat/>
    <w:rsid w:val="00FE3D85"/>
    <w:pPr>
      <w:outlineLvl w:val="9"/>
    </w:pPr>
    <w:rPr>
      <w:lang w:eastAsia="fr-FR"/>
    </w:rPr>
  </w:style>
  <w:style w:type="paragraph" w:styleId="TM2">
    <w:name w:val="toc 2"/>
    <w:basedOn w:val="Normal"/>
    <w:next w:val="Normal"/>
    <w:autoRedefine/>
    <w:uiPriority w:val="39"/>
    <w:unhideWhenUsed/>
    <w:rsid w:val="00FE3D85"/>
    <w:pPr>
      <w:spacing w:after="100"/>
      <w:ind w:left="220"/>
    </w:pPr>
  </w:style>
  <w:style w:type="paragraph" w:styleId="TM3">
    <w:name w:val="toc 3"/>
    <w:basedOn w:val="Normal"/>
    <w:next w:val="Normal"/>
    <w:autoRedefine/>
    <w:uiPriority w:val="39"/>
    <w:unhideWhenUsed/>
    <w:rsid w:val="00FE3D85"/>
    <w:pPr>
      <w:spacing w:after="100"/>
      <w:ind w:left="440"/>
    </w:pPr>
  </w:style>
  <w:style w:type="character" w:styleId="Lienhypertexte">
    <w:name w:val="Hyperlink"/>
    <w:basedOn w:val="Policepardfaut"/>
    <w:uiPriority w:val="99"/>
    <w:unhideWhenUsed/>
    <w:rsid w:val="00FE3D85"/>
    <w:rPr>
      <w:color w:val="0563C1" w:themeColor="hyperlink"/>
      <w:u w:val="single"/>
    </w:rPr>
  </w:style>
  <w:style w:type="paragraph" w:customStyle="1" w:styleId="Default">
    <w:name w:val="Default"/>
    <w:rsid w:val="00FE3D85"/>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E3D85"/>
    <w:pPr>
      <w:tabs>
        <w:tab w:val="center" w:pos="4536"/>
        <w:tab w:val="right" w:pos="9072"/>
      </w:tabs>
      <w:spacing w:after="0" w:line="240" w:lineRule="auto"/>
    </w:pPr>
  </w:style>
  <w:style w:type="character" w:customStyle="1" w:styleId="En-tteCar">
    <w:name w:val="En-tête Car"/>
    <w:basedOn w:val="Policepardfaut"/>
    <w:link w:val="En-tte"/>
    <w:uiPriority w:val="99"/>
    <w:rsid w:val="00FE3D85"/>
  </w:style>
  <w:style w:type="paragraph" w:styleId="Pieddepage">
    <w:name w:val="footer"/>
    <w:basedOn w:val="Normal"/>
    <w:link w:val="PieddepageCar"/>
    <w:uiPriority w:val="99"/>
    <w:unhideWhenUsed/>
    <w:rsid w:val="00FE3D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D85"/>
  </w:style>
  <w:style w:type="table" w:styleId="Grilledutableau">
    <w:name w:val="Table Grid"/>
    <w:basedOn w:val="TableauNormal"/>
    <w:uiPriority w:val="39"/>
    <w:rsid w:val="0081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812209"/>
    <w:pPr>
      <w:jc w:val="center"/>
    </w:pPr>
  </w:style>
  <w:style w:type="character" w:customStyle="1" w:styleId="Sous-titreCar">
    <w:name w:val="Sous-titre Car"/>
    <w:basedOn w:val="Policepardfaut"/>
    <w:link w:val="Sous-titre"/>
    <w:uiPriority w:val="11"/>
    <w:rsid w:val="00812209"/>
  </w:style>
  <w:style w:type="paragraph" w:styleId="TM1">
    <w:name w:val="toc 1"/>
    <w:basedOn w:val="Normal"/>
    <w:next w:val="Normal"/>
    <w:autoRedefine/>
    <w:uiPriority w:val="39"/>
    <w:unhideWhenUsed/>
    <w:rsid w:val="0080705E"/>
    <w:pPr>
      <w:spacing w:after="100"/>
    </w:pPr>
  </w:style>
  <w:style w:type="character" w:styleId="Mentionnonrsolue">
    <w:name w:val="Unresolved Mention"/>
    <w:basedOn w:val="Policepardfaut"/>
    <w:uiPriority w:val="99"/>
    <w:semiHidden/>
    <w:unhideWhenUsed/>
    <w:rsid w:val="00B60C4A"/>
    <w:rPr>
      <w:color w:val="605E5C"/>
      <w:shd w:val="clear" w:color="auto" w:fill="E1DFDD"/>
    </w:rPr>
  </w:style>
  <w:style w:type="character" w:customStyle="1" w:styleId="Titre4Car">
    <w:name w:val="Titre 4 Car"/>
    <w:basedOn w:val="Policepardfaut"/>
    <w:link w:val="Titre4"/>
    <w:uiPriority w:val="9"/>
    <w:semiHidden/>
    <w:rsid w:val="00A84CBA"/>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834">
      <w:bodyDiv w:val="1"/>
      <w:marLeft w:val="0"/>
      <w:marRight w:val="0"/>
      <w:marTop w:val="0"/>
      <w:marBottom w:val="0"/>
      <w:divBdr>
        <w:top w:val="none" w:sz="0" w:space="0" w:color="auto"/>
        <w:left w:val="none" w:sz="0" w:space="0" w:color="auto"/>
        <w:bottom w:val="none" w:sz="0" w:space="0" w:color="auto"/>
        <w:right w:val="none" w:sz="0" w:space="0" w:color="auto"/>
      </w:divBdr>
    </w:div>
    <w:div w:id="804354922">
      <w:bodyDiv w:val="1"/>
      <w:marLeft w:val="0"/>
      <w:marRight w:val="0"/>
      <w:marTop w:val="0"/>
      <w:marBottom w:val="0"/>
      <w:divBdr>
        <w:top w:val="none" w:sz="0" w:space="0" w:color="auto"/>
        <w:left w:val="none" w:sz="0" w:space="0" w:color="auto"/>
        <w:bottom w:val="none" w:sz="0" w:space="0" w:color="auto"/>
        <w:right w:val="none" w:sz="0" w:space="0" w:color="auto"/>
      </w:divBdr>
    </w:div>
    <w:div w:id="990402911">
      <w:bodyDiv w:val="1"/>
      <w:marLeft w:val="0"/>
      <w:marRight w:val="0"/>
      <w:marTop w:val="0"/>
      <w:marBottom w:val="0"/>
      <w:divBdr>
        <w:top w:val="none" w:sz="0" w:space="0" w:color="auto"/>
        <w:left w:val="none" w:sz="0" w:space="0" w:color="auto"/>
        <w:bottom w:val="none" w:sz="0" w:space="0" w:color="auto"/>
        <w:right w:val="none" w:sz="0" w:space="0" w:color="auto"/>
      </w:divBdr>
    </w:div>
    <w:div w:id="991330102">
      <w:bodyDiv w:val="1"/>
      <w:marLeft w:val="0"/>
      <w:marRight w:val="0"/>
      <w:marTop w:val="0"/>
      <w:marBottom w:val="0"/>
      <w:divBdr>
        <w:top w:val="none" w:sz="0" w:space="0" w:color="auto"/>
        <w:left w:val="none" w:sz="0" w:space="0" w:color="auto"/>
        <w:bottom w:val="none" w:sz="0" w:space="0" w:color="auto"/>
        <w:right w:val="none" w:sz="0" w:space="0" w:color="auto"/>
      </w:divBdr>
    </w:div>
    <w:div w:id="1927952799">
      <w:bodyDiv w:val="1"/>
      <w:marLeft w:val="0"/>
      <w:marRight w:val="0"/>
      <w:marTop w:val="0"/>
      <w:marBottom w:val="0"/>
      <w:divBdr>
        <w:top w:val="none" w:sz="0" w:space="0" w:color="auto"/>
        <w:left w:val="none" w:sz="0" w:space="0" w:color="auto"/>
        <w:bottom w:val="none" w:sz="0" w:space="0" w:color="auto"/>
        <w:right w:val="none" w:sz="0" w:space="0" w:color="auto"/>
      </w:divBdr>
    </w:div>
    <w:div w:id="19606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e.chorus-pro.gouv.fr/#/accue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te.uamp.disp-strasbourg@justi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ffe.ta-strasbourg@juradm.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rches-publics.gouv.fr/entreprise" TargetMode="External"/><Relationship Id="rId4" Type="http://schemas.openxmlformats.org/officeDocument/2006/relationships/settings" Target="settings.xml"/><Relationship Id="rId9" Type="http://schemas.openxmlformats.org/officeDocument/2006/relationships/hyperlink" Target="https://communaute.chorus-pro.gouv.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C86-ACAB-4577-8CCF-D38D6005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2258</Words>
  <Characters>12423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GINDREY Estelle</dc:creator>
  <cp:keywords/>
  <dc:description/>
  <cp:lastModifiedBy>GINDREY Estelle</cp:lastModifiedBy>
  <cp:revision>47</cp:revision>
  <dcterms:created xsi:type="dcterms:W3CDTF">2025-04-24T13:46:00Z</dcterms:created>
  <dcterms:modified xsi:type="dcterms:W3CDTF">2025-09-10T09:30:00Z</dcterms:modified>
</cp:coreProperties>
</file>