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0BE9B" w14:textId="77777777" w:rsidR="00CA3002" w:rsidRDefault="00CA3002" w:rsidP="002451EA"/>
    <w:p w14:paraId="3656AAD1" w14:textId="794AFFD5" w:rsidR="00CA3002" w:rsidRDefault="00CA3002" w:rsidP="002451EA"/>
    <w:p w14:paraId="4FD42BBF" w14:textId="588D0DC9" w:rsidR="00CA3002" w:rsidRPr="00D670B6" w:rsidRDefault="00CA3002" w:rsidP="00D670B6">
      <w:pPr>
        <w:jc w:val="center"/>
        <w:rPr>
          <w:sz w:val="28"/>
          <w:szCs w:val="32"/>
        </w:rPr>
      </w:pPr>
      <w:r w:rsidRPr="00D670B6">
        <w:rPr>
          <w:sz w:val="28"/>
          <w:szCs w:val="32"/>
        </w:rPr>
        <w:t>MARCHE PUBLIC DE FOURNITURES COURANTES ET SERVICES</w:t>
      </w:r>
    </w:p>
    <w:p w14:paraId="199F13A8" w14:textId="30D2A25B" w:rsidR="00CA3002" w:rsidRPr="00D670B6" w:rsidRDefault="00CA3002" w:rsidP="00D670B6">
      <w:pPr>
        <w:jc w:val="center"/>
        <w:rPr>
          <w:sz w:val="36"/>
          <w:szCs w:val="40"/>
        </w:rPr>
      </w:pPr>
    </w:p>
    <w:p w14:paraId="06C1E2A3" w14:textId="77777777" w:rsidR="00CA3002" w:rsidRPr="00D670B6" w:rsidRDefault="00CA3002" w:rsidP="00D670B6">
      <w:pPr>
        <w:jc w:val="center"/>
        <w:rPr>
          <w:sz w:val="36"/>
          <w:szCs w:val="40"/>
        </w:rPr>
      </w:pPr>
    </w:p>
    <w:p w14:paraId="57202915" w14:textId="77777777" w:rsidR="00CA3002" w:rsidRPr="00D670B6" w:rsidRDefault="00CA3002" w:rsidP="00D670B6">
      <w:pPr>
        <w:jc w:val="center"/>
        <w:rPr>
          <w:b/>
          <w:bCs/>
          <w:sz w:val="36"/>
          <w:szCs w:val="40"/>
        </w:rPr>
      </w:pPr>
      <w:r w:rsidRPr="00D670B6">
        <w:rPr>
          <w:b/>
          <w:bCs/>
          <w:sz w:val="36"/>
          <w:szCs w:val="40"/>
        </w:rPr>
        <w:t>Prestation de collecte et de revalorisation des biodéchets pour les établissements pénitentiaires de la Direction interrégionale des services pénitentiaires du Grand Est</w:t>
      </w:r>
    </w:p>
    <w:p w14:paraId="07D4E85E" w14:textId="230EA0A4" w:rsidR="00CA3002" w:rsidRPr="00491CF1" w:rsidRDefault="00CA3002" w:rsidP="00D670B6">
      <w:pPr>
        <w:jc w:val="center"/>
        <w:rPr>
          <w:sz w:val="36"/>
          <w:szCs w:val="40"/>
          <w:u w:val="single"/>
        </w:rPr>
      </w:pPr>
      <w:r w:rsidRPr="00491CF1">
        <w:rPr>
          <w:sz w:val="36"/>
          <w:szCs w:val="40"/>
          <w:u w:val="single"/>
        </w:rPr>
        <w:t>Marché n</w:t>
      </w:r>
      <w:r w:rsidRPr="00CB6FA4">
        <w:rPr>
          <w:sz w:val="36"/>
          <w:szCs w:val="40"/>
          <w:u w:val="single"/>
        </w:rPr>
        <w:t>°25DISP67DBF</w:t>
      </w:r>
      <w:r w:rsidR="00CB6FA4" w:rsidRPr="00CB6FA4">
        <w:rPr>
          <w:sz w:val="36"/>
          <w:szCs w:val="40"/>
          <w:u w:val="single"/>
        </w:rPr>
        <w:t>30</w:t>
      </w:r>
    </w:p>
    <w:p w14:paraId="0DE31A8B" w14:textId="466F245B" w:rsidR="00CA3002" w:rsidRPr="00D670B6" w:rsidRDefault="00CA3002" w:rsidP="00D670B6">
      <w:pPr>
        <w:jc w:val="center"/>
        <w:rPr>
          <w:sz w:val="36"/>
          <w:szCs w:val="40"/>
        </w:rPr>
      </w:pPr>
      <w:r w:rsidRPr="00D670B6">
        <w:rPr>
          <w:noProof/>
          <w:sz w:val="36"/>
          <w:szCs w:val="40"/>
        </w:rPr>
        <mc:AlternateContent>
          <mc:Choice Requires="wps">
            <w:drawing>
              <wp:anchor distT="0" distB="0" distL="114300" distR="114300" simplePos="0" relativeHeight="251659264" behindDoc="0" locked="0" layoutInCell="1" allowOverlap="1" wp14:anchorId="1E290F01" wp14:editId="4ECC633B">
                <wp:simplePos x="0" y="0"/>
                <wp:positionH relativeFrom="column">
                  <wp:posOffset>-126072</wp:posOffset>
                </wp:positionH>
                <wp:positionV relativeFrom="paragraph">
                  <wp:posOffset>338426</wp:posOffset>
                </wp:positionV>
                <wp:extent cx="6029325" cy="1050053"/>
                <wp:effectExtent l="0" t="0" r="28575" b="17145"/>
                <wp:wrapNone/>
                <wp:docPr id="7" name="Rectangle 7"/>
                <wp:cNvGraphicFramePr/>
                <a:graphic xmlns:a="http://schemas.openxmlformats.org/drawingml/2006/main">
                  <a:graphicData uri="http://schemas.microsoft.com/office/word/2010/wordprocessingShape">
                    <wps:wsp>
                      <wps:cNvSpPr/>
                      <wps:spPr>
                        <a:xfrm>
                          <a:off x="0" y="0"/>
                          <a:ext cx="6029325" cy="105005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F2A7E7" id="Rectangle 7" o:spid="_x0000_s1026" style="position:absolute;margin-left:-9.95pt;margin-top:26.65pt;width:474.75pt;height:8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" filled="f" strokecolor="#0a2f40 [1604]" strokeweight="1pt"/>
            </w:pict>
          </mc:Fallback>
        </mc:AlternateContent>
      </w:r>
    </w:p>
    <w:p w14:paraId="5C7E0968" w14:textId="53997953" w:rsidR="00CA3002" w:rsidRPr="00491CF1" w:rsidRDefault="00CA3002" w:rsidP="00D670B6">
      <w:pPr>
        <w:jc w:val="center"/>
        <w:rPr>
          <w:b/>
          <w:bCs/>
          <w:sz w:val="40"/>
          <w:szCs w:val="44"/>
        </w:rPr>
      </w:pPr>
      <w:r w:rsidRPr="00491CF1">
        <w:rPr>
          <w:b/>
          <w:bCs/>
          <w:sz w:val="40"/>
          <w:szCs w:val="44"/>
        </w:rPr>
        <w:t>CAHIER DES CLAUSES TECHNIQUES PARTICULIÈRES (CCTP)</w:t>
      </w:r>
      <w:r w:rsidR="00DA3B4F">
        <w:rPr>
          <w:b/>
          <w:bCs/>
          <w:sz w:val="40"/>
          <w:szCs w:val="44"/>
        </w:rPr>
        <w:t xml:space="preserve"> commun aux 16 lots</w:t>
      </w:r>
    </w:p>
    <w:p w14:paraId="6A3BBC7C" w14:textId="77777777" w:rsidR="00CA3002" w:rsidRDefault="00CA3002" w:rsidP="00D670B6">
      <w:pPr>
        <w:pStyle w:val="Default"/>
        <w:jc w:val="center"/>
      </w:pPr>
    </w:p>
    <w:p w14:paraId="10BADBDC" w14:textId="77777777" w:rsidR="00CA3002" w:rsidRDefault="00CA3002" w:rsidP="00D670B6">
      <w:pPr>
        <w:jc w:val="center"/>
      </w:pPr>
    </w:p>
    <w:p w14:paraId="6B912F3B" w14:textId="028ADBEE" w:rsidR="00CA3002" w:rsidRPr="00D670B6" w:rsidRDefault="00CA3002" w:rsidP="00D670B6">
      <w:pPr>
        <w:jc w:val="center"/>
        <w:rPr>
          <w:rFonts w:ascii="Marianne Medium" w:hAnsi="Marianne Medium"/>
          <w:b/>
          <w:bCs/>
          <w:i/>
          <w:iCs/>
          <w:sz w:val="40"/>
          <w:szCs w:val="44"/>
        </w:rPr>
      </w:pPr>
      <w:r w:rsidRPr="00D670B6">
        <w:rPr>
          <w:i/>
          <w:iCs/>
        </w:rPr>
        <w:t>Code de la commande publique (CCP) adopté par l’ordonnance 2018-1074 du 26 novembre 2018 et le décret 2018-1075 du 3 décembre 2018</w:t>
      </w:r>
    </w:p>
    <w:p w14:paraId="3BCDDFFF" w14:textId="77777777" w:rsidR="00CA3002" w:rsidRPr="00CE61E1" w:rsidRDefault="00CA3002" w:rsidP="00D670B6">
      <w:pPr>
        <w:jc w:val="center"/>
      </w:pPr>
    </w:p>
    <w:p w14:paraId="644D4140" w14:textId="77777777" w:rsidR="00CA3002" w:rsidRDefault="00CA3002" w:rsidP="00D670B6">
      <w:pPr>
        <w:jc w:val="center"/>
      </w:pPr>
    </w:p>
    <w:p w14:paraId="02CD15E3" w14:textId="77777777" w:rsidR="00CA3002" w:rsidRDefault="00CA3002" w:rsidP="00D670B6">
      <w:pPr>
        <w:jc w:val="center"/>
      </w:pPr>
    </w:p>
    <w:p w14:paraId="2C1C9C3D" w14:textId="77777777" w:rsidR="00D670B6" w:rsidRDefault="00D670B6" w:rsidP="00D670B6">
      <w:pPr>
        <w:jc w:val="center"/>
      </w:pPr>
    </w:p>
    <w:p w14:paraId="63450AD7" w14:textId="77777777" w:rsidR="00D670B6" w:rsidRDefault="00D670B6" w:rsidP="00D670B6">
      <w:pPr>
        <w:jc w:val="center"/>
      </w:pPr>
    </w:p>
    <w:p w14:paraId="0880C1AC" w14:textId="77777777" w:rsidR="00D670B6" w:rsidRDefault="00D670B6" w:rsidP="00D670B6">
      <w:pPr>
        <w:jc w:val="center"/>
      </w:pPr>
    </w:p>
    <w:p w14:paraId="10CD4C95" w14:textId="77777777" w:rsidR="00CA3002" w:rsidRPr="00D670B6" w:rsidRDefault="00CA3002" w:rsidP="00D670B6">
      <w:pPr>
        <w:spacing w:after="0"/>
        <w:jc w:val="center"/>
        <w:rPr>
          <w:b/>
          <w:bCs/>
        </w:rPr>
      </w:pPr>
      <w:r w:rsidRPr="00D670B6">
        <w:rPr>
          <w:b/>
          <w:bCs/>
        </w:rPr>
        <w:t>DIRECTION INTERREGIONALE DES SERVICES PENITENTIAIRES DE STRASBOURG</w:t>
      </w:r>
    </w:p>
    <w:p w14:paraId="2EFF9C91" w14:textId="77777777" w:rsidR="00CA3002" w:rsidRDefault="00CA3002" w:rsidP="00D670B6">
      <w:pPr>
        <w:spacing w:after="0"/>
        <w:jc w:val="center"/>
      </w:pPr>
      <w:r>
        <w:t>19 rue Eugène Delacroix</w:t>
      </w:r>
    </w:p>
    <w:p w14:paraId="1F262624" w14:textId="77777777" w:rsidR="00CA3002" w:rsidRDefault="00CA3002" w:rsidP="00D670B6">
      <w:pPr>
        <w:spacing w:after="0"/>
        <w:jc w:val="center"/>
      </w:pPr>
      <w:r>
        <w:t>BP 16</w:t>
      </w:r>
    </w:p>
    <w:p w14:paraId="697B80AF" w14:textId="68E5983E" w:rsidR="00D670B6" w:rsidRDefault="00CA3002" w:rsidP="00491CF1">
      <w:pPr>
        <w:spacing w:after="0"/>
        <w:jc w:val="center"/>
      </w:pPr>
      <w:r>
        <w:t>67035 STRASBOURG CEDEX 2</w:t>
      </w:r>
      <w:r w:rsidR="00D670B6">
        <w:br w:type="page"/>
      </w:r>
    </w:p>
    <w:sdt>
      <w:sdtPr>
        <w:rPr>
          <w:rFonts w:ascii="Marianne" w:eastAsiaTheme="minorHAnsi" w:hAnsi="Marianne" w:cstheme="minorBidi"/>
          <w:color w:val="auto"/>
          <w:sz w:val="20"/>
          <w:szCs w:val="22"/>
          <w:lang w:eastAsia="en-US"/>
        </w:rPr>
        <w:id w:val="-1868209513"/>
        <w:docPartObj>
          <w:docPartGallery w:val="Table of Contents"/>
          <w:docPartUnique/>
        </w:docPartObj>
      </w:sdtPr>
      <w:sdtEndPr/>
      <w:sdtContent>
        <w:p w14:paraId="4A48DDC4" w14:textId="39688B10" w:rsidR="00CA3002" w:rsidRDefault="00CA3002" w:rsidP="002451EA">
          <w:pPr>
            <w:pStyle w:val="En-ttedetabledesmatires"/>
          </w:pPr>
          <w:r>
            <w:t>Table des matières</w:t>
          </w:r>
        </w:p>
        <w:p w14:paraId="4460073B" w14:textId="5FE69EC2" w:rsidR="004D1617" w:rsidRDefault="00CA3002">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r>
            <w:fldChar w:fldCharType="begin"/>
          </w:r>
          <w:r>
            <w:instrText xml:space="preserve"> TOC \o "1-3" \h \z \u </w:instrText>
          </w:r>
          <w:r>
            <w:fldChar w:fldCharType="separate"/>
          </w:r>
          <w:hyperlink w:anchor="_Toc208325422" w:history="1">
            <w:r w:rsidR="004D1617" w:rsidRPr="002B5D2A">
              <w:rPr>
                <w:rStyle w:val="Lienhypertexte"/>
                <w:noProof/>
              </w:rPr>
              <w:t>I.</w:t>
            </w:r>
            <w:r w:rsidR="004D1617">
              <w:rPr>
                <w:rFonts w:asciiTheme="minorHAnsi" w:eastAsiaTheme="minorEastAsia" w:hAnsiTheme="minorHAnsi"/>
                <w:noProof/>
                <w:kern w:val="2"/>
                <w:sz w:val="24"/>
                <w:szCs w:val="24"/>
                <w:lang w:eastAsia="fr-FR"/>
                <w14:ligatures w14:val="standardContextual"/>
              </w:rPr>
              <w:tab/>
            </w:r>
            <w:r w:rsidR="004D1617" w:rsidRPr="002B5D2A">
              <w:rPr>
                <w:rStyle w:val="Lienhypertexte"/>
                <w:noProof/>
              </w:rPr>
              <w:t>Objet du marché</w:t>
            </w:r>
            <w:r w:rsidR="004D1617">
              <w:rPr>
                <w:noProof/>
                <w:webHidden/>
              </w:rPr>
              <w:tab/>
            </w:r>
            <w:r w:rsidR="004D1617">
              <w:rPr>
                <w:noProof/>
                <w:webHidden/>
              </w:rPr>
              <w:fldChar w:fldCharType="begin"/>
            </w:r>
            <w:r w:rsidR="004D1617">
              <w:rPr>
                <w:noProof/>
                <w:webHidden/>
              </w:rPr>
              <w:instrText xml:space="preserve"> PAGEREF _Toc208325422 \h </w:instrText>
            </w:r>
            <w:r w:rsidR="004D1617">
              <w:rPr>
                <w:noProof/>
                <w:webHidden/>
              </w:rPr>
            </w:r>
            <w:r w:rsidR="004D1617">
              <w:rPr>
                <w:noProof/>
                <w:webHidden/>
              </w:rPr>
              <w:fldChar w:fldCharType="separate"/>
            </w:r>
            <w:r w:rsidR="004D1617">
              <w:rPr>
                <w:noProof/>
                <w:webHidden/>
              </w:rPr>
              <w:t>3</w:t>
            </w:r>
            <w:r w:rsidR="004D1617">
              <w:rPr>
                <w:noProof/>
                <w:webHidden/>
              </w:rPr>
              <w:fldChar w:fldCharType="end"/>
            </w:r>
          </w:hyperlink>
        </w:p>
        <w:p w14:paraId="3302444B" w14:textId="52C219A4" w:rsidR="004D1617" w:rsidRDefault="004D161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208325423" w:history="1">
            <w:r w:rsidRPr="002B5D2A">
              <w:rPr>
                <w:rStyle w:val="Lienhypertexte"/>
                <w:noProof/>
              </w:rPr>
              <w:t>1.</w:t>
            </w:r>
            <w:r>
              <w:rPr>
                <w:rFonts w:asciiTheme="minorHAnsi" w:eastAsiaTheme="minorEastAsia" w:hAnsiTheme="minorHAnsi"/>
                <w:noProof/>
                <w:kern w:val="2"/>
                <w:sz w:val="24"/>
                <w:szCs w:val="24"/>
                <w:lang w:eastAsia="fr-FR"/>
                <w14:ligatures w14:val="standardContextual"/>
              </w:rPr>
              <w:tab/>
            </w:r>
            <w:r w:rsidRPr="002B5D2A">
              <w:rPr>
                <w:rStyle w:val="Lienhypertexte"/>
                <w:noProof/>
              </w:rPr>
              <w:t>Objet</w:t>
            </w:r>
            <w:r>
              <w:rPr>
                <w:noProof/>
                <w:webHidden/>
              </w:rPr>
              <w:tab/>
            </w:r>
            <w:r>
              <w:rPr>
                <w:noProof/>
                <w:webHidden/>
              </w:rPr>
              <w:fldChar w:fldCharType="begin"/>
            </w:r>
            <w:r>
              <w:rPr>
                <w:noProof/>
                <w:webHidden/>
              </w:rPr>
              <w:instrText xml:space="preserve"> PAGEREF _Toc208325423 \h </w:instrText>
            </w:r>
            <w:r>
              <w:rPr>
                <w:noProof/>
                <w:webHidden/>
              </w:rPr>
            </w:r>
            <w:r>
              <w:rPr>
                <w:noProof/>
                <w:webHidden/>
              </w:rPr>
              <w:fldChar w:fldCharType="separate"/>
            </w:r>
            <w:r>
              <w:rPr>
                <w:noProof/>
                <w:webHidden/>
              </w:rPr>
              <w:t>3</w:t>
            </w:r>
            <w:r>
              <w:rPr>
                <w:noProof/>
                <w:webHidden/>
              </w:rPr>
              <w:fldChar w:fldCharType="end"/>
            </w:r>
          </w:hyperlink>
        </w:p>
        <w:p w14:paraId="7902AD43" w14:textId="2AE113B3" w:rsidR="004D1617" w:rsidRDefault="004D161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208325424" w:history="1">
            <w:r w:rsidRPr="002B5D2A">
              <w:rPr>
                <w:rStyle w:val="Lienhypertexte"/>
                <w:noProof/>
              </w:rPr>
              <w:t>2.</w:t>
            </w:r>
            <w:r>
              <w:rPr>
                <w:rFonts w:asciiTheme="minorHAnsi" w:eastAsiaTheme="minorEastAsia" w:hAnsiTheme="minorHAnsi"/>
                <w:noProof/>
                <w:kern w:val="2"/>
                <w:sz w:val="24"/>
                <w:szCs w:val="24"/>
                <w:lang w:eastAsia="fr-FR"/>
                <w14:ligatures w14:val="standardContextual"/>
              </w:rPr>
              <w:tab/>
            </w:r>
            <w:r w:rsidRPr="002B5D2A">
              <w:rPr>
                <w:rStyle w:val="Lienhypertexte"/>
                <w:noProof/>
              </w:rPr>
              <w:t>Contexte</w:t>
            </w:r>
            <w:r>
              <w:rPr>
                <w:noProof/>
                <w:webHidden/>
              </w:rPr>
              <w:tab/>
            </w:r>
            <w:r>
              <w:rPr>
                <w:noProof/>
                <w:webHidden/>
              </w:rPr>
              <w:fldChar w:fldCharType="begin"/>
            </w:r>
            <w:r>
              <w:rPr>
                <w:noProof/>
                <w:webHidden/>
              </w:rPr>
              <w:instrText xml:space="preserve"> PAGEREF _Toc208325424 \h </w:instrText>
            </w:r>
            <w:r>
              <w:rPr>
                <w:noProof/>
                <w:webHidden/>
              </w:rPr>
            </w:r>
            <w:r>
              <w:rPr>
                <w:noProof/>
                <w:webHidden/>
              </w:rPr>
              <w:fldChar w:fldCharType="separate"/>
            </w:r>
            <w:r>
              <w:rPr>
                <w:noProof/>
                <w:webHidden/>
              </w:rPr>
              <w:t>3</w:t>
            </w:r>
            <w:r>
              <w:rPr>
                <w:noProof/>
                <w:webHidden/>
              </w:rPr>
              <w:fldChar w:fldCharType="end"/>
            </w:r>
          </w:hyperlink>
        </w:p>
        <w:p w14:paraId="76BDD022" w14:textId="44823182" w:rsidR="004D1617" w:rsidRDefault="004D1617">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208325425" w:history="1">
            <w:r w:rsidRPr="002B5D2A">
              <w:rPr>
                <w:rStyle w:val="Lienhypertexte"/>
                <w:noProof/>
              </w:rPr>
              <w:t>II.</w:t>
            </w:r>
            <w:r>
              <w:rPr>
                <w:rFonts w:asciiTheme="minorHAnsi" w:eastAsiaTheme="minorEastAsia" w:hAnsiTheme="minorHAnsi"/>
                <w:noProof/>
                <w:kern w:val="2"/>
                <w:sz w:val="24"/>
                <w:szCs w:val="24"/>
                <w:lang w:eastAsia="fr-FR"/>
                <w14:ligatures w14:val="standardContextual"/>
              </w:rPr>
              <w:tab/>
            </w:r>
            <w:r w:rsidRPr="002B5D2A">
              <w:rPr>
                <w:rStyle w:val="Lienhypertexte"/>
                <w:noProof/>
              </w:rPr>
              <w:t>Allotissement et quantités prévisionnelles</w:t>
            </w:r>
            <w:r>
              <w:rPr>
                <w:noProof/>
                <w:webHidden/>
              </w:rPr>
              <w:tab/>
            </w:r>
            <w:r>
              <w:rPr>
                <w:noProof/>
                <w:webHidden/>
              </w:rPr>
              <w:fldChar w:fldCharType="begin"/>
            </w:r>
            <w:r>
              <w:rPr>
                <w:noProof/>
                <w:webHidden/>
              </w:rPr>
              <w:instrText xml:space="preserve"> PAGEREF _Toc208325425 \h </w:instrText>
            </w:r>
            <w:r>
              <w:rPr>
                <w:noProof/>
                <w:webHidden/>
              </w:rPr>
            </w:r>
            <w:r>
              <w:rPr>
                <w:noProof/>
                <w:webHidden/>
              </w:rPr>
              <w:fldChar w:fldCharType="separate"/>
            </w:r>
            <w:r>
              <w:rPr>
                <w:noProof/>
                <w:webHidden/>
              </w:rPr>
              <w:t>4</w:t>
            </w:r>
            <w:r>
              <w:rPr>
                <w:noProof/>
                <w:webHidden/>
              </w:rPr>
              <w:fldChar w:fldCharType="end"/>
            </w:r>
          </w:hyperlink>
        </w:p>
        <w:p w14:paraId="6AE69EA9" w14:textId="085A16E6" w:rsidR="004D1617" w:rsidRDefault="004D1617">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208325426" w:history="1">
            <w:r w:rsidRPr="002B5D2A">
              <w:rPr>
                <w:rStyle w:val="Lienhypertexte"/>
                <w:noProof/>
              </w:rPr>
              <w:t>III.</w:t>
            </w:r>
            <w:r>
              <w:rPr>
                <w:rFonts w:asciiTheme="minorHAnsi" w:eastAsiaTheme="minorEastAsia" w:hAnsiTheme="minorHAnsi"/>
                <w:noProof/>
                <w:kern w:val="2"/>
                <w:sz w:val="24"/>
                <w:szCs w:val="24"/>
                <w:lang w:eastAsia="fr-FR"/>
                <w14:ligatures w14:val="standardContextual"/>
              </w:rPr>
              <w:tab/>
            </w:r>
            <w:r w:rsidRPr="002B5D2A">
              <w:rPr>
                <w:rStyle w:val="Lienhypertexte"/>
                <w:noProof/>
              </w:rPr>
              <w:t>Définitions</w:t>
            </w:r>
            <w:r>
              <w:rPr>
                <w:noProof/>
                <w:webHidden/>
              </w:rPr>
              <w:tab/>
            </w:r>
            <w:r>
              <w:rPr>
                <w:noProof/>
                <w:webHidden/>
              </w:rPr>
              <w:fldChar w:fldCharType="begin"/>
            </w:r>
            <w:r>
              <w:rPr>
                <w:noProof/>
                <w:webHidden/>
              </w:rPr>
              <w:instrText xml:space="preserve"> PAGEREF _Toc208325426 \h </w:instrText>
            </w:r>
            <w:r>
              <w:rPr>
                <w:noProof/>
                <w:webHidden/>
              </w:rPr>
            </w:r>
            <w:r>
              <w:rPr>
                <w:noProof/>
                <w:webHidden/>
              </w:rPr>
              <w:fldChar w:fldCharType="separate"/>
            </w:r>
            <w:r>
              <w:rPr>
                <w:noProof/>
                <w:webHidden/>
              </w:rPr>
              <w:t>5</w:t>
            </w:r>
            <w:r>
              <w:rPr>
                <w:noProof/>
                <w:webHidden/>
              </w:rPr>
              <w:fldChar w:fldCharType="end"/>
            </w:r>
          </w:hyperlink>
        </w:p>
        <w:p w14:paraId="2C61B268" w14:textId="220AC377" w:rsidR="004D1617" w:rsidRDefault="004D161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208325427" w:history="1">
            <w:r w:rsidRPr="002B5D2A">
              <w:rPr>
                <w:rStyle w:val="Lienhypertexte"/>
                <w:noProof/>
              </w:rPr>
              <w:t>1.</w:t>
            </w:r>
            <w:r>
              <w:rPr>
                <w:rFonts w:asciiTheme="minorHAnsi" w:eastAsiaTheme="minorEastAsia" w:hAnsiTheme="minorHAnsi"/>
                <w:noProof/>
                <w:kern w:val="2"/>
                <w:sz w:val="24"/>
                <w:szCs w:val="24"/>
                <w:lang w:eastAsia="fr-FR"/>
                <w14:ligatures w14:val="standardContextual"/>
              </w:rPr>
              <w:tab/>
            </w:r>
            <w:r w:rsidRPr="002B5D2A">
              <w:rPr>
                <w:rStyle w:val="Lienhypertexte"/>
                <w:noProof/>
              </w:rPr>
              <w:t>Biodéchets</w:t>
            </w:r>
            <w:r>
              <w:rPr>
                <w:noProof/>
                <w:webHidden/>
              </w:rPr>
              <w:tab/>
            </w:r>
            <w:r>
              <w:rPr>
                <w:noProof/>
                <w:webHidden/>
              </w:rPr>
              <w:fldChar w:fldCharType="begin"/>
            </w:r>
            <w:r>
              <w:rPr>
                <w:noProof/>
                <w:webHidden/>
              </w:rPr>
              <w:instrText xml:space="preserve"> PAGEREF _Toc208325427 \h </w:instrText>
            </w:r>
            <w:r>
              <w:rPr>
                <w:noProof/>
                <w:webHidden/>
              </w:rPr>
            </w:r>
            <w:r>
              <w:rPr>
                <w:noProof/>
                <w:webHidden/>
              </w:rPr>
              <w:fldChar w:fldCharType="separate"/>
            </w:r>
            <w:r>
              <w:rPr>
                <w:noProof/>
                <w:webHidden/>
              </w:rPr>
              <w:t>5</w:t>
            </w:r>
            <w:r>
              <w:rPr>
                <w:noProof/>
                <w:webHidden/>
              </w:rPr>
              <w:fldChar w:fldCharType="end"/>
            </w:r>
          </w:hyperlink>
        </w:p>
        <w:p w14:paraId="3B0600BF" w14:textId="0A4136F2" w:rsidR="004D1617" w:rsidRDefault="004D161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208325428" w:history="1">
            <w:r w:rsidRPr="002B5D2A">
              <w:rPr>
                <w:rStyle w:val="Lienhypertexte"/>
                <w:noProof/>
              </w:rPr>
              <w:t>2.</w:t>
            </w:r>
            <w:r>
              <w:rPr>
                <w:rFonts w:asciiTheme="minorHAnsi" w:eastAsiaTheme="minorEastAsia" w:hAnsiTheme="minorHAnsi"/>
                <w:noProof/>
                <w:kern w:val="2"/>
                <w:sz w:val="24"/>
                <w:szCs w:val="24"/>
                <w:lang w:eastAsia="fr-FR"/>
                <w14:ligatures w14:val="standardContextual"/>
              </w:rPr>
              <w:tab/>
            </w:r>
            <w:r w:rsidRPr="002B5D2A">
              <w:rPr>
                <w:rStyle w:val="Lienhypertexte"/>
                <w:noProof/>
              </w:rPr>
              <w:t>Équipement de collecte de biodéchets</w:t>
            </w:r>
            <w:r>
              <w:rPr>
                <w:noProof/>
                <w:webHidden/>
              </w:rPr>
              <w:tab/>
            </w:r>
            <w:r>
              <w:rPr>
                <w:noProof/>
                <w:webHidden/>
              </w:rPr>
              <w:fldChar w:fldCharType="begin"/>
            </w:r>
            <w:r>
              <w:rPr>
                <w:noProof/>
                <w:webHidden/>
              </w:rPr>
              <w:instrText xml:space="preserve"> PAGEREF _Toc208325428 \h </w:instrText>
            </w:r>
            <w:r>
              <w:rPr>
                <w:noProof/>
                <w:webHidden/>
              </w:rPr>
            </w:r>
            <w:r>
              <w:rPr>
                <w:noProof/>
                <w:webHidden/>
              </w:rPr>
              <w:fldChar w:fldCharType="separate"/>
            </w:r>
            <w:r>
              <w:rPr>
                <w:noProof/>
                <w:webHidden/>
              </w:rPr>
              <w:t>6</w:t>
            </w:r>
            <w:r>
              <w:rPr>
                <w:noProof/>
                <w:webHidden/>
              </w:rPr>
              <w:fldChar w:fldCharType="end"/>
            </w:r>
          </w:hyperlink>
        </w:p>
        <w:p w14:paraId="7057655E" w14:textId="43ACE30A" w:rsidR="004D1617" w:rsidRDefault="004D1617">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208325429" w:history="1">
            <w:r w:rsidRPr="002B5D2A">
              <w:rPr>
                <w:rStyle w:val="Lienhypertexte"/>
                <w:noProof/>
              </w:rPr>
              <w:t>IV.</w:t>
            </w:r>
            <w:r>
              <w:rPr>
                <w:rFonts w:asciiTheme="minorHAnsi" w:eastAsiaTheme="minorEastAsia" w:hAnsiTheme="minorHAnsi"/>
                <w:noProof/>
                <w:kern w:val="2"/>
                <w:sz w:val="24"/>
                <w:szCs w:val="24"/>
                <w:lang w:eastAsia="fr-FR"/>
                <w14:ligatures w14:val="standardContextual"/>
              </w:rPr>
              <w:tab/>
            </w:r>
            <w:r w:rsidRPr="002B5D2A">
              <w:rPr>
                <w:rStyle w:val="Lienhypertexte"/>
                <w:noProof/>
              </w:rPr>
              <w:t>Exécution des prestations</w:t>
            </w:r>
            <w:r>
              <w:rPr>
                <w:noProof/>
                <w:webHidden/>
              </w:rPr>
              <w:tab/>
            </w:r>
            <w:r>
              <w:rPr>
                <w:noProof/>
                <w:webHidden/>
              </w:rPr>
              <w:fldChar w:fldCharType="begin"/>
            </w:r>
            <w:r>
              <w:rPr>
                <w:noProof/>
                <w:webHidden/>
              </w:rPr>
              <w:instrText xml:space="preserve"> PAGEREF _Toc208325429 \h </w:instrText>
            </w:r>
            <w:r>
              <w:rPr>
                <w:noProof/>
                <w:webHidden/>
              </w:rPr>
            </w:r>
            <w:r>
              <w:rPr>
                <w:noProof/>
                <w:webHidden/>
              </w:rPr>
              <w:fldChar w:fldCharType="separate"/>
            </w:r>
            <w:r>
              <w:rPr>
                <w:noProof/>
                <w:webHidden/>
              </w:rPr>
              <w:t>6</w:t>
            </w:r>
            <w:r>
              <w:rPr>
                <w:noProof/>
                <w:webHidden/>
              </w:rPr>
              <w:fldChar w:fldCharType="end"/>
            </w:r>
          </w:hyperlink>
        </w:p>
        <w:p w14:paraId="63D8BA03" w14:textId="60B9F174" w:rsidR="004D1617" w:rsidRDefault="004D161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208325430" w:history="1">
            <w:r w:rsidRPr="002B5D2A">
              <w:rPr>
                <w:rStyle w:val="Lienhypertexte"/>
                <w:noProof/>
              </w:rPr>
              <w:t>1.</w:t>
            </w:r>
            <w:r>
              <w:rPr>
                <w:rFonts w:asciiTheme="minorHAnsi" w:eastAsiaTheme="minorEastAsia" w:hAnsiTheme="minorHAnsi"/>
                <w:noProof/>
                <w:kern w:val="2"/>
                <w:sz w:val="24"/>
                <w:szCs w:val="24"/>
                <w:lang w:eastAsia="fr-FR"/>
                <w14:ligatures w14:val="standardContextual"/>
              </w:rPr>
              <w:tab/>
            </w:r>
            <w:r w:rsidRPr="002B5D2A">
              <w:rPr>
                <w:rStyle w:val="Lienhypertexte"/>
                <w:noProof/>
              </w:rPr>
              <w:t>Collecte des biodéchets</w:t>
            </w:r>
            <w:r>
              <w:rPr>
                <w:noProof/>
                <w:webHidden/>
              </w:rPr>
              <w:tab/>
            </w:r>
            <w:r>
              <w:rPr>
                <w:noProof/>
                <w:webHidden/>
              </w:rPr>
              <w:fldChar w:fldCharType="begin"/>
            </w:r>
            <w:r>
              <w:rPr>
                <w:noProof/>
                <w:webHidden/>
              </w:rPr>
              <w:instrText xml:space="preserve"> PAGEREF _Toc208325430 \h </w:instrText>
            </w:r>
            <w:r>
              <w:rPr>
                <w:noProof/>
                <w:webHidden/>
              </w:rPr>
            </w:r>
            <w:r>
              <w:rPr>
                <w:noProof/>
                <w:webHidden/>
              </w:rPr>
              <w:fldChar w:fldCharType="separate"/>
            </w:r>
            <w:r>
              <w:rPr>
                <w:noProof/>
                <w:webHidden/>
              </w:rPr>
              <w:t>6</w:t>
            </w:r>
            <w:r>
              <w:rPr>
                <w:noProof/>
                <w:webHidden/>
              </w:rPr>
              <w:fldChar w:fldCharType="end"/>
            </w:r>
          </w:hyperlink>
        </w:p>
        <w:p w14:paraId="0C64F077" w14:textId="2D1B36CF" w:rsidR="004D1617" w:rsidRDefault="004D161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208325431" w:history="1">
            <w:r w:rsidRPr="002B5D2A">
              <w:rPr>
                <w:rStyle w:val="Lienhypertexte"/>
                <w:noProof/>
              </w:rPr>
              <w:t>2.</w:t>
            </w:r>
            <w:r>
              <w:rPr>
                <w:rFonts w:asciiTheme="minorHAnsi" w:eastAsiaTheme="minorEastAsia" w:hAnsiTheme="minorHAnsi"/>
                <w:noProof/>
                <w:kern w:val="2"/>
                <w:sz w:val="24"/>
                <w:szCs w:val="24"/>
                <w:lang w:eastAsia="fr-FR"/>
                <w14:ligatures w14:val="standardContextual"/>
              </w:rPr>
              <w:tab/>
            </w:r>
            <w:r w:rsidRPr="002B5D2A">
              <w:rPr>
                <w:rStyle w:val="Lienhypertexte"/>
                <w:noProof/>
              </w:rPr>
              <w:t>La location d’équipements de collecte de biodéchets</w:t>
            </w:r>
            <w:r>
              <w:rPr>
                <w:noProof/>
                <w:webHidden/>
              </w:rPr>
              <w:tab/>
            </w:r>
            <w:r>
              <w:rPr>
                <w:noProof/>
                <w:webHidden/>
              </w:rPr>
              <w:fldChar w:fldCharType="begin"/>
            </w:r>
            <w:r>
              <w:rPr>
                <w:noProof/>
                <w:webHidden/>
              </w:rPr>
              <w:instrText xml:space="preserve"> PAGEREF _Toc208325431 \h </w:instrText>
            </w:r>
            <w:r>
              <w:rPr>
                <w:noProof/>
                <w:webHidden/>
              </w:rPr>
            </w:r>
            <w:r>
              <w:rPr>
                <w:noProof/>
                <w:webHidden/>
              </w:rPr>
              <w:fldChar w:fldCharType="separate"/>
            </w:r>
            <w:r>
              <w:rPr>
                <w:noProof/>
                <w:webHidden/>
              </w:rPr>
              <w:t>7</w:t>
            </w:r>
            <w:r>
              <w:rPr>
                <w:noProof/>
                <w:webHidden/>
              </w:rPr>
              <w:fldChar w:fldCharType="end"/>
            </w:r>
          </w:hyperlink>
        </w:p>
        <w:p w14:paraId="1769C3E0" w14:textId="2DD10DC9" w:rsidR="004D1617" w:rsidRDefault="004D161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208325432" w:history="1">
            <w:r w:rsidRPr="002B5D2A">
              <w:rPr>
                <w:rStyle w:val="Lienhypertexte"/>
                <w:noProof/>
              </w:rPr>
              <w:t>3.</w:t>
            </w:r>
            <w:r>
              <w:rPr>
                <w:rFonts w:asciiTheme="minorHAnsi" w:eastAsiaTheme="minorEastAsia" w:hAnsiTheme="minorHAnsi"/>
                <w:noProof/>
                <w:kern w:val="2"/>
                <w:sz w:val="24"/>
                <w:szCs w:val="24"/>
                <w:lang w:eastAsia="fr-FR"/>
                <w14:ligatures w14:val="standardContextual"/>
              </w:rPr>
              <w:tab/>
            </w:r>
            <w:r w:rsidRPr="002B5D2A">
              <w:rPr>
                <w:rStyle w:val="Lienhypertexte"/>
                <w:noProof/>
              </w:rPr>
              <w:t>Nettoyage et maintenance des équipements de collecte</w:t>
            </w:r>
            <w:r>
              <w:rPr>
                <w:noProof/>
                <w:webHidden/>
              </w:rPr>
              <w:tab/>
            </w:r>
            <w:r>
              <w:rPr>
                <w:noProof/>
                <w:webHidden/>
              </w:rPr>
              <w:fldChar w:fldCharType="begin"/>
            </w:r>
            <w:r>
              <w:rPr>
                <w:noProof/>
                <w:webHidden/>
              </w:rPr>
              <w:instrText xml:space="preserve"> PAGEREF _Toc208325432 \h </w:instrText>
            </w:r>
            <w:r>
              <w:rPr>
                <w:noProof/>
                <w:webHidden/>
              </w:rPr>
            </w:r>
            <w:r>
              <w:rPr>
                <w:noProof/>
                <w:webHidden/>
              </w:rPr>
              <w:fldChar w:fldCharType="separate"/>
            </w:r>
            <w:r>
              <w:rPr>
                <w:noProof/>
                <w:webHidden/>
              </w:rPr>
              <w:t>8</w:t>
            </w:r>
            <w:r>
              <w:rPr>
                <w:noProof/>
                <w:webHidden/>
              </w:rPr>
              <w:fldChar w:fldCharType="end"/>
            </w:r>
          </w:hyperlink>
        </w:p>
        <w:p w14:paraId="4F8C1628" w14:textId="6C5903DE" w:rsidR="004D1617" w:rsidRDefault="004D1617">
          <w:pPr>
            <w:pStyle w:val="TM3"/>
            <w:tabs>
              <w:tab w:val="left" w:pos="960"/>
              <w:tab w:val="right" w:leader="dot" w:pos="9062"/>
            </w:tabs>
            <w:rPr>
              <w:rFonts w:asciiTheme="minorHAnsi" w:eastAsiaTheme="minorEastAsia" w:hAnsiTheme="minorHAnsi"/>
              <w:noProof/>
              <w:kern w:val="2"/>
              <w:sz w:val="24"/>
              <w:szCs w:val="24"/>
              <w:lang w:eastAsia="fr-FR"/>
              <w14:ligatures w14:val="standardContextual"/>
            </w:rPr>
          </w:pPr>
          <w:hyperlink w:anchor="_Toc208325433" w:history="1">
            <w:r w:rsidRPr="002B5D2A">
              <w:rPr>
                <w:rStyle w:val="Lienhypertexte"/>
                <w:noProof/>
              </w:rPr>
              <w:t>4.</w:t>
            </w:r>
            <w:r>
              <w:rPr>
                <w:rFonts w:asciiTheme="minorHAnsi" w:eastAsiaTheme="minorEastAsia" w:hAnsiTheme="minorHAnsi"/>
                <w:noProof/>
                <w:kern w:val="2"/>
                <w:sz w:val="24"/>
                <w:szCs w:val="24"/>
                <w:lang w:eastAsia="fr-FR"/>
                <w14:ligatures w14:val="standardContextual"/>
              </w:rPr>
              <w:tab/>
            </w:r>
            <w:r w:rsidRPr="002B5D2A">
              <w:rPr>
                <w:rStyle w:val="Lienhypertexte"/>
                <w:noProof/>
              </w:rPr>
              <w:t>Revalorisation des biodéchets</w:t>
            </w:r>
            <w:r>
              <w:rPr>
                <w:noProof/>
                <w:webHidden/>
              </w:rPr>
              <w:tab/>
            </w:r>
            <w:r>
              <w:rPr>
                <w:noProof/>
                <w:webHidden/>
              </w:rPr>
              <w:fldChar w:fldCharType="begin"/>
            </w:r>
            <w:r>
              <w:rPr>
                <w:noProof/>
                <w:webHidden/>
              </w:rPr>
              <w:instrText xml:space="preserve"> PAGEREF _Toc208325433 \h </w:instrText>
            </w:r>
            <w:r>
              <w:rPr>
                <w:noProof/>
                <w:webHidden/>
              </w:rPr>
            </w:r>
            <w:r>
              <w:rPr>
                <w:noProof/>
                <w:webHidden/>
              </w:rPr>
              <w:fldChar w:fldCharType="separate"/>
            </w:r>
            <w:r>
              <w:rPr>
                <w:noProof/>
                <w:webHidden/>
              </w:rPr>
              <w:t>8</w:t>
            </w:r>
            <w:r>
              <w:rPr>
                <w:noProof/>
                <w:webHidden/>
              </w:rPr>
              <w:fldChar w:fldCharType="end"/>
            </w:r>
          </w:hyperlink>
        </w:p>
        <w:p w14:paraId="4C3AD5B2" w14:textId="08462230" w:rsidR="004D1617" w:rsidRDefault="004D1617">
          <w:pPr>
            <w:pStyle w:val="TM2"/>
            <w:tabs>
              <w:tab w:val="left" w:pos="720"/>
              <w:tab w:val="right" w:leader="dot" w:pos="9062"/>
            </w:tabs>
            <w:rPr>
              <w:rFonts w:asciiTheme="minorHAnsi" w:eastAsiaTheme="minorEastAsia" w:hAnsiTheme="minorHAnsi"/>
              <w:noProof/>
              <w:kern w:val="2"/>
              <w:sz w:val="24"/>
              <w:szCs w:val="24"/>
              <w:lang w:eastAsia="fr-FR"/>
              <w14:ligatures w14:val="standardContextual"/>
            </w:rPr>
          </w:pPr>
          <w:hyperlink w:anchor="_Toc208325434" w:history="1">
            <w:r w:rsidRPr="002B5D2A">
              <w:rPr>
                <w:rStyle w:val="Lienhypertexte"/>
                <w:noProof/>
              </w:rPr>
              <w:t>V.</w:t>
            </w:r>
            <w:r>
              <w:rPr>
                <w:rFonts w:asciiTheme="minorHAnsi" w:eastAsiaTheme="minorEastAsia" w:hAnsiTheme="minorHAnsi"/>
                <w:noProof/>
                <w:kern w:val="2"/>
                <w:sz w:val="24"/>
                <w:szCs w:val="24"/>
                <w:lang w:eastAsia="fr-FR"/>
                <w14:ligatures w14:val="standardContextual"/>
              </w:rPr>
              <w:tab/>
            </w:r>
            <w:r w:rsidRPr="002B5D2A">
              <w:rPr>
                <w:rStyle w:val="Lienhypertexte"/>
                <w:noProof/>
              </w:rPr>
              <w:t>Suivi de l’exécution</w:t>
            </w:r>
            <w:r>
              <w:rPr>
                <w:noProof/>
                <w:webHidden/>
              </w:rPr>
              <w:tab/>
            </w:r>
            <w:r>
              <w:rPr>
                <w:noProof/>
                <w:webHidden/>
              </w:rPr>
              <w:fldChar w:fldCharType="begin"/>
            </w:r>
            <w:r>
              <w:rPr>
                <w:noProof/>
                <w:webHidden/>
              </w:rPr>
              <w:instrText xml:space="preserve"> PAGEREF _Toc208325434 \h </w:instrText>
            </w:r>
            <w:r>
              <w:rPr>
                <w:noProof/>
                <w:webHidden/>
              </w:rPr>
            </w:r>
            <w:r>
              <w:rPr>
                <w:noProof/>
                <w:webHidden/>
              </w:rPr>
              <w:fldChar w:fldCharType="separate"/>
            </w:r>
            <w:r>
              <w:rPr>
                <w:noProof/>
                <w:webHidden/>
              </w:rPr>
              <w:t>8</w:t>
            </w:r>
            <w:r>
              <w:rPr>
                <w:noProof/>
                <w:webHidden/>
              </w:rPr>
              <w:fldChar w:fldCharType="end"/>
            </w:r>
          </w:hyperlink>
        </w:p>
        <w:p w14:paraId="68707215" w14:textId="0824ED5A" w:rsidR="00CA3002" w:rsidRDefault="00CA3002" w:rsidP="002451EA">
          <w:r>
            <w:fldChar w:fldCharType="end"/>
          </w:r>
        </w:p>
      </w:sdtContent>
    </w:sdt>
    <w:p w14:paraId="17D605E2" w14:textId="77777777" w:rsidR="00CA3002" w:rsidRDefault="00CA3002" w:rsidP="002451EA"/>
    <w:p w14:paraId="29DC7EEC" w14:textId="77777777" w:rsidR="00491CF1" w:rsidRPr="00491CF1" w:rsidRDefault="00491CF1" w:rsidP="00491CF1"/>
    <w:p w14:paraId="4D1280C8" w14:textId="77777777" w:rsidR="00491CF1" w:rsidRPr="00491CF1" w:rsidRDefault="00491CF1" w:rsidP="00491CF1"/>
    <w:p w14:paraId="00622981" w14:textId="6EA7392D" w:rsidR="00491CF1" w:rsidRDefault="00491CF1" w:rsidP="00491CF1">
      <w:pPr>
        <w:tabs>
          <w:tab w:val="left" w:pos="2055"/>
        </w:tabs>
      </w:pPr>
      <w:r>
        <w:tab/>
      </w:r>
    </w:p>
    <w:p w14:paraId="1636B1DB" w14:textId="1AACB4F7" w:rsidR="00491CF1" w:rsidRPr="00491CF1" w:rsidRDefault="00491CF1" w:rsidP="00491CF1">
      <w:pPr>
        <w:tabs>
          <w:tab w:val="left" w:pos="2055"/>
        </w:tabs>
        <w:sectPr w:rsidR="00491CF1" w:rsidRPr="00491CF1" w:rsidSect="00CA3002">
          <w:footerReference w:type="default" r:id="rId8"/>
          <w:headerReference w:type="first" r:id="rId9"/>
          <w:pgSz w:w="11906" w:h="16838"/>
          <w:pgMar w:top="1417" w:right="1417" w:bottom="1417" w:left="1417" w:header="708" w:footer="708" w:gutter="0"/>
          <w:cols w:space="708"/>
          <w:titlePg/>
          <w:docGrid w:linePitch="360"/>
        </w:sectPr>
      </w:pPr>
      <w:r>
        <w:tab/>
      </w:r>
    </w:p>
    <w:p w14:paraId="436F7C4D" w14:textId="5C659645" w:rsidR="00CA3002" w:rsidRDefault="00B96D5B" w:rsidP="002451EA">
      <w:pPr>
        <w:pStyle w:val="Titre2"/>
      </w:pPr>
      <w:bookmarkStart w:id="0" w:name="_Toc208325422"/>
      <w:r>
        <w:lastRenderedPageBreak/>
        <w:t>Objet du marché</w:t>
      </w:r>
      <w:bookmarkEnd w:id="0"/>
    </w:p>
    <w:p w14:paraId="6CD6C343" w14:textId="2C4CE39A" w:rsidR="00B96D5B" w:rsidRPr="00207110" w:rsidRDefault="00B96D5B" w:rsidP="002451EA">
      <w:pPr>
        <w:pStyle w:val="Titre3"/>
      </w:pPr>
      <w:bookmarkStart w:id="1" w:name="_Toc208325423"/>
      <w:r w:rsidRPr="00207110">
        <w:t>Objet</w:t>
      </w:r>
      <w:bookmarkEnd w:id="1"/>
    </w:p>
    <w:p w14:paraId="1C934556" w14:textId="2428FC94" w:rsidR="00AF081C" w:rsidRDefault="00AF081C" w:rsidP="00D670B6">
      <w:pPr>
        <w:ind w:firstLine="360"/>
      </w:pPr>
      <w:bookmarkStart w:id="2" w:name="_Hlk204345161"/>
      <w:r>
        <w:t xml:space="preserve">Le contrat porte sur la </w:t>
      </w:r>
      <w:r w:rsidRPr="00207110">
        <w:t xml:space="preserve">prestation de collecte et de revalorisation des biodéchets pour les établissements pénitentiaires </w:t>
      </w:r>
      <w:r w:rsidR="00C909DF">
        <w:t xml:space="preserve">en gestion publique </w:t>
      </w:r>
      <w:r w:rsidRPr="00207110">
        <w:t>de la Direction interrégionale des services pénitentiaires du Grand Est</w:t>
      </w:r>
      <w:r>
        <w:t>.</w:t>
      </w:r>
    </w:p>
    <w:p w14:paraId="58D7B8CD" w14:textId="322AD8A6" w:rsidR="00AF081C" w:rsidRDefault="00AF081C" w:rsidP="002451EA">
      <w:r>
        <w:t>La prestation englobe quatre aspects principaux :</w:t>
      </w:r>
    </w:p>
    <w:p w14:paraId="3EF8636A" w14:textId="77777777" w:rsidR="00AF081C" w:rsidRDefault="00AF081C" w:rsidP="002451EA">
      <w:pPr>
        <w:pStyle w:val="Paragraphedeliste"/>
        <w:numPr>
          <w:ilvl w:val="0"/>
          <w:numId w:val="4"/>
        </w:numPr>
      </w:pPr>
      <w:r>
        <w:t xml:space="preserve">La collecte des biodéchets </w:t>
      </w:r>
    </w:p>
    <w:p w14:paraId="04E8A569" w14:textId="02F541E2" w:rsidR="00C909DF" w:rsidRDefault="00C909DF" w:rsidP="00C909DF">
      <w:pPr>
        <w:pStyle w:val="Paragraphedeliste"/>
        <w:numPr>
          <w:ilvl w:val="0"/>
          <w:numId w:val="4"/>
        </w:numPr>
      </w:pPr>
      <w:r>
        <w:t>La mise à disposition d’équipements de collecte de biodéchets</w:t>
      </w:r>
    </w:p>
    <w:p w14:paraId="5A0AB06C" w14:textId="1D8AC736" w:rsidR="00AF081C" w:rsidRDefault="00AF081C" w:rsidP="002451EA">
      <w:pPr>
        <w:pStyle w:val="Paragraphedeliste"/>
        <w:numPr>
          <w:ilvl w:val="0"/>
          <w:numId w:val="4"/>
        </w:numPr>
      </w:pPr>
      <w:r>
        <w:t xml:space="preserve">Le nettoyage </w:t>
      </w:r>
      <w:r w:rsidR="00A55A75">
        <w:t xml:space="preserve">et la maintenance </w:t>
      </w:r>
      <w:r>
        <w:t>des équipements de collectes de biodéchets</w:t>
      </w:r>
    </w:p>
    <w:p w14:paraId="7B3ADF3E" w14:textId="1862CF07" w:rsidR="00AF081C" w:rsidRPr="00AF081C" w:rsidRDefault="00AF081C" w:rsidP="002451EA">
      <w:pPr>
        <w:pStyle w:val="Paragraphedeliste"/>
        <w:numPr>
          <w:ilvl w:val="0"/>
          <w:numId w:val="4"/>
        </w:numPr>
      </w:pPr>
      <w:r>
        <w:t>La revalorisation des biodéchets collectés</w:t>
      </w:r>
    </w:p>
    <w:p w14:paraId="323948C6" w14:textId="0084011D" w:rsidR="00B96D5B" w:rsidRPr="00207110" w:rsidRDefault="00B96D5B" w:rsidP="002451EA">
      <w:pPr>
        <w:pStyle w:val="Titre3"/>
      </w:pPr>
      <w:bookmarkStart w:id="3" w:name="_Toc208325424"/>
      <w:bookmarkEnd w:id="2"/>
      <w:r w:rsidRPr="00207110">
        <w:t>Contexte</w:t>
      </w:r>
      <w:bookmarkEnd w:id="3"/>
    </w:p>
    <w:p w14:paraId="158DFC73" w14:textId="7B2FBB93" w:rsidR="00B96D5B" w:rsidRDefault="00B96D5B" w:rsidP="00D670B6">
      <w:pPr>
        <w:ind w:firstLine="360"/>
      </w:pPr>
      <w:r>
        <w:t>L’article L</w:t>
      </w:r>
      <w:r w:rsidR="00CB6FA4">
        <w:t>.</w:t>
      </w:r>
      <w:r>
        <w:t>541-21-1 du Code de l’environnement prévoit que :</w:t>
      </w:r>
    </w:p>
    <w:p w14:paraId="5EFC2F92" w14:textId="19CC1ABB" w:rsidR="00B96D5B" w:rsidRPr="00D670B6" w:rsidRDefault="00B96D5B" w:rsidP="002451EA">
      <w:pPr>
        <w:rPr>
          <w:i/>
          <w:iCs/>
        </w:rPr>
      </w:pPr>
      <w:r>
        <w:t>« </w:t>
      </w:r>
      <w:r w:rsidRPr="00D670B6">
        <w:rPr>
          <w:i/>
          <w:iCs/>
        </w:rPr>
        <w:t>I.-Les personnes qui produisent ou détiennent des quantités importantes de déchets composés majoritairement de biodéchets sont tenues de mettre en place un tri à la source de ces biodéchets et :</w:t>
      </w:r>
    </w:p>
    <w:p w14:paraId="737AB2A1" w14:textId="4376D3A4" w:rsidR="00B96D5B" w:rsidRPr="00D670B6" w:rsidRDefault="00B96D5B" w:rsidP="00D670B6">
      <w:pPr>
        <w:pStyle w:val="Paragraphedeliste"/>
        <w:numPr>
          <w:ilvl w:val="0"/>
          <w:numId w:val="4"/>
        </w:numPr>
        <w:rPr>
          <w:i/>
          <w:iCs/>
        </w:rPr>
      </w:pPr>
      <w:proofErr w:type="gramStart"/>
      <w:r w:rsidRPr="00D670B6">
        <w:rPr>
          <w:i/>
          <w:iCs/>
        </w:rPr>
        <w:t>soit</w:t>
      </w:r>
      <w:proofErr w:type="gramEnd"/>
      <w:r w:rsidRPr="00D670B6">
        <w:rPr>
          <w:i/>
          <w:iCs/>
        </w:rPr>
        <w:t xml:space="preserve"> une valorisation sur place ;</w:t>
      </w:r>
    </w:p>
    <w:p w14:paraId="087741D0" w14:textId="4AEB148F" w:rsidR="00B96D5B" w:rsidRPr="00D670B6" w:rsidRDefault="00B96D5B" w:rsidP="00D670B6">
      <w:pPr>
        <w:pStyle w:val="Paragraphedeliste"/>
        <w:numPr>
          <w:ilvl w:val="0"/>
          <w:numId w:val="4"/>
        </w:numPr>
        <w:rPr>
          <w:i/>
          <w:iCs/>
        </w:rPr>
      </w:pPr>
      <w:proofErr w:type="gramStart"/>
      <w:r w:rsidRPr="00D670B6">
        <w:rPr>
          <w:i/>
          <w:iCs/>
        </w:rPr>
        <w:t>soit</w:t>
      </w:r>
      <w:proofErr w:type="gramEnd"/>
      <w:r w:rsidRPr="00D670B6">
        <w:rPr>
          <w:i/>
          <w:iCs/>
        </w:rPr>
        <w:t xml:space="preserve"> une collecte séparée des biodéchets pour en permettre la valorisation et, notamment, favoriser un usage au sol de qualité élevée.</w:t>
      </w:r>
    </w:p>
    <w:p w14:paraId="2A8116C9" w14:textId="00CDC6A7" w:rsidR="00B96D5B" w:rsidRPr="00D670B6" w:rsidRDefault="008F0C1B" w:rsidP="002451EA">
      <w:pPr>
        <w:rPr>
          <w:i/>
          <w:iCs/>
        </w:rPr>
      </w:pPr>
      <w:r w:rsidRPr="00D670B6">
        <w:rPr>
          <w:i/>
          <w:iCs/>
        </w:rPr>
        <w:t>À</w:t>
      </w:r>
      <w:r w:rsidR="00B96D5B" w:rsidRPr="00D670B6">
        <w:rPr>
          <w:i/>
          <w:iCs/>
        </w:rPr>
        <w:t xml:space="preserve"> compter du 1er janvier 2023, cette obligation s'applique aux personnes qui produisent ou détiennent plus de cinq tonnes de biodéchets par an.</w:t>
      </w:r>
    </w:p>
    <w:p w14:paraId="6C4FBFD9" w14:textId="7319D383" w:rsidR="00B96D5B" w:rsidRPr="00D670B6" w:rsidRDefault="00B96D5B" w:rsidP="002451EA">
      <w:pPr>
        <w:rPr>
          <w:i/>
          <w:iCs/>
        </w:rPr>
      </w:pPr>
      <w:r w:rsidRPr="00D670B6">
        <w:rPr>
          <w:i/>
          <w:iCs/>
        </w:rPr>
        <w:t>Cette obligation s'applique également à tous les producteurs de biodéchets conditionnés dans des emballages, y compris si ces emballages sont non compostables. Leurs modalités de gestion et de valorisation sont précisées par décret.</w:t>
      </w:r>
    </w:p>
    <w:p w14:paraId="2654A5D8" w14:textId="40D43769" w:rsidR="00B96D5B" w:rsidRPr="00D670B6" w:rsidRDefault="00B96D5B" w:rsidP="002451EA">
      <w:pPr>
        <w:rPr>
          <w:i/>
          <w:iCs/>
        </w:rPr>
      </w:pPr>
      <w:r w:rsidRPr="00D670B6">
        <w:rPr>
          <w:i/>
          <w:iCs/>
        </w:rPr>
        <w:t xml:space="preserve">Les biodéchets entrant dans un traitement aérobie ou anaérobie ne peuvent être considérés comme recyclés que lorsque ce traitement génère du compost, du digestat ou un autre résultat ayant une quantité similaire de contenu recyclé par rapport aux intrants, qui doit être utilisé comme produit, matière ou substance recyclés. </w:t>
      </w:r>
      <w:proofErr w:type="spellStart"/>
      <w:r w:rsidRPr="00D670B6">
        <w:rPr>
          <w:i/>
          <w:iCs/>
        </w:rPr>
        <w:t>A</w:t>
      </w:r>
      <w:proofErr w:type="spellEnd"/>
      <w:r w:rsidRPr="00D670B6">
        <w:rPr>
          <w:i/>
          <w:iCs/>
        </w:rPr>
        <w:t xml:space="preserve"> compter du 1er janvier 2027, les biodéchets entrant dans un traitement aérobie ou anaérobie ne sont considérés comme recyclés que si, conformément au présent article L. 541-21-1, ils ont été triés à la source.</w:t>
      </w:r>
    </w:p>
    <w:p w14:paraId="61B23228" w14:textId="285E8380" w:rsidR="00B96D5B" w:rsidRPr="00D670B6" w:rsidRDefault="00B96D5B" w:rsidP="002451EA">
      <w:pPr>
        <w:rPr>
          <w:i/>
          <w:iCs/>
        </w:rPr>
      </w:pPr>
      <w:r w:rsidRPr="00D670B6">
        <w:rPr>
          <w:i/>
          <w:iCs/>
        </w:rPr>
        <w:t>Les biodéchets qui ont fait l'objet d'un tri à la source ne sont pas mélangés avec d'autres déchets.</w:t>
      </w:r>
    </w:p>
    <w:p w14:paraId="4EA02AA4" w14:textId="4CE77C7F" w:rsidR="00B96D5B" w:rsidRPr="00D670B6" w:rsidRDefault="00B96D5B" w:rsidP="002451EA">
      <w:pPr>
        <w:rPr>
          <w:i/>
          <w:iCs/>
        </w:rPr>
      </w:pPr>
      <w:r w:rsidRPr="00D670B6">
        <w:rPr>
          <w:i/>
          <w:iCs/>
        </w:rPr>
        <w:t>Par dérogation aux dispositions précédentes et aux dispositions prévues à l'article L. 541-21 :</w:t>
      </w:r>
    </w:p>
    <w:p w14:paraId="56D18B9A" w14:textId="53E144C4" w:rsidR="00B96D5B" w:rsidRPr="00D670B6" w:rsidRDefault="00B96D5B" w:rsidP="00D670B6">
      <w:pPr>
        <w:pStyle w:val="Paragraphedeliste"/>
        <w:numPr>
          <w:ilvl w:val="0"/>
          <w:numId w:val="4"/>
        </w:numPr>
        <w:rPr>
          <w:i/>
          <w:iCs/>
        </w:rPr>
      </w:pPr>
      <w:proofErr w:type="gramStart"/>
      <w:r w:rsidRPr="00D670B6">
        <w:rPr>
          <w:i/>
          <w:iCs/>
        </w:rPr>
        <w:t>les</w:t>
      </w:r>
      <w:proofErr w:type="gramEnd"/>
      <w:r w:rsidRPr="00D670B6">
        <w:rPr>
          <w:i/>
          <w:iCs/>
        </w:rPr>
        <w:t xml:space="preserve"> déchets présentant des propriétés de biodégradabilité et de compostabilité similaires, qui sont conformes aux normes européennes pertinentes ou aux normes nationales équivalentes applicables aux emballages valorisables par compostage et biodégradation définies par décret, peuvent être collectés conjointement avec les biodéchets ayant fait l'objet d'un tri à la source ;</w:t>
      </w:r>
    </w:p>
    <w:p w14:paraId="61B8D39A" w14:textId="6DCBB5D4" w:rsidR="00B96D5B" w:rsidRPr="00D670B6" w:rsidRDefault="00B96D5B" w:rsidP="00D670B6">
      <w:pPr>
        <w:pStyle w:val="Paragraphedeliste"/>
        <w:numPr>
          <w:ilvl w:val="0"/>
          <w:numId w:val="4"/>
        </w:numPr>
        <w:rPr>
          <w:i/>
          <w:iCs/>
        </w:rPr>
      </w:pPr>
      <w:proofErr w:type="gramStart"/>
      <w:r w:rsidRPr="00D670B6">
        <w:rPr>
          <w:i/>
          <w:iCs/>
        </w:rPr>
        <w:t>les</w:t>
      </w:r>
      <w:proofErr w:type="gramEnd"/>
      <w:r w:rsidRPr="00D670B6">
        <w:rPr>
          <w:i/>
          <w:iCs/>
        </w:rPr>
        <w:t xml:space="preserve"> biodéchets contenus dans des emballages non compostables ou non biodégradables peuvent être collectés conjointement avec les biodéchets ayant fait l'objet d'un tri à la </w:t>
      </w:r>
      <w:r w:rsidRPr="00D670B6">
        <w:rPr>
          <w:i/>
          <w:iCs/>
        </w:rPr>
        <w:lastRenderedPageBreak/>
        <w:t>source jusqu'au 31 décembre 2023, sous réserve qu'ils fassent ensuite l'objet d'un déconditionnement qui permette une valorisation de qualité élevée, dans des conditions précisées par décret ;</w:t>
      </w:r>
    </w:p>
    <w:p w14:paraId="68252ADC" w14:textId="6655DAE1" w:rsidR="00B96D5B" w:rsidRPr="00D670B6" w:rsidRDefault="00B96D5B" w:rsidP="00D670B6">
      <w:pPr>
        <w:pStyle w:val="Paragraphedeliste"/>
        <w:numPr>
          <w:ilvl w:val="0"/>
          <w:numId w:val="4"/>
        </w:numPr>
        <w:rPr>
          <w:i/>
          <w:iCs/>
        </w:rPr>
      </w:pPr>
      <w:proofErr w:type="gramStart"/>
      <w:r w:rsidRPr="00D670B6">
        <w:rPr>
          <w:i/>
          <w:iCs/>
        </w:rPr>
        <w:t>les</w:t>
      </w:r>
      <w:proofErr w:type="gramEnd"/>
      <w:r w:rsidRPr="00D670B6">
        <w:rPr>
          <w:i/>
          <w:iCs/>
        </w:rPr>
        <w:t xml:space="preserve"> biodéchets contenus dans des emballages non compostables ou non biodégradables, une fois déconditionnés, peuvent être traités conjointement avec les biodéchets ayant fait l'objet d'un tri à la source, sous réserve de permettre une valorisation de qualité élevée, dans des conditions précisées par décret.</w:t>
      </w:r>
    </w:p>
    <w:p w14:paraId="57C1FAEF" w14:textId="7F568C05" w:rsidR="00B96D5B" w:rsidRPr="00D670B6" w:rsidRDefault="00B96D5B" w:rsidP="002451EA">
      <w:pPr>
        <w:rPr>
          <w:i/>
          <w:iCs/>
        </w:rPr>
      </w:pPr>
      <w:r w:rsidRPr="00D670B6">
        <w:rPr>
          <w:i/>
          <w:iCs/>
        </w:rPr>
        <w:t>Au plus tard le 31 décembre 2023, cette obligation s'applique à tous les producteurs ou détenteurs de biodéchets, y compris aux collectivités territoriales dans le cadre du service public de gestion des déchets et aux établissements privés et publics qui génèrent des biodéchets.</w:t>
      </w:r>
    </w:p>
    <w:p w14:paraId="72632427" w14:textId="20F7A400" w:rsidR="00B96D5B" w:rsidRPr="00B96D5B" w:rsidRDefault="00B96D5B" w:rsidP="002451EA">
      <w:r w:rsidRPr="00D670B6">
        <w:rPr>
          <w:i/>
          <w:iCs/>
        </w:rPr>
        <w:t>L'État prend les mesures nécessaires afin de développer les débouchés de la valorisation organique des déchets et de promouvoir la sécurité sanitaire et environnementale des composts et des digestats.</w:t>
      </w:r>
      <w:r>
        <w:t> »</w:t>
      </w:r>
    </w:p>
    <w:p w14:paraId="4A732305" w14:textId="31C978DC" w:rsidR="00B96D5B" w:rsidRDefault="00B96D5B" w:rsidP="002451EA">
      <w:pPr>
        <w:pStyle w:val="Titre2"/>
      </w:pPr>
      <w:bookmarkStart w:id="4" w:name="_Toc208325425"/>
      <w:r>
        <w:t>Allotissement et quantités prévisionnelles</w:t>
      </w:r>
      <w:bookmarkEnd w:id="4"/>
    </w:p>
    <w:p w14:paraId="67EE1BE5" w14:textId="6ADF8F8F" w:rsidR="00D53CF6" w:rsidRPr="00D53CF6" w:rsidRDefault="00D53CF6" w:rsidP="00D670B6">
      <w:pPr>
        <w:ind w:firstLine="360"/>
      </w:pPr>
      <w:r>
        <w:t>Le marché est composé de 1</w:t>
      </w:r>
      <w:r w:rsidR="00D670B6">
        <w:t>6</w:t>
      </w:r>
      <w:r>
        <w:t xml:space="preserve"> lots correspondants aux 1</w:t>
      </w:r>
      <w:r w:rsidR="00D670B6">
        <w:t>6</w:t>
      </w:r>
      <w:r>
        <w:t xml:space="preserve"> établissements pénitentiaires concernés par la collecte des biodéchets :</w:t>
      </w:r>
    </w:p>
    <w:tbl>
      <w:tblPr>
        <w:tblW w:w="9062" w:type="dxa"/>
        <w:tblCellMar>
          <w:left w:w="70" w:type="dxa"/>
          <w:right w:w="70" w:type="dxa"/>
        </w:tblCellMar>
        <w:tblLook w:val="04A0" w:firstRow="1" w:lastRow="0" w:firstColumn="1" w:lastColumn="0" w:noHBand="0" w:noVBand="1"/>
      </w:tblPr>
      <w:tblGrid>
        <w:gridCol w:w="720"/>
        <w:gridCol w:w="2600"/>
        <w:gridCol w:w="3474"/>
        <w:gridCol w:w="2268"/>
      </w:tblGrid>
      <w:tr w:rsidR="00D670B6" w:rsidRPr="00D670B6" w14:paraId="5760F64A" w14:textId="77777777" w:rsidTr="00D670B6">
        <w:trPr>
          <w:trHeight w:val="1275"/>
        </w:trPr>
        <w:tc>
          <w:tcPr>
            <w:tcW w:w="720" w:type="dxa"/>
            <w:tcBorders>
              <w:top w:val="single" w:sz="8" w:space="0" w:color="000000"/>
              <w:left w:val="single" w:sz="8" w:space="0" w:color="000000"/>
              <w:bottom w:val="nil"/>
              <w:right w:val="single" w:sz="8" w:space="0" w:color="000000"/>
            </w:tcBorders>
            <w:shd w:val="clear" w:color="000000" w:fill="CCCCCC"/>
            <w:vAlign w:val="center"/>
            <w:hideMark/>
          </w:tcPr>
          <w:p w14:paraId="24104EDC" w14:textId="77777777" w:rsidR="00D670B6" w:rsidRPr="00D670B6" w:rsidRDefault="00D670B6" w:rsidP="00D670B6">
            <w:pPr>
              <w:spacing w:after="0" w:line="240" w:lineRule="auto"/>
              <w:jc w:val="center"/>
              <w:rPr>
                <w:rFonts w:eastAsia="Times New Roman" w:cs="Calibri"/>
                <w:b/>
                <w:bCs/>
                <w:color w:val="000000"/>
                <w:szCs w:val="20"/>
                <w:lang w:eastAsia="fr-FR"/>
              </w:rPr>
            </w:pPr>
            <w:r w:rsidRPr="00D670B6">
              <w:rPr>
                <w:rFonts w:eastAsia="Times New Roman" w:cs="Calibri"/>
                <w:b/>
                <w:bCs/>
                <w:szCs w:val="20"/>
                <w:lang w:eastAsia="fr-FR"/>
              </w:rPr>
              <w:t>Lots</w:t>
            </w:r>
          </w:p>
        </w:tc>
        <w:tc>
          <w:tcPr>
            <w:tcW w:w="2600" w:type="dxa"/>
            <w:tcBorders>
              <w:top w:val="single" w:sz="8" w:space="0" w:color="000000"/>
              <w:left w:val="nil"/>
              <w:bottom w:val="nil"/>
              <w:right w:val="single" w:sz="8" w:space="0" w:color="000000"/>
            </w:tcBorders>
            <w:shd w:val="clear" w:color="000000" w:fill="CCCCCC"/>
            <w:vAlign w:val="center"/>
            <w:hideMark/>
          </w:tcPr>
          <w:p w14:paraId="20AE05B5" w14:textId="77777777" w:rsidR="00D670B6" w:rsidRPr="00D670B6" w:rsidRDefault="00D670B6" w:rsidP="00D670B6">
            <w:pPr>
              <w:spacing w:after="0" w:line="240" w:lineRule="auto"/>
              <w:jc w:val="center"/>
              <w:rPr>
                <w:rFonts w:eastAsia="Times New Roman" w:cs="Calibri"/>
                <w:b/>
                <w:bCs/>
                <w:color w:val="000000"/>
                <w:szCs w:val="20"/>
                <w:lang w:eastAsia="fr-FR"/>
              </w:rPr>
            </w:pPr>
            <w:r w:rsidRPr="00D670B6">
              <w:rPr>
                <w:rFonts w:eastAsia="Times New Roman" w:cs="Calibri"/>
                <w:b/>
                <w:bCs/>
                <w:szCs w:val="20"/>
                <w:lang w:eastAsia="fr-FR"/>
              </w:rPr>
              <w:t>Site</w:t>
            </w:r>
          </w:p>
        </w:tc>
        <w:tc>
          <w:tcPr>
            <w:tcW w:w="3474" w:type="dxa"/>
            <w:tcBorders>
              <w:top w:val="single" w:sz="8" w:space="0" w:color="000000"/>
              <w:left w:val="nil"/>
              <w:bottom w:val="nil"/>
              <w:right w:val="single" w:sz="8" w:space="0" w:color="000000"/>
            </w:tcBorders>
            <w:shd w:val="clear" w:color="000000" w:fill="CCCCCC"/>
            <w:vAlign w:val="center"/>
            <w:hideMark/>
          </w:tcPr>
          <w:p w14:paraId="4F1DC04A" w14:textId="77777777" w:rsidR="00D670B6" w:rsidRPr="00D670B6" w:rsidRDefault="00D670B6" w:rsidP="00D670B6">
            <w:pPr>
              <w:spacing w:after="0" w:line="240" w:lineRule="auto"/>
              <w:jc w:val="center"/>
              <w:rPr>
                <w:rFonts w:eastAsia="Times New Roman" w:cs="Calibri"/>
                <w:b/>
                <w:bCs/>
                <w:color w:val="000000"/>
                <w:szCs w:val="20"/>
                <w:lang w:eastAsia="fr-FR"/>
              </w:rPr>
            </w:pPr>
            <w:r w:rsidRPr="00D670B6">
              <w:rPr>
                <w:rFonts w:eastAsia="Times New Roman" w:cs="Calibri"/>
                <w:b/>
                <w:bCs/>
                <w:szCs w:val="20"/>
                <w:lang w:eastAsia="fr-FR"/>
              </w:rPr>
              <w:t>Adresse postale</w:t>
            </w:r>
          </w:p>
        </w:tc>
        <w:tc>
          <w:tcPr>
            <w:tcW w:w="2268" w:type="dxa"/>
            <w:tcBorders>
              <w:top w:val="single" w:sz="8" w:space="0" w:color="000000"/>
              <w:left w:val="nil"/>
              <w:bottom w:val="nil"/>
              <w:right w:val="single" w:sz="8" w:space="0" w:color="000000"/>
            </w:tcBorders>
            <w:shd w:val="clear" w:color="000000" w:fill="CCCCCC"/>
            <w:vAlign w:val="center"/>
            <w:hideMark/>
          </w:tcPr>
          <w:p w14:paraId="4366BCAC" w14:textId="77777777" w:rsidR="00D670B6" w:rsidRPr="00D670B6" w:rsidRDefault="00D670B6" w:rsidP="00D670B6">
            <w:pPr>
              <w:spacing w:after="0" w:line="240" w:lineRule="auto"/>
              <w:jc w:val="center"/>
              <w:rPr>
                <w:rFonts w:eastAsia="Times New Roman" w:cs="Calibri"/>
                <w:b/>
                <w:bCs/>
                <w:color w:val="000000"/>
                <w:szCs w:val="20"/>
                <w:lang w:eastAsia="fr-FR"/>
              </w:rPr>
            </w:pPr>
            <w:r w:rsidRPr="00D670B6">
              <w:rPr>
                <w:rFonts w:eastAsia="Times New Roman" w:cs="Calibri"/>
                <w:b/>
                <w:bCs/>
                <w:szCs w:val="20"/>
                <w:lang w:eastAsia="fr-FR"/>
              </w:rPr>
              <w:t xml:space="preserve">Quantité prévisionnelle par semaine </w:t>
            </w:r>
            <w:r w:rsidRPr="00D670B6">
              <w:rPr>
                <w:rFonts w:eastAsia="Times New Roman" w:cs="Calibri"/>
                <w:b/>
                <w:bCs/>
                <w:color w:val="FF0000"/>
                <w:szCs w:val="20"/>
                <w:lang w:eastAsia="fr-FR"/>
              </w:rPr>
              <w:t>(donnée non contractuelle)</w:t>
            </w:r>
          </w:p>
        </w:tc>
      </w:tr>
      <w:tr w:rsidR="00D670B6" w:rsidRPr="00D670B6" w14:paraId="402E7467" w14:textId="77777777" w:rsidTr="00D670B6">
        <w:trPr>
          <w:trHeight w:val="645"/>
        </w:trPr>
        <w:tc>
          <w:tcPr>
            <w:tcW w:w="72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DD54CA0"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w:t>
            </w:r>
          </w:p>
        </w:tc>
        <w:tc>
          <w:tcPr>
            <w:tcW w:w="2600" w:type="dxa"/>
            <w:tcBorders>
              <w:top w:val="single" w:sz="8" w:space="0" w:color="auto"/>
              <w:left w:val="nil"/>
              <w:bottom w:val="single" w:sz="8" w:space="0" w:color="auto"/>
              <w:right w:val="single" w:sz="8" w:space="0" w:color="000000"/>
            </w:tcBorders>
            <w:shd w:val="clear" w:color="auto" w:fill="auto"/>
            <w:vAlign w:val="center"/>
            <w:hideMark/>
          </w:tcPr>
          <w:p w14:paraId="3AE96480" w14:textId="77777777"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Maison d'arrêt de Charleville-Mézières (08)</w:t>
            </w:r>
          </w:p>
        </w:tc>
        <w:tc>
          <w:tcPr>
            <w:tcW w:w="3474" w:type="dxa"/>
            <w:tcBorders>
              <w:top w:val="single" w:sz="8" w:space="0" w:color="auto"/>
              <w:left w:val="nil"/>
              <w:bottom w:val="single" w:sz="8" w:space="0" w:color="auto"/>
              <w:right w:val="single" w:sz="8" w:space="0" w:color="000000"/>
            </w:tcBorders>
            <w:shd w:val="clear" w:color="auto" w:fill="auto"/>
            <w:vAlign w:val="center"/>
            <w:hideMark/>
          </w:tcPr>
          <w:p w14:paraId="26C15C31"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2 place Winston Churchill</w:t>
            </w:r>
            <w:r w:rsidRPr="00D670B6">
              <w:rPr>
                <w:rFonts w:eastAsia="Times New Roman" w:cs="Calibri"/>
                <w:color w:val="000000"/>
                <w:szCs w:val="20"/>
                <w:lang w:eastAsia="fr-FR"/>
              </w:rPr>
              <w:br/>
              <w:t>08000 Charleville-Mézières</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62FA8789" w14:textId="50E3915F"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w:t>
            </w:r>
            <w:r w:rsidR="00C909DF">
              <w:rPr>
                <w:rFonts w:eastAsia="Times New Roman" w:cs="Calibri"/>
                <w:color w:val="000000"/>
                <w:szCs w:val="20"/>
                <w:lang w:eastAsia="fr-FR"/>
              </w:rPr>
              <w:t>0</w:t>
            </w:r>
            <w:r w:rsidRPr="00D670B6">
              <w:rPr>
                <w:rFonts w:eastAsia="Times New Roman" w:cs="Calibri"/>
                <w:color w:val="000000"/>
                <w:szCs w:val="20"/>
                <w:lang w:eastAsia="fr-FR"/>
              </w:rPr>
              <w:t>0 kg</w:t>
            </w:r>
          </w:p>
        </w:tc>
      </w:tr>
      <w:tr w:rsidR="00D670B6" w:rsidRPr="00D670B6" w14:paraId="37AC3FB2" w14:textId="77777777" w:rsidTr="00D670B6">
        <w:trPr>
          <w:trHeight w:val="960"/>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513460E5"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2</w:t>
            </w:r>
          </w:p>
        </w:tc>
        <w:tc>
          <w:tcPr>
            <w:tcW w:w="2600" w:type="dxa"/>
            <w:tcBorders>
              <w:top w:val="nil"/>
              <w:left w:val="nil"/>
              <w:bottom w:val="single" w:sz="8" w:space="0" w:color="auto"/>
              <w:right w:val="single" w:sz="8" w:space="0" w:color="000000"/>
            </w:tcBorders>
            <w:shd w:val="clear" w:color="auto" w:fill="auto"/>
            <w:vAlign w:val="center"/>
            <w:hideMark/>
          </w:tcPr>
          <w:p w14:paraId="617603FC" w14:textId="1AD86A2D"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 xml:space="preserve">Maison d'arrêt de Chalons -En -Champagne + </w:t>
            </w:r>
            <w:r w:rsidR="0005315B">
              <w:rPr>
                <w:rFonts w:eastAsia="Times New Roman" w:cs="Calibri"/>
                <w:color w:val="000000"/>
                <w:szCs w:val="20"/>
                <w:lang w:eastAsia="fr-FR"/>
              </w:rPr>
              <w:t>restaurant du personnel</w:t>
            </w:r>
            <w:r w:rsidRPr="00D670B6">
              <w:rPr>
                <w:rFonts w:eastAsia="Times New Roman" w:cs="Calibri"/>
                <w:color w:val="000000"/>
                <w:szCs w:val="20"/>
                <w:lang w:eastAsia="fr-FR"/>
              </w:rPr>
              <w:t xml:space="preserve"> (51)</w:t>
            </w:r>
          </w:p>
        </w:tc>
        <w:tc>
          <w:tcPr>
            <w:tcW w:w="3474" w:type="dxa"/>
            <w:tcBorders>
              <w:top w:val="nil"/>
              <w:left w:val="nil"/>
              <w:bottom w:val="single" w:sz="8" w:space="0" w:color="auto"/>
              <w:right w:val="single" w:sz="8" w:space="0" w:color="000000"/>
            </w:tcBorders>
            <w:shd w:val="clear" w:color="auto" w:fill="auto"/>
            <w:vAlign w:val="center"/>
            <w:hideMark/>
          </w:tcPr>
          <w:p w14:paraId="0783CFBD"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 xml:space="preserve">1 rue Jacques </w:t>
            </w:r>
            <w:proofErr w:type="spellStart"/>
            <w:r w:rsidRPr="00D670B6">
              <w:rPr>
                <w:rFonts w:eastAsia="Times New Roman" w:cs="Calibri"/>
                <w:color w:val="000000"/>
                <w:szCs w:val="20"/>
                <w:lang w:eastAsia="fr-FR"/>
              </w:rPr>
              <w:t>Songy</w:t>
            </w:r>
            <w:proofErr w:type="spellEnd"/>
            <w:r w:rsidRPr="00D670B6">
              <w:rPr>
                <w:rFonts w:eastAsia="Times New Roman" w:cs="Calibri"/>
                <w:color w:val="000000"/>
                <w:szCs w:val="20"/>
                <w:lang w:eastAsia="fr-FR"/>
              </w:rPr>
              <w:br/>
              <w:t>51022 Châlons en Champagne</w:t>
            </w:r>
          </w:p>
        </w:tc>
        <w:tc>
          <w:tcPr>
            <w:tcW w:w="2268" w:type="dxa"/>
            <w:tcBorders>
              <w:top w:val="nil"/>
              <w:left w:val="nil"/>
              <w:bottom w:val="single" w:sz="8" w:space="0" w:color="auto"/>
              <w:right w:val="single" w:sz="8" w:space="0" w:color="auto"/>
            </w:tcBorders>
            <w:shd w:val="clear" w:color="auto" w:fill="auto"/>
            <w:vAlign w:val="center"/>
            <w:hideMark/>
          </w:tcPr>
          <w:p w14:paraId="66C53C6E"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530 kg</w:t>
            </w:r>
          </w:p>
        </w:tc>
      </w:tr>
      <w:tr w:rsidR="00D670B6" w:rsidRPr="00D670B6" w14:paraId="2E421377" w14:textId="77777777" w:rsidTr="00D670B6">
        <w:trPr>
          <w:trHeight w:val="645"/>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6614738B"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3</w:t>
            </w:r>
          </w:p>
        </w:tc>
        <w:tc>
          <w:tcPr>
            <w:tcW w:w="2600" w:type="dxa"/>
            <w:tcBorders>
              <w:top w:val="nil"/>
              <w:left w:val="nil"/>
              <w:bottom w:val="nil"/>
              <w:right w:val="single" w:sz="8" w:space="0" w:color="000000"/>
            </w:tcBorders>
            <w:shd w:val="clear" w:color="auto" w:fill="auto"/>
            <w:vAlign w:val="center"/>
            <w:hideMark/>
          </w:tcPr>
          <w:p w14:paraId="39A17A35" w14:textId="77777777"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Maison d'arrêt de Reims (51)</w:t>
            </w:r>
          </w:p>
        </w:tc>
        <w:tc>
          <w:tcPr>
            <w:tcW w:w="3474" w:type="dxa"/>
            <w:tcBorders>
              <w:top w:val="nil"/>
              <w:left w:val="nil"/>
              <w:bottom w:val="nil"/>
              <w:right w:val="single" w:sz="8" w:space="0" w:color="000000"/>
            </w:tcBorders>
            <w:shd w:val="clear" w:color="auto" w:fill="auto"/>
            <w:vAlign w:val="center"/>
            <w:hideMark/>
          </w:tcPr>
          <w:p w14:paraId="02DA0D83"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23 boulevard Robespierre</w:t>
            </w:r>
            <w:r w:rsidRPr="00D670B6">
              <w:rPr>
                <w:rFonts w:eastAsia="Times New Roman" w:cs="Calibri"/>
                <w:color w:val="000000"/>
                <w:szCs w:val="20"/>
                <w:lang w:eastAsia="fr-FR"/>
              </w:rPr>
              <w:br/>
              <w:t>51090 Reims Cedex</w:t>
            </w:r>
          </w:p>
        </w:tc>
        <w:tc>
          <w:tcPr>
            <w:tcW w:w="2268" w:type="dxa"/>
            <w:tcBorders>
              <w:top w:val="nil"/>
              <w:left w:val="nil"/>
              <w:bottom w:val="nil"/>
              <w:right w:val="single" w:sz="8" w:space="0" w:color="000000"/>
            </w:tcBorders>
            <w:shd w:val="clear" w:color="auto" w:fill="auto"/>
            <w:vAlign w:val="center"/>
            <w:hideMark/>
          </w:tcPr>
          <w:p w14:paraId="02450E4B"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300 kg</w:t>
            </w:r>
          </w:p>
        </w:tc>
      </w:tr>
      <w:tr w:rsidR="00D670B6" w:rsidRPr="00D670B6" w14:paraId="55EC624D" w14:textId="77777777" w:rsidTr="00D670B6">
        <w:trPr>
          <w:trHeight w:val="645"/>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37F179E5"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4</w:t>
            </w:r>
          </w:p>
        </w:tc>
        <w:tc>
          <w:tcPr>
            <w:tcW w:w="2600" w:type="dxa"/>
            <w:tcBorders>
              <w:top w:val="single" w:sz="8" w:space="0" w:color="000000"/>
              <w:left w:val="nil"/>
              <w:bottom w:val="nil"/>
              <w:right w:val="single" w:sz="8" w:space="0" w:color="000000"/>
            </w:tcBorders>
            <w:shd w:val="clear" w:color="auto" w:fill="auto"/>
            <w:vAlign w:val="center"/>
            <w:hideMark/>
          </w:tcPr>
          <w:p w14:paraId="45DE04D5" w14:textId="77777777"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Maison d'arrêt de Chaumont (52)</w:t>
            </w:r>
          </w:p>
        </w:tc>
        <w:tc>
          <w:tcPr>
            <w:tcW w:w="3474" w:type="dxa"/>
            <w:tcBorders>
              <w:top w:val="nil"/>
              <w:left w:val="nil"/>
              <w:bottom w:val="nil"/>
              <w:right w:val="single" w:sz="8" w:space="0" w:color="000000"/>
            </w:tcBorders>
            <w:shd w:val="clear" w:color="auto" w:fill="auto"/>
            <w:vAlign w:val="center"/>
            <w:hideMark/>
          </w:tcPr>
          <w:p w14:paraId="716C3385"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 xml:space="preserve">27 rue du Val </w:t>
            </w:r>
            <w:proofErr w:type="spellStart"/>
            <w:r w:rsidRPr="00D670B6">
              <w:rPr>
                <w:rFonts w:eastAsia="Times New Roman" w:cs="Calibri"/>
                <w:color w:val="000000"/>
                <w:szCs w:val="20"/>
                <w:lang w:eastAsia="fr-FR"/>
              </w:rPr>
              <w:t>Barizien</w:t>
            </w:r>
            <w:proofErr w:type="spellEnd"/>
            <w:r w:rsidRPr="00D670B6">
              <w:rPr>
                <w:rFonts w:eastAsia="Times New Roman" w:cs="Calibri"/>
                <w:color w:val="000000"/>
                <w:szCs w:val="20"/>
                <w:lang w:eastAsia="fr-FR"/>
              </w:rPr>
              <w:br/>
              <w:t>52000 Chaumont</w:t>
            </w:r>
          </w:p>
        </w:tc>
        <w:tc>
          <w:tcPr>
            <w:tcW w:w="2268" w:type="dxa"/>
            <w:tcBorders>
              <w:top w:val="single" w:sz="8" w:space="0" w:color="000000"/>
              <w:left w:val="nil"/>
              <w:bottom w:val="nil"/>
              <w:right w:val="single" w:sz="8" w:space="0" w:color="000000"/>
            </w:tcBorders>
            <w:shd w:val="clear" w:color="auto" w:fill="auto"/>
            <w:vAlign w:val="center"/>
            <w:hideMark/>
          </w:tcPr>
          <w:p w14:paraId="5F0174D8"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200 kg</w:t>
            </w:r>
          </w:p>
        </w:tc>
      </w:tr>
      <w:tr w:rsidR="00D670B6" w:rsidRPr="00D670B6" w14:paraId="699E56BB" w14:textId="77777777" w:rsidTr="00D670B6">
        <w:trPr>
          <w:trHeight w:val="645"/>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68840A06"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5</w:t>
            </w:r>
          </w:p>
        </w:tc>
        <w:tc>
          <w:tcPr>
            <w:tcW w:w="2600" w:type="dxa"/>
            <w:tcBorders>
              <w:top w:val="single" w:sz="8" w:space="0" w:color="000000"/>
              <w:left w:val="nil"/>
              <w:bottom w:val="nil"/>
              <w:right w:val="single" w:sz="8" w:space="0" w:color="000000"/>
            </w:tcBorders>
            <w:shd w:val="clear" w:color="auto" w:fill="auto"/>
            <w:vAlign w:val="center"/>
            <w:hideMark/>
          </w:tcPr>
          <w:p w14:paraId="2C817128" w14:textId="77777777"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Centre de semi-liberté de Briey (54)</w:t>
            </w:r>
          </w:p>
        </w:tc>
        <w:tc>
          <w:tcPr>
            <w:tcW w:w="3474" w:type="dxa"/>
            <w:tcBorders>
              <w:top w:val="nil"/>
              <w:left w:val="nil"/>
              <w:bottom w:val="nil"/>
              <w:right w:val="single" w:sz="8" w:space="0" w:color="000000"/>
            </w:tcBorders>
            <w:shd w:val="clear" w:color="auto" w:fill="auto"/>
            <w:vAlign w:val="center"/>
            <w:hideMark/>
          </w:tcPr>
          <w:p w14:paraId="7CDED15C"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4 avenue du Roi de Rome</w:t>
            </w:r>
            <w:r w:rsidRPr="00D670B6">
              <w:rPr>
                <w:rFonts w:eastAsia="Times New Roman" w:cs="Calibri"/>
                <w:color w:val="000000"/>
                <w:szCs w:val="20"/>
                <w:lang w:eastAsia="fr-FR"/>
              </w:rPr>
              <w:br/>
              <w:t>54150 Briey Cedex</w:t>
            </w:r>
          </w:p>
        </w:tc>
        <w:tc>
          <w:tcPr>
            <w:tcW w:w="2268" w:type="dxa"/>
            <w:tcBorders>
              <w:top w:val="single" w:sz="8" w:space="0" w:color="000000"/>
              <w:left w:val="nil"/>
              <w:bottom w:val="nil"/>
              <w:right w:val="single" w:sz="8" w:space="0" w:color="000000"/>
            </w:tcBorders>
            <w:shd w:val="clear" w:color="auto" w:fill="auto"/>
            <w:vAlign w:val="center"/>
            <w:hideMark/>
          </w:tcPr>
          <w:p w14:paraId="0B12C1B8"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40 kg</w:t>
            </w:r>
          </w:p>
        </w:tc>
      </w:tr>
      <w:tr w:rsidR="00D670B6" w:rsidRPr="00D670B6" w14:paraId="34D4A187" w14:textId="77777777" w:rsidTr="00D670B6">
        <w:trPr>
          <w:trHeight w:val="960"/>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7A72282F"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6</w:t>
            </w:r>
          </w:p>
        </w:tc>
        <w:tc>
          <w:tcPr>
            <w:tcW w:w="2600" w:type="dxa"/>
            <w:tcBorders>
              <w:top w:val="single" w:sz="8" w:space="0" w:color="000000"/>
              <w:left w:val="nil"/>
              <w:bottom w:val="nil"/>
              <w:right w:val="nil"/>
            </w:tcBorders>
            <w:shd w:val="clear" w:color="auto" w:fill="auto"/>
            <w:vAlign w:val="center"/>
            <w:hideMark/>
          </w:tcPr>
          <w:p w14:paraId="087C94A1" w14:textId="0ECECDF4"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 xml:space="preserve">Centre de détention d'Écrouves + </w:t>
            </w:r>
            <w:r w:rsidR="0005315B">
              <w:rPr>
                <w:rFonts w:eastAsia="Times New Roman" w:cs="Calibri"/>
                <w:color w:val="000000"/>
                <w:szCs w:val="20"/>
                <w:lang w:eastAsia="fr-FR"/>
              </w:rPr>
              <w:t>restaurant du personnel</w:t>
            </w:r>
            <w:r w:rsidR="0005315B" w:rsidRPr="00D670B6">
              <w:rPr>
                <w:rFonts w:eastAsia="Times New Roman" w:cs="Calibri"/>
                <w:color w:val="000000"/>
                <w:szCs w:val="20"/>
                <w:lang w:eastAsia="fr-FR"/>
              </w:rPr>
              <w:t xml:space="preserve"> </w:t>
            </w:r>
            <w:r w:rsidRPr="00D670B6">
              <w:rPr>
                <w:rFonts w:eastAsia="Times New Roman" w:cs="Calibri"/>
                <w:color w:val="000000"/>
                <w:szCs w:val="20"/>
                <w:lang w:eastAsia="fr-FR"/>
              </w:rPr>
              <w:t>(54)</w:t>
            </w:r>
          </w:p>
        </w:tc>
        <w:tc>
          <w:tcPr>
            <w:tcW w:w="347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5E9A37"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323 route de Pagney</w:t>
            </w:r>
            <w:r w:rsidRPr="00D670B6">
              <w:rPr>
                <w:rFonts w:eastAsia="Times New Roman" w:cs="Calibri"/>
                <w:color w:val="000000"/>
                <w:szCs w:val="20"/>
                <w:lang w:eastAsia="fr-FR"/>
              </w:rPr>
              <w:br/>
              <w:t>B.P. 80311 - 54201 Toul Cedex</w:t>
            </w:r>
          </w:p>
        </w:tc>
        <w:tc>
          <w:tcPr>
            <w:tcW w:w="2268" w:type="dxa"/>
            <w:tcBorders>
              <w:top w:val="single" w:sz="8" w:space="0" w:color="000000"/>
              <w:left w:val="nil"/>
              <w:bottom w:val="nil"/>
              <w:right w:val="single" w:sz="8" w:space="0" w:color="000000"/>
            </w:tcBorders>
            <w:shd w:val="clear" w:color="auto" w:fill="auto"/>
            <w:vAlign w:val="center"/>
            <w:hideMark/>
          </w:tcPr>
          <w:p w14:paraId="7E4EEC85"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490 kg</w:t>
            </w:r>
          </w:p>
        </w:tc>
      </w:tr>
      <w:tr w:rsidR="00D670B6" w:rsidRPr="00D670B6" w14:paraId="3591D89A" w14:textId="77777777" w:rsidTr="00D670B6">
        <w:trPr>
          <w:trHeight w:val="645"/>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5C459195"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7</w:t>
            </w:r>
          </w:p>
        </w:tc>
        <w:tc>
          <w:tcPr>
            <w:tcW w:w="2600" w:type="dxa"/>
            <w:tcBorders>
              <w:top w:val="single" w:sz="8" w:space="0" w:color="000000"/>
              <w:left w:val="nil"/>
              <w:bottom w:val="nil"/>
              <w:right w:val="nil"/>
            </w:tcBorders>
            <w:shd w:val="clear" w:color="auto" w:fill="auto"/>
            <w:vAlign w:val="center"/>
            <w:hideMark/>
          </w:tcPr>
          <w:p w14:paraId="73EEDD4A" w14:textId="77777777"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Centre de semi-liberté de Maxéville (54)</w:t>
            </w:r>
          </w:p>
        </w:tc>
        <w:tc>
          <w:tcPr>
            <w:tcW w:w="3474" w:type="dxa"/>
            <w:tcBorders>
              <w:top w:val="nil"/>
              <w:left w:val="single" w:sz="8" w:space="0" w:color="auto"/>
              <w:bottom w:val="single" w:sz="8" w:space="0" w:color="auto"/>
              <w:right w:val="single" w:sz="8" w:space="0" w:color="auto"/>
            </w:tcBorders>
            <w:shd w:val="clear" w:color="auto" w:fill="auto"/>
            <w:vAlign w:val="center"/>
            <w:hideMark/>
          </w:tcPr>
          <w:p w14:paraId="2DAC49C2"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63 rue de la République</w:t>
            </w:r>
            <w:r w:rsidRPr="00D670B6">
              <w:rPr>
                <w:rFonts w:eastAsia="Times New Roman" w:cs="Calibri"/>
                <w:color w:val="000000"/>
                <w:szCs w:val="20"/>
                <w:lang w:eastAsia="fr-FR"/>
              </w:rPr>
              <w:br/>
              <w:t>54320 Maxéville</w:t>
            </w:r>
          </w:p>
        </w:tc>
        <w:tc>
          <w:tcPr>
            <w:tcW w:w="2268" w:type="dxa"/>
            <w:tcBorders>
              <w:top w:val="single" w:sz="8" w:space="0" w:color="000000"/>
              <w:left w:val="nil"/>
              <w:bottom w:val="nil"/>
              <w:right w:val="single" w:sz="8" w:space="0" w:color="000000"/>
            </w:tcBorders>
            <w:shd w:val="clear" w:color="auto" w:fill="auto"/>
            <w:vAlign w:val="center"/>
            <w:hideMark/>
          </w:tcPr>
          <w:p w14:paraId="45966447"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80 kg</w:t>
            </w:r>
          </w:p>
        </w:tc>
      </w:tr>
      <w:tr w:rsidR="00D670B6" w:rsidRPr="00D670B6" w14:paraId="76904E47" w14:textId="77777777" w:rsidTr="00D670B6">
        <w:trPr>
          <w:trHeight w:val="960"/>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372F597F"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8</w:t>
            </w:r>
          </w:p>
        </w:tc>
        <w:tc>
          <w:tcPr>
            <w:tcW w:w="2600" w:type="dxa"/>
            <w:tcBorders>
              <w:top w:val="single" w:sz="8" w:space="0" w:color="000000"/>
              <w:left w:val="nil"/>
              <w:bottom w:val="nil"/>
              <w:right w:val="nil"/>
            </w:tcBorders>
            <w:shd w:val="clear" w:color="auto" w:fill="auto"/>
            <w:vAlign w:val="center"/>
            <w:hideMark/>
          </w:tcPr>
          <w:p w14:paraId="2E8936E7" w14:textId="77777777"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Centre de détention de Toul (54)</w:t>
            </w:r>
          </w:p>
        </w:tc>
        <w:tc>
          <w:tcPr>
            <w:tcW w:w="3474" w:type="dxa"/>
            <w:tcBorders>
              <w:top w:val="nil"/>
              <w:left w:val="single" w:sz="8" w:space="0" w:color="auto"/>
              <w:bottom w:val="single" w:sz="8" w:space="0" w:color="auto"/>
              <w:right w:val="single" w:sz="8" w:space="0" w:color="auto"/>
            </w:tcBorders>
            <w:shd w:val="clear" w:color="auto" w:fill="auto"/>
            <w:vAlign w:val="center"/>
            <w:hideMark/>
          </w:tcPr>
          <w:p w14:paraId="610C069F"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804 rue du Maréchal Lyautey</w:t>
            </w:r>
            <w:r w:rsidRPr="00D670B6">
              <w:rPr>
                <w:rFonts w:eastAsia="Times New Roman" w:cs="Calibri"/>
                <w:color w:val="000000"/>
                <w:szCs w:val="20"/>
                <w:lang w:eastAsia="fr-FR"/>
              </w:rPr>
              <w:br/>
              <w:t>54201 Toul</w:t>
            </w:r>
          </w:p>
        </w:tc>
        <w:tc>
          <w:tcPr>
            <w:tcW w:w="2268" w:type="dxa"/>
            <w:tcBorders>
              <w:top w:val="single" w:sz="8" w:space="0" w:color="000000"/>
              <w:left w:val="nil"/>
              <w:bottom w:val="nil"/>
              <w:right w:val="single" w:sz="8" w:space="0" w:color="000000"/>
            </w:tcBorders>
            <w:shd w:val="clear" w:color="auto" w:fill="auto"/>
            <w:vAlign w:val="center"/>
            <w:hideMark/>
          </w:tcPr>
          <w:p w14:paraId="2566DF46"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670 kg</w:t>
            </w:r>
          </w:p>
        </w:tc>
      </w:tr>
      <w:tr w:rsidR="00D670B6" w:rsidRPr="00D670B6" w14:paraId="49DF0242" w14:textId="77777777" w:rsidTr="00D670B6">
        <w:trPr>
          <w:trHeight w:val="645"/>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1917EF6F"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lastRenderedPageBreak/>
              <w:t>9</w:t>
            </w:r>
          </w:p>
        </w:tc>
        <w:tc>
          <w:tcPr>
            <w:tcW w:w="2600" w:type="dxa"/>
            <w:tcBorders>
              <w:top w:val="single" w:sz="8" w:space="0" w:color="000000"/>
              <w:left w:val="nil"/>
              <w:bottom w:val="nil"/>
              <w:right w:val="nil"/>
            </w:tcBorders>
            <w:shd w:val="clear" w:color="auto" w:fill="auto"/>
            <w:vAlign w:val="center"/>
            <w:hideMark/>
          </w:tcPr>
          <w:p w14:paraId="46492FB1" w14:textId="77777777"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Maison d'arrêt de Bar-Le-Duc (55)</w:t>
            </w:r>
          </w:p>
        </w:tc>
        <w:tc>
          <w:tcPr>
            <w:tcW w:w="3474" w:type="dxa"/>
            <w:tcBorders>
              <w:top w:val="nil"/>
              <w:left w:val="single" w:sz="8" w:space="0" w:color="auto"/>
              <w:bottom w:val="single" w:sz="8" w:space="0" w:color="auto"/>
              <w:right w:val="single" w:sz="8" w:space="0" w:color="auto"/>
            </w:tcBorders>
            <w:shd w:val="clear" w:color="auto" w:fill="auto"/>
            <w:vAlign w:val="center"/>
            <w:hideMark/>
          </w:tcPr>
          <w:p w14:paraId="00B78640"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24 place Saint Pierre</w:t>
            </w:r>
            <w:r w:rsidRPr="00D670B6">
              <w:rPr>
                <w:rFonts w:eastAsia="Times New Roman" w:cs="Calibri"/>
                <w:color w:val="000000"/>
                <w:szCs w:val="20"/>
                <w:lang w:eastAsia="fr-FR"/>
              </w:rPr>
              <w:br/>
              <w:t>BP 279-55000 Bar le Duc</w:t>
            </w:r>
          </w:p>
        </w:tc>
        <w:tc>
          <w:tcPr>
            <w:tcW w:w="2268" w:type="dxa"/>
            <w:tcBorders>
              <w:top w:val="single" w:sz="8" w:space="0" w:color="000000"/>
              <w:left w:val="nil"/>
              <w:bottom w:val="nil"/>
              <w:right w:val="single" w:sz="8" w:space="0" w:color="000000"/>
            </w:tcBorders>
            <w:shd w:val="clear" w:color="auto" w:fill="auto"/>
            <w:vAlign w:val="center"/>
            <w:hideMark/>
          </w:tcPr>
          <w:p w14:paraId="1BA5FCC6"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90kg</w:t>
            </w:r>
          </w:p>
        </w:tc>
      </w:tr>
      <w:tr w:rsidR="00D670B6" w:rsidRPr="00D670B6" w14:paraId="5B3C25DD" w14:textId="77777777" w:rsidTr="00D670B6">
        <w:trPr>
          <w:trHeight w:val="960"/>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0B668A84"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10</w:t>
            </w:r>
          </w:p>
        </w:tc>
        <w:tc>
          <w:tcPr>
            <w:tcW w:w="2600" w:type="dxa"/>
            <w:tcBorders>
              <w:top w:val="single" w:sz="8" w:space="0" w:color="000000"/>
              <w:left w:val="nil"/>
              <w:bottom w:val="nil"/>
              <w:right w:val="nil"/>
            </w:tcBorders>
            <w:shd w:val="clear" w:color="auto" w:fill="auto"/>
            <w:vAlign w:val="center"/>
            <w:hideMark/>
          </w:tcPr>
          <w:p w14:paraId="77DC8E5D" w14:textId="0D4E137F"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 xml:space="preserve">Centre de détention de Montmédy + </w:t>
            </w:r>
            <w:r w:rsidR="0005315B">
              <w:rPr>
                <w:rFonts w:eastAsia="Times New Roman" w:cs="Calibri"/>
                <w:color w:val="000000"/>
                <w:szCs w:val="20"/>
                <w:lang w:eastAsia="fr-FR"/>
              </w:rPr>
              <w:t>restaurant du personnel</w:t>
            </w:r>
            <w:r w:rsidR="0005315B" w:rsidRPr="00D670B6">
              <w:rPr>
                <w:rFonts w:eastAsia="Times New Roman" w:cs="Calibri"/>
                <w:color w:val="000000"/>
                <w:szCs w:val="20"/>
                <w:lang w:eastAsia="fr-FR"/>
              </w:rPr>
              <w:t xml:space="preserve"> </w:t>
            </w:r>
            <w:r w:rsidRPr="00D670B6">
              <w:rPr>
                <w:rFonts w:eastAsia="Times New Roman" w:cs="Calibri"/>
                <w:color w:val="000000"/>
                <w:szCs w:val="20"/>
                <w:lang w:eastAsia="fr-FR"/>
              </w:rPr>
              <w:t>(55)</w:t>
            </w:r>
          </w:p>
        </w:tc>
        <w:tc>
          <w:tcPr>
            <w:tcW w:w="3474" w:type="dxa"/>
            <w:tcBorders>
              <w:top w:val="nil"/>
              <w:left w:val="single" w:sz="8" w:space="0" w:color="auto"/>
              <w:bottom w:val="single" w:sz="8" w:space="0" w:color="auto"/>
              <w:right w:val="single" w:sz="8" w:space="0" w:color="auto"/>
            </w:tcBorders>
            <w:shd w:val="clear" w:color="auto" w:fill="auto"/>
            <w:vAlign w:val="center"/>
            <w:hideMark/>
          </w:tcPr>
          <w:p w14:paraId="634E90A0"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8 rue du Commandant Ménard</w:t>
            </w:r>
            <w:r w:rsidRPr="00D670B6">
              <w:rPr>
                <w:rFonts w:eastAsia="Times New Roman" w:cs="Calibri"/>
                <w:color w:val="000000"/>
                <w:szCs w:val="20"/>
                <w:lang w:eastAsia="fr-FR"/>
              </w:rPr>
              <w:br/>
              <w:t>55600 Montmédy</w:t>
            </w:r>
          </w:p>
        </w:tc>
        <w:tc>
          <w:tcPr>
            <w:tcW w:w="2268" w:type="dxa"/>
            <w:tcBorders>
              <w:top w:val="single" w:sz="8" w:space="0" w:color="000000"/>
              <w:left w:val="nil"/>
              <w:bottom w:val="nil"/>
              <w:right w:val="single" w:sz="8" w:space="0" w:color="000000"/>
            </w:tcBorders>
            <w:shd w:val="clear" w:color="auto" w:fill="auto"/>
            <w:vAlign w:val="center"/>
            <w:hideMark/>
          </w:tcPr>
          <w:p w14:paraId="580F3A4B"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750 kg</w:t>
            </w:r>
          </w:p>
        </w:tc>
      </w:tr>
      <w:tr w:rsidR="00D670B6" w:rsidRPr="00D670B6" w14:paraId="5C03C957" w14:textId="77777777" w:rsidTr="00D670B6">
        <w:trPr>
          <w:trHeight w:val="645"/>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2D85683A"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11</w:t>
            </w:r>
          </w:p>
        </w:tc>
        <w:tc>
          <w:tcPr>
            <w:tcW w:w="2600" w:type="dxa"/>
            <w:tcBorders>
              <w:top w:val="single" w:sz="8" w:space="0" w:color="000000"/>
              <w:left w:val="nil"/>
              <w:bottom w:val="nil"/>
              <w:right w:val="nil"/>
            </w:tcBorders>
            <w:shd w:val="clear" w:color="auto" w:fill="auto"/>
            <w:vAlign w:val="center"/>
            <w:hideMark/>
          </w:tcPr>
          <w:p w14:paraId="71FC43D9" w14:textId="6E6816B7"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 xml:space="preserve">Centre pénitentiaire de Metz + </w:t>
            </w:r>
            <w:r w:rsidR="0005315B">
              <w:rPr>
                <w:rFonts w:eastAsia="Times New Roman" w:cs="Calibri"/>
                <w:color w:val="000000"/>
                <w:szCs w:val="20"/>
                <w:lang w:eastAsia="fr-FR"/>
              </w:rPr>
              <w:t>restaurant du personnel</w:t>
            </w:r>
            <w:r w:rsidR="0005315B" w:rsidRPr="00D670B6">
              <w:rPr>
                <w:rFonts w:eastAsia="Times New Roman" w:cs="Calibri"/>
                <w:color w:val="000000"/>
                <w:szCs w:val="20"/>
                <w:lang w:eastAsia="fr-FR"/>
              </w:rPr>
              <w:t xml:space="preserve"> </w:t>
            </w:r>
            <w:r w:rsidRPr="00D670B6">
              <w:rPr>
                <w:rFonts w:eastAsia="Times New Roman" w:cs="Calibri"/>
                <w:color w:val="000000"/>
                <w:szCs w:val="20"/>
                <w:lang w:eastAsia="fr-FR"/>
              </w:rPr>
              <w:t>(57)</w:t>
            </w:r>
          </w:p>
        </w:tc>
        <w:tc>
          <w:tcPr>
            <w:tcW w:w="3474" w:type="dxa"/>
            <w:tcBorders>
              <w:top w:val="nil"/>
              <w:left w:val="single" w:sz="8" w:space="0" w:color="auto"/>
              <w:bottom w:val="single" w:sz="8" w:space="0" w:color="auto"/>
              <w:right w:val="single" w:sz="8" w:space="0" w:color="auto"/>
            </w:tcBorders>
            <w:shd w:val="clear" w:color="auto" w:fill="auto"/>
            <w:vAlign w:val="center"/>
            <w:hideMark/>
          </w:tcPr>
          <w:p w14:paraId="75C3C04F"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 xml:space="preserve">1 rue de la </w:t>
            </w:r>
            <w:proofErr w:type="spellStart"/>
            <w:r w:rsidRPr="00D670B6">
              <w:rPr>
                <w:rFonts w:eastAsia="Times New Roman" w:cs="Calibri"/>
                <w:color w:val="000000"/>
                <w:szCs w:val="20"/>
                <w:lang w:eastAsia="fr-FR"/>
              </w:rPr>
              <w:t>Seulhotte</w:t>
            </w:r>
            <w:proofErr w:type="spellEnd"/>
            <w:r w:rsidRPr="00D670B6">
              <w:rPr>
                <w:rFonts w:eastAsia="Times New Roman" w:cs="Calibri"/>
                <w:color w:val="000000"/>
                <w:szCs w:val="20"/>
                <w:lang w:eastAsia="fr-FR"/>
              </w:rPr>
              <w:br/>
              <w:t>57070 Metz</w:t>
            </w:r>
          </w:p>
        </w:tc>
        <w:tc>
          <w:tcPr>
            <w:tcW w:w="2268" w:type="dxa"/>
            <w:tcBorders>
              <w:top w:val="single" w:sz="8" w:space="0" w:color="000000"/>
              <w:left w:val="nil"/>
              <w:bottom w:val="nil"/>
              <w:right w:val="single" w:sz="8" w:space="0" w:color="000000"/>
            </w:tcBorders>
            <w:shd w:val="clear" w:color="auto" w:fill="auto"/>
            <w:vAlign w:val="center"/>
            <w:hideMark/>
          </w:tcPr>
          <w:p w14:paraId="71B586DD"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1000 kg</w:t>
            </w:r>
          </w:p>
        </w:tc>
      </w:tr>
      <w:tr w:rsidR="00D670B6" w:rsidRPr="00D670B6" w14:paraId="36DBEE07" w14:textId="77777777" w:rsidTr="00D670B6">
        <w:trPr>
          <w:trHeight w:val="960"/>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184FEE97"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12</w:t>
            </w:r>
          </w:p>
        </w:tc>
        <w:tc>
          <w:tcPr>
            <w:tcW w:w="2600" w:type="dxa"/>
            <w:tcBorders>
              <w:top w:val="single" w:sz="8" w:space="0" w:color="000000"/>
              <w:left w:val="nil"/>
              <w:bottom w:val="nil"/>
              <w:right w:val="nil"/>
            </w:tcBorders>
            <w:shd w:val="clear" w:color="auto" w:fill="auto"/>
            <w:vAlign w:val="center"/>
            <w:hideMark/>
          </w:tcPr>
          <w:p w14:paraId="4D80E47B" w14:textId="77777777"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Maison d'arrêt de Sarreguemines (57)</w:t>
            </w:r>
          </w:p>
        </w:tc>
        <w:tc>
          <w:tcPr>
            <w:tcW w:w="3474" w:type="dxa"/>
            <w:tcBorders>
              <w:top w:val="nil"/>
              <w:left w:val="single" w:sz="8" w:space="0" w:color="auto"/>
              <w:bottom w:val="single" w:sz="8" w:space="0" w:color="auto"/>
              <w:right w:val="single" w:sz="8" w:space="0" w:color="auto"/>
            </w:tcBorders>
            <w:shd w:val="clear" w:color="auto" w:fill="auto"/>
            <w:vAlign w:val="center"/>
            <w:hideMark/>
          </w:tcPr>
          <w:p w14:paraId="64CA236A"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9, rue Victor Hugo</w:t>
            </w:r>
            <w:r w:rsidRPr="00D670B6">
              <w:rPr>
                <w:rFonts w:eastAsia="Times New Roman" w:cs="Calibri"/>
                <w:color w:val="000000"/>
                <w:szCs w:val="20"/>
                <w:lang w:eastAsia="fr-FR"/>
              </w:rPr>
              <w:br/>
              <w:t>B.P. 31107-57216 Sarreguemines- Cedex</w:t>
            </w:r>
          </w:p>
        </w:tc>
        <w:tc>
          <w:tcPr>
            <w:tcW w:w="2268" w:type="dxa"/>
            <w:tcBorders>
              <w:top w:val="single" w:sz="8" w:space="0" w:color="000000"/>
              <w:left w:val="nil"/>
              <w:bottom w:val="nil"/>
              <w:right w:val="single" w:sz="8" w:space="0" w:color="000000"/>
            </w:tcBorders>
            <w:shd w:val="clear" w:color="auto" w:fill="auto"/>
            <w:vAlign w:val="center"/>
            <w:hideMark/>
          </w:tcPr>
          <w:p w14:paraId="39BD8674"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180 kg</w:t>
            </w:r>
          </w:p>
        </w:tc>
      </w:tr>
      <w:tr w:rsidR="00D670B6" w:rsidRPr="00D670B6" w14:paraId="2FF411B4" w14:textId="77777777" w:rsidTr="00D670B6">
        <w:trPr>
          <w:trHeight w:val="1275"/>
        </w:trPr>
        <w:tc>
          <w:tcPr>
            <w:tcW w:w="720" w:type="dxa"/>
            <w:vMerge w:val="restart"/>
            <w:tcBorders>
              <w:top w:val="nil"/>
              <w:left w:val="single" w:sz="8" w:space="0" w:color="auto"/>
              <w:bottom w:val="nil"/>
              <w:right w:val="nil"/>
            </w:tcBorders>
            <w:shd w:val="clear" w:color="auto" w:fill="auto"/>
            <w:vAlign w:val="center"/>
            <w:hideMark/>
          </w:tcPr>
          <w:p w14:paraId="2E474CE0"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13</w:t>
            </w:r>
          </w:p>
        </w:tc>
        <w:tc>
          <w:tcPr>
            <w:tcW w:w="2600" w:type="dxa"/>
            <w:tcBorders>
              <w:top w:val="single" w:sz="8" w:space="0" w:color="auto"/>
              <w:left w:val="single" w:sz="8" w:space="0" w:color="auto"/>
              <w:bottom w:val="nil"/>
              <w:right w:val="single" w:sz="8" w:space="0" w:color="000000"/>
            </w:tcBorders>
            <w:shd w:val="clear" w:color="auto" w:fill="auto"/>
            <w:vAlign w:val="center"/>
            <w:hideMark/>
          </w:tcPr>
          <w:p w14:paraId="005CE80C" w14:textId="77777777"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Centre de détention d'Oermingen (67)</w:t>
            </w:r>
          </w:p>
        </w:tc>
        <w:tc>
          <w:tcPr>
            <w:tcW w:w="3474" w:type="dxa"/>
            <w:tcBorders>
              <w:top w:val="nil"/>
              <w:left w:val="nil"/>
              <w:bottom w:val="nil"/>
              <w:right w:val="single" w:sz="8" w:space="0" w:color="000000"/>
            </w:tcBorders>
            <w:shd w:val="clear" w:color="auto" w:fill="auto"/>
            <w:vAlign w:val="center"/>
            <w:hideMark/>
          </w:tcPr>
          <w:p w14:paraId="073ED075"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Centre de détention d'Oermingen</w:t>
            </w:r>
            <w:r w:rsidRPr="00D670B6">
              <w:rPr>
                <w:rFonts w:eastAsia="Times New Roman" w:cs="Calibri"/>
                <w:color w:val="000000"/>
                <w:szCs w:val="20"/>
                <w:lang w:eastAsia="fr-FR"/>
              </w:rPr>
              <w:br/>
              <w:t>BP 111 - Oermingen</w:t>
            </w:r>
            <w:r w:rsidRPr="00D670B6">
              <w:rPr>
                <w:rFonts w:eastAsia="Times New Roman" w:cs="Calibri"/>
                <w:color w:val="000000"/>
                <w:szCs w:val="20"/>
                <w:lang w:eastAsia="fr-FR"/>
              </w:rPr>
              <w:br/>
              <w:t>67269 - Sarre-Union Cedex</w:t>
            </w:r>
          </w:p>
        </w:tc>
        <w:tc>
          <w:tcPr>
            <w:tcW w:w="2268"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14:paraId="0FCFBF8C"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350 kg</w:t>
            </w:r>
          </w:p>
        </w:tc>
      </w:tr>
      <w:tr w:rsidR="00D670B6" w:rsidRPr="00D670B6" w14:paraId="7668FFA7" w14:textId="77777777" w:rsidTr="00D670B6">
        <w:trPr>
          <w:trHeight w:val="645"/>
        </w:trPr>
        <w:tc>
          <w:tcPr>
            <w:tcW w:w="720" w:type="dxa"/>
            <w:vMerge/>
            <w:tcBorders>
              <w:top w:val="nil"/>
              <w:left w:val="single" w:sz="8" w:space="0" w:color="auto"/>
              <w:bottom w:val="nil"/>
              <w:right w:val="nil"/>
            </w:tcBorders>
            <w:vAlign w:val="center"/>
            <w:hideMark/>
          </w:tcPr>
          <w:p w14:paraId="4157E54B" w14:textId="77777777" w:rsidR="00D670B6" w:rsidRPr="00D670B6" w:rsidRDefault="00D670B6" w:rsidP="00D670B6">
            <w:pPr>
              <w:spacing w:after="0" w:line="240" w:lineRule="auto"/>
              <w:jc w:val="left"/>
              <w:rPr>
                <w:rFonts w:eastAsia="Times New Roman" w:cs="Calibri"/>
                <w:color w:val="000000"/>
                <w:szCs w:val="20"/>
                <w:lang w:eastAsia="fr-FR"/>
              </w:rPr>
            </w:pPr>
          </w:p>
        </w:tc>
        <w:tc>
          <w:tcPr>
            <w:tcW w:w="2600" w:type="dxa"/>
            <w:tcBorders>
              <w:top w:val="single" w:sz="8" w:space="0" w:color="000000"/>
              <w:left w:val="single" w:sz="8" w:space="0" w:color="auto"/>
              <w:bottom w:val="single" w:sz="8" w:space="0" w:color="auto"/>
              <w:right w:val="single" w:sz="8" w:space="0" w:color="000000"/>
            </w:tcBorders>
            <w:shd w:val="clear" w:color="auto" w:fill="auto"/>
            <w:vAlign w:val="center"/>
            <w:hideMark/>
          </w:tcPr>
          <w:p w14:paraId="64044799" w14:textId="5C748608" w:rsidR="00D670B6" w:rsidRPr="00D670B6" w:rsidRDefault="0005315B" w:rsidP="00D670B6">
            <w:pPr>
              <w:spacing w:after="0" w:line="240" w:lineRule="auto"/>
              <w:jc w:val="left"/>
              <w:rPr>
                <w:rFonts w:eastAsia="Times New Roman" w:cs="Calibri"/>
                <w:color w:val="000000"/>
                <w:szCs w:val="20"/>
                <w:lang w:eastAsia="fr-FR"/>
              </w:rPr>
            </w:pPr>
            <w:r>
              <w:rPr>
                <w:rFonts w:eastAsia="Times New Roman" w:cs="Calibri"/>
                <w:color w:val="000000"/>
                <w:szCs w:val="20"/>
                <w:lang w:eastAsia="fr-FR"/>
              </w:rPr>
              <w:t>Restaurant du personnel</w:t>
            </w:r>
          </w:p>
        </w:tc>
        <w:tc>
          <w:tcPr>
            <w:tcW w:w="3474" w:type="dxa"/>
            <w:tcBorders>
              <w:top w:val="nil"/>
              <w:left w:val="nil"/>
              <w:bottom w:val="single" w:sz="8" w:space="0" w:color="auto"/>
              <w:right w:val="single" w:sz="8" w:space="0" w:color="000000"/>
            </w:tcBorders>
            <w:shd w:val="clear" w:color="auto" w:fill="auto"/>
            <w:vAlign w:val="center"/>
            <w:hideMark/>
          </w:tcPr>
          <w:p w14:paraId="133B968C"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Route de Kalhausen</w:t>
            </w:r>
            <w:r w:rsidRPr="00D670B6">
              <w:rPr>
                <w:rFonts w:eastAsia="Times New Roman" w:cs="Calibri"/>
                <w:color w:val="000000"/>
                <w:szCs w:val="20"/>
                <w:lang w:eastAsia="fr-FR"/>
              </w:rPr>
              <w:br/>
              <w:t>67970 Oermingen</w:t>
            </w:r>
          </w:p>
        </w:tc>
        <w:tc>
          <w:tcPr>
            <w:tcW w:w="2268" w:type="dxa"/>
            <w:vMerge/>
            <w:tcBorders>
              <w:top w:val="single" w:sz="8" w:space="0" w:color="auto"/>
              <w:left w:val="single" w:sz="8" w:space="0" w:color="000000"/>
              <w:bottom w:val="single" w:sz="8" w:space="0" w:color="000000"/>
              <w:right w:val="single" w:sz="8" w:space="0" w:color="auto"/>
            </w:tcBorders>
            <w:vAlign w:val="center"/>
            <w:hideMark/>
          </w:tcPr>
          <w:p w14:paraId="700B23CA" w14:textId="77777777" w:rsidR="00D670B6" w:rsidRPr="00D670B6" w:rsidRDefault="00D670B6" w:rsidP="00D670B6">
            <w:pPr>
              <w:spacing w:after="0" w:line="240" w:lineRule="auto"/>
              <w:jc w:val="left"/>
              <w:rPr>
                <w:rFonts w:eastAsia="Times New Roman" w:cs="Calibri"/>
                <w:color w:val="000000"/>
                <w:szCs w:val="20"/>
                <w:lang w:eastAsia="fr-FR"/>
              </w:rPr>
            </w:pPr>
          </w:p>
        </w:tc>
      </w:tr>
      <w:tr w:rsidR="00D670B6" w:rsidRPr="00D670B6" w14:paraId="75ACFB3C" w14:textId="77777777" w:rsidTr="00D670B6">
        <w:trPr>
          <w:trHeight w:val="960"/>
        </w:trPr>
        <w:tc>
          <w:tcPr>
            <w:tcW w:w="72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524B2DD"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14</w:t>
            </w:r>
          </w:p>
        </w:tc>
        <w:tc>
          <w:tcPr>
            <w:tcW w:w="2600" w:type="dxa"/>
            <w:tcBorders>
              <w:top w:val="nil"/>
              <w:left w:val="nil"/>
              <w:bottom w:val="single" w:sz="8" w:space="0" w:color="auto"/>
              <w:right w:val="single" w:sz="8" w:space="0" w:color="000000"/>
            </w:tcBorders>
            <w:shd w:val="clear" w:color="auto" w:fill="auto"/>
            <w:vAlign w:val="center"/>
            <w:hideMark/>
          </w:tcPr>
          <w:p w14:paraId="5BEE923D" w14:textId="216DB569"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 xml:space="preserve">Maison d'arrêt de Strasbourg + </w:t>
            </w:r>
            <w:r w:rsidR="0005315B">
              <w:rPr>
                <w:rFonts w:eastAsia="Times New Roman" w:cs="Calibri"/>
                <w:color w:val="000000"/>
                <w:szCs w:val="20"/>
                <w:lang w:eastAsia="fr-FR"/>
              </w:rPr>
              <w:t>restaurant du personnel</w:t>
            </w:r>
            <w:r w:rsidR="0005315B" w:rsidRPr="00D670B6">
              <w:rPr>
                <w:rFonts w:eastAsia="Times New Roman" w:cs="Calibri"/>
                <w:color w:val="000000"/>
                <w:szCs w:val="20"/>
                <w:lang w:eastAsia="fr-FR"/>
              </w:rPr>
              <w:t xml:space="preserve"> </w:t>
            </w:r>
            <w:r w:rsidRPr="00D670B6">
              <w:rPr>
                <w:rFonts w:eastAsia="Times New Roman" w:cs="Calibri"/>
                <w:color w:val="000000"/>
                <w:szCs w:val="20"/>
                <w:lang w:eastAsia="fr-FR"/>
              </w:rPr>
              <w:t>(67)</w:t>
            </w:r>
          </w:p>
        </w:tc>
        <w:tc>
          <w:tcPr>
            <w:tcW w:w="3474" w:type="dxa"/>
            <w:tcBorders>
              <w:top w:val="nil"/>
              <w:left w:val="nil"/>
              <w:bottom w:val="single" w:sz="8" w:space="0" w:color="auto"/>
              <w:right w:val="single" w:sz="8" w:space="0" w:color="000000"/>
            </w:tcBorders>
            <w:shd w:val="clear" w:color="auto" w:fill="auto"/>
            <w:vAlign w:val="center"/>
            <w:hideMark/>
          </w:tcPr>
          <w:p w14:paraId="6A6D12B6"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6 rue Engelmann</w:t>
            </w:r>
            <w:r w:rsidRPr="00D670B6">
              <w:rPr>
                <w:rFonts w:eastAsia="Times New Roman" w:cs="Calibri"/>
                <w:color w:val="000000"/>
                <w:szCs w:val="20"/>
                <w:lang w:eastAsia="fr-FR"/>
              </w:rPr>
              <w:br/>
              <w:t>BP 10025 - 67035 STRASBOURG</w:t>
            </w:r>
          </w:p>
        </w:tc>
        <w:tc>
          <w:tcPr>
            <w:tcW w:w="2268" w:type="dxa"/>
            <w:tcBorders>
              <w:top w:val="nil"/>
              <w:left w:val="nil"/>
              <w:bottom w:val="single" w:sz="8" w:space="0" w:color="auto"/>
              <w:right w:val="single" w:sz="8" w:space="0" w:color="auto"/>
            </w:tcBorders>
            <w:shd w:val="clear" w:color="auto" w:fill="auto"/>
            <w:vAlign w:val="center"/>
            <w:hideMark/>
          </w:tcPr>
          <w:p w14:paraId="7573C72D"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1100 kg</w:t>
            </w:r>
          </w:p>
        </w:tc>
      </w:tr>
      <w:tr w:rsidR="00D670B6" w:rsidRPr="00D670B6" w14:paraId="2B67BD9D" w14:textId="77777777" w:rsidTr="00D670B6">
        <w:trPr>
          <w:trHeight w:val="645"/>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082F3099"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15</w:t>
            </w:r>
          </w:p>
        </w:tc>
        <w:tc>
          <w:tcPr>
            <w:tcW w:w="2600" w:type="dxa"/>
            <w:tcBorders>
              <w:top w:val="nil"/>
              <w:left w:val="nil"/>
              <w:bottom w:val="single" w:sz="8" w:space="0" w:color="auto"/>
              <w:right w:val="single" w:sz="8" w:space="0" w:color="000000"/>
            </w:tcBorders>
            <w:shd w:val="clear" w:color="auto" w:fill="auto"/>
            <w:vAlign w:val="center"/>
            <w:hideMark/>
          </w:tcPr>
          <w:p w14:paraId="1568248B" w14:textId="761E90C6"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 xml:space="preserve">Maison centrale d'Ensisheim + </w:t>
            </w:r>
            <w:r w:rsidR="0005315B">
              <w:rPr>
                <w:rFonts w:eastAsia="Times New Roman" w:cs="Calibri"/>
                <w:color w:val="000000"/>
                <w:szCs w:val="20"/>
                <w:lang w:eastAsia="fr-FR"/>
              </w:rPr>
              <w:t>restaurant du personnel</w:t>
            </w:r>
            <w:r w:rsidR="0005315B" w:rsidRPr="00D670B6">
              <w:rPr>
                <w:rFonts w:eastAsia="Times New Roman" w:cs="Calibri"/>
                <w:color w:val="000000"/>
                <w:szCs w:val="20"/>
                <w:lang w:eastAsia="fr-FR"/>
              </w:rPr>
              <w:t xml:space="preserve"> </w:t>
            </w:r>
            <w:r w:rsidRPr="00D670B6">
              <w:rPr>
                <w:rFonts w:eastAsia="Times New Roman" w:cs="Calibri"/>
                <w:color w:val="000000"/>
                <w:szCs w:val="20"/>
                <w:lang w:eastAsia="fr-FR"/>
              </w:rPr>
              <w:t>(68)</w:t>
            </w:r>
          </w:p>
        </w:tc>
        <w:tc>
          <w:tcPr>
            <w:tcW w:w="3474" w:type="dxa"/>
            <w:tcBorders>
              <w:top w:val="nil"/>
              <w:left w:val="nil"/>
              <w:bottom w:val="single" w:sz="8" w:space="0" w:color="auto"/>
              <w:right w:val="single" w:sz="8" w:space="0" w:color="000000"/>
            </w:tcBorders>
            <w:shd w:val="clear" w:color="auto" w:fill="auto"/>
            <w:vAlign w:val="center"/>
            <w:hideMark/>
          </w:tcPr>
          <w:p w14:paraId="574E9C7F"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49 rue de la 1ère Armée</w:t>
            </w:r>
            <w:r w:rsidRPr="00D670B6">
              <w:rPr>
                <w:rFonts w:eastAsia="Times New Roman" w:cs="Calibri"/>
                <w:color w:val="000000"/>
                <w:szCs w:val="20"/>
                <w:lang w:eastAsia="fr-FR"/>
              </w:rPr>
              <w:br/>
              <w:t>68190 ENSISHEIM</w:t>
            </w:r>
          </w:p>
        </w:tc>
        <w:tc>
          <w:tcPr>
            <w:tcW w:w="2268" w:type="dxa"/>
            <w:tcBorders>
              <w:top w:val="nil"/>
              <w:left w:val="nil"/>
              <w:bottom w:val="single" w:sz="8" w:space="0" w:color="auto"/>
              <w:right w:val="single" w:sz="8" w:space="0" w:color="auto"/>
            </w:tcBorders>
            <w:shd w:val="clear" w:color="auto" w:fill="auto"/>
            <w:vAlign w:val="center"/>
            <w:hideMark/>
          </w:tcPr>
          <w:p w14:paraId="7DD69038"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210 kg</w:t>
            </w:r>
          </w:p>
        </w:tc>
      </w:tr>
      <w:tr w:rsidR="00D670B6" w:rsidRPr="00D670B6" w14:paraId="30728A4B" w14:textId="77777777" w:rsidTr="00D670B6">
        <w:trPr>
          <w:trHeight w:val="645"/>
        </w:trPr>
        <w:tc>
          <w:tcPr>
            <w:tcW w:w="720" w:type="dxa"/>
            <w:tcBorders>
              <w:top w:val="nil"/>
              <w:left w:val="single" w:sz="8" w:space="0" w:color="auto"/>
              <w:bottom w:val="single" w:sz="8" w:space="0" w:color="auto"/>
              <w:right w:val="single" w:sz="8" w:space="0" w:color="000000"/>
            </w:tcBorders>
            <w:shd w:val="clear" w:color="auto" w:fill="auto"/>
            <w:vAlign w:val="center"/>
            <w:hideMark/>
          </w:tcPr>
          <w:p w14:paraId="45E200E2"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16</w:t>
            </w:r>
          </w:p>
        </w:tc>
        <w:tc>
          <w:tcPr>
            <w:tcW w:w="2600" w:type="dxa"/>
            <w:tcBorders>
              <w:top w:val="nil"/>
              <w:left w:val="nil"/>
              <w:bottom w:val="single" w:sz="8" w:space="0" w:color="auto"/>
              <w:right w:val="single" w:sz="8" w:space="0" w:color="000000"/>
            </w:tcBorders>
            <w:shd w:val="clear" w:color="auto" w:fill="auto"/>
            <w:vAlign w:val="center"/>
            <w:hideMark/>
          </w:tcPr>
          <w:p w14:paraId="0A48B792" w14:textId="77777777" w:rsidR="00D670B6" w:rsidRPr="00D670B6" w:rsidRDefault="00D670B6" w:rsidP="00D670B6">
            <w:pPr>
              <w:spacing w:after="0" w:line="240" w:lineRule="auto"/>
              <w:jc w:val="left"/>
              <w:rPr>
                <w:rFonts w:eastAsia="Times New Roman" w:cs="Calibri"/>
                <w:color w:val="000000"/>
                <w:szCs w:val="20"/>
                <w:lang w:eastAsia="fr-FR"/>
              </w:rPr>
            </w:pPr>
            <w:r w:rsidRPr="00D670B6">
              <w:rPr>
                <w:rFonts w:eastAsia="Times New Roman" w:cs="Calibri"/>
                <w:color w:val="000000"/>
                <w:szCs w:val="20"/>
                <w:lang w:eastAsia="fr-FR"/>
              </w:rPr>
              <w:t>Maison d'arrêt d'Épinal (88)</w:t>
            </w:r>
          </w:p>
        </w:tc>
        <w:tc>
          <w:tcPr>
            <w:tcW w:w="3474" w:type="dxa"/>
            <w:tcBorders>
              <w:top w:val="nil"/>
              <w:left w:val="nil"/>
              <w:bottom w:val="single" w:sz="8" w:space="0" w:color="auto"/>
              <w:right w:val="single" w:sz="8" w:space="0" w:color="000000"/>
            </w:tcBorders>
            <w:shd w:val="clear" w:color="auto" w:fill="auto"/>
            <w:vAlign w:val="center"/>
            <w:hideMark/>
          </w:tcPr>
          <w:p w14:paraId="22B70ADF"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13 rue Villars</w:t>
            </w:r>
            <w:r w:rsidRPr="00D670B6">
              <w:rPr>
                <w:rFonts w:eastAsia="Times New Roman" w:cs="Calibri"/>
                <w:color w:val="000000"/>
                <w:szCs w:val="20"/>
                <w:lang w:eastAsia="fr-FR"/>
              </w:rPr>
              <w:br/>
              <w:t>88000 Épinal</w:t>
            </w:r>
          </w:p>
        </w:tc>
        <w:tc>
          <w:tcPr>
            <w:tcW w:w="2268" w:type="dxa"/>
            <w:tcBorders>
              <w:top w:val="nil"/>
              <w:left w:val="nil"/>
              <w:bottom w:val="single" w:sz="8" w:space="0" w:color="auto"/>
              <w:right w:val="single" w:sz="8" w:space="0" w:color="auto"/>
            </w:tcBorders>
            <w:shd w:val="clear" w:color="auto" w:fill="auto"/>
            <w:vAlign w:val="center"/>
            <w:hideMark/>
          </w:tcPr>
          <w:p w14:paraId="6328D4A4" w14:textId="77777777" w:rsidR="00D670B6" w:rsidRPr="00D670B6" w:rsidRDefault="00D670B6" w:rsidP="00D670B6">
            <w:pPr>
              <w:spacing w:after="0" w:line="240" w:lineRule="auto"/>
              <w:jc w:val="center"/>
              <w:rPr>
                <w:rFonts w:eastAsia="Times New Roman" w:cs="Calibri"/>
                <w:color w:val="000000"/>
                <w:szCs w:val="20"/>
                <w:lang w:eastAsia="fr-FR"/>
              </w:rPr>
            </w:pPr>
            <w:r w:rsidRPr="00D670B6">
              <w:rPr>
                <w:rFonts w:eastAsia="Times New Roman" w:cs="Calibri"/>
                <w:color w:val="000000"/>
                <w:szCs w:val="20"/>
                <w:lang w:eastAsia="fr-FR"/>
              </w:rPr>
              <w:t>410 kg</w:t>
            </w:r>
          </w:p>
        </w:tc>
      </w:tr>
    </w:tbl>
    <w:p w14:paraId="661CD45D" w14:textId="77777777" w:rsidR="00093184" w:rsidRDefault="00093184" w:rsidP="002451EA"/>
    <w:p w14:paraId="793E9A7B" w14:textId="086E1A69" w:rsidR="00D53CF6" w:rsidRPr="00CB6FA4" w:rsidRDefault="00D53CF6" w:rsidP="002451EA">
      <w:pPr>
        <w:rPr>
          <w:b/>
          <w:bCs/>
          <w:u w:val="single"/>
        </w:rPr>
      </w:pPr>
      <w:r w:rsidRPr="00CB6FA4">
        <w:rPr>
          <w:b/>
          <w:bCs/>
          <w:u w:val="single"/>
        </w:rPr>
        <w:t>Le candidat précisera dans son mémoire technique sa stratégie pour adapter sa capacité de collecte aux besoins du marché.</w:t>
      </w:r>
    </w:p>
    <w:p w14:paraId="4D828950" w14:textId="73853347" w:rsidR="00B96D5B" w:rsidRPr="00207110" w:rsidRDefault="00B96D5B" w:rsidP="002451EA">
      <w:pPr>
        <w:pStyle w:val="Titre2"/>
      </w:pPr>
      <w:bookmarkStart w:id="5" w:name="_Toc208325426"/>
      <w:r w:rsidRPr="00207110">
        <w:t>Définitions</w:t>
      </w:r>
      <w:bookmarkEnd w:id="5"/>
    </w:p>
    <w:p w14:paraId="09714A41" w14:textId="028A484A" w:rsidR="00B96D5B" w:rsidRDefault="00B96D5B" w:rsidP="002451EA">
      <w:pPr>
        <w:pStyle w:val="Titre3"/>
        <w:numPr>
          <w:ilvl w:val="0"/>
          <w:numId w:val="3"/>
        </w:numPr>
      </w:pPr>
      <w:bookmarkStart w:id="6" w:name="_Toc208325427"/>
      <w:r>
        <w:t>Biodéchets</w:t>
      </w:r>
      <w:bookmarkEnd w:id="6"/>
    </w:p>
    <w:p w14:paraId="7EB5D9C2" w14:textId="713C01EB" w:rsidR="00AF081C" w:rsidRDefault="00AF081C" w:rsidP="002451EA">
      <w:r>
        <w:t xml:space="preserve">Tel que défini à l’article </w:t>
      </w:r>
      <w:r w:rsidRPr="00AF081C">
        <w:t>L</w:t>
      </w:r>
      <w:r w:rsidR="00CB6FA4">
        <w:t>.</w:t>
      </w:r>
      <w:r w:rsidRPr="00AF081C">
        <w:t>541-1-1</w:t>
      </w:r>
      <w:r>
        <w:t xml:space="preserve"> du Code de l’environnement :</w:t>
      </w:r>
    </w:p>
    <w:p w14:paraId="181BCDFB" w14:textId="33DA2A1E" w:rsidR="00AF081C" w:rsidRPr="0039080B" w:rsidRDefault="00AF081C" w:rsidP="002451EA">
      <w:pPr>
        <w:rPr>
          <w:i/>
          <w:iCs/>
        </w:rPr>
      </w:pPr>
      <w:r>
        <w:t>« </w:t>
      </w:r>
      <w:r w:rsidRPr="0039080B">
        <w:rPr>
          <w:i/>
          <w:iCs/>
        </w:rPr>
        <w:t>Biodéchets : les déchets non dangereux biodégradables de jardin ou de parc, les déchets alimentaires ou de cuisine provenant des ménages, des bureaux, des restaurants, du commerce de gros, des cantines, des traiteurs ou des magasins de vente au détail, ainsi que les déchets comparables provenant des usines de transformation de denrées alimentaires ;</w:t>
      </w:r>
    </w:p>
    <w:p w14:paraId="61817BC5" w14:textId="30C627F4" w:rsidR="00AF081C" w:rsidRDefault="00AF081C" w:rsidP="002451EA">
      <w:r w:rsidRPr="0039080B">
        <w:rPr>
          <w:i/>
          <w:iCs/>
        </w:rPr>
        <w:t>Déchets alimentaires : toutes les denrées alimentaires au sens de l'article 2 du règlement (CE) n° 178/2002 du 28 janvier 2002 qui sont devenues des déchets</w:t>
      </w:r>
      <w:r>
        <w:t> ».</w:t>
      </w:r>
    </w:p>
    <w:p w14:paraId="01A9FBCC" w14:textId="02502793" w:rsidR="00AF081C" w:rsidRDefault="00AF081C" w:rsidP="002451EA">
      <w:r>
        <w:t>Les biodéchets comprennent principalement</w:t>
      </w:r>
      <w:r w:rsidR="009045D2">
        <w:t xml:space="preserve"> (liste non exhaustive)</w:t>
      </w:r>
      <w:r>
        <w:t> :</w:t>
      </w:r>
    </w:p>
    <w:p w14:paraId="20E430A8" w14:textId="13722938" w:rsidR="00AF081C" w:rsidRDefault="00AF081C" w:rsidP="002451EA">
      <w:pPr>
        <w:pStyle w:val="Paragraphedeliste"/>
        <w:numPr>
          <w:ilvl w:val="0"/>
          <w:numId w:val="5"/>
        </w:numPr>
      </w:pPr>
      <w:r>
        <w:t>Les restes de repas</w:t>
      </w:r>
    </w:p>
    <w:p w14:paraId="37B96F5E" w14:textId="54EB54C6" w:rsidR="00AF081C" w:rsidRDefault="00AF081C" w:rsidP="002451EA">
      <w:pPr>
        <w:pStyle w:val="Paragraphedeliste"/>
        <w:numPr>
          <w:ilvl w:val="0"/>
          <w:numId w:val="5"/>
        </w:numPr>
      </w:pPr>
      <w:r>
        <w:t>Les fruits et légumes</w:t>
      </w:r>
    </w:p>
    <w:p w14:paraId="635C6B9C" w14:textId="0738122B" w:rsidR="00AF081C" w:rsidRDefault="00AF081C" w:rsidP="002451EA">
      <w:pPr>
        <w:pStyle w:val="Paragraphedeliste"/>
        <w:numPr>
          <w:ilvl w:val="0"/>
          <w:numId w:val="5"/>
        </w:numPr>
      </w:pPr>
      <w:r>
        <w:lastRenderedPageBreak/>
        <w:t>Les coquilles d’œufs</w:t>
      </w:r>
    </w:p>
    <w:p w14:paraId="13EE4C82" w14:textId="339E6852" w:rsidR="00AF081C" w:rsidRDefault="00AF081C" w:rsidP="002451EA">
      <w:pPr>
        <w:pStyle w:val="Paragraphedeliste"/>
        <w:numPr>
          <w:ilvl w:val="0"/>
          <w:numId w:val="5"/>
        </w:numPr>
      </w:pPr>
      <w:r>
        <w:t>Les produits laitiers et fromages</w:t>
      </w:r>
    </w:p>
    <w:p w14:paraId="41276B15" w14:textId="28AA3BEF" w:rsidR="00AF081C" w:rsidRDefault="00AF081C" w:rsidP="002451EA">
      <w:pPr>
        <w:pStyle w:val="Paragraphedeliste"/>
        <w:numPr>
          <w:ilvl w:val="0"/>
          <w:numId w:val="5"/>
        </w:numPr>
      </w:pPr>
      <w:r>
        <w:t xml:space="preserve">Les pains, sandwichs, </w:t>
      </w:r>
      <w:r w:rsidR="00093184">
        <w:t>pâtes</w:t>
      </w:r>
      <w:r>
        <w:t>, riz et gâteaux</w:t>
      </w:r>
    </w:p>
    <w:p w14:paraId="7FBD7C90" w14:textId="3A419E33" w:rsidR="00AF081C" w:rsidRDefault="00AF081C" w:rsidP="002451EA">
      <w:pPr>
        <w:pStyle w:val="Paragraphedeliste"/>
        <w:numPr>
          <w:ilvl w:val="0"/>
          <w:numId w:val="5"/>
        </w:numPr>
      </w:pPr>
      <w:r>
        <w:t>Le marc de café et sachets de thé</w:t>
      </w:r>
    </w:p>
    <w:p w14:paraId="0991C82F" w14:textId="6667CAE1" w:rsidR="00AF081C" w:rsidRDefault="00AF081C" w:rsidP="002451EA">
      <w:pPr>
        <w:pStyle w:val="Paragraphedeliste"/>
        <w:numPr>
          <w:ilvl w:val="0"/>
          <w:numId w:val="5"/>
        </w:numPr>
      </w:pPr>
      <w:r>
        <w:t>Mouchoirs et essuie-tout</w:t>
      </w:r>
    </w:p>
    <w:p w14:paraId="3786AC07" w14:textId="5D1EED9B" w:rsidR="00AF081C" w:rsidRPr="00AF081C" w:rsidRDefault="00AF081C" w:rsidP="002451EA">
      <w:pPr>
        <w:pStyle w:val="Paragraphedeliste"/>
        <w:numPr>
          <w:ilvl w:val="0"/>
          <w:numId w:val="5"/>
        </w:numPr>
      </w:pPr>
      <w:r>
        <w:t>Sciures de bois et copeaux</w:t>
      </w:r>
    </w:p>
    <w:p w14:paraId="4A023340" w14:textId="0C0A1189" w:rsidR="00B96D5B" w:rsidRDefault="00B96D5B" w:rsidP="002451EA">
      <w:pPr>
        <w:pStyle w:val="Titre3"/>
      </w:pPr>
      <w:bookmarkStart w:id="7" w:name="_Toc208325428"/>
      <w:r>
        <w:t>Équipement de collecte de biodéchets</w:t>
      </w:r>
      <w:bookmarkEnd w:id="7"/>
    </w:p>
    <w:p w14:paraId="48D5FEF4" w14:textId="34D4D00E" w:rsidR="00093184" w:rsidRDefault="00093184" w:rsidP="003A6F0E">
      <w:pPr>
        <w:ind w:firstLine="360"/>
      </w:pPr>
      <w:r w:rsidRPr="00093184">
        <w:t xml:space="preserve">Contenants de collecte sélective des biodéchets de toute nature, capacité et configuration, adaptés aux contraintes techniques, volumétriques et d'accessibilité de chaque </w:t>
      </w:r>
      <w:r>
        <w:t>lot</w:t>
      </w:r>
      <w:r w:rsidRPr="00093184">
        <w:t>, incluant sans limitation :</w:t>
      </w:r>
    </w:p>
    <w:p w14:paraId="7FDAB60B" w14:textId="2418BDB0" w:rsidR="00093184" w:rsidRDefault="00093184" w:rsidP="002451EA">
      <w:r>
        <w:t>Types de contenants :</w:t>
      </w:r>
    </w:p>
    <w:p w14:paraId="0486B943" w14:textId="64BF840A" w:rsidR="00093184" w:rsidRDefault="00093184" w:rsidP="002451EA">
      <w:pPr>
        <w:pStyle w:val="Paragraphedeliste"/>
        <w:numPr>
          <w:ilvl w:val="0"/>
          <w:numId w:val="6"/>
        </w:numPr>
      </w:pPr>
      <w:r>
        <w:t>Bacs roulants de toutes capacités (50L à 1100L et plus)</w:t>
      </w:r>
    </w:p>
    <w:p w14:paraId="5F65BBC0" w14:textId="77777777" w:rsidR="00093184" w:rsidRDefault="00093184" w:rsidP="002451EA">
      <w:pPr>
        <w:pStyle w:val="Paragraphedeliste"/>
        <w:numPr>
          <w:ilvl w:val="0"/>
          <w:numId w:val="6"/>
        </w:numPr>
      </w:pPr>
      <w:r>
        <w:t>Conteneurs à prise frontale, latérale ou arrière</w:t>
      </w:r>
    </w:p>
    <w:p w14:paraId="5CE094E2" w14:textId="77777777" w:rsidR="00093184" w:rsidRDefault="00093184" w:rsidP="002451EA">
      <w:pPr>
        <w:pStyle w:val="Paragraphedeliste"/>
        <w:numPr>
          <w:ilvl w:val="0"/>
          <w:numId w:val="6"/>
        </w:numPr>
      </w:pPr>
      <w:r>
        <w:t>Bacs de proximité collectifs</w:t>
      </w:r>
    </w:p>
    <w:p w14:paraId="2EBC7DAA" w14:textId="77777777" w:rsidR="00093184" w:rsidRDefault="00093184" w:rsidP="002451EA">
      <w:pPr>
        <w:pStyle w:val="Paragraphedeliste"/>
        <w:numPr>
          <w:ilvl w:val="0"/>
          <w:numId w:val="6"/>
        </w:numPr>
      </w:pPr>
      <w:r>
        <w:t>Composteurs collectifs avec ou sans mécanisation</w:t>
      </w:r>
    </w:p>
    <w:p w14:paraId="102DBB40" w14:textId="77777777" w:rsidR="00093184" w:rsidRDefault="00093184" w:rsidP="002451EA">
      <w:pPr>
        <w:pStyle w:val="Paragraphedeliste"/>
        <w:numPr>
          <w:ilvl w:val="0"/>
          <w:numId w:val="6"/>
        </w:numPr>
      </w:pPr>
      <w:r>
        <w:t>Contenants étanches spécialisés pour biodéchets</w:t>
      </w:r>
    </w:p>
    <w:p w14:paraId="7CDDB1F6" w14:textId="33701514" w:rsidR="00093184" w:rsidRDefault="00093184" w:rsidP="002451EA">
      <w:r>
        <w:t>Matériaux et caractéristiques :</w:t>
      </w:r>
    </w:p>
    <w:p w14:paraId="60013655" w14:textId="48C0A71E" w:rsidR="00093184" w:rsidRDefault="00093184" w:rsidP="00330D77">
      <w:pPr>
        <w:pStyle w:val="Paragraphedeliste"/>
      </w:pPr>
      <w:r>
        <w:t>Plastique, métal ou matériaux composites</w:t>
      </w:r>
      <w:r w:rsidR="00330D77">
        <w:t xml:space="preserve"> empêchant la prolifération des nuisibles</w:t>
      </w:r>
    </w:p>
    <w:p w14:paraId="298E4069" w14:textId="02BAA3B6" w:rsidR="00093184" w:rsidRDefault="00093184" w:rsidP="002451EA">
      <w:pPr>
        <w:pStyle w:val="Paragraphedeliste"/>
        <w:numPr>
          <w:ilvl w:val="0"/>
          <w:numId w:val="7"/>
        </w:numPr>
      </w:pPr>
      <w:r>
        <w:t>Avec couvercle, pédale, verrou</w:t>
      </w:r>
    </w:p>
    <w:p w14:paraId="5149B457" w14:textId="7C543C30" w:rsidR="00093184" w:rsidRDefault="003A6F0E" w:rsidP="002451EA">
      <w:pPr>
        <w:pStyle w:val="Paragraphedeliste"/>
        <w:numPr>
          <w:ilvl w:val="0"/>
          <w:numId w:val="7"/>
        </w:numPr>
      </w:pPr>
      <w:r>
        <w:t>Moyen d’identification et de traçabilité du contenant</w:t>
      </w:r>
    </w:p>
    <w:p w14:paraId="1398504A" w14:textId="77777777" w:rsidR="00093184" w:rsidRDefault="00093184" w:rsidP="002451EA">
      <w:pPr>
        <w:pStyle w:val="Paragraphedeliste"/>
        <w:numPr>
          <w:ilvl w:val="0"/>
          <w:numId w:val="7"/>
        </w:numPr>
      </w:pPr>
      <w:r>
        <w:t>Ventilés ou étanches selon les besoins</w:t>
      </w:r>
    </w:p>
    <w:p w14:paraId="01A69E7C" w14:textId="49B45230" w:rsidR="00093184" w:rsidRDefault="00093184" w:rsidP="002451EA">
      <w:pPr>
        <w:pStyle w:val="Paragraphedeliste"/>
        <w:numPr>
          <w:ilvl w:val="0"/>
          <w:numId w:val="7"/>
        </w:numPr>
      </w:pPr>
      <w:r>
        <w:t>Isothermes ou standards</w:t>
      </w:r>
    </w:p>
    <w:p w14:paraId="366CB41E" w14:textId="58D67B0E" w:rsidR="00093184" w:rsidRDefault="00093184" w:rsidP="00330D77">
      <w:r>
        <w:t>Configurations :</w:t>
      </w:r>
    </w:p>
    <w:p w14:paraId="0346C090" w14:textId="77777777" w:rsidR="00093184" w:rsidRDefault="00093184" w:rsidP="002451EA">
      <w:pPr>
        <w:pStyle w:val="Paragraphedeliste"/>
        <w:numPr>
          <w:ilvl w:val="0"/>
          <w:numId w:val="10"/>
        </w:numPr>
      </w:pPr>
      <w:r>
        <w:t>Fixes ou mobiles</w:t>
      </w:r>
    </w:p>
    <w:p w14:paraId="4C5609BC" w14:textId="77777777" w:rsidR="00093184" w:rsidRDefault="00093184" w:rsidP="002451EA">
      <w:pPr>
        <w:pStyle w:val="Paragraphedeliste"/>
        <w:numPr>
          <w:ilvl w:val="0"/>
          <w:numId w:val="10"/>
        </w:numPr>
      </w:pPr>
      <w:r>
        <w:t>Manuels ou mécanisés</w:t>
      </w:r>
    </w:p>
    <w:p w14:paraId="46A1D01D" w14:textId="11E86529" w:rsidR="00093184" w:rsidRDefault="00093184" w:rsidP="002451EA">
      <w:pPr>
        <w:pStyle w:val="Paragraphedeliste"/>
        <w:numPr>
          <w:ilvl w:val="0"/>
          <w:numId w:val="10"/>
        </w:numPr>
      </w:pPr>
      <w:r>
        <w:t xml:space="preserve">Adaptés aux contraintes </w:t>
      </w:r>
      <w:r w:rsidR="00330D77">
        <w:t>de chaque établissement</w:t>
      </w:r>
    </w:p>
    <w:p w14:paraId="1AEC7CD5" w14:textId="2E819867" w:rsidR="00093184" w:rsidRDefault="00093184" w:rsidP="002451EA">
      <w:r>
        <w:t>Accessoires et équipements connexes :</w:t>
      </w:r>
    </w:p>
    <w:p w14:paraId="7D7DB544" w14:textId="77777777" w:rsidR="00093184" w:rsidRDefault="00093184" w:rsidP="002451EA">
      <w:pPr>
        <w:pStyle w:val="Paragraphedeliste"/>
        <w:numPr>
          <w:ilvl w:val="0"/>
          <w:numId w:val="12"/>
        </w:numPr>
      </w:pPr>
      <w:r>
        <w:t>Sacs compostables ou biosourcés</w:t>
      </w:r>
    </w:p>
    <w:p w14:paraId="5A9FF341" w14:textId="77777777" w:rsidR="00093184" w:rsidRDefault="00093184" w:rsidP="002451EA">
      <w:pPr>
        <w:pStyle w:val="Paragraphedeliste"/>
        <w:numPr>
          <w:ilvl w:val="0"/>
          <w:numId w:val="12"/>
        </w:numPr>
      </w:pPr>
      <w:r>
        <w:t>Systèmes de pesée intégrés</w:t>
      </w:r>
    </w:p>
    <w:p w14:paraId="4543E0B3" w14:textId="77777777" w:rsidR="00093184" w:rsidRDefault="00093184" w:rsidP="002451EA">
      <w:pPr>
        <w:pStyle w:val="Paragraphedeliste"/>
        <w:numPr>
          <w:ilvl w:val="0"/>
          <w:numId w:val="12"/>
        </w:numPr>
      </w:pPr>
      <w:r>
        <w:t>Équipements de nettoyage et désinfection</w:t>
      </w:r>
    </w:p>
    <w:p w14:paraId="1C604330" w14:textId="581015EE" w:rsidR="00093184" w:rsidRPr="00093184" w:rsidRDefault="00093184" w:rsidP="002451EA">
      <w:pPr>
        <w:pStyle w:val="Paragraphedeliste"/>
        <w:numPr>
          <w:ilvl w:val="0"/>
          <w:numId w:val="12"/>
        </w:numPr>
      </w:pPr>
      <w:r>
        <w:t>Signalétique et supports de communication</w:t>
      </w:r>
    </w:p>
    <w:p w14:paraId="22D32414" w14:textId="0254DF6A" w:rsidR="00B96D5B" w:rsidRDefault="001C631E" w:rsidP="002451EA">
      <w:pPr>
        <w:pStyle w:val="Titre2"/>
      </w:pPr>
      <w:bookmarkStart w:id="8" w:name="_Toc208325429"/>
      <w:r>
        <w:t>Exécution des prestations</w:t>
      </w:r>
      <w:bookmarkEnd w:id="8"/>
    </w:p>
    <w:p w14:paraId="5C09D7E8" w14:textId="77777777" w:rsidR="009079F8" w:rsidRDefault="009079F8" w:rsidP="009079F8">
      <w:r>
        <w:t xml:space="preserve">Les conteneurs livrés doivent être en parfait état d'utilisation. </w:t>
      </w:r>
    </w:p>
    <w:p w14:paraId="00ACB60D" w14:textId="77777777" w:rsidR="009079F8" w:rsidRDefault="009079F8" w:rsidP="009079F8">
      <w:pPr>
        <w:pStyle w:val="Titre3"/>
        <w:numPr>
          <w:ilvl w:val="0"/>
          <w:numId w:val="14"/>
        </w:numPr>
      </w:pPr>
      <w:bookmarkStart w:id="9" w:name="_Toc208325430"/>
      <w:r>
        <w:t>Collecte des biodéchets</w:t>
      </w:r>
      <w:bookmarkEnd w:id="9"/>
    </w:p>
    <w:p w14:paraId="7CD0D13C" w14:textId="77777777" w:rsidR="009079F8" w:rsidRDefault="009079F8" w:rsidP="009079F8">
      <w:pPr>
        <w:ind w:firstLine="360"/>
      </w:pPr>
      <w:r w:rsidRPr="00D53CF6">
        <w:t xml:space="preserve">À compter de leur mise en place, les </w:t>
      </w:r>
      <w:r>
        <w:t>équipements de collecte</w:t>
      </w:r>
      <w:r w:rsidRPr="00D53CF6">
        <w:t xml:space="preserve"> sont collectés </w:t>
      </w:r>
      <w:r>
        <w:t xml:space="preserve">chaque semaine du lundi au vendredi, selon la fréquence adaptée à la volumétrie de biodéchets définie par le prestataire. En cas de jour chômé ou férié, les interventions devront avoir lieu la veille ou le lendemain selon le cas. </w:t>
      </w:r>
    </w:p>
    <w:p w14:paraId="71F7D3B2" w14:textId="77777777" w:rsidR="009079F8" w:rsidRPr="00D53CF6" w:rsidRDefault="009079F8" w:rsidP="009079F8">
      <w:r w:rsidRPr="00D53CF6">
        <w:lastRenderedPageBreak/>
        <w:t xml:space="preserve">Le prestataire informera par mail </w:t>
      </w:r>
      <w:r>
        <w:t xml:space="preserve">ou par téléphone </w:t>
      </w:r>
      <w:r w:rsidRPr="00D53CF6">
        <w:t>l</w:t>
      </w:r>
      <w:r>
        <w:t xml:space="preserve">’établissement pénitentiaire </w:t>
      </w:r>
      <w:r w:rsidRPr="00D53CF6">
        <w:t>le jour de la collecte de tout débordement ou aléas (présence d’insectes, d’asticots, de mauvaises odeurs, etc.) qu’il aura pu constater lui-même. L</w:t>
      </w:r>
      <w:r>
        <w:t xml:space="preserve">e titulaire </w:t>
      </w:r>
      <w:r w:rsidRPr="00D53CF6">
        <w:t xml:space="preserve">définira alors la solution la plus adaptée notamment augmentation de la fréquence de vidange ou la mise en place d’un </w:t>
      </w:r>
      <w:r>
        <w:t>équipement de collecte</w:t>
      </w:r>
      <w:r w:rsidRPr="00D53CF6">
        <w:t xml:space="preserve"> supplémentaire. </w:t>
      </w:r>
    </w:p>
    <w:p w14:paraId="4B81446E" w14:textId="77777777" w:rsidR="009079F8" w:rsidRPr="00D53CF6" w:rsidRDefault="009079F8" w:rsidP="009079F8">
      <w:r w:rsidRPr="00D53CF6">
        <w:t xml:space="preserve">Les augmentations de fréquences en dehors du plan de collecte feront l’objet d’une commande spécifique, soit pour : </w:t>
      </w:r>
    </w:p>
    <w:p w14:paraId="392B1809" w14:textId="77777777" w:rsidR="009079F8" w:rsidRDefault="009079F8" w:rsidP="009079F8">
      <w:pPr>
        <w:pStyle w:val="Paragraphedeliste"/>
        <w:numPr>
          <w:ilvl w:val="0"/>
          <w:numId w:val="13"/>
        </w:numPr>
      </w:pPr>
      <w:r w:rsidRPr="00D53CF6">
        <w:t xml:space="preserve">Réaliser une collecte en urgence, dans un délai de 24h à compter de l’émission du bon de commande. Tout type de véhicule est alors autorisé pour réaliser cette collecte, y compris l’échange de bac par camion hayon et le rinçage du bac n’est pas obligatoire. </w:t>
      </w:r>
    </w:p>
    <w:p w14:paraId="4545F693" w14:textId="77777777" w:rsidR="009079F8" w:rsidRPr="00D53CF6" w:rsidRDefault="009079F8" w:rsidP="009079F8">
      <w:pPr>
        <w:pStyle w:val="Paragraphedeliste"/>
      </w:pPr>
    </w:p>
    <w:p w14:paraId="28112F0F" w14:textId="77777777" w:rsidR="009079F8" w:rsidRDefault="009079F8" w:rsidP="009079F8">
      <w:pPr>
        <w:pStyle w:val="Paragraphedeliste"/>
        <w:numPr>
          <w:ilvl w:val="0"/>
          <w:numId w:val="13"/>
        </w:numPr>
      </w:pPr>
      <w:r w:rsidRPr="00D53CF6">
        <w:t>Augmenter temporairement de la fréquence de collecte, soit intégrer une collecte supplémentaire par semaine d</w:t>
      </w:r>
      <w:r>
        <w:t xml:space="preserve">u collecteur </w:t>
      </w:r>
      <w:r w:rsidRPr="00D53CF6">
        <w:t xml:space="preserve">par rapport au plan de collecte. L’augmentation de fréquence de collecte doit être mise en place dans un délai d’une semaine à compter de l’émission du bon de commande. </w:t>
      </w:r>
    </w:p>
    <w:p w14:paraId="36471B21" w14:textId="77777777" w:rsidR="009079F8" w:rsidRDefault="009079F8" w:rsidP="009079F8">
      <w:pPr>
        <w:pStyle w:val="Paragraphedeliste"/>
      </w:pPr>
    </w:p>
    <w:p w14:paraId="60E8A22B" w14:textId="4077DA24" w:rsidR="009079F8" w:rsidRDefault="009079F8" w:rsidP="009079F8">
      <w:r>
        <w:t xml:space="preserve">Les fréquences d'enlèvement des conteneurs peuvent être amenées à évoluer en fonction des différentes restructurations ou des tonnages constatés en cours de marché. </w:t>
      </w:r>
      <w:r w:rsidR="00426CF3">
        <w:t>La fréquence</w:t>
      </w:r>
      <w:r>
        <w:t xml:space="preserve"> des collectes pourra être mise à jour sur demande du titulaire ou de l’établissement pénitentiaire, a minima trois fois par an, et dans un délai de deux semaines.</w:t>
      </w:r>
      <w:r w:rsidR="00690699">
        <w:t xml:space="preserve"> Les modifications d’exécutions en cours de marché sont prévues à l’article IV.6. </w:t>
      </w:r>
      <w:proofErr w:type="gramStart"/>
      <w:r w:rsidR="00690699">
        <w:t>du</w:t>
      </w:r>
      <w:proofErr w:type="gramEnd"/>
      <w:r w:rsidR="00690699">
        <w:t xml:space="preserve"> CCAP.</w:t>
      </w:r>
    </w:p>
    <w:p w14:paraId="4088D2C0" w14:textId="05E52A9E" w:rsidR="009079F8" w:rsidRDefault="009079F8" w:rsidP="009079F8">
      <w:r>
        <w:t>L’établissement pénitentiaire aura l’interdiction de déposer des biodéchets ou autres déchets aux abords des conteneurs. L’accès aux équipements de collecte doit être garanti lors de chaque collecte.</w:t>
      </w:r>
    </w:p>
    <w:p w14:paraId="7247EC31" w14:textId="4380D56F" w:rsidR="00B74D85" w:rsidRDefault="00B74D85" w:rsidP="002451EA">
      <w:pPr>
        <w:pStyle w:val="Titre3"/>
        <w:numPr>
          <w:ilvl w:val="0"/>
          <w:numId w:val="14"/>
        </w:numPr>
      </w:pPr>
      <w:bookmarkStart w:id="10" w:name="_Toc208325431"/>
      <w:r w:rsidRPr="00B74D85">
        <w:t>La location d’équipements de collecte de biodéchets</w:t>
      </w:r>
      <w:bookmarkEnd w:id="10"/>
    </w:p>
    <w:p w14:paraId="19FF5B15" w14:textId="5C43DF56" w:rsidR="00B74D85" w:rsidRDefault="00B74D85" w:rsidP="00330D77">
      <w:pPr>
        <w:ind w:firstLine="360"/>
      </w:pPr>
      <w:r>
        <w:t xml:space="preserve">Le candidat devra proposer une solution de collecte adaptée </w:t>
      </w:r>
      <w:r w:rsidRPr="00380CD7">
        <w:t xml:space="preserve">aux </w:t>
      </w:r>
      <w:r>
        <w:t xml:space="preserve">besoins, </w:t>
      </w:r>
      <w:r w:rsidRPr="00380CD7">
        <w:t xml:space="preserve">contraintes techniques, volumétriques et d'accessibilité de chaque </w:t>
      </w:r>
      <w:r>
        <w:t>site.</w:t>
      </w:r>
    </w:p>
    <w:p w14:paraId="278B0BD3" w14:textId="75C0345D" w:rsidR="00B74D85" w:rsidRDefault="00330D77" w:rsidP="002451EA">
      <w:r>
        <w:t>Le titulaire mettra à disposition les matériels permettant la collecte des biodéchets, soit par un système de mise à disposition ou une solution de location. Le titulaire reste donc propriétaire des matériels.</w:t>
      </w:r>
    </w:p>
    <w:p w14:paraId="1C515BB2" w14:textId="77777777" w:rsidR="00B74D85" w:rsidRDefault="00B74D85" w:rsidP="002451EA">
      <w:r>
        <w:t>Pour ce faire, le titulaire aura la possibilité de proposer le nombre et les contenants qui lui paraissent le plus adaptés, tout en tenant compte des contraintes architecturales et organisationnelles des établissements pénitentiaires.</w:t>
      </w:r>
    </w:p>
    <w:p w14:paraId="03F9EF5F" w14:textId="77777777" w:rsidR="00B74D85" w:rsidRDefault="00B74D85" w:rsidP="002451EA">
      <w:r>
        <w:t xml:space="preserve">Lors de la mise en place des matériels par le titulaire, un inventaire est établi et signé par les deux parties. En cas de besoin supplémentaire, le nombre de matériels peut être modifié en cours de marché sur demande de l'établissement. Les changements doivent être enregistrés par une mise à jour de l'inventaire initial. </w:t>
      </w:r>
    </w:p>
    <w:p w14:paraId="2660C5FD" w14:textId="107159B3" w:rsidR="004D1617" w:rsidRDefault="00B74D85" w:rsidP="002451EA">
      <w:r>
        <w:t>Chaque contenant sera doté d’un</w:t>
      </w:r>
      <w:r w:rsidR="00330D77">
        <w:t xml:space="preserve"> moyen </w:t>
      </w:r>
      <w:r>
        <w:t xml:space="preserve">de traçabilité précisant un numéro et le site de collecte. </w:t>
      </w:r>
      <w:r w:rsidR="004D1617">
        <w:br w:type="page"/>
      </w:r>
    </w:p>
    <w:p w14:paraId="079EB563" w14:textId="3F324DA1" w:rsidR="00D43C95" w:rsidRDefault="00D43C95" w:rsidP="002451EA">
      <w:pPr>
        <w:pStyle w:val="Titre3"/>
      </w:pPr>
      <w:bookmarkStart w:id="11" w:name="_Toc208325432"/>
      <w:r>
        <w:lastRenderedPageBreak/>
        <w:t>Nettoyage</w:t>
      </w:r>
      <w:r w:rsidR="00B74D85">
        <w:t xml:space="preserve"> </w:t>
      </w:r>
      <w:r w:rsidR="009079F8">
        <w:t xml:space="preserve">et maintenance </w:t>
      </w:r>
      <w:r w:rsidR="00B74D85">
        <w:t>des équipements de collecte</w:t>
      </w:r>
      <w:bookmarkEnd w:id="11"/>
    </w:p>
    <w:p w14:paraId="06C1317C" w14:textId="53EC43C7" w:rsidR="00D43C95" w:rsidRDefault="009079F8" w:rsidP="003A6F0E">
      <w:pPr>
        <w:ind w:firstLine="360"/>
      </w:pPr>
      <w:r>
        <w:t>Le titulaire précisera dans son offre les modalités d’entretien des contenants mis à disposition. En tout état de cause, les contenants doivent être propres à l’issu de chaque collecte.</w:t>
      </w:r>
      <w:r w:rsidR="00D43C95" w:rsidRPr="00D43C95">
        <w:t xml:space="preserve"> Les coûts d</w:t>
      </w:r>
      <w:r>
        <w:t xml:space="preserve">’entretien </w:t>
      </w:r>
      <w:r w:rsidR="00D43C95" w:rsidRPr="00D43C95">
        <w:t>réguliers d</w:t>
      </w:r>
      <w:r>
        <w:t>es</w:t>
      </w:r>
      <w:r w:rsidR="00D43C95" w:rsidRPr="00D43C95">
        <w:t xml:space="preserve"> matériel</w:t>
      </w:r>
      <w:r>
        <w:t>s</w:t>
      </w:r>
      <w:r w:rsidR="00D43C95" w:rsidRPr="00D43C95">
        <w:t xml:space="preserve"> sont réputés être intégrés au coût de collecte.</w:t>
      </w:r>
    </w:p>
    <w:p w14:paraId="2E830DB7" w14:textId="010DDAC6" w:rsidR="003A6F0E" w:rsidRDefault="003A6F0E" w:rsidP="002451EA">
      <w:r>
        <w:t>Le titulaire s'engage à intervenir pour toute anomalie constatée, sur le matériel loué, par ses propres agents de collecte ou après demande de l’établissement. En cas de besoin, l'équipement défectueux est remplacé. L’établissement concerné adresse sa demande au service en charge de la maintenance dont les coordonnées sont indiquées dans le mémoire technique et selon les modalités définies. Le titulaire s'expose au paiement de pénalités de retard, telles que prévues au CCAP, si la réparation ou le remplacement n'est pas effectué dans un délai maximum de 3 jours ouvrés à compter de la demande.</w:t>
      </w:r>
    </w:p>
    <w:p w14:paraId="629B0BFB" w14:textId="0E1FB157" w:rsidR="001C631E" w:rsidRDefault="001C631E" w:rsidP="002451EA">
      <w:pPr>
        <w:pStyle w:val="Titre3"/>
      </w:pPr>
      <w:bookmarkStart w:id="12" w:name="_Toc208325433"/>
      <w:r>
        <w:t>Revalorisation</w:t>
      </w:r>
      <w:r w:rsidR="00B74D85">
        <w:t xml:space="preserve"> des biodéchets</w:t>
      </w:r>
      <w:bookmarkEnd w:id="12"/>
    </w:p>
    <w:p w14:paraId="5316F19C" w14:textId="5C1DDE8F" w:rsidR="001C631E" w:rsidRPr="004D1617" w:rsidRDefault="001C631E" w:rsidP="00C2246F">
      <w:pPr>
        <w:ind w:firstLine="360"/>
        <w:rPr>
          <w:b/>
          <w:bCs/>
        </w:rPr>
      </w:pPr>
      <w:r w:rsidRPr="002451EA">
        <w:t xml:space="preserve">Le titulaire s’engage à évacuer les biodéchets vers une filière de traitement </w:t>
      </w:r>
      <w:r w:rsidR="00C2246F">
        <w:t xml:space="preserve">agréée </w:t>
      </w:r>
      <w:r w:rsidRPr="002451EA">
        <w:t xml:space="preserve">permettant leur revalorisation. </w:t>
      </w:r>
      <w:r w:rsidR="000801C1" w:rsidRPr="000801C1">
        <w:t>L'enfouissement et l'incinération sans valorisation énergétique sont interdits</w:t>
      </w:r>
      <w:r w:rsidR="000801C1">
        <w:t xml:space="preserve">. </w:t>
      </w:r>
      <w:r w:rsidRPr="004D1617">
        <w:rPr>
          <w:b/>
          <w:bCs/>
        </w:rPr>
        <w:t>L</w:t>
      </w:r>
      <w:r w:rsidR="009079F8" w:rsidRPr="004D1617">
        <w:rPr>
          <w:b/>
          <w:bCs/>
        </w:rPr>
        <w:t>e titulaire devra fournir à l’</w:t>
      </w:r>
      <w:r w:rsidRPr="004D1617">
        <w:rPr>
          <w:b/>
          <w:bCs/>
        </w:rPr>
        <w:t>acheteur tout justificatif permettant de tracer l’évacuation, la revalorisation et la revente des biodéchets collectés sur ses sites bénéficiaires.</w:t>
      </w:r>
    </w:p>
    <w:p w14:paraId="3DE4B679" w14:textId="0E06723D" w:rsidR="001C631E" w:rsidRDefault="001C631E" w:rsidP="002451EA">
      <w:pPr>
        <w:pStyle w:val="Titre2"/>
      </w:pPr>
      <w:bookmarkStart w:id="13" w:name="_Toc208325434"/>
      <w:r>
        <w:t>Suivi de l’exécution</w:t>
      </w:r>
      <w:bookmarkEnd w:id="13"/>
      <w:r>
        <w:t xml:space="preserve"> </w:t>
      </w:r>
    </w:p>
    <w:p w14:paraId="19CCC3A6" w14:textId="764B963E" w:rsidR="001C631E" w:rsidRDefault="001C631E" w:rsidP="004A593E">
      <w:pPr>
        <w:ind w:firstLine="360"/>
      </w:pPr>
      <w:r>
        <w:t>Il est demandé au prestataire de suivre à minima les indicateurs suivants pour chacune des tournées de collecte et pour chacun des collecteurs :</w:t>
      </w:r>
    </w:p>
    <w:p w14:paraId="1F54A6A5" w14:textId="1F588B4D" w:rsidR="001C631E" w:rsidRDefault="001C631E" w:rsidP="002451EA">
      <w:pPr>
        <w:pStyle w:val="Paragraphedeliste"/>
        <w:numPr>
          <w:ilvl w:val="0"/>
          <w:numId w:val="13"/>
        </w:numPr>
      </w:pPr>
      <w:r>
        <w:t>Le jour de collecte et la date de collecte</w:t>
      </w:r>
    </w:p>
    <w:p w14:paraId="0D89D665" w14:textId="3DC7D94C" w:rsidR="001C631E" w:rsidRDefault="001C631E" w:rsidP="002451EA">
      <w:pPr>
        <w:pStyle w:val="Paragraphedeliste"/>
        <w:numPr>
          <w:ilvl w:val="0"/>
          <w:numId w:val="13"/>
        </w:numPr>
      </w:pPr>
      <w:r>
        <w:t>Le poids net des déchets livrés</w:t>
      </w:r>
    </w:p>
    <w:p w14:paraId="7BF29AFB" w14:textId="6A0433FB" w:rsidR="001C631E" w:rsidRDefault="001C631E" w:rsidP="002451EA">
      <w:pPr>
        <w:pStyle w:val="Paragraphedeliste"/>
        <w:numPr>
          <w:ilvl w:val="0"/>
          <w:numId w:val="13"/>
        </w:numPr>
      </w:pPr>
      <w:r>
        <w:t>L’heure de pesée</w:t>
      </w:r>
    </w:p>
    <w:p w14:paraId="25309B87" w14:textId="6CD09F24" w:rsidR="001C631E" w:rsidRDefault="001C631E" w:rsidP="002451EA">
      <w:pPr>
        <w:pStyle w:val="Paragraphedeliste"/>
        <w:numPr>
          <w:ilvl w:val="0"/>
          <w:numId w:val="13"/>
        </w:numPr>
      </w:pPr>
      <w:r>
        <w:t>L’identification du lieu de traitement</w:t>
      </w:r>
    </w:p>
    <w:p w14:paraId="54CB45C3" w14:textId="1EEDA954" w:rsidR="001C631E" w:rsidRDefault="001C631E" w:rsidP="002451EA">
      <w:pPr>
        <w:pStyle w:val="Paragraphedeliste"/>
        <w:numPr>
          <w:ilvl w:val="0"/>
          <w:numId w:val="13"/>
        </w:numPr>
      </w:pPr>
      <w:r>
        <w:t>Le type de traitement et de valorisation des déchets</w:t>
      </w:r>
    </w:p>
    <w:p w14:paraId="15401AC4" w14:textId="1A7C778C" w:rsidR="001C631E" w:rsidRDefault="001C631E" w:rsidP="002451EA">
      <w:r>
        <w:t>D’autres indicateurs, quantitatifs et qualitatifs, pourront être proposés. Les données devront être fiables à l’échelle réelle du périmètre du</w:t>
      </w:r>
      <w:r w:rsidR="009079F8">
        <w:t xml:space="preserve"> marché</w:t>
      </w:r>
      <w:r>
        <w:t>.</w:t>
      </w:r>
    </w:p>
    <w:p w14:paraId="574F8B45" w14:textId="636EF831" w:rsidR="001C631E" w:rsidRDefault="001C631E" w:rsidP="002451EA">
      <w:r>
        <w:t xml:space="preserve">Au démarrage de la mission, un tableau de suivi </w:t>
      </w:r>
      <w:r w:rsidR="009079F8">
        <w:t>devra être proposé par le titulaire.</w:t>
      </w:r>
      <w:r>
        <w:t xml:space="preserve"> Ce tableau sera à transmettre par courrier électronique aux établissements pénitentiaires</w:t>
      </w:r>
      <w:r w:rsidR="009079F8">
        <w:t xml:space="preserve"> </w:t>
      </w:r>
      <w:r>
        <w:t xml:space="preserve">à la fin de chaque mois et au plus tard le 10 du mois suivant. </w:t>
      </w:r>
      <w:r w:rsidR="009079F8">
        <w:t>L’acheteur devra systématiquement être mis en copie (</w:t>
      </w:r>
      <w:hyperlink r:id="rId10" w:history="1">
        <w:r w:rsidR="004D1617" w:rsidRPr="00AD2F0B">
          <w:rPr>
            <w:rStyle w:val="Lienhypertexte"/>
          </w:rPr>
          <w:t>liste.uamp.disp-strasbourg@justice.fr</w:t>
        </w:r>
      </w:hyperlink>
      <w:r w:rsidR="009079F8">
        <w:t xml:space="preserve"> et </w:t>
      </w:r>
      <w:hyperlink r:id="rId11" w:history="1">
        <w:r w:rsidR="009079F8" w:rsidRPr="00531C6D">
          <w:rPr>
            <w:rStyle w:val="Lienhypertexte"/>
          </w:rPr>
          <w:t>jean-claude.hild@justice.fr</w:t>
        </w:r>
      </w:hyperlink>
      <w:r w:rsidR="009079F8">
        <w:t>).</w:t>
      </w:r>
    </w:p>
    <w:p w14:paraId="03D314E8" w14:textId="4CC3E1D8" w:rsidR="001C631E" w:rsidRPr="001C631E" w:rsidRDefault="001C631E" w:rsidP="002451EA">
      <w:r>
        <w:t>Un bilan annuel sera réalisé au format</w:t>
      </w:r>
      <w:r w:rsidR="004D1617">
        <w:t xml:space="preserve"> Power</w:t>
      </w:r>
      <w:r>
        <w:t xml:space="preserve">point et dans un fichier </w:t>
      </w:r>
      <w:r w:rsidR="004D1617">
        <w:t>E</w:t>
      </w:r>
      <w:r>
        <w:t>xcel dans lesquels seront présentés pour chaque lieu de valorisation livrés : les quantités livrées, les performances de valorisation (ex : m3 de biogaz produit, kWh d’électricité, t de compost, m3 de digestat), des informations sur la qualité.</w:t>
      </w:r>
    </w:p>
    <w:p w14:paraId="65A92999" w14:textId="77777777" w:rsidR="00B96D5B" w:rsidRPr="00B96D5B" w:rsidRDefault="00B96D5B" w:rsidP="002451EA"/>
    <w:p w14:paraId="055836C7" w14:textId="77777777" w:rsidR="00B96D5B" w:rsidRPr="00B96D5B" w:rsidRDefault="00B96D5B" w:rsidP="002451EA"/>
    <w:p w14:paraId="29603E7B" w14:textId="77777777" w:rsidR="00357F0F" w:rsidRDefault="00357F0F" w:rsidP="002451EA"/>
    <w:sectPr w:rsidR="00357F0F" w:rsidSect="00CA30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7B523" w14:textId="77777777" w:rsidR="00CA3002" w:rsidRDefault="00CA3002" w:rsidP="002451EA">
      <w:r>
        <w:separator/>
      </w:r>
    </w:p>
  </w:endnote>
  <w:endnote w:type="continuationSeparator" w:id="0">
    <w:p w14:paraId="06B19CB9" w14:textId="77777777" w:rsidR="00CA3002" w:rsidRDefault="00CA3002" w:rsidP="00245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auto"/>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Marianne Medium">
    <w:panose1 w:val="02000000000000000000"/>
    <w:charset w:val="00"/>
    <w:family w:val="auto"/>
    <w:pitch w:val="variable"/>
    <w:sig w:usb0="0000000F" w:usb1="00000000" w:usb2="00000000" w:usb3="00000000" w:csb0="00000003" w:csb1="00000000"/>
  </w:font>
  <w:font w:name="Marianne Light">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337464"/>
      <w:docPartObj>
        <w:docPartGallery w:val="Page Numbers (Bottom of Page)"/>
        <w:docPartUnique/>
      </w:docPartObj>
    </w:sdtPr>
    <w:sdtContent>
      <w:sdt>
        <w:sdtPr>
          <w:id w:val="-1769616900"/>
          <w:docPartObj>
            <w:docPartGallery w:val="Page Numbers (Top of Page)"/>
            <w:docPartUnique/>
          </w:docPartObj>
        </w:sdtPr>
        <w:sdtContent>
          <w:p w14:paraId="29AD124C" w14:textId="64815030" w:rsidR="004D1617" w:rsidRDefault="004D1617">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B43E734" w14:textId="77777777" w:rsidR="00D53CF6" w:rsidRDefault="00D53CF6" w:rsidP="002451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0E0F5" w14:textId="77777777" w:rsidR="00CA3002" w:rsidRDefault="00CA3002" w:rsidP="002451EA">
      <w:r>
        <w:separator/>
      </w:r>
    </w:p>
  </w:footnote>
  <w:footnote w:type="continuationSeparator" w:id="0">
    <w:p w14:paraId="51D31CE3" w14:textId="77777777" w:rsidR="00CA3002" w:rsidRDefault="00CA3002" w:rsidP="00245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FAB09" w14:textId="77777777" w:rsidR="00CA3002" w:rsidRPr="00D670B6" w:rsidRDefault="00CA3002" w:rsidP="00D670B6">
    <w:pPr>
      <w:pStyle w:val="En-tte"/>
      <w:jc w:val="right"/>
      <w:rPr>
        <w:b/>
        <w:bCs/>
      </w:rPr>
    </w:pPr>
    <w:r w:rsidRPr="00D670B6">
      <w:rPr>
        <w:b/>
        <w:bCs/>
        <w:noProof/>
      </w:rPr>
      <w:drawing>
        <wp:anchor distT="0" distB="0" distL="114300" distR="114300" simplePos="0" relativeHeight="251659264" behindDoc="0" locked="0" layoutInCell="1" allowOverlap="1" wp14:anchorId="1C095389" wp14:editId="2CD67DD2">
          <wp:simplePos x="0" y="0"/>
          <wp:positionH relativeFrom="page">
            <wp:posOffset>238125</wp:posOffset>
          </wp:positionH>
          <wp:positionV relativeFrom="paragraph">
            <wp:posOffset>-125730</wp:posOffset>
          </wp:positionV>
          <wp:extent cx="3257550" cy="8629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8629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70B6">
      <w:rPr>
        <w:b/>
        <w:bCs/>
      </w:rPr>
      <w:t xml:space="preserve">Direction de l’administration pénitentiaire </w:t>
    </w:r>
  </w:p>
  <w:p w14:paraId="05058E46" w14:textId="77777777" w:rsidR="00D670B6" w:rsidRDefault="00CA3002" w:rsidP="00D670B6">
    <w:pPr>
      <w:pStyle w:val="En-tte"/>
      <w:jc w:val="right"/>
      <w:rPr>
        <w:b/>
        <w:bCs/>
      </w:rPr>
    </w:pPr>
    <w:r w:rsidRPr="00D670B6">
      <w:rPr>
        <w:b/>
        <w:bCs/>
      </w:rPr>
      <w:t xml:space="preserve">Direction interrégionale des services </w:t>
    </w:r>
  </w:p>
  <w:p w14:paraId="7D114ECF" w14:textId="7F15DE7E" w:rsidR="00CA3002" w:rsidRPr="00D670B6" w:rsidRDefault="00CA3002" w:rsidP="00D670B6">
    <w:pPr>
      <w:pStyle w:val="En-tte"/>
      <w:jc w:val="right"/>
      <w:rPr>
        <w:b/>
        <w:bCs/>
      </w:rPr>
    </w:pPr>
    <w:proofErr w:type="gramStart"/>
    <w:r w:rsidRPr="00D670B6">
      <w:rPr>
        <w:b/>
        <w:bCs/>
      </w:rPr>
      <w:t>pénitentiaires</w:t>
    </w:r>
    <w:proofErr w:type="gramEnd"/>
    <w:r w:rsidRPr="00D670B6">
      <w:rPr>
        <w:b/>
        <w:bCs/>
      </w:rPr>
      <w:t xml:space="preserve"> de Strasbourg</w:t>
    </w:r>
  </w:p>
  <w:p w14:paraId="693C5D98" w14:textId="77777777" w:rsidR="00CA3002" w:rsidRDefault="00CA3002" w:rsidP="002451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B7C8D"/>
    <w:multiLevelType w:val="hybridMultilevel"/>
    <w:tmpl w:val="94D2A6BA"/>
    <w:lvl w:ilvl="0" w:tplc="AEBCF6E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90E722B"/>
    <w:multiLevelType w:val="hybridMultilevel"/>
    <w:tmpl w:val="648EFDE4"/>
    <w:lvl w:ilvl="0" w:tplc="96CC73D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DF2BBC"/>
    <w:multiLevelType w:val="hybridMultilevel"/>
    <w:tmpl w:val="FD16F07A"/>
    <w:lvl w:ilvl="0" w:tplc="9304854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27393C"/>
    <w:multiLevelType w:val="hybridMultilevel"/>
    <w:tmpl w:val="EC22824A"/>
    <w:lvl w:ilvl="0" w:tplc="9304854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28A17B0"/>
    <w:multiLevelType w:val="hybridMultilevel"/>
    <w:tmpl w:val="BF8A8A16"/>
    <w:lvl w:ilvl="0" w:tplc="0D5CBFA2">
      <w:numFmt w:val="bullet"/>
      <w:lvlText w:val="-"/>
      <w:lvlJc w:val="left"/>
      <w:pPr>
        <w:ind w:left="720" w:hanging="360"/>
      </w:pPr>
      <w:rPr>
        <w:rFonts w:ascii="Garamond" w:eastAsia="Garamond" w:hAnsi="Garamond" w:cs="Garamond" w:hint="default"/>
        <w:b w:val="0"/>
        <w:bCs w:val="0"/>
        <w:i w:val="0"/>
        <w:iCs w:val="0"/>
        <w:spacing w:val="0"/>
        <w:w w:val="97"/>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3E3A29"/>
    <w:multiLevelType w:val="hybridMultilevel"/>
    <w:tmpl w:val="CC7E7158"/>
    <w:lvl w:ilvl="0" w:tplc="0D5CBFA2">
      <w:numFmt w:val="bullet"/>
      <w:lvlText w:val="-"/>
      <w:lvlJc w:val="left"/>
      <w:pPr>
        <w:ind w:left="720" w:hanging="360"/>
      </w:pPr>
      <w:rPr>
        <w:rFonts w:ascii="Garamond" w:eastAsia="Garamond" w:hAnsi="Garamond" w:cs="Garamond" w:hint="default"/>
        <w:b w:val="0"/>
        <w:bCs w:val="0"/>
        <w:i w:val="0"/>
        <w:iCs w:val="0"/>
        <w:spacing w:val="0"/>
        <w:w w:val="97"/>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811E4D"/>
    <w:multiLevelType w:val="hybridMultilevel"/>
    <w:tmpl w:val="BE9AAB38"/>
    <w:lvl w:ilvl="0" w:tplc="1ED8CE4C">
      <w:start w:val="1"/>
      <w:numFmt w:val="upperRoman"/>
      <w:pStyle w:val="Titre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0831460"/>
    <w:multiLevelType w:val="hybridMultilevel"/>
    <w:tmpl w:val="7F8A5B6E"/>
    <w:lvl w:ilvl="0" w:tplc="93048542">
      <w:numFmt w:val="bullet"/>
      <w:lvlText w:val="-"/>
      <w:lvlJc w:val="left"/>
      <w:pPr>
        <w:ind w:left="720" w:hanging="360"/>
      </w:pPr>
      <w:rPr>
        <w:rFonts w:ascii="Calibri" w:eastAsiaTheme="minorHAnsi" w:hAnsi="Calibri" w:cs="Calibri" w:hint="default"/>
        <w:b w:val="0"/>
        <w:bCs w:val="0"/>
        <w:i w:val="0"/>
        <w:iCs w:val="0"/>
        <w:spacing w:val="0"/>
        <w:w w:val="97"/>
        <w:sz w:val="20"/>
        <w:szCs w:val="20"/>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72B723D"/>
    <w:multiLevelType w:val="hybridMultilevel"/>
    <w:tmpl w:val="C7E08D54"/>
    <w:lvl w:ilvl="0" w:tplc="93048542">
      <w:numFmt w:val="bullet"/>
      <w:lvlText w:val="-"/>
      <w:lvlJc w:val="left"/>
      <w:pPr>
        <w:ind w:left="720" w:hanging="360"/>
      </w:pPr>
      <w:rPr>
        <w:rFonts w:ascii="Calibri" w:eastAsiaTheme="minorHAnsi" w:hAnsi="Calibri" w:cs="Calibri" w:hint="default"/>
        <w:b w:val="0"/>
        <w:bCs w:val="0"/>
        <w:i w:val="0"/>
        <w:iCs w:val="0"/>
        <w:spacing w:val="0"/>
        <w:w w:val="97"/>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774C25"/>
    <w:multiLevelType w:val="hybridMultilevel"/>
    <w:tmpl w:val="C6D6A65A"/>
    <w:lvl w:ilvl="0" w:tplc="96CC73D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F1DE7"/>
    <w:multiLevelType w:val="hybridMultilevel"/>
    <w:tmpl w:val="BCC21598"/>
    <w:lvl w:ilvl="0" w:tplc="9304854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19C6C9A"/>
    <w:multiLevelType w:val="hybridMultilevel"/>
    <w:tmpl w:val="4DA41FB8"/>
    <w:lvl w:ilvl="0" w:tplc="0D5CBFA2">
      <w:numFmt w:val="bullet"/>
      <w:lvlText w:val="-"/>
      <w:lvlJc w:val="left"/>
      <w:pPr>
        <w:ind w:left="720" w:hanging="360"/>
      </w:pPr>
      <w:rPr>
        <w:rFonts w:ascii="Garamond" w:eastAsia="Garamond" w:hAnsi="Garamond" w:cs="Garamond" w:hint="default"/>
        <w:b w:val="0"/>
        <w:bCs w:val="0"/>
        <w:i w:val="0"/>
        <w:iCs w:val="0"/>
        <w:spacing w:val="0"/>
        <w:w w:val="97"/>
        <w:sz w:val="20"/>
        <w:szCs w:val="20"/>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764315E"/>
    <w:multiLevelType w:val="hybridMultilevel"/>
    <w:tmpl w:val="234469D0"/>
    <w:lvl w:ilvl="0" w:tplc="9304854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E6247"/>
    <w:multiLevelType w:val="hybridMultilevel"/>
    <w:tmpl w:val="F8AC9A8E"/>
    <w:lvl w:ilvl="0" w:tplc="96CC73D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64178B"/>
    <w:multiLevelType w:val="hybridMultilevel"/>
    <w:tmpl w:val="45E25A82"/>
    <w:lvl w:ilvl="0" w:tplc="93048542">
      <w:numFmt w:val="bullet"/>
      <w:lvlText w:val="-"/>
      <w:lvlJc w:val="left"/>
      <w:pPr>
        <w:ind w:left="720" w:hanging="360"/>
      </w:pPr>
      <w:rPr>
        <w:rFonts w:ascii="Calibri" w:eastAsiaTheme="minorHAnsi" w:hAnsi="Calibri" w:cs="Calibri" w:hint="default"/>
        <w:b w:val="0"/>
        <w:bCs w:val="0"/>
        <w:i w:val="0"/>
        <w:iCs w:val="0"/>
        <w:spacing w:val="0"/>
        <w:w w:val="97"/>
        <w:sz w:val="20"/>
        <w:szCs w:val="20"/>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14738512">
    <w:abstractNumId w:val="6"/>
  </w:num>
  <w:num w:numId="2" w16cid:durableId="998385666">
    <w:abstractNumId w:val="0"/>
  </w:num>
  <w:num w:numId="3" w16cid:durableId="927731159">
    <w:abstractNumId w:val="0"/>
    <w:lvlOverride w:ilvl="0">
      <w:startOverride w:val="1"/>
    </w:lvlOverride>
  </w:num>
  <w:num w:numId="4" w16cid:durableId="1734422216">
    <w:abstractNumId w:val="13"/>
  </w:num>
  <w:num w:numId="5" w16cid:durableId="1278028686">
    <w:abstractNumId w:val="2"/>
  </w:num>
  <w:num w:numId="6" w16cid:durableId="1239368835">
    <w:abstractNumId w:val="3"/>
  </w:num>
  <w:num w:numId="7" w16cid:durableId="170341077">
    <w:abstractNumId w:val="10"/>
  </w:num>
  <w:num w:numId="8" w16cid:durableId="721755782">
    <w:abstractNumId w:val="4"/>
  </w:num>
  <w:num w:numId="9" w16cid:durableId="434444566">
    <w:abstractNumId w:val="11"/>
  </w:num>
  <w:num w:numId="10" w16cid:durableId="1871142121">
    <w:abstractNumId w:val="14"/>
  </w:num>
  <w:num w:numId="11" w16cid:durableId="92096876">
    <w:abstractNumId w:val="12"/>
  </w:num>
  <w:num w:numId="12" w16cid:durableId="1428691760">
    <w:abstractNumId w:val="7"/>
  </w:num>
  <w:num w:numId="13" w16cid:durableId="2068214832">
    <w:abstractNumId w:val="5"/>
  </w:num>
  <w:num w:numId="14" w16cid:durableId="165020089">
    <w:abstractNumId w:val="0"/>
    <w:lvlOverride w:ilvl="0">
      <w:startOverride w:val="1"/>
    </w:lvlOverride>
  </w:num>
  <w:num w:numId="15" w16cid:durableId="513035891">
    <w:abstractNumId w:val="8"/>
  </w:num>
  <w:num w:numId="16" w16cid:durableId="1130324519">
    <w:abstractNumId w:val="9"/>
  </w:num>
  <w:num w:numId="17" w16cid:durableId="132869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9D5"/>
    <w:rsid w:val="00030504"/>
    <w:rsid w:val="000449D5"/>
    <w:rsid w:val="000455DA"/>
    <w:rsid w:val="0005315B"/>
    <w:rsid w:val="000714DB"/>
    <w:rsid w:val="000801C1"/>
    <w:rsid w:val="00093184"/>
    <w:rsid w:val="00167BD2"/>
    <w:rsid w:val="001C631E"/>
    <w:rsid w:val="00207110"/>
    <w:rsid w:val="002451EA"/>
    <w:rsid w:val="00255892"/>
    <w:rsid w:val="00285503"/>
    <w:rsid w:val="002D6FDD"/>
    <w:rsid w:val="00330D77"/>
    <w:rsid w:val="00357F0F"/>
    <w:rsid w:val="00380CD7"/>
    <w:rsid w:val="0039080B"/>
    <w:rsid w:val="003A6F0E"/>
    <w:rsid w:val="003F5FBE"/>
    <w:rsid w:val="00426CF3"/>
    <w:rsid w:val="00491CF1"/>
    <w:rsid w:val="004A593E"/>
    <w:rsid w:val="004D1617"/>
    <w:rsid w:val="00523DAC"/>
    <w:rsid w:val="005C2266"/>
    <w:rsid w:val="00690699"/>
    <w:rsid w:val="00697339"/>
    <w:rsid w:val="006D48DD"/>
    <w:rsid w:val="00866E69"/>
    <w:rsid w:val="008F0C1B"/>
    <w:rsid w:val="009045D2"/>
    <w:rsid w:val="009079F8"/>
    <w:rsid w:val="00A55A75"/>
    <w:rsid w:val="00AF081C"/>
    <w:rsid w:val="00B74D85"/>
    <w:rsid w:val="00B96D5B"/>
    <w:rsid w:val="00C2246F"/>
    <w:rsid w:val="00C55A9C"/>
    <w:rsid w:val="00C909DF"/>
    <w:rsid w:val="00CA3002"/>
    <w:rsid w:val="00CB6FA4"/>
    <w:rsid w:val="00D43C95"/>
    <w:rsid w:val="00D53CF6"/>
    <w:rsid w:val="00D670B6"/>
    <w:rsid w:val="00D7027B"/>
    <w:rsid w:val="00DA3B4F"/>
    <w:rsid w:val="00E62C77"/>
    <w:rsid w:val="00E741CD"/>
    <w:rsid w:val="00FE24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65EC4"/>
  <w15:chartTrackingRefBased/>
  <w15:docId w15:val="{D0C261F0-A8B6-46C2-9564-EC2557637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1EA"/>
    <w:pPr>
      <w:jc w:val="both"/>
    </w:pPr>
    <w:rPr>
      <w:rFonts w:ascii="Marianne" w:hAnsi="Marianne"/>
      <w:kern w:val="0"/>
      <w:sz w:val="20"/>
      <w14:ligatures w14:val="none"/>
    </w:rPr>
  </w:style>
  <w:style w:type="paragraph" w:styleId="Titre1">
    <w:name w:val="heading 1"/>
    <w:basedOn w:val="Normal"/>
    <w:next w:val="Normal"/>
    <w:link w:val="Titre1Car"/>
    <w:uiPriority w:val="9"/>
    <w:qFormat/>
    <w:rsid w:val="000449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Paragraphedeliste"/>
    <w:next w:val="Normal"/>
    <w:link w:val="Titre2Car"/>
    <w:uiPriority w:val="9"/>
    <w:unhideWhenUsed/>
    <w:qFormat/>
    <w:rsid w:val="00357F0F"/>
    <w:pPr>
      <w:numPr>
        <w:numId w:val="1"/>
      </w:numPr>
      <w:outlineLvl w:val="1"/>
    </w:pPr>
    <w:rPr>
      <w:rFonts w:ascii="Marianne Medium" w:eastAsiaTheme="majorEastAsia" w:hAnsi="Marianne Medium" w:cstheme="majorBidi"/>
      <w:color w:val="0F4761" w:themeColor="accent1" w:themeShade="BF"/>
      <w:sz w:val="28"/>
      <w:szCs w:val="28"/>
    </w:rPr>
  </w:style>
  <w:style w:type="paragraph" w:styleId="Titre3">
    <w:name w:val="heading 3"/>
    <w:basedOn w:val="Paragraphedeliste"/>
    <w:next w:val="Normal"/>
    <w:link w:val="Titre3Car"/>
    <w:uiPriority w:val="9"/>
    <w:unhideWhenUsed/>
    <w:qFormat/>
    <w:rsid w:val="00357F0F"/>
    <w:pPr>
      <w:numPr>
        <w:numId w:val="2"/>
      </w:numPr>
      <w:outlineLvl w:val="2"/>
    </w:pPr>
    <w:rPr>
      <w:rFonts w:ascii="Marianne Light" w:eastAsiaTheme="majorEastAsia" w:hAnsi="Marianne Light" w:cstheme="majorBidi"/>
      <w:color w:val="0F4761" w:themeColor="accent1" w:themeShade="BF"/>
      <w:sz w:val="24"/>
      <w:szCs w:val="24"/>
    </w:rPr>
  </w:style>
  <w:style w:type="paragraph" w:styleId="Titre4">
    <w:name w:val="heading 4"/>
    <w:basedOn w:val="Normal"/>
    <w:next w:val="Normal"/>
    <w:link w:val="Titre4Car"/>
    <w:uiPriority w:val="9"/>
    <w:unhideWhenUsed/>
    <w:qFormat/>
    <w:rsid w:val="000449D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449D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449D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449D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449D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449D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449D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357F0F"/>
    <w:rPr>
      <w:rFonts w:ascii="Marianne Medium" w:eastAsiaTheme="majorEastAsia" w:hAnsi="Marianne Medium" w:cstheme="majorBidi"/>
      <w:color w:val="0F4761" w:themeColor="accent1" w:themeShade="BF"/>
      <w:kern w:val="0"/>
      <w:sz w:val="28"/>
      <w:szCs w:val="28"/>
      <w14:ligatures w14:val="none"/>
    </w:rPr>
  </w:style>
  <w:style w:type="character" w:customStyle="1" w:styleId="Titre3Car">
    <w:name w:val="Titre 3 Car"/>
    <w:basedOn w:val="Policepardfaut"/>
    <w:link w:val="Titre3"/>
    <w:uiPriority w:val="9"/>
    <w:rsid w:val="00357F0F"/>
    <w:rPr>
      <w:rFonts w:ascii="Marianne Light" w:eastAsiaTheme="majorEastAsia" w:hAnsi="Marianne Light" w:cstheme="majorBidi"/>
      <w:color w:val="0F4761" w:themeColor="accent1" w:themeShade="BF"/>
      <w:kern w:val="0"/>
      <w:sz w:val="24"/>
      <w:szCs w:val="24"/>
      <w14:ligatures w14:val="none"/>
    </w:rPr>
  </w:style>
  <w:style w:type="character" w:customStyle="1" w:styleId="Titre4Car">
    <w:name w:val="Titre 4 Car"/>
    <w:basedOn w:val="Policepardfaut"/>
    <w:link w:val="Titre4"/>
    <w:uiPriority w:val="9"/>
    <w:rsid w:val="000449D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449D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449D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449D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449D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449D5"/>
    <w:rPr>
      <w:rFonts w:eastAsiaTheme="majorEastAsia" w:cstheme="majorBidi"/>
      <w:color w:val="272727" w:themeColor="text1" w:themeTint="D8"/>
    </w:rPr>
  </w:style>
  <w:style w:type="paragraph" w:styleId="Titre">
    <w:name w:val="Title"/>
    <w:basedOn w:val="Normal"/>
    <w:next w:val="Normal"/>
    <w:link w:val="TitreCar"/>
    <w:uiPriority w:val="10"/>
    <w:qFormat/>
    <w:rsid w:val="000449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449D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449D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449D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449D5"/>
    <w:pPr>
      <w:spacing w:before="160"/>
      <w:jc w:val="center"/>
    </w:pPr>
    <w:rPr>
      <w:i/>
      <w:iCs/>
      <w:color w:val="404040" w:themeColor="text1" w:themeTint="BF"/>
    </w:rPr>
  </w:style>
  <w:style w:type="character" w:customStyle="1" w:styleId="CitationCar">
    <w:name w:val="Citation Car"/>
    <w:basedOn w:val="Policepardfaut"/>
    <w:link w:val="Citation"/>
    <w:uiPriority w:val="29"/>
    <w:rsid w:val="000449D5"/>
    <w:rPr>
      <w:i/>
      <w:iCs/>
      <w:color w:val="404040" w:themeColor="text1" w:themeTint="BF"/>
    </w:rPr>
  </w:style>
  <w:style w:type="paragraph" w:styleId="Paragraphedeliste">
    <w:name w:val="List Paragraph"/>
    <w:basedOn w:val="Normal"/>
    <w:uiPriority w:val="34"/>
    <w:qFormat/>
    <w:rsid w:val="000449D5"/>
    <w:pPr>
      <w:ind w:left="720"/>
      <w:contextualSpacing/>
    </w:pPr>
  </w:style>
  <w:style w:type="character" w:styleId="Accentuationintense">
    <w:name w:val="Intense Emphasis"/>
    <w:basedOn w:val="Policepardfaut"/>
    <w:uiPriority w:val="21"/>
    <w:qFormat/>
    <w:rsid w:val="000449D5"/>
    <w:rPr>
      <w:i/>
      <w:iCs/>
      <w:color w:val="0F4761" w:themeColor="accent1" w:themeShade="BF"/>
    </w:rPr>
  </w:style>
  <w:style w:type="paragraph" w:styleId="Citationintense">
    <w:name w:val="Intense Quote"/>
    <w:basedOn w:val="Normal"/>
    <w:next w:val="Normal"/>
    <w:link w:val="CitationintenseCar"/>
    <w:uiPriority w:val="30"/>
    <w:qFormat/>
    <w:rsid w:val="000449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449D5"/>
    <w:rPr>
      <w:i/>
      <w:iCs/>
      <w:color w:val="0F4761" w:themeColor="accent1" w:themeShade="BF"/>
    </w:rPr>
  </w:style>
  <w:style w:type="character" w:styleId="Rfrenceintense">
    <w:name w:val="Intense Reference"/>
    <w:basedOn w:val="Policepardfaut"/>
    <w:uiPriority w:val="32"/>
    <w:qFormat/>
    <w:rsid w:val="000449D5"/>
    <w:rPr>
      <w:b/>
      <w:bCs/>
      <w:smallCaps/>
      <w:color w:val="0F4761" w:themeColor="accent1" w:themeShade="BF"/>
      <w:spacing w:val="5"/>
    </w:rPr>
  </w:style>
  <w:style w:type="paragraph" w:styleId="En-tte">
    <w:name w:val="header"/>
    <w:basedOn w:val="Normal"/>
    <w:link w:val="En-tteCar"/>
    <w:uiPriority w:val="99"/>
    <w:unhideWhenUsed/>
    <w:rsid w:val="00CA3002"/>
    <w:pPr>
      <w:tabs>
        <w:tab w:val="center" w:pos="4536"/>
        <w:tab w:val="right" w:pos="9072"/>
      </w:tabs>
      <w:spacing w:after="0" w:line="240" w:lineRule="auto"/>
    </w:pPr>
  </w:style>
  <w:style w:type="character" w:customStyle="1" w:styleId="En-tteCar">
    <w:name w:val="En-tête Car"/>
    <w:basedOn w:val="Policepardfaut"/>
    <w:link w:val="En-tte"/>
    <w:uiPriority w:val="99"/>
    <w:rsid w:val="00CA3002"/>
  </w:style>
  <w:style w:type="paragraph" w:styleId="Pieddepage">
    <w:name w:val="footer"/>
    <w:basedOn w:val="Normal"/>
    <w:link w:val="PieddepageCar"/>
    <w:uiPriority w:val="99"/>
    <w:unhideWhenUsed/>
    <w:rsid w:val="00CA30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3002"/>
  </w:style>
  <w:style w:type="paragraph" w:customStyle="1" w:styleId="Default">
    <w:name w:val="Default"/>
    <w:rsid w:val="00CA3002"/>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En-ttedetabledesmatires">
    <w:name w:val="TOC Heading"/>
    <w:basedOn w:val="Titre1"/>
    <w:next w:val="Normal"/>
    <w:uiPriority w:val="39"/>
    <w:unhideWhenUsed/>
    <w:qFormat/>
    <w:rsid w:val="00CA3002"/>
    <w:pPr>
      <w:spacing w:before="240" w:after="0"/>
      <w:outlineLvl w:val="9"/>
    </w:pPr>
    <w:rPr>
      <w:sz w:val="32"/>
      <w:szCs w:val="32"/>
      <w:lang w:eastAsia="fr-FR"/>
    </w:rPr>
  </w:style>
  <w:style w:type="character" w:styleId="Lienhypertexte">
    <w:name w:val="Hyperlink"/>
    <w:basedOn w:val="Policepardfaut"/>
    <w:uiPriority w:val="99"/>
    <w:unhideWhenUsed/>
    <w:rsid w:val="00B96D5B"/>
    <w:rPr>
      <w:color w:val="467886" w:themeColor="hyperlink"/>
      <w:u w:val="single"/>
    </w:rPr>
  </w:style>
  <w:style w:type="character" w:styleId="Mentionnonrsolue">
    <w:name w:val="Unresolved Mention"/>
    <w:basedOn w:val="Policepardfaut"/>
    <w:uiPriority w:val="99"/>
    <w:semiHidden/>
    <w:unhideWhenUsed/>
    <w:rsid w:val="00B96D5B"/>
    <w:rPr>
      <w:color w:val="605E5C"/>
      <w:shd w:val="clear" w:color="auto" w:fill="E1DFDD"/>
    </w:rPr>
  </w:style>
  <w:style w:type="character" w:styleId="Marquedecommentaire">
    <w:name w:val="annotation reference"/>
    <w:basedOn w:val="Policepardfaut"/>
    <w:uiPriority w:val="99"/>
    <w:semiHidden/>
    <w:unhideWhenUsed/>
    <w:rsid w:val="00093184"/>
    <w:rPr>
      <w:sz w:val="16"/>
      <w:szCs w:val="16"/>
    </w:rPr>
  </w:style>
  <w:style w:type="paragraph" w:styleId="Commentaire">
    <w:name w:val="annotation text"/>
    <w:basedOn w:val="Normal"/>
    <w:link w:val="CommentaireCar"/>
    <w:uiPriority w:val="99"/>
    <w:unhideWhenUsed/>
    <w:rsid w:val="00093184"/>
    <w:pPr>
      <w:spacing w:line="240" w:lineRule="auto"/>
    </w:pPr>
    <w:rPr>
      <w:szCs w:val="20"/>
    </w:rPr>
  </w:style>
  <w:style w:type="character" w:customStyle="1" w:styleId="CommentaireCar">
    <w:name w:val="Commentaire Car"/>
    <w:basedOn w:val="Policepardfaut"/>
    <w:link w:val="Commentaire"/>
    <w:uiPriority w:val="99"/>
    <w:rsid w:val="00093184"/>
    <w:rPr>
      <w:rFonts w:ascii="Marianne" w:hAnsi="Marianne"/>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093184"/>
    <w:rPr>
      <w:b/>
      <w:bCs/>
    </w:rPr>
  </w:style>
  <w:style w:type="character" w:customStyle="1" w:styleId="ObjetducommentaireCar">
    <w:name w:val="Objet du commentaire Car"/>
    <w:basedOn w:val="CommentaireCar"/>
    <w:link w:val="Objetducommentaire"/>
    <w:uiPriority w:val="99"/>
    <w:semiHidden/>
    <w:rsid w:val="00093184"/>
    <w:rPr>
      <w:rFonts w:ascii="Marianne" w:hAnsi="Marianne"/>
      <w:b/>
      <w:bCs/>
      <w:kern w:val="0"/>
      <w:sz w:val="20"/>
      <w:szCs w:val="20"/>
      <w14:ligatures w14:val="none"/>
    </w:rPr>
  </w:style>
  <w:style w:type="paragraph" w:styleId="TM2">
    <w:name w:val="toc 2"/>
    <w:basedOn w:val="Normal"/>
    <w:next w:val="Normal"/>
    <w:autoRedefine/>
    <w:uiPriority w:val="39"/>
    <w:unhideWhenUsed/>
    <w:rsid w:val="00491CF1"/>
    <w:pPr>
      <w:spacing w:after="100"/>
      <w:ind w:left="200"/>
    </w:pPr>
  </w:style>
  <w:style w:type="paragraph" w:styleId="TM3">
    <w:name w:val="toc 3"/>
    <w:basedOn w:val="Normal"/>
    <w:next w:val="Normal"/>
    <w:autoRedefine/>
    <w:uiPriority w:val="39"/>
    <w:unhideWhenUsed/>
    <w:rsid w:val="00491CF1"/>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148662">
      <w:bodyDiv w:val="1"/>
      <w:marLeft w:val="0"/>
      <w:marRight w:val="0"/>
      <w:marTop w:val="0"/>
      <w:marBottom w:val="0"/>
      <w:divBdr>
        <w:top w:val="none" w:sz="0" w:space="0" w:color="auto"/>
        <w:left w:val="none" w:sz="0" w:space="0" w:color="auto"/>
        <w:bottom w:val="none" w:sz="0" w:space="0" w:color="auto"/>
        <w:right w:val="none" w:sz="0" w:space="0" w:color="auto"/>
      </w:divBdr>
    </w:div>
    <w:div w:id="599948126">
      <w:bodyDiv w:val="1"/>
      <w:marLeft w:val="0"/>
      <w:marRight w:val="0"/>
      <w:marTop w:val="0"/>
      <w:marBottom w:val="0"/>
      <w:divBdr>
        <w:top w:val="none" w:sz="0" w:space="0" w:color="auto"/>
        <w:left w:val="none" w:sz="0" w:space="0" w:color="auto"/>
        <w:bottom w:val="none" w:sz="0" w:space="0" w:color="auto"/>
        <w:right w:val="none" w:sz="0" w:space="0" w:color="auto"/>
      </w:divBdr>
    </w:div>
    <w:div w:id="1395662585">
      <w:bodyDiv w:val="1"/>
      <w:marLeft w:val="0"/>
      <w:marRight w:val="0"/>
      <w:marTop w:val="0"/>
      <w:marBottom w:val="0"/>
      <w:divBdr>
        <w:top w:val="none" w:sz="0" w:space="0" w:color="auto"/>
        <w:left w:val="none" w:sz="0" w:space="0" w:color="auto"/>
        <w:bottom w:val="none" w:sz="0" w:space="0" w:color="auto"/>
        <w:right w:val="none" w:sz="0" w:space="0" w:color="auto"/>
      </w:divBdr>
    </w:div>
    <w:div w:id="1460760529">
      <w:bodyDiv w:val="1"/>
      <w:marLeft w:val="0"/>
      <w:marRight w:val="0"/>
      <w:marTop w:val="0"/>
      <w:marBottom w:val="0"/>
      <w:divBdr>
        <w:top w:val="none" w:sz="0" w:space="0" w:color="auto"/>
        <w:left w:val="none" w:sz="0" w:space="0" w:color="auto"/>
        <w:bottom w:val="none" w:sz="0" w:space="0" w:color="auto"/>
        <w:right w:val="none" w:sz="0" w:space="0" w:color="auto"/>
      </w:divBdr>
    </w:div>
    <w:div w:id="177112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an-claude.hild@justice.fr" TargetMode="External"/><Relationship Id="rId5" Type="http://schemas.openxmlformats.org/officeDocument/2006/relationships/webSettings" Target="webSettings.xml"/><Relationship Id="rId10" Type="http://schemas.openxmlformats.org/officeDocument/2006/relationships/hyperlink" Target="mailto:liste.uamp.disp-strasbourg@justice.fr" TargetMode="Externa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563D2-E1DB-489B-906E-4CEC0CC5B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8</Pages>
  <Words>2349</Words>
  <Characters>12920</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GINDREY Estelle</dc:creator>
  <cp:keywords/>
  <dc:description/>
  <cp:lastModifiedBy>GINDREY Estelle</cp:lastModifiedBy>
  <cp:revision>30</cp:revision>
  <dcterms:created xsi:type="dcterms:W3CDTF">2025-07-08T14:55:00Z</dcterms:created>
  <dcterms:modified xsi:type="dcterms:W3CDTF">2025-09-09T13:50:00Z</dcterms:modified>
</cp:coreProperties>
</file>