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6BD5" w:rsidRDefault="00B56BD5" w:rsidP="00B56BD5">
      <w:r>
        <w:rPr>
          <w:noProof/>
          <w:lang w:eastAsia="fr-FR"/>
        </w:rPr>
        <w:drawing>
          <wp:anchor distT="0" distB="0" distL="114300" distR="114300" simplePos="0" relativeHeight="251659264" behindDoc="0" locked="0" layoutInCell="1" allowOverlap="1" wp14:anchorId="7461B5C9" wp14:editId="6387D2F6">
            <wp:simplePos x="0" y="0"/>
            <wp:positionH relativeFrom="margin">
              <wp:posOffset>-133350</wp:posOffset>
            </wp:positionH>
            <wp:positionV relativeFrom="paragraph">
              <wp:posOffset>0</wp:posOffset>
            </wp:positionV>
            <wp:extent cx="1333500" cy="904875"/>
            <wp:effectExtent l="0" t="0" r="0" b="9525"/>
            <wp:wrapSquare wrapText="right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8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fr-FR"/>
        </w:rPr>
        <w:drawing>
          <wp:anchor distT="0" distB="0" distL="114300" distR="114300" simplePos="0" relativeHeight="251661312" behindDoc="0" locked="0" layoutInCell="1" allowOverlap="1" wp14:anchorId="6BB4E272" wp14:editId="156020DC">
            <wp:simplePos x="0" y="0"/>
            <wp:positionH relativeFrom="margin">
              <wp:posOffset>4114800</wp:posOffset>
            </wp:positionH>
            <wp:positionV relativeFrom="page">
              <wp:posOffset>784860</wp:posOffset>
            </wp:positionV>
            <wp:extent cx="2057400" cy="753745"/>
            <wp:effectExtent l="0" t="0" r="0" b="8255"/>
            <wp:wrapSquare wrapText="bothSides"/>
            <wp:docPr id="2" name="Image 2" descr="Marketing:2018:ENVT:LOGO + CHARTE:MAQUETTES:EXPORTS LOGO:ENVT-logo-CMJ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 descr="Marketing:2018:ENVT:LOGO + CHARTE:MAQUETTES:EXPORTS LOGO:ENVT-logo-CMJN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753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B56BD5" w:rsidRDefault="00B56BD5" w:rsidP="00B56BD5"/>
    <w:p w:rsidR="00B56BD5" w:rsidRDefault="00B56BD5" w:rsidP="00B56BD5"/>
    <w:p w:rsidR="00B56BD5" w:rsidRDefault="00B56BD5" w:rsidP="00B56BD5"/>
    <w:p w:rsidR="00B56BD5" w:rsidRDefault="00B56BD5" w:rsidP="00B56BD5"/>
    <w:p w:rsidR="00B56BD5" w:rsidRDefault="00B56BD5" w:rsidP="00B56BD5"/>
    <w:p w:rsidR="00B56BD5" w:rsidRDefault="00B56BD5" w:rsidP="00B56BD5">
      <w:pPr>
        <w:jc w:val="center"/>
        <w:rPr>
          <w:rFonts w:ascii="Times New Roman" w:hAnsi="Times New Roman" w:cs="Times New Roman"/>
          <w:b/>
          <w:sz w:val="48"/>
          <w:szCs w:val="48"/>
        </w:rPr>
      </w:pPr>
    </w:p>
    <w:p w:rsidR="00B56BD5" w:rsidRDefault="00B56BD5" w:rsidP="00B56BD5">
      <w:pPr>
        <w:jc w:val="center"/>
        <w:rPr>
          <w:rFonts w:ascii="Times New Roman" w:hAnsi="Times New Roman" w:cs="Times New Roman"/>
          <w:b/>
          <w:sz w:val="48"/>
          <w:szCs w:val="48"/>
        </w:rPr>
      </w:pPr>
    </w:p>
    <w:p w:rsidR="00B56BD5" w:rsidRDefault="00B56BD5" w:rsidP="00B56BD5">
      <w:pPr>
        <w:jc w:val="center"/>
        <w:rPr>
          <w:rFonts w:ascii="Times New Roman" w:hAnsi="Times New Roman" w:cs="Times New Roman"/>
          <w:b/>
          <w:sz w:val="48"/>
          <w:szCs w:val="48"/>
        </w:rPr>
      </w:pPr>
    </w:p>
    <w:p w:rsidR="00B56BD5" w:rsidRDefault="00B56BD5" w:rsidP="00B56BD5">
      <w:pPr>
        <w:jc w:val="center"/>
        <w:rPr>
          <w:rFonts w:ascii="Times New Roman" w:hAnsi="Times New Roman" w:cs="Times New Roman"/>
          <w:b/>
          <w:sz w:val="48"/>
          <w:szCs w:val="48"/>
        </w:rPr>
      </w:pPr>
    </w:p>
    <w:p w:rsidR="00B56BD5" w:rsidRPr="00B56BD5" w:rsidRDefault="00B56BD5" w:rsidP="00B56BD5">
      <w:pPr>
        <w:jc w:val="center"/>
        <w:rPr>
          <w:rFonts w:ascii="Times New Roman" w:hAnsi="Times New Roman" w:cs="Times New Roman"/>
          <w:b/>
          <w:sz w:val="48"/>
          <w:szCs w:val="48"/>
        </w:rPr>
      </w:pPr>
      <w:r w:rsidRPr="00B56BD5">
        <w:rPr>
          <w:rFonts w:ascii="Times New Roman" w:hAnsi="Times New Roman" w:cs="Times New Roman"/>
          <w:b/>
          <w:sz w:val="48"/>
          <w:szCs w:val="48"/>
        </w:rPr>
        <w:t>Cahier des Clauses Administratives Particulières</w:t>
      </w:r>
      <w:r>
        <w:rPr>
          <w:rFonts w:ascii="Times New Roman" w:hAnsi="Times New Roman" w:cs="Times New Roman"/>
          <w:b/>
          <w:sz w:val="48"/>
          <w:szCs w:val="48"/>
        </w:rPr>
        <w:t xml:space="preserve"> (CCAP)</w:t>
      </w:r>
    </w:p>
    <w:p w:rsidR="00B56BD5" w:rsidRDefault="00B56BD5" w:rsidP="00B56BD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56BD5" w:rsidRDefault="00B56BD5" w:rsidP="00B56BD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56BD5" w:rsidRPr="00311FCF" w:rsidRDefault="00B56BD5" w:rsidP="00B56BD5">
      <w:pPr>
        <w:jc w:val="center"/>
        <w:rPr>
          <w:rFonts w:ascii="Times New Roman" w:hAnsi="Times New Roman" w:cs="Times New Roman"/>
          <w:sz w:val="28"/>
          <w:szCs w:val="28"/>
        </w:rPr>
      </w:pPr>
      <w:r w:rsidRPr="00311FCF">
        <w:rPr>
          <w:rFonts w:ascii="Times New Roman" w:hAnsi="Times New Roman" w:cs="Times New Roman"/>
          <w:sz w:val="28"/>
          <w:szCs w:val="28"/>
        </w:rPr>
        <w:t>Marché relatif à l’achat de deux minibus de 9 places de marques variées au profit de l’Ecole Nationale Vétérinaire de Toulouse (ENVT)</w:t>
      </w:r>
    </w:p>
    <w:p w:rsidR="00B56BD5" w:rsidRDefault="00B56BD5" w:rsidP="00B56BD5"/>
    <w:p w:rsidR="00B56BD5" w:rsidRDefault="00B56BD5" w:rsidP="00B56BD5"/>
    <w:p w:rsidR="00B56BD5" w:rsidRDefault="00B56BD5" w:rsidP="00B56BD5"/>
    <w:p w:rsidR="00B56BD5" w:rsidRDefault="00B56BD5" w:rsidP="00B56BD5"/>
    <w:p w:rsidR="00B56BD5" w:rsidRDefault="00B56BD5" w:rsidP="00B56BD5"/>
    <w:p w:rsidR="00B56BD5" w:rsidRDefault="00B56BD5" w:rsidP="00B56BD5"/>
    <w:p w:rsidR="00B56BD5" w:rsidRDefault="00B56BD5" w:rsidP="00B56BD5"/>
    <w:p w:rsidR="00B56BD5" w:rsidRDefault="00B56BD5" w:rsidP="00B56BD5"/>
    <w:p w:rsidR="00B56BD5" w:rsidRDefault="00B56BD5" w:rsidP="00B56BD5"/>
    <w:p w:rsidR="00B56BD5" w:rsidRDefault="00B56BD5" w:rsidP="00B56BD5"/>
    <w:p w:rsidR="00B56BD5" w:rsidRDefault="00B56BD5" w:rsidP="00B56BD5"/>
    <w:p w:rsidR="00B56BD5" w:rsidRPr="00B56BD5" w:rsidRDefault="00B56BD5" w:rsidP="00B56BD5">
      <w:pPr>
        <w:pBdr>
          <w:bottom w:val="single" w:sz="4" w:space="1" w:color="auto"/>
        </w:pBdr>
        <w:rPr>
          <w:color w:val="808080" w:themeColor="background1" w:themeShade="80"/>
          <w:sz w:val="32"/>
          <w:szCs w:val="32"/>
        </w:rPr>
      </w:pPr>
      <w:r w:rsidRPr="00B56BD5">
        <w:rPr>
          <w:color w:val="808080" w:themeColor="background1" w:themeShade="80"/>
          <w:sz w:val="32"/>
          <w:szCs w:val="32"/>
        </w:rPr>
        <w:lastRenderedPageBreak/>
        <w:t>SOMMAIRE</w:t>
      </w:r>
    </w:p>
    <w:p w:rsidR="00B56BD5" w:rsidRDefault="00B56BD5" w:rsidP="00B56BD5">
      <w:pPr>
        <w:jc w:val="both"/>
      </w:pPr>
      <w:r>
        <w:t>ARTICLE 1 - OBJET DU MARCHE ..................................................................................………. 4</w:t>
      </w:r>
    </w:p>
    <w:p w:rsidR="00B56BD5" w:rsidRDefault="00B56BD5" w:rsidP="00B56BD5">
      <w:pPr>
        <w:jc w:val="both"/>
      </w:pPr>
      <w:r>
        <w:t>1.1. Objet ...............................................................................................................................4</w:t>
      </w:r>
    </w:p>
    <w:p w:rsidR="00B56BD5" w:rsidRDefault="00B56BD5" w:rsidP="00B56BD5">
      <w:pPr>
        <w:jc w:val="both"/>
      </w:pPr>
      <w:r>
        <w:t>1.2. Représentation des parties ............................................................................................ 4</w:t>
      </w:r>
    </w:p>
    <w:p w:rsidR="00B56BD5" w:rsidRDefault="00B56BD5" w:rsidP="00B56BD5">
      <w:pPr>
        <w:jc w:val="both"/>
      </w:pPr>
      <w:r>
        <w:t>ARTICLE 2 - DUREE ET RECONDUCTION DU MARCHE ..............................................…………… 4</w:t>
      </w:r>
    </w:p>
    <w:p w:rsidR="00B56BD5" w:rsidRDefault="00B56BD5" w:rsidP="00B56BD5">
      <w:pPr>
        <w:jc w:val="both"/>
      </w:pPr>
      <w:r>
        <w:t>2.1. Durée du marché ............................................................................</w:t>
      </w:r>
      <w:r w:rsidR="00A355C8">
        <w:t>...............................</w:t>
      </w:r>
      <w:r>
        <w:t>. 4</w:t>
      </w:r>
    </w:p>
    <w:p w:rsidR="00B56BD5" w:rsidRDefault="00B56BD5" w:rsidP="00B56BD5">
      <w:r>
        <w:t>ARTICLES 3 - PIECES CONSTITUTIVES DU MARCHE................................</w:t>
      </w:r>
      <w:r w:rsidR="00A355C8">
        <w:t>...............................</w:t>
      </w:r>
      <w:r>
        <w:t>.. 4</w:t>
      </w:r>
    </w:p>
    <w:p w:rsidR="00B56BD5" w:rsidRDefault="00B56BD5" w:rsidP="00B56BD5">
      <w:pPr>
        <w:jc w:val="both"/>
      </w:pPr>
      <w:r>
        <w:t>3.1. Pièces particulières.......................................................................................................... 4</w:t>
      </w:r>
    </w:p>
    <w:p w:rsidR="00B56BD5" w:rsidRDefault="00B56BD5" w:rsidP="00B56BD5">
      <w:pPr>
        <w:jc w:val="both"/>
      </w:pPr>
      <w:r>
        <w:t xml:space="preserve">ARTICLE 4 - FORME DES NOTIFICATIONS ET INFORMATIONS AU TITULAIRE </w:t>
      </w:r>
    </w:p>
    <w:p w:rsidR="00B56BD5" w:rsidRDefault="00B56BD5" w:rsidP="00B56BD5">
      <w:pPr>
        <w:jc w:val="both"/>
      </w:pPr>
      <w:r>
        <w:t>ARTICLE 5 - PRIX - VARIATION DU PRIX .....................................................................</w:t>
      </w:r>
      <w:r w:rsidR="00A355C8">
        <w:t>...........</w:t>
      </w:r>
      <w:r>
        <w:t xml:space="preserve"> 5</w:t>
      </w:r>
    </w:p>
    <w:p w:rsidR="00B56BD5" w:rsidRDefault="00B56BD5" w:rsidP="00B56BD5">
      <w:pPr>
        <w:jc w:val="both"/>
      </w:pPr>
      <w:r>
        <w:t>5.1. Contenu des prix ............................................................................</w:t>
      </w:r>
      <w:r w:rsidR="00A355C8">
        <w:t>...............................</w:t>
      </w:r>
      <w:r>
        <w:t>. 5</w:t>
      </w:r>
    </w:p>
    <w:p w:rsidR="00B56BD5" w:rsidRDefault="00B56BD5" w:rsidP="00B56BD5">
      <w:pPr>
        <w:jc w:val="both"/>
      </w:pPr>
      <w:r>
        <w:t>5.2. Mode d’établissement du prix du marché ..................................................................... 5</w:t>
      </w:r>
    </w:p>
    <w:p w:rsidR="00B56BD5" w:rsidRDefault="00B56BD5" w:rsidP="00B56BD5">
      <w:pPr>
        <w:jc w:val="both"/>
      </w:pPr>
      <w:r>
        <w:t>5.3. Forme du prix ................................................................................</w:t>
      </w:r>
      <w:r w:rsidR="00A355C8">
        <w:t>...............................</w:t>
      </w:r>
      <w:r>
        <w:t>.. 5</w:t>
      </w:r>
    </w:p>
    <w:p w:rsidR="00B56BD5" w:rsidRDefault="00A355C8" w:rsidP="00B56BD5">
      <w:pPr>
        <w:jc w:val="both"/>
      </w:pPr>
      <w:r>
        <w:t xml:space="preserve">ARTICLE 6 - </w:t>
      </w:r>
      <w:r w:rsidR="00B56BD5">
        <w:t>CLAUSE DE SURETE ET DE FINANCEMENT .........................................</w:t>
      </w:r>
      <w:r>
        <w:t>.................</w:t>
      </w:r>
      <w:r w:rsidR="00B56BD5">
        <w:t xml:space="preserve"> 5</w:t>
      </w:r>
    </w:p>
    <w:p w:rsidR="00B56BD5" w:rsidRDefault="00B56BD5" w:rsidP="00B56BD5">
      <w:pPr>
        <w:jc w:val="both"/>
      </w:pPr>
      <w:r>
        <w:t>6.1. Avance ............................................................................................................................. 5</w:t>
      </w:r>
    </w:p>
    <w:p w:rsidR="00B56BD5" w:rsidRDefault="00A355C8" w:rsidP="00B56BD5">
      <w:pPr>
        <w:jc w:val="both"/>
      </w:pPr>
      <w:r>
        <w:t xml:space="preserve">ARTICLE 7 - </w:t>
      </w:r>
      <w:r w:rsidR="00B56BD5">
        <w:t>REGLEMENT DES COMPTES AU TITULAIRE ........................................</w:t>
      </w:r>
      <w:r>
        <w:t>.................</w:t>
      </w:r>
      <w:r w:rsidR="00B56BD5">
        <w:t xml:space="preserve"> 6</w:t>
      </w:r>
    </w:p>
    <w:p w:rsidR="00B56BD5" w:rsidRDefault="00B56BD5" w:rsidP="00B56BD5">
      <w:pPr>
        <w:jc w:val="both"/>
      </w:pPr>
      <w:r>
        <w:t>7.1. Règlement du prix ........................................................................................................... 6</w:t>
      </w:r>
    </w:p>
    <w:p w:rsidR="00B56BD5" w:rsidRDefault="00B56BD5" w:rsidP="00B56BD5">
      <w:pPr>
        <w:jc w:val="both"/>
      </w:pPr>
      <w:r>
        <w:t>7.2. Délais de règlement ........................................................................................................ 6</w:t>
      </w:r>
    </w:p>
    <w:p w:rsidR="00B56BD5" w:rsidRDefault="00B56BD5" w:rsidP="00B56BD5">
      <w:pPr>
        <w:jc w:val="both"/>
      </w:pPr>
      <w:r>
        <w:t>7.3. Intérêts moratoires ........................................................................</w:t>
      </w:r>
      <w:r w:rsidR="00A355C8">
        <w:t>...............................</w:t>
      </w:r>
      <w:r>
        <w:t>.. 6</w:t>
      </w:r>
    </w:p>
    <w:p w:rsidR="00B56BD5" w:rsidRDefault="00B56BD5" w:rsidP="00B56BD5">
      <w:pPr>
        <w:jc w:val="both"/>
      </w:pPr>
      <w:r>
        <w:t>7.4. Règlement en cas de cotraitants....................................................................................</w:t>
      </w:r>
      <w:r w:rsidR="00A355C8">
        <w:t>.</w:t>
      </w:r>
      <w:r>
        <w:t xml:space="preserve"> 6</w:t>
      </w:r>
    </w:p>
    <w:p w:rsidR="00B56BD5" w:rsidRDefault="00B56BD5" w:rsidP="00B56BD5">
      <w:pPr>
        <w:jc w:val="both"/>
      </w:pPr>
      <w:r>
        <w:t>7.5. Présentation des factures au format dématérialisé .....................................................</w:t>
      </w:r>
      <w:r w:rsidR="00A355C8">
        <w:t>.</w:t>
      </w:r>
      <w:r>
        <w:t>. 7</w:t>
      </w:r>
    </w:p>
    <w:p w:rsidR="00B56BD5" w:rsidRDefault="00A355C8" w:rsidP="00B56BD5">
      <w:pPr>
        <w:jc w:val="both"/>
      </w:pPr>
      <w:r>
        <w:t xml:space="preserve">ARTICLE 8 - </w:t>
      </w:r>
      <w:r w:rsidR="00B56BD5">
        <w:t>MODALITES D’EXECUTION DU MARCHE ..............................................</w:t>
      </w:r>
      <w:r>
        <w:t>...............</w:t>
      </w:r>
      <w:r w:rsidR="00B56BD5">
        <w:t xml:space="preserve"> 7</w:t>
      </w:r>
    </w:p>
    <w:p w:rsidR="00B56BD5" w:rsidRDefault="00B56BD5" w:rsidP="00B56BD5">
      <w:pPr>
        <w:jc w:val="both"/>
      </w:pPr>
      <w:r>
        <w:t>8.1. Protection de la main d'œuvre et conditions de travail ................................................</w:t>
      </w:r>
      <w:r w:rsidR="00A355C8">
        <w:t>.</w:t>
      </w:r>
      <w:r>
        <w:t xml:space="preserve"> 7</w:t>
      </w:r>
    </w:p>
    <w:p w:rsidR="00B56BD5" w:rsidRDefault="00B56BD5" w:rsidP="00B56BD5">
      <w:pPr>
        <w:jc w:val="both"/>
      </w:pPr>
      <w:r>
        <w:t>8.2. Conditions de livraison .................................................................................................</w:t>
      </w:r>
      <w:r w:rsidR="00A355C8">
        <w:t>.</w:t>
      </w:r>
      <w:r>
        <w:t>.. 7</w:t>
      </w:r>
    </w:p>
    <w:p w:rsidR="00B56BD5" w:rsidRDefault="00B56BD5" w:rsidP="00B56BD5">
      <w:pPr>
        <w:jc w:val="both"/>
      </w:pPr>
      <w:r>
        <w:t>8.3. Documents fournis après exécution ............................................................................</w:t>
      </w:r>
      <w:r w:rsidR="00A355C8">
        <w:t>.</w:t>
      </w:r>
      <w:r>
        <w:t>.. 8</w:t>
      </w:r>
    </w:p>
    <w:p w:rsidR="00B56BD5" w:rsidRDefault="00A355C8" w:rsidP="00B56BD5">
      <w:pPr>
        <w:jc w:val="both"/>
      </w:pPr>
      <w:r>
        <w:t xml:space="preserve">ARTICLE 9 - </w:t>
      </w:r>
      <w:r w:rsidR="00B56BD5">
        <w:t>PENALITES / PRIMES ..............................................................................</w:t>
      </w:r>
      <w:r>
        <w:t>............</w:t>
      </w:r>
      <w:r w:rsidR="00B56BD5">
        <w:t>. 8</w:t>
      </w:r>
    </w:p>
    <w:p w:rsidR="00B56BD5" w:rsidRDefault="00B56BD5" w:rsidP="00B56BD5">
      <w:pPr>
        <w:jc w:val="both"/>
      </w:pPr>
      <w:r>
        <w:t>9.1. Pénalités pour retard dans l'exécution des prestations .............................................</w:t>
      </w:r>
      <w:r w:rsidR="00A355C8">
        <w:t>..</w:t>
      </w:r>
      <w:r>
        <w:t>.. 8</w:t>
      </w:r>
    </w:p>
    <w:p w:rsidR="00B56BD5" w:rsidRDefault="00B56BD5" w:rsidP="00B56BD5">
      <w:pPr>
        <w:jc w:val="both"/>
      </w:pPr>
      <w:r>
        <w:t>9.2. Pénalités pour retard dans la remise de documents ..................................................</w:t>
      </w:r>
      <w:r w:rsidR="00A355C8">
        <w:t>..</w:t>
      </w:r>
      <w:r>
        <w:t>.. 8</w:t>
      </w:r>
    </w:p>
    <w:p w:rsidR="00B56BD5" w:rsidRDefault="00A355C8" w:rsidP="00B56BD5">
      <w:pPr>
        <w:jc w:val="both"/>
      </w:pPr>
      <w:r>
        <w:t xml:space="preserve">ARTCIEL 10 - </w:t>
      </w:r>
      <w:r w:rsidR="00B56BD5">
        <w:t>ASSURANCES</w:t>
      </w:r>
    </w:p>
    <w:p w:rsidR="00B56BD5" w:rsidRDefault="00A355C8" w:rsidP="00B56BD5">
      <w:r>
        <w:t xml:space="preserve">ARTICLE 11 - </w:t>
      </w:r>
      <w:r w:rsidR="00B56BD5">
        <w:t>LITIGES ......................................................................................................</w:t>
      </w:r>
      <w:r>
        <w:t>.........</w:t>
      </w:r>
      <w:r w:rsidR="00B56BD5">
        <w:t xml:space="preserve"> 8</w:t>
      </w:r>
    </w:p>
    <w:p w:rsidR="00B56BD5" w:rsidRDefault="00A355C8" w:rsidP="00B56BD5">
      <w:r>
        <w:t xml:space="preserve">ARTICLE 12 - </w:t>
      </w:r>
      <w:r w:rsidR="00B56BD5">
        <w:t>RESILIATION DU MARCHE ......................................................................</w:t>
      </w:r>
      <w:r>
        <w:t>............</w:t>
      </w:r>
      <w:r w:rsidR="00B56BD5">
        <w:t xml:space="preserve"> 9</w:t>
      </w:r>
    </w:p>
    <w:p w:rsidR="00B56BD5" w:rsidRDefault="00B56BD5" w:rsidP="00B56BD5">
      <w:r>
        <w:lastRenderedPageBreak/>
        <w:t>12.1. Résiliation pour motif d’</w:t>
      </w:r>
      <w:r w:rsidR="00A355C8">
        <w:t>intérêt</w:t>
      </w:r>
      <w:r>
        <w:t xml:space="preserve"> général ......................................................................... 9</w:t>
      </w:r>
    </w:p>
    <w:p w:rsidR="00B56BD5" w:rsidRDefault="00B56BD5" w:rsidP="00B56BD5">
      <w:r>
        <w:t>12.2. Résiliation du marché aux torts du titulaire ..................................................................</w:t>
      </w:r>
      <w:r w:rsidR="00A355C8">
        <w:t>.</w:t>
      </w:r>
      <w:r>
        <w:t xml:space="preserve"> 9</w:t>
      </w:r>
    </w:p>
    <w:p w:rsidR="00B56BD5" w:rsidRDefault="00A355C8" w:rsidP="00B56BD5">
      <w:r>
        <w:t xml:space="preserve">ARTICLE 13 - </w:t>
      </w:r>
      <w:r w:rsidR="00B56BD5">
        <w:t>CLAUSES DE REEXAMEN .......................................................................</w:t>
      </w:r>
      <w:r>
        <w:t>..............</w:t>
      </w:r>
      <w:r w:rsidR="00B56BD5">
        <w:t xml:space="preserve"> 9</w:t>
      </w:r>
    </w:p>
    <w:p w:rsidR="00B56BD5" w:rsidRDefault="00B56BD5" w:rsidP="00B56BD5">
      <w:r>
        <w:t>13.1. Remplacement du titulaire initial par un nouveau titulaire en cours</w:t>
      </w:r>
      <w:r w:rsidR="00A355C8">
        <w:t xml:space="preserve"> d’exécution </w:t>
      </w:r>
      <w:r>
        <w:t>...</w:t>
      </w:r>
      <w:r w:rsidR="00A355C8">
        <w:t>.....</w:t>
      </w:r>
      <w:r>
        <w:t>. 9</w:t>
      </w:r>
    </w:p>
    <w:p w:rsidR="00B56BD5" w:rsidRDefault="00B56BD5" w:rsidP="00B56BD5">
      <w:r>
        <w:t>13.2. Remplacement du mandataire du groupement en cours d’exécution.......................</w:t>
      </w:r>
      <w:r w:rsidR="00A355C8">
        <w:t>....</w:t>
      </w:r>
      <w:r>
        <w:t xml:space="preserve"> 10</w:t>
      </w:r>
    </w:p>
    <w:p w:rsidR="00B56BD5" w:rsidRDefault="00A355C8" w:rsidP="00B56BD5">
      <w:r>
        <w:t xml:space="preserve">ARTCIEL 14 - </w:t>
      </w:r>
      <w:r w:rsidR="00B56BD5">
        <w:t>REGLEMENT DES DIFFERENDS ET DES LITIGES ..............................</w:t>
      </w:r>
      <w:r>
        <w:t>.....................</w:t>
      </w:r>
      <w:r w:rsidR="00B56BD5">
        <w:t xml:space="preserve"> 10</w:t>
      </w:r>
    </w:p>
    <w:p w:rsidR="00B56BD5" w:rsidRDefault="00A355C8" w:rsidP="00B56BD5">
      <w:r>
        <w:t xml:space="preserve">ARTICLE 15 - </w:t>
      </w:r>
      <w:r w:rsidR="00B56BD5">
        <w:t>DEROGATIONS AUX DOCUMENTS GENERAUXCCAP</w:t>
      </w:r>
      <w:r>
        <w:t xml:space="preserve"> ………………………………………..10</w:t>
      </w:r>
    </w:p>
    <w:p w:rsidR="00A355C8" w:rsidRDefault="00A355C8" w:rsidP="00B56BD5"/>
    <w:p w:rsidR="00A355C8" w:rsidRDefault="00A355C8" w:rsidP="00B56BD5"/>
    <w:p w:rsidR="00A355C8" w:rsidRDefault="00A355C8" w:rsidP="00B56BD5"/>
    <w:p w:rsidR="00A355C8" w:rsidRDefault="00A355C8" w:rsidP="00B56BD5"/>
    <w:p w:rsidR="00A355C8" w:rsidRDefault="00A355C8" w:rsidP="00B56BD5"/>
    <w:p w:rsidR="00A355C8" w:rsidRDefault="00A355C8" w:rsidP="00B56BD5"/>
    <w:p w:rsidR="00A355C8" w:rsidRDefault="00A355C8" w:rsidP="00B56BD5"/>
    <w:p w:rsidR="00A355C8" w:rsidRDefault="00A355C8" w:rsidP="00B56BD5"/>
    <w:p w:rsidR="00A355C8" w:rsidRDefault="00A355C8" w:rsidP="00B56BD5"/>
    <w:p w:rsidR="00A355C8" w:rsidRDefault="00A355C8" w:rsidP="00B56BD5"/>
    <w:p w:rsidR="00A355C8" w:rsidRDefault="00A355C8" w:rsidP="00B56BD5"/>
    <w:p w:rsidR="00A355C8" w:rsidRDefault="00A355C8" w:rsidP="00B56BD5"/>
    <w:p w:rsidR="00A355C8" w:rsidRDefault="00A355C8" w:rsidP="00B56BD5"/>
    <w:p w:rsidR="00A355C8" w:rsidRDefault="00A355C8" w:rsidP="00B56BD5"/>
    <w:p w:rsidR="00A355C8" w:rsidRDefault="00A355C8" w:rsidP="00B56BD5"/>
    <w:p w:rsidR="00A355C8" w:rsidRDefault="00A355C8" w:rsidP="00B56BD5"/>
    <w:p w:rsidR="00A355C8" w:rsidRDefault="00A355C8" w:rsidP="00B56BD5"/>
    <w:p w:rsidR="00A355C8" w:rsidRDefault="00A355C8" w:rsidP="00B56BD5"/>
    <w:p w:rsidR="00A355C8" w:rsidRDefault="00A355C8" w:rsidP="00B56BD5"/>
    <w:p w:rsidR="00A355C8" w:rsidRDefault="00A355C8" w:rsidP="00B56BD5"/>
    <w:p w:rsidR="00A355C8" w:rsidRDefault="00A355C8" w:rsidP="00B56BD5"/>
    <w:p w:rsidR="00F80E4A" w:rsidRDefault="00F80E4A" w:rsidP="00B56BD5"/>
    <w:p w:rsidR="00F80E4A" w:rsidRDefault="00F80E4A" w:rsidP="00B56BD5"/>
    <w:p w:rsidR="00A355C8" w:rsidRDefault="00A355C8" w:rsidP="00B56BD5"/>
    <w:p w:rsidR="00B56BD5" w:rsidRPr="00307F84" w:rsidRDefault="00307F84" w:rsidP="00307F84">
      <w:pPr>
        <w:shd w:val="clear" w:color="auto" w:fill="BFBFBF" w:themeFill="background1" w:themeFillShade="BF"/>
        <w:jc w:val="center"/>
        <w:rPr>
          <w:b/>
        </w:rPr>
      </w:pPr>
      <w:r w:rsidRPr="00307F84">
        <w:rPr>
          <w:b/>
        </w:rPr>
        <w:lastRenderedPageBreak/>
        <w:t>ARTICLE 1 -  OBJET DU MARCHE</w:t>
      </w:r>
    </w:p>
    <w:p w:rsidR="00307F84" w:rsidRPr="00307F84" w:rsidRDefault="00307F84" w:rsidP="002A3CA7">
      <w:pPr>
        <w:spacing w:line="240" w:lineRule="auto"/>
        <w:jc w:val="both"/>
        <w:rPr>
          <w:b/>
          <w:sz w:val="28"/>
          <w:szCs w:val="28"/>
          <w:u w:val="single"/>
        </w:rPr>
      </w:pPr>
      <w:r w:rsidRPr="00307F84">
        <w:rPr>
          <w:b/>
          <w:sz w:val="28"/>
          <w:szCs w:val="28"/>
          <w:u w:val="single"/>
        </w:rPr>
        <w:t xml:space="preserve">1.1 Objet </w:t>
      </w:r>
    </w:p>
    <w:p w:rsidR="00B56BD5" w:rsidRDefault="00B56BD5" w:rsidP="002A3CA7">
      <w:pPr>
        <w:spacing w:line="240" w:lineRule="auto"/>
        <w:jc w:val="both"/>
      </w:pPr>
      <w:r>
        <w:t>Le marché régi par le présent Cahier des Clauses Administratives Particulières a pour o</w:t>
      </w:r>
      <w:r w:rsidR="00307F84">
        <w:t>bjet l’acquisition de deux minibus 9 places au profit de l’ENVT</w:t>
      </w:r>
      <w:r>
        <w:t>. Le marché n'est pas alloti.</w:t>
      </w:r>
    </w:p>
    <w:p w:rsidR="00B56BD5" w:rsidRDefault="00B56BD5" w:rsidP="002A3CA7">
      <w:pPr>
        <w:spacing w:line="240" w:lineRule="auto"/>
        <w:jc w:val="both"/>
      </w:pPr>
      <w:r>
        <w:t>La description des fournitures et leurs spécifications techniques sont définies dans Le CCTP.</w:t>
      </w:r>
    </w:p>
    <w:p w:rsidR="00B56BD5" w:rsidRPr="00307F84" w:rsidRDefault="00B56BD5" w:rsidP="002A3CA7">
      <w:pPr>
        <w:spacing w:line="240" w:lineRule="auto"/>
        <w:jc w:val="both"/>
        <w:rPr>
          <w:b/>
          <w:sz w:val="28"/>
          <w:szCs w:val="28"/>
          <w:u w:val="single"/>
        </w:rPr>
      </w:pPr>
      <w:r w:rsidRPr="00307F84">
        <w:rPr>
          <w:b/>
          <w:sz w:val="28"/>
          <w:szCs w:val="28"/>
          <w:u w:val="single"/>
        </w:rPr>
        <w:t>1.2. Représentation des parties</w:t>
      </w:r>
    </w:p>
    <w:p w:rsidR="00B56BD5" w:rsidRDefault="00B56BD5" w:rsidP="002A3CA7">
      <w:pPr>
        <w:spacing w:line="240" w:lineRule="auto"/>
        <w:jc w:val="both"/>
      </w:pPr>
      <w:r w:rsidRPr="00F65F9F">
        <w:t>Conformément aux articles 3.3 et 3.4.1 du CCAG FCS, d</w:t>
      </w:r>
      <w:r>
        <w:t>ès la notification du march</w:t>
      </w:r>
      <w:r w:rsidR="00307F84">
        <w:t xml:space="preserve">é, le titulaire et le </w:t>
      </w:r>
      <w:r w:rsidR="00307F84" w:rsidRPr="00A14837">
        <w:rPr>
          <w:color w:val="000000" w:themeColor="text1"/>
        </w:rPr>
        <w:t xml:space="preserve">maître de </w:t>
      </w:r>
      <w:r w:rsidRPr="00A14837">
        <w:rPr>
          <w:color w:val="000000" w:themeColor="text1"/>
        </w:rPr>
        <w:t xml:space="preserve">l'ouvrage </w:t>
      </w:r>
      <w:r>
        <w:t>désignent une personne physique, habilitée à les représenter pour les besoi</w:t>
      </w:r>
      <w:r w:rsidR="00307F84">
        <w:t xml:space="preserve">ns de l’exécution du marché et </w:t>
      </w:r>
      <w:r>
        <w:t>notifie cette désignation au maître de l'ouvrage ou au titulaire du marché.</w:t>
      </w:r>
    </w:p>
    <w:p w:rsidR="00B56BD5" w:rsidRDefault="00B56BD5" w:rsidP="002A3CA7">
      <w:pPr>
        <w:spacing w:line="240" w:lineRule="auto"/>
        <w:jc w:val="both"/>
      </w:pPr>
      <w:r>
        <w:t>En l'attente de cette désignation éventuelle et à défaut, les personnes physiques sig</w:t>
      </w:r>
      <w:r w:rsidR="00307F84">
        <w:t xml:space="preserve">nataires de l'acte d'engagement </w:t>
      </w:r>
      <w:r>
        <w:t>sont seules habilitées à les engager.</w:t>
      </w:r>
    </w:p>
    <w:p w:rsidR="00B56BD5" w:rsidRDefault="00B56BD5" w:rsidP="002A3CA7">
      <w:pPr>
        <w:spacing w:line="240" w:lineRule="auto"/>
        <w:jc w:val="both"/>
      </w:pPr>
      <w:r>
        <w:t>D’autres personnes physiques peuvent être habilitées par le titulaire et le maître de l'</w:t>
      </w:r>
      <w:r w:rsidR="00307F84">
        <w:t xml:space="preserve">ouvrage en cours d’exécution du </w:t>
      </w:r>
      <w:r>
        <w:t>marché.</w:t>
      </w:r>
    </w:p>
    <w:p w:rsidR="00307F84" w:rsidRPr="00307F84" w:rsidRDefault="00307F84" w:rsidP="002A3CA7">
      <w:pPr>
        <w:shd w:val="clear" w:color="auto" w:fill="BFBFBF" w:themeFill="background1" w:themeFillShade="BF"/>
        <w:spacing w:line="240" w:lineRule="auto"/>
        <w:jc w:val="both"/>
        <w:rPr>
          <w:b/>
        </w:rPr>
      </w:pPr>
      <w:r>
        <w:rPr>
          <w:b/>
        </w:rPr>
        <w:t xml:space="preserve">ARTICLE </w:t>
      </w:r>
      <w:r w:rsidR="00BB648D">
        <w:rPr>
          <w:b/>
        </w:rPr>
        <w:t>2</w:t>
      </w:r>
      <w:r w:rsidRPr="00307F84">
        <w:rPr>
          <w:b/>
        </w:rPr>
        <w:t xml:space="preserve"> -  </w:t>
      </w:r>
      <w:r w:rsidR="00BB648D">
        <w:rPr>
          <w:b/>
        </w:rPr>
        <w:t>DUREE ET RECONDUCTION DU MARCHE</w:t>
      </w:r>
    </w:p>
    <w:p w:rsidR="00B56BD5" w:rsidRPr="00BB648D" w:rsidRDefault="00B56BD5" w:rsidP="002A3CA7">
      <w:pPr>
        <w:spacing w:line="240" w:lineRule="auto"/>
        <w:jc w:val="both"/>
        <w:rPr>
          <w:b/>
          <w:sz w:val="28"/>
          <w:szCs w:val="28"/>
          <w:u w:val="single"/>
        </w:rPr>
      </w:pPr>
      <w:r w:rsidRPr="00BB648D">
        <w:rPr>
          <w:b/>
          <w:sz w:val="28"/>
          <w:szCs w:val="28"/>
          <w:u w:val="single"/>
        </w:rPr>
        <w:t>2.1. Durée du marché</w:t>
      </w:r>
    </w:p>
    <w:p w:rsidR="00B56BD5" w:rsidRDefault="00B56BD5" w:rsidP="002A3CA7">
      <w:pPr>
        <w:spacing w:line="240" w:lineRule="auto"/>
        <w:jc w:val="both"/>
      </w:pPr>
      <w:r>
        <w:t>La durée du marché est définie à l'article B4 de l'acte de d'engagement.</w:t>
      </w:r>
    </w:p>
    <w:p w:rsidR="00BB648D" w:rsidRPr="00307F84" w:rsidRDefault="00BB648D" w:rsidP="002A3CA7">
      <w:pPr>
        <w:shd w:val="clear" w:color="auto" w:fill="BFBFBF" w:themeFill="background1" w:themeFillShade="BF"/>
        <w:spacing w:line="240" w:lineRule="auto"/>
        <w:jc w:val="both"/>
        <w:rPr>
          <w:b/>
        </w:rPr>
      </w:pPr>
      <w:r>
        <w:rPr>
          <w:b/>
        </w:rPr>
        <w:t>ARTICLE 3</w:t>
      </w:r>
      <w:r w:rsidRPr="00307F84">
        <w:rPr>
          <w:b/>
        </w:rPr>
        <w:t xml:space="preserve"> -  </w:t>
      </w:r>
      <w:r>
        <w:rPr>
          <w:b/>
        </w:rPr>
        <w:t>PIECE</w:t>
      </w:r>
      <w:r w:rsidR="00DF0ACD">
        <w:rPr>
          <w:b/>
        </w:rPr>
        <w:t>S</w:t>
      </w:r>
      <w:r>
        <w:rPr>
          <w:b/>
        </w:rPr>
        <w:t xml:space="preserve"> CONSTITUTIVE</w:t>
      </w:r>
      <w:r w:rsidR="00DF0ACD">
        <w:rPr>
          <w:b/>
        </w:rPr>
        <w:t>S</w:t>
      </w:r>
      <w:r>
        <w:rPr>
          <w:b/>
        </w:rPr>
        <w:t xml:space="preserve"> DU MARCHE</w:t>
      </w:r>
    </w:p>
    <w:p w:rsidR="00B56BD5" w:rsidRDefault="00B56BD5" w:rsidP="002A3CA7">
      <w:pPr>
        <w:spacing w:line="240" w:lineRule="auto"/>
        <w:jc w:val="both"/>
      </w:pPr>
      <w:r>
        <w:t>Le marché est constitué par les documents contractuels énumérés ci-dessous par ordre de priorité décroissante.</w:t>
      </w:r>
    </w:p>
    <w:p w:rsidR="00B56BD5" w:rsidRPr="00BB648D" w:rsidRDefault="00B56BD5" w:rsidP="002A3CA7">
      <w:pPr>
        <w:spacing w:line="240" w:lineRule="auto"/>
        <w:jc w:val="both"/>
        <w:rPr>
          <w:b/>
          <w:sz w:val="28"/>
          <w:szCs w:val="28"/>
          <w:u w:val="single"/>
        </w:rPr>
      </w:pPr>
      <w:r w:rsidRPr="00BB648D">
        <w:rPr>
          <w:b/>
          <w:sz w:val="28"/>
          <w:szCs w:val="28"/>
          <w:u w:val="single"/>
        </w:rPr>
        <w:t>3.1. Pièces particulières</w:t>
      </w:r>
    </w:p>
    <w:p w:rsidR="00B56BD5" w:rsidRDefault="00B56BD5" w:rsidP="002A3CA7">
      <w:pPr>
        <w:spacing w:line="240" w:lineRule="auto"/>
        <w:jc w:val="both"/>
      </w:pPr>
      <w:r>
        <w:t xml:space="preserve">Par dérogation à l'article 4.1 du CCAG FCS, les pièces contractuelles particulières et </w:t>
      </w:r>
      <w:r w:rsidR="00BB648D">
        <w:t xml:space="preserve">leur ordre de priorité sont les </w:t>
      </w:r>
      <w:r>
        <w:t>suivants :</w:t>
      </w:r>
    </w:p>
    <w:p w:rsidR="00C53D9B" w:rsidRDefault="00B56BD5" w:rsidP="006D2DB3">
      <w:pPr>
        <w:pStyle w:val="Paragraphedeliste"/>
        <w:numPr>
          <w:ilvl w:val="0"/>
          <w:numId w:val="1"/>
        </w:numPr>
        <w:spacing w:line="240" w:lineRule="auto"/>
        <w:jc w:val="both"/>
      </w:pPr>
      <w:r>
        <w:t>L’acte d’en</w:t>
      </w:r>
      <w:r w:rsidR="00BB648D">
        <w:t xml:space="preserve">gagement </w:t>
      </w:r>
    </w:p>
    <w:p w:rsidR="00BB648D" w:rsidRDefault="00BB648D" w:rsidP="006D2DB3">
      <w:pPr>
        <w:pStyle w:val="Paragraphedeliste"/>
        <w:numPr>
          <w:ilvl w:val="0"/>
          <w:numId w:val="1"/>
        </w:numPr>
        <w:spacing w:line="240" w:lineRule="auto"/>
        <w:jc w:val="both"/>
      </w:pPr>
      <w:r>
        <w:t>Le présent Cahier des Clauses Administr</w:t>
      </w:r>
      <w:r w:rsidR="00F76A2C">
        <w:t>at</w:t>
      </w:r>
      <w:r>
        <w:t xml:space="preserve">ives Particulières (C.C.A.P) </w:t>
      </w:r>
    </w:p>
    <w:p w:rsidR="00BB648D" w:rsidRDefault="00BB648D" w:rsidP="002A3CA7">
      <w:pPr>
        <w:pStyle w:val="Paragraphedeliste"/>
        <w:numPr>
          <w:ilvl w:val="0"/>
          <w:numId w:val="1"/>
        </w:numPr>
        <w:spacing w:line="240" w:lineRule="auto"/>
        <w:jc w:val="both"/>
      </w:pPr>
      <w:r>
        <w:t xml:space="preserve">Cahier des Clauses Techniques Particulières </w:t>
      </w:r>
      <w:r w:rsidR="00C53D9B">
        <w:t xml:space="preserve">et ses annexes </w:t>
      </w:r>
      <w:r>
        <w:t>(C.C.T.P)</w:t>
      </w:r>
    </w:p>
    <w:p w:rsidR="00BB111B" w:rsidRDefault="00BB111B" w:rsidP="002A3CA7">
      <w:pPr>
        <w:pStyle w:val="Paragraphedeliste"/>
        <w:numPr>
          <w:ilvl w:val="0"/>
          <w:numId w:val="1"/>
        </w:numPr>
        <w:spacing w:line="240" w:lineRule="auto"/>
        <w:jc w:val="both"/>
      </w:pPr>
      <w:r>
        <w:t>Le cahier des clauses administratives générales (CCAG)</w:t>
      </w:r>
    </w:p>
    <w:p w:rsidR="00BB648D" w:rsidRDefault="00BB648D" w:rsidP="002A3CA7">
      <w:pPr>
        <w:pStyle w:val="Paragraphedeliste"/>
        <w:numPr>
          <w:ilvl w:val="0"/>
          <w:numId w:val="1"/>
        </w:numPr>
        <w:spacing w:line="240" w:lineRule="auto"/>
        <w:jc w:val="both"/>
      </w:pPr>
      <w:r>
        <w:t>Le Cadre de réponse technique (CRT).</w:t>
      </w:r>
      <w:bookmarkStart w:id="0" w:name="_GoBack"/>
      <w:bookmarkEnd w:id="0"/>
    </w:p>
    <w:p w:rsidR="00B56BD5" w:rsidRDefault="00B56BD5" w:rsidP="002A3CA7">
      <w:pPr>
        <w:spacing w:line="240" w:lineRule="auto"/>
        <w:jc w:val="both"/>
      </w:pPr>
      <w:r>
        <w:t>En cas de contradiction entre les pièces ci-dessus, celles-ci prévalent dans l’ordre de priorité indiqué ci-dessus.</w:t>
      </w:r>
    </w:p>
    <w:p w:rsidR="00BB648D" w:rsidRPr="00307F84" w:rsidRDefault="00BB648D" w:rsidP="002A3CA7">
      <w:pPr>
        <w:shd w:val="clear" w:color="auto" w:fill="BFBFBF" w:themeFill="background1" w:themeFillShade="BF"/>
        <w:spacing w:line="240" w:lineRule="auto"/>
        <w:jc w:val="both"/>
        <w:rPr>
          <w:b/>
        </w:rPr>
      </w:pPr>
      <w:r>
        <w:rPr>
          <w:b/>
        </w:rPr>
        <w:t>ARTICLE 4</w:t>
      </w:r>
      <w:r w:rsidRPr="00307F84">
        <w:rPr>
          <w:b/>
        </w:rPr>
        <w:t xml:space="preserve"> -  </w:t>
      </w:r>
      <w:r>
        <w:rPr>
          <w:b/>
        </w:rPr>
        <w:t>FORME DES NOTIFICATIONS ET INFORMATIONS AU TITULAIRE</w:t>
      </w:r>
    </w:p>
    <w:p w:rsidR="00B56BD5" w:rsidRDefault="00B56BD5" w:rsidP="002A3CA7">
      <w:pPr>
        <w:spacing w:line="240" w:lineRule="auto"/>
        <w:jc w:val="both"/>
      </w:pPr>
      <w:r>
        <w:t>Pour les</w:t>
      </w:r>
      <w:r w:rsidR="00F76A2C">
        <w:t xml:space="preserve"> notifications au titulaire de c</w:t>
      </w:r>
      <w:r>
        <w:t>es décisions ou informations qui font courir un dél</w:t>
      </w:r>
      <w:r w:rsidR="00BB648D">
        <w:t xml:space="preserve">ai, le maître d’ouvrage prévoit </w:t>
      </w:r>
      <w:r>
        <w:t>d'utiliser la ou les formes suivantes qui permettent d'attester de la date et l'heure de leur réception : Profil acheteur.</w:t>
      </w:r>
    </w:p>
    <w:p w:rsidR="00BB648D" w:rsidRDefault="00B56BD5" w:rsidP="002A3CA7">
      <w:pPr>
        <w:spacing w:line="240" w:lineRule="auto"/>
        <w:jc w:val="both"/>
      </w:pPr>
      <w:r>
        <w:t>Les notifications sont faites à l’adresse du titulaire mentionnée dans l'acte d'engagement ou, à défaut, à son siège</w:t>
      </w:r>
      <w:r w:rsidR="00BB648D">
        <w:t xml:space="preserve"> </w:t>
      </w:r>
      <w:r>
        <w:t>social.</w:t>
      </w:r>
    </w:p>
    <w:p w:rsidR="002A3CA7" w:rsidRDefault="002A3CA7" w:rsidP="002A3CA7">
      <w:pPr>
        <w:spacing w:line="240" w:lineRule="auto"/>
        <w:jc w:val="both"/>
      </w:pPr>
    </w:p>
    <w:p w:rsidR="00F76A2C" w:rsidRDefault="00F76A2C" w:rsidP="002A3CA7">
      <w:pPr>
        <w:spacing w:line="240" w:lineRule="auto"/>
        <w:jc w:val="both"/>
      </w:pPr>
    </w:p>
    <w:p w:rsidR="002A3CA7" w:rsidRDefault="002A3CA7" w:rsidP="002A3CA7">
      <w:pPr>
        <w:spacing w:line="240" w:lineRule="auto"/>
        <w:jc w:val="both"/>
      </w:pPr>
    </w:p>
    <w:p w:rsidR="002A3CA7" w:rsidRPr="002A3CA7" w:rsidRDefault="00BB648D" w:rsidP="002A3CA7">
      <w:pPr>
        <w:shd w:val="clear" w:color="auto" w:fill="BFBFBF" w:themeFill="background1" w:themeFillShade="BF"/>
        <w:spacing w:line="240" w:lineRule="auto"/>
        <w:jc w:val="both"/>
        <w:rPr>
          <w:b/>
        </w:rPr>
      </w:pPr>
      <w:r>
        <w:rPr>
          <w:b/>
        </w:rPr>
        <w:t>ARTICLE 5</w:t>
      </w:r>
      <w:r w:rsidRPr="00307F84">
        <w:rPr>
          <w:b/>
        </w:rPr>
        <w:t xml:space="preserve"> -  </w:t>
      </w:r>
      <w:r w:rsidR="00F65F9F">
        <w:rPr>
          <w:b/>
        </w:rPr>
        <w:t>PRIX – VAR</w:t>
      </w:r>
      <w:r>
        <w:rPr>
          <w:b/>
        </w:rPr>
        <w:t>I</w:t>
      </w:r>
      <w:r w:rsidR="00F65F9F">
        <w:rPr>
          <w:b/>
        </w:rPr>
        <w:t>AT</w:t>
      </w:r>
      <w:r>
        <w:rPr>
          <w:b/>
        </w:rPr>
        <w:t>ION DE</w:t>
      </w:r>
      <w:r w:rsidR="00F65F9F">
        <w:rPr>
          <w:b/>
        </w:rPr>
        <w:t>S</w:t>
      </w:r>
      <w:r>
        <w:rPr>
          <w:b/>
        </w:rPr>
        <w:t xml:space="preserve"> PRIX</w:t>
      </w:r>
    </w:p>
    <w:p w:rsidR="00B56BD5" w:rsidRPr="00BB648D" w:rsidRDefault="00B56BD5" w:rsidP="002A3CA7">
      <w:pPr>
        <w:spacing w:line="240" w:lineRule="auto"/>
        <w:jc w:val="both"/>
        <w:rPr>
          <w:b/>
          <w:sz w:val="28"/>
          <w:szCs w:val="28"/>
          <w:u w:val="single"/>
        </w:rPr>
      </w:pPr>
      <w:r w:rsidRPr="00BB648D">
        <w:rPr>
          <w:b/>
          <w:sz w:val="28"/>
          <w:szCs w:val="28"/>
          <w:u w:val="single"/>
        </w:rPr>
        <w:t>5.1. Contenu des prix</w:t>
      </w:r>
    </w:p>
    <w:p w:rsidR="00B56BD5" w:rsidRDefault="00B56BD5" w:rsidP="002A3CA7">
      <w:pPr>
        <w:spacing w:line="240" w:lineRule="auto"/>
        <w:jc w:val="both"/>
      </w:pPr>
      <w:r>
        <w:t>Les prix sont réputés complets.</w:t>
      </w:r>
    </w:p>
    <w:p w:rsidR="00B56BD5" w:rsidRDefault="00B56BD5" w:rsidP="002A3CA7">
      <w:pPr>
        <w:spacing w:line="240" w:lineRule="auto"/>
        <w:jc w:val="both"/>
      </w:pPr>
      <w:r>
        <w:t>Ils comprennent notamment toutes les charges fiscales, parafiscales, ou autres frappant</w:t>
      </w:r>
      <w:r w:rsidR="00F32157">
        <w:t xml:space="preserve"> obligatoirement la prestation. </w:t>
      </w:r>
      <w:r>
        <w:t>Ils comprennent également toutes les taxes, droits, octroi de mer, frais divers, assura</w:t>
      </w:r>
      <w:r w:rsidR="00F32157">
        <w:t xml:space="preserve">nces, etc…liées au transport et </w:t>
      </w:r>
      <w:r>
        <w:t>à la livraison.</w:t>
      </w:r>
    </w:p>
    <w:p w:rsidR="00B56BD5" w:rsidRDefault="00B56BD5" w:rsidP="002A3CA7">
      <w:pPr>
        <w:spacing w:line="240" w:lineRule="auto"/>
        <w:jc w:val="both"/>
      </w:pPr>
      <w:r>
        <w:t xml:space="preserve">En </w:t>
      </w:r>
      <w:r w:rsidRPr="00DF0ACD">
        <w:t>complément de l’article 10.1.3 du CCAG FCS</w:t>
      </w:r>
      <w:r>
        <w:t>, les précisions suivantes sont appo</w:t>
      </w:r>
      <w:r w:rsidR="00F32157">
        <w:t xml:space="preserve">rtées en matière de contenu des </w:t>
      </w:r>
      <w:r>
        <w:t>prix dans le cadre de marchés conclus en groupement :</w:t>
      </w:r>
    </w:p>
    <w:p w:rsidR="00B56BD5" w:rsidRDefault="00B56BD5" w:rsidP="002A3CA7">
      <w:pPr>
        <w:spacing w:line="240" w:lineRule="auto"/>
        <w:jc w:val="both"/>
      </w:pPr>
      <w:r>
        <w:t>En cas de cotraitance conjointe ou solidaire, les prix du marché sont réputés comprendr</w:t>
      </w:r>
      <w:r w:rsidR="00F32157">
        <w:t xml:space="preserve">e toutes les dépenses résultant </w:t>
      </w:r>
      <w:r>
        <w:t>de l’exécution des prestations de coordination et contrôle effectués par le mandataire</w:t>
      </w:r>
      <w:r w:rsidR="00F32157">
        <w:t xml:space="preserve">, y compris les frais généraux, </w:t>
      </w:r>
      <w:r>
        <w:t>impôts, taxes ou autre, la marge pour risque et bénéfice ainsi que tous les frais co</w:t>
      </w:r>
      <w:r w:rsidR="00F32157">
        <w:t xml:space="preserve">nsécutifs aux mesures propres à </w:t>
      </w:r>
      <w:r>
        <w:t>pallier d’éventuelles défaillances des membres du groupement et les conséquences de ces défaillances.</w:t>
      </w:r>
    </w:p>
    <w:p w:rsidR="00B56BD5" w:rsidRPr="00F32157" w:rsidRDefault="00B56BD5" w:rsidP="002A3CA7">
      <w:pPr>
        <w:spacing w:line="240" w:lineRule="auto"/>
        <w:jc w:val="both"/>
        <w:rPr>
          <w:b/>
          <w:sz w:val="28"/>
          <w:szCs w:val="28"/>
          <w:u w:val="single"/>
        </w:rPr>
      </w:pPr>
      <w:r w:rsidRPr="00F32157">
        <w:rPr>
          <w:b/>
          <w:sz w:val="28"/>
          <w:szCs w:val="28"/>
          <w:u w:val="single"/>
        </w:rPr>
        <w:t>5.2. Mode d’établissement du prix du marché</w:t>
      </w:r>
    </w:p>
    <w:p w:rsidR="00B56BD5" w:rsidRDefault="00B56BD5" w:rsidP="002A3CA7">
      <w:pPr>
        <w:spacing w:line="240" w:lineRule="auto"/>
        <w:jc w:val="both"/>
      </w:pPr>
      <w:r>
        <w:t>Le prix du présent marché est réputé établi sur la base des conditions économiques définies ci-après.</w:t>
      </w:r>
    </w:p>
    <w:p w:rsidR="00B56BD5" w:rsidRPr="00F32157" w:rsidRDefault="00B56BD5" w:rsidP="002A3CA7">
      <w:pPr>
        <w:spacing w:line="240" w:lineRule="auto"/>
        <w:jc w:val="both"/>
        <w:rPr>
          <w:b/>
          <w:sz w:val="28"/>
          <w:szCs w:val="28"/>
          <w:u w:val="single"/>
        </w:rPr>
      </w:pPr>
      <w:r w:rsidRPr="00F32157">
        <w:rPr>
          <w:b/>
          <w:sz w:val="28"/>
          <w:szCs w:val="28"/>
          <w:u w:val="single"/>
        </w:rPr>
        <w:t>5.3. Forme du prix</w:t>
      </w:r>
    </w:p>
    <w:p w:rsidR="00B56BD5" w:rsidRDefault="00B56BD5" w:rsidP="002A3CA7">
      <w:pPr>
        <w:spacing w:line="240" w:lineRule="auto"/>
        <w:jc w:val="both"/>
      </w:pPr>
      <w:r>
        <w:t>Le présent marché est passé à prix ferme.</w:t>
      </w:r>
    </w:p>
    <w:p w:rsidR="00F32157" w:rsidRPr="00307F84" w:rsidRDefault="00F32157" w:rsidP="002A3CA7">
      <w:pPr>
        <w:shd w:val="clear" w:color="auto" w:fill="BFBFBF" w:themeFill="background1" w:themeFillShade="BF"/>
        <w:spacing w:line="240" w:lineRule="auto"/>
        <w:jc w:val="both"/>
        <w:rPr>
          <w:b/>
        </w:rPr>
      </w:pPr>
      <w:r>
        <w:rPr>
          <w:b/>
        </w:rPr>
        <w:t>ARTICLE 6</w:t>
      </w:r>
      <w:r w:rsidRPr="00307F84">
        <w:rPr>
          <w:b/>
        </w:rPr>
        <w:t xml:space="preserve"> -  </w:t>
      </w:r>
      <w:r>
        <w:rPr>
          <w:b/>
        </w:rPr>
        <w:t>CLAUSE DE SURETE ET DE FINANCEMENT</w:t>
      </w:r>
    </w:p>
    <w:p w:rsidR="00B56BD5" w:rsidRPr="00F32157" w:rsidRDefault="00B56BD5" w:rsidP="002A3CA7">
      <w:pPr>
        <w:spacing w:line="240" w:lineRule="auto"/>
        <w:jc w:val="both"/>
        <w:rPr>
          <w:b/>
          <w:sz w:val="28"/>
          <w:szCs w:val="28"/>
          <w:u w:val="single"/>
        </w:rPr>
      </w:pPr>
      <w:r w:rsidRPr="00F32157">
        <w:rPr>
          <w:b/>
          <w:sz w:val="28"/>
          <w:szCs w:val="28"/>
          <w:u w:val="single"/>
        </w:rPr>
        <w:t>6.1. Avance</w:t>
      </w:r>
    </w:p>
    <w:p w:rsidR="00A37BF8" w:rsidRDefault="00A37BF8" w:rsidP="002A3CA7">
      <w:pPr>
        <w:spacing w:line="240" w:lineRule="auto"/>
        <w:jc w:val="both"/>
      </w:pPr>
      <w:r>
        <w:t>Sans objet</w:t>
      </w:r>
    </w:p>
    <w:p w:rsidR="00F80E4A" w:rsidRPr="00307F84" w:rsidRDefault="00F80E4A" w:rsidP="002A3CA7">
      <w:pPr>
        <w:shd w:val="clear" w:color="auto" w:fill="BFBFBF" w:themeFill="background1" w:themeFillShade="BF"/>
        <w:spacing w:line="240" w:lineRule="auto"/>
        <w:jc w:val="both"/>
        <w:rPr>
          <w:b/>
        </w:rPr>
      </w:pPr>
      <w:r>
        <w:rPr>
          <w:b/>
        </w:rPr>
        <w:t>ARTICLE 7</w:t>
      </w:r>
      <w:r w:rsidRPr="00307F84">
        <w:rPr>
          <w:b/>
        </w:rPr>
        <w:t xml:space="preserve"> -  </w:t>
      </w:r>
      <w:r>
        <w:rPr>
          <w:b/>
        </w:rPr>
        <w:t>REGLEMENT DES COMPTES AU TITULAIRE</w:t>
      </w:r>
    </w:p>
    <w:p w:rsidR="00B56BD5" w:rsidRPr="00F80E4A" w:rsidRDefault="00B56BD5" w:rsidP="002A3CA7">
      <w:pPr>
        <w:spacing w:line="240" w:lineRule="auto"/>
        <w:jc w:val="both"/>
        <w:rPr>
          <w:b/>
          <w:sz w:val="28"/>
          <w:szCs w:val="28"/>
          <w:u w:val="single"/>
        </w:rPr>
      </w:pPr>
      <w:r w:rsidRPr="00F80E4A">
        <w:rPr>
          <w:b/>
          <w:sz w:val="28"/>
          <w:szCs w:val="28"/>
          <w:u w:val="single"/>
        </w:rPr>
        <w:t>7.1. Règlement du prix</w:t>
      </w:r>
    </w:p>
    <w:p w:rsidR="00B56BD5" w:rsidRPr="00F80E4A" w:rsidRDefault="00B56BD5" w:rsidP="002A3CA7">
      <w:pPr>
        <w:spacing w:line="240" w:lineRule="auto"/>
        <w:jc w:val="both"/>
        <w:rPr>
          <w:u w:val="single"/>
        </w:rPr>
      </w:pPr>
      <w:r w:rsidRPr="00F80E4A">
        <w:rPr>
          <w:u w:val="single"/>
        </w:rPr>
        <w:t>7.1.1. Transmission des demandes de paiement</w:t>
      </w:r>
    </w:p>
    <w:p w:rsidR="00B56BD5" w:rsidRDefault="00B56BD5" w:rsidP="002A3CA7">
      <w:pPr>
        <w:spacing w:line="240" w:lineRule="auto"/>
        <w:jc w:val="both"/>
      </w:pPr>
      <w:r>
        <w:t>Le titulaire transmet ses demandes de paiement par tout moyen permettant de donner date certaine.</w:t>
      </w:r>
    </w:p>
    <w:p w:rsidR="00B56BD5" w:rsidRPr="00F80E4A" w:rsidRDefault="00B56BD5" w:rsidP="002A3CA7">
      <w:pPr>
        <w:spacing w:line="240" w:lineRule="auto"/>
        <w:jc w:val="both"/>
        <w:rPr>
          <w:u w:val="single"/>
        </w:rPr>
      </w:pPr>
      <w:r w:rsidRPr="00F80E4A">
        <w:rPr>
          <w:u w:val="single"/>
        </w:rPr>
        <w:t>7.1.2. Modalités de règlement</w:t>
      </w:r>
    </w:p>
    <w:p w:rsidR="00B56BD5" w:rsidRDefault="00B56BD5" w:rsidP="002A3CA7">
      <w:pPr>
        <w:spacing w:line="240" w:lineRule="auto"/>
        <w:jc w:val="both"/>
      </w:pPr>
      <w:r>
        <w:t>En complément des dispositions de l’article 11 du CCAG FCS les précisions suivantes sont apportées :</w:t>
      </w:r>
    </w:p>
    <w:p w:rsidR="00B56BD5" w:rsidRDefault="00B56BD5" w:rsidP="002A3CA7">
      <w:pPr>
        <w:spacing w:line="240" w:lineRule="auto"/>
        <w:jc w:val="both"/>
      </w:pPr>
      <w:r>
        <w:t>Le règlement du prix s'effectue en une seule fois après livraison des fournitures e</w:t>
      </w:r>
      <w:r w:rsidR="00F80E4A">
        <w:t xml:space="preserve">t décision d'admission dans les </w:t>
      </w:r>
      <w:r>
        <w:t>conditions de l'article 11.7 du CCAG FCS.</w:t>
      </w:r>
    </w:p>
    <w:p w:rsidR="00B56BD5" w:rsidRPr="00F80E4A" w:rsidRDefault="00B56BD5" w:rsidP="002A3CA7">
      <w:pPr>
        <w:spacing w:line="240" w:lineRule="auto"/>
        <w:jc w:val="both"/>
        <w:rPr>
          <w:b/>
          <w:sz w:val="28"/>
          <w:szCs w:val="28"/>
          <w:u w:val="single"/>
        </w:rPr>
      </w:pPr>
      <w:r w:rsidRPr="00F80E4A">
        <w:rPr>
          <w:b/>
          <w:sz w:val="28"/>
          <w:szCs w:val="28"/>
          <w:u w:val="single"/>
        </w:rPr>
        <w:t>7.2. Délais de règlement</w:t>
      </w:r>
    </w:p>
    <w:p w:rsidR="00B56BD5" w:rsidRDefault="00B56BD5" w:rsidP="002A3CA7">
      <w:pPr>
        <w:spacing w:line="240" w:lineRule="auto"/>
        <w:jc w:val="both"/>
      </w:pPr>
      <w:r>
        <w:t>Les délais dont dispose le pouvoir adjudicateur ou son représentant pour procé</w:t>
      </w:r>
      <w:r w:rsidR="00102DA1">
        <w:t>der au règlement des factures</w:t>
      </w:r>
      <w:r w:rsidR="00F80E4A">
        <w:t xml:space="preserve"> </w:t>
      </w:r>
      <w:r w:rsidR="00DF0ACD">
        <w:t>sont fixés à 30 jours à compter de la réception de la facture</w:t>
      </w:r>
      <w:r>
        <w:t>.</w:t>
      </w:r>
    </w:p>
    <w:p w:rsidR="00A37BF8" w:rsidRDefault="00A37BF8" w:rsidP="002A3CA7">
      <w:pPr>
        <w:spacing w:line="240" w:lineRule="auto"/>
        <w:jc w:val="both"/>
      </w:pPr>
    </w:p>
    <w:p w:rsidR="008B73C6" w:rsidRDefault="008B73C6" w:rsidP="002A3CA7">
      <w:pPr>
        <w:spacing w:line="240" w:lineRule="auto"/>
        <w:jc w:val="both"/>
      </w:pPr>
    </w:p>
    <w:p w:rsidR="002A3CA7" w:rsidRDefault="002A3CA7" w:rsidP="002A3CA7">
      <w:pPr>
        <w:spacing w:line="240" w:lineRule="auto"/>
        <w:jc w:val="both"/>
      </w:pPr>
    </w:p>
    <w:p w:rsidR="002A3CA7" w:rsidRDefault="002A3CA7" w:rsidP="002A3CA7">
      <w:pPr>
        <w:spacing w:line="240" w:lineRule="auto"/>
        <w:jc w:val="both"/>
      </w:pPr>
    </w:p>
    <w:p w:rsidR="00B56BD5" w:rsidRPr="00F80E4A" w:rsidRDefault="00B56BD5" w:rsidP="002A3CA7">
      <w:pPr>
        <w:spacing w:line="240" w:lineRule="auto"/>
        <w:jc w:val="both"/>
        <w:rPr>
          <w:b/>
          <w:sz w:val="28"/>
          <w:szCs w:val="28"/>
          <w:u w:val="single"/>
        </w:rPr>
      </w:pPr>
      <w:r w:rsidRPr="00F80E4A">
        <w:rPr>
          <w:b/>
          <w:sz w:val="28"/>
          <w:szCs w:val="28"/>
          <w:u w:val="single"/>
        </w:rPr>
        <w:t>7.3. Intérêts moratoires</w:t>
      </w:r>
    </w:p>
    <w:p w:rsidR="00B56BD5" w:rsidRDefault="00B56BD5" w:rsidP="002A3CA7">
      <w:pPr>
        <w:spacing w:line="240" w:lineRule="auto"/>
        <w:jc w:val="both"/>
      </w:pPr>
      <w:r>
        <w:t>Le défaut de paiement des avances, des règlements partiels définitifs ou du solde d</w:t>
      </w:r>
      <w:r w:rsidR="00F80E4A">
        <w:t xml:space="preserve">ans le délai fixé par le marché </w:t>
      </w:r>
      <w:r>
        <w:t>donne droit à des intérêts moratoires, calculés depuis l'expiration dudit délai jusqu'au jour du paiement inclus.</w:t>
      </w:r>
    </w:p>
    <w:p w:rsidR="00B56BD5" w:rsidRDefault="00B56BD5" w:rsidP="002A3CA7">
      <w:pPr>
        <w:spacing w:line="240" w:lineRule="auto"/>
        <w:jc w:val="both"/>
      </w:pPr>
      <w:r>
        <w:t>Le taux des intérêts moratoires applicables en cas de dépassement du délai maximum de paiement est ég</w:t>
      </w:r>
      <w:r w:rsidR="00F80E4A">
        <w:t xml:space="preserve">al au taux </w:t>
      </w:r>
      <w:r>
        <w:t xml:space="preserve">d'intérêt appliqué par la Banque centrale européenne à ses opérations principales de </w:t>
      </w:r>
      <w:r w:rsidR="00F80E4A">
        <w:t xml:space="preserve">refinancement les plus récentes </w:t>
      </w:r>
      <w:r>
        <w:t>en vigueur au premier jour du semestre de l'année civile au cours duquel les int</w:t>
      </w:r>
      <w:r w:rsidR="00F80E4A">
        <w:t xml:space="preserve">érêts moratoires ont commencé à </w:t>
      </w:r>
      <w:r>
        <w:t>courir, majoré de huit points de pourcentage.</w:t>
      </w:r>
    </w:p>
    <w:p w:rsidR="00B56BD5" w:rsidRDefault="00B56BD5" w:rsidP="002A3CA7">
      <w:pPr>
        <w:spacing w:line="240" w:lineRule="auto"/>
        <w:jc w:val="both"/>
      </w:pPr>
      <w:r>
        <w:t>La formule de calcul des intérêts moratoires est la suivante :</w:t>
      </w:r>
    </w:p>
    <w:p w:rsidR="00B56BD5" w:rsidRDefault="00B56BD5" w:rsidP="002A3CA7">
      <w:pPr>
        <w:spacing w:line="240" w:lineRule="auto"/>
        <w:jc w:val="both"/>
      </w:pPr>
      <w:r>
        <w:t>IM = M x J/365 x Taux IM</w:t>
      </w:r>
    </w:p>
    <w:p w:rsidR="00B56BD5" w:rsidRDefault="00B56BD5" w:rsidP="002A3CA7">
      <w:pPr>
        <w:spacing w:line="240" w:lineRule="auto"/>
        <w:jc w:val="both"/>
      </w:pPr>
      <w:r>
        <w:t>M = montant de l'acompte en TTC</w:t>
      </w:r>
    </w:p>
    <w:p w:rsidR="00B56BD5" w:rsidRDefault="00B56BD5" w:rsidP="002A3CA7">
      <w:pPr>
        <w:spacing w:line="240" w:lineRule="auto"/>
        <w:jc w:val="both"/>
      </w:pPr>
      <w:r>
        <w:t>J = nombre de jours calendaires de retard entre la date limite de paiement et la date réelle de paiement.</w:t>
      </w:r>
    </w:p>
    <w:p w:rsidR="00B56BD5" w:rsidRDefault="00B56BD5" w:rsidP="002A3CA7">
      <w:pPr>
        <w:spacing w:line="240" w:lineRule="auto"/>
        <w:jc w:val="both"/>
      </w:pPr>
      <w:r>
        <w:t>365 = nombre de jours calendaires de l'année civile</w:t>
      </w:r>
    </w:p>
    <w:p w:rsidR="00B56BD5" w:rsidRDefault="00B56BD5" w:rsidP="002A3CA7">
      <w:pPr>
        <w:spacing w:line="240" w:lineRule="auto"/>
        <w:jc w:val="both"/>
      </w:pPr>
      <w:r>
        <w:t>En cas de retard de paiement, le pouvoir adjudicateur sera de plein droit débiteur a</w:t>
      </w:r>
      <w:r w:rsidR="00A37BF8">
        <w:t xml:space="preserve">uprès du titulaire du marché d </w:t>
      </w:r>
      <w:r>
        <w:t>l’indemnité forfaitaire pour frais de recouvrement, conformément aux dispositions de l’</w:t>
      </w:r>
      <w:r w:rsidR="00A37BF8">
        <w:t xml:space="preserve">article L.2192-13 du code de la </w:t>
      </w:r>
      <w:r>
        <w:t>commande publique.</w:t>
      </w:r>
    </w:p>
    <w:p w:rsidR="00B56BD5" w:rsidRPr="00A37BF8" w:rsidRDefault="00B56BD5" w:rsidP="002A3CA7">
      <w:pPr>
        <w:spacing w:line="240" w:lineRule="auto"/>
        <w:jc w:val="both"/>
        <w:rPr>
          <w:b/>
          <w:sz w:val="28"/>
          <w:szCs w:val="28"/>
          <w:u w:val="single"/>
        </w:rPr>
      </w:pPr>
      <w:r w:rsidRPr="00A37BF8">
        <w:rPr>
          <w:b/>
          <w:sz w:val="28"/>
          <w:szCs w:val="28"/>
          <w:u w:val="single"/>
        </w:rPr>
        <w:t>7.4. Règlement en cas de cotraitants</w:t>
      </w:r>
    </w:p>
    <w:p w:rsidR="00B56BD5" w:rsidRDefault="00B56BD5" w:rsidP="002A3CA7">
      <w:pPr>
        <w:spacing w:line="240" w:lineRule="auto"/>
        <w:jc w:val="both"/>
      </w:pPr>
      <w:r>
        <w:t>Les paiements sont répartis entre le titulaire, les cotraitants.</w:t>
      </w:r>
    </w:p>
    <w:p w:rsidR="00B56BD5" w:rsidRDefault="00B56BD5" w:rsidP="002A3CA7">
      <w:pPr>
        <w:spacing w:line="240" w:lineRule="auto"/>
        <w:jc w:val="both"/>
      </w:pPr>
      <w:r>
        <w:t>En cas de cotraitance, seul le mandataire du groupement est habilité à présenter les dem</w:t>
      </w:r>
      <w:r w:rsidR="00A37BF8">
        <w:t>andes de paiement.</w:t>
      </w:r>
    </w:p>
    <w:p w:rsidR="00B56BD5" w:rsidRPr="00A37BF8" w:rsidRDefault="00B56BD5" w:rsidP="002A3CA7">
      <w:pPr>
        <w:spacing w:line="240" w:lineRule="auto"/>
        <w:jc w:val="both"/>
        <w:rPr>
          <w:b/>
          <w:sz w:val="28"/>
          <w:szCs w:val="28"/>
          <w:u w:val="single"/>
        </w:rPr>
      </w:pPr>
      <w:r w:rsidRPr="00A37BF8">
        <w:rPr>
          <w:b/>
          <w:sz w:val="28"/>
          <w:szCs w:val="28"/>
          <w:u w:val="single"/>
        </w:rPr>
        <w:t>7.5. Présentation des factures au format dématérialisé</w:t>
      </w:r>
    </w:p>
    <w:p w:rsidR="00B56BD5" w:rsidRDefault="00B56BD5" w:rsidP="002A3CA7">
      <w:pPr>
        <w:spacing w:line="240" w:lineRule="auto"/>
        <w:jc w:val="both"/>
      </w:pPr>
      <w:r>
        <w:t>Pour les grandes entreprises et les personnes publiques, la transmission de fact</w:t>
      </w:r>
      <w:r w:rsidR="00A37BF8">
        <w:t xml:space="preserve">ures dématérialisées est rendue </w:t>
      </w:r>
      <w:r>
        <w:t>obligatoire depuis le 1er janvier 2017. Cette obligation concerne les entreprises de tai</w:t>
      </w:r>
      <w:r w:rsidR="00A37BF8">
        <w:t>lle intermédiaire depuis le 1</w:t>
      </w:r>
      <w:r w:rsidR="00A37BF8" w:rsidRPr="00A37BF8">
        <w:rPr>
          <w:vertAlign w:val="superscript"/>
        </w:rPr>
        <w:t>er</w:t>
      </w:r>
      <w:r w:rsidR="00A37BF8">
        <w:t xml:space="preserve"> </w:t>
      </w:r>
      <w:r>
        <w:t xml:space="preserve">janvier 2018, les PME depuis le 1er janvier 2019 et concernera les </w:t>
      </w:r>
      <w:r w:rsidR="00A37BF8">
        <w:t>microentreprises</w:t>
      </w:r>
      <w:r>
        <w:t xml:space="preserve"> à partir du 1er janvier 2020.</w:t>
      </w:r>
    </w:p>
    <w:p w:rsidR="00B56BD5" w:rsidRDefault="00B56BD5" w:rsidP="002A3CA7">
      <w:pPr>
        <w:spacing w:line="240" w:lineRule="auto"/>
        <w:jc w:val="both"/>
      </w:pPr>
      <w:r>
        <w:t>Attention, ces structures sont concernées uniquement dans le cadre de leurs contra</w:t>
      </w:r>
      <w:r w:rsidR="00A37BF8">
        <w:t xml:space="preserve">ts conclus avec l'Etat, ses </w:t>
      </w:r>
      <w:r>
        <w:t>établissements publics à caractère autre qu'industriel et commercial, les collectivités terr</w:t>
      </w:r>
      <w:r w:rsidR="00A37BF8">
        <w:t xml:space="preserve">itoriales, leurs établissements </w:t>
      </w:r>
      <w:r>
        <w:t>publics et leurs groupements.</w:t>
      </w:r>
    </w:p>
    <w:p w:rsidR="00B56BD5" w:rsidRDefault="00B56BD5" w:rsidP="002A3CA7">
      <w:pPr>
        <w:spacing w:line="240" w:lineRule="auto"/>
        <w:jc w:val="both"/>
      </w:pPr>
      <w:r>
        <w:t xml:space="preserve">Les catégories d'entreprises sont détaillées à l'article 3 du décret n° 2008‐1354 </w:t>
      </w:r>
      <w:r w:rsidR="00A37BF8">
        <w:t xml:space="preserve">du 18 décembre 2008 relatif aux </w:t>
      </w:r>
      <w:r>
        <w:t>critères permettant de déterminer la catégorie d'appartenance d'une entrepris</w:t>
      </w:r>
      <w:r w:rsidR="00A37BF8">
        <w:t xml:space="preserve">e pour les besoins de l'analyse </w:t>
      </w:r>
      <w:r>
        <w:t>statistique et économique.</w:t>
      </w:r>
    </w:p>
    <w:p w:rsidR="00B56BD5" w:rsidRDefault="00B56BD5" w:rsidP="002A3CA7">
      <w:pPr>
        <w:spacing w:line="240" w:lineRule="auto"/>
        <w:jc w:val="both"/>
      </w:pPr>
      <w:r>
        <w:t>Pour être valable, la facture dématérialisée doit comporter toutes les mentions re</w:t>
      </w:r>
      <w:r w:rsidR="00A37BF8">
        <w:t xml:space="preserve">quises sur la facture au format </w:t>
      </w:r>
      <w:r>
        <w:t>papier. De même, doivent figurer sur la facture dématérialisée :</w:t>
      </w:r>
    </w:p>
    <w:p w:rsidR="00B56BD5" w:rsidRDefault="00B56BD5" w:rsidP="002A3CA7">
      <w:pPr>
        <w:spacing w:line="240" w:lineRule="auto"/>
        <w:jc w:val="both"/>
      </w:pPr>
      <w:r>
        <w:t xml:space="preserve">- </w:t>
      </w:r>
      <w:r w:rsidR="00A37BF8">
        <w:t xml:space="preserve"> </w:t>
      </w:r>
      <w:r>
        <w:t>l’identifiant de l’émetteur et du destinataire sur Cho</w:t>
      </w:r>
      <w:r w:rsidR="00A37BF8">
        <w:t>rus Pro (SIRET ou numéro de TVA Intracommunautaire, RIDET, numéro TAHITI, etc.)</w:t>
      </w:r>
    </w:p>
    <w:p w:rsidR="00B56BD5" w:rsidRDefault="00B56BD5" w:rsidP="002A3CA7">
      <w:pPr>
        <w:spacing w:line="240" w:lineRule="auto"/>
        <w:jc w:val="both"/>
      </w:pPr>
      <w:r>
        <w:t xml:space="preserve">- le « code service » permettant d’identifier le service exécutant, chargé </w:t>
      </w:r>
      <w:r w:rsidR="00A37BF8">
        <w:t xml:space="preserve">du traitement de la facture, au </w:t>
      </w:r>
      <w:r>
        <w:t>sein de l’entité publique destinataire, lorsque celle-ci a décidé de c</w:t>
      </w:r>
      <w:r w:rsidR="00A37BF8">
        <w:t xml:space="preserve">réer des codes services afin de </w:t>
      </w:r>
      <w:r>
        <w:t>faciliter l’achem</w:t>
      </w:r>
      <w:r w:rsidR="00A37BF8">
        <w:t xml:space="preserve">inement de ses factures reçues </w:t>
      </w:r>
    </w:p>
    <w:p w:rsidR="00B56BD5" w:rsidRDefault="00B56BD5" w:rsidP="002A3CA7">
      <w:pPr>
        <w:spacing w:line="240" w:lineRule="auto"/>
        <w:jc w:val="both"/>
      </w:pPr>
      <w:r>
        <w:lastRenderedPageBreak/>
        <w:t>- le « numéro d’engagement » qui correspond à la référence à l’engagement juridique (numéro de bon</w:t>
      </w:r>
      <w:r w:rsidR="00A37BF8">
        <w:t xml:space="preserve"> </w:t>
      </w:r>
      <w:r>
        <w:t>de commande, de contrat, ou numéro généré par le système d’i</w:t>
      </w:r>
      <w:r w:rsidR="00A37BF8">
        <w:t xml:space="preserve">nformation de l’entité publique </w:t>
      </w:r>
      <w:r>
        <w:t>destinataire) et est destiné à faciliter le rapprochement de la facture par le destinataire.</w:t>
      </w:r>
    </w:p>
    <w:p w:rsidR="00B56BD5" w:rsidRDefault="00B56BD5" w:rsidP="002A3CA7">
      <w:pPr>
        <w:spacing w:line="240" w:lineRule="auto"/>
        <w:jc w:val="both"/>
      </w:pPr>
      <w:r>
        <w:t>Ces informations seront transmises au titulaire par les services du pouvoir adjudicateur.</w:t>
      </w:r>
    </w:p>
    <w:p w:rsidR="00B56BD5" w:rsidRDefault="00B56BD5" w:rsidP="002A3CA7">
      <w:pPr>
        <w:spacing w:line="240" w:lineRule="auto"/>
        <w:jc w:val="both"/>
      </w:pPr>
      <w:r>
        <w:t>Pour être valables, les factures dématérialisées doivent être transmises e</w:t>
      </w:r>
      <w:r w:rsidR="00A37BF8">
        <w:t xml:space="preserve">n conformité avec l’arrêté du 9 </w:t>
      </w:r>
      <w:r>
        <w:t>décembre 2016 relatif au développement de la facturation électronique.</w:t>
      </w:r>
    </w:p>
    <w:p w:rsidR="00B56BD5" w:rsidRDefault="00B56BD5" w:rsidP="002A3CA7">
      <w:pPr>
        <w:spacing w:line="240" w:lineRule="auto"/>
        <w:jc w:val="both"/>
      </w:pPr>
      <w:r>
        <w:t>La transmission se fait, au choix du titulaire, par :</w:t>
      </w:r>
    </w:p>
    <w:p w:rsidR="00B56BD5" w:rsidRDefault="00B56BD5" w:rsidP="002A3CA7">
      <w:pPr>
        <w:pStyle w:val="Paragraphedeliste"/>
        <w:numPr>
          <w:ilvl w:val="0"/>
          <w:numId w:val="2"/>
        </w:numPr>
        <w:spacing w:line="240" w:lineRule="auto"/>
        <w:jc w:val="both"/>
      </w:pPr>
      <w:r>
        <w:t> un mode «flux» correspondant à une transmission automatisée de manière univoque entre le système</w:t>
      </w:r>
      <w:r w:rsidR="00A37BF8">
        <w:t xml:space="preserve"> </w:t>
      </w:r>
      <w:r>
        <w:t>d'information du titulaire et l'application informatique CHORUS PRO. La transmission de factures selon le</w:t>
      </w:r>
      <w:r w:rsidR="00A37BF8">
        <w:t xml:space="preserve"> </w:t>
      </w:r>
      <w:r>
        <w:t>mode «flux» s'effectue conformément à l'un des protocoles suivants : SFTP, PES‐IT et AS/2, avec chiffrement</w:t>
      </w:r>
      <w:r w:rsidR="00A37BF8">
        <w:t xml:space="preserve"> </w:t>
      </w:r>
      <w:r>
        <w:t>TLS ;</w:t>
      </w:r>
    </w:p>
    <w:p w:rsidR="00B56BD5" w:rsidRDefault="00B56BD5" w:rsidP="002A3CA7">
      <w:pPr>
        <w:pStyle w:val="Paragraphedeliste"/>
        <w:numPr>
          <w:ilvl w:val="0"/>
          <w:numId w:val="2"/>
        </w:numPr>
        <w:spacing w:line="240" w:lineRule="auto"/>
        <w:jc w:val="both"/>
      </w:pPr>
      <w:r>
        <w:t> un mode «portail» nécessitant du titulaire soit la saisie manuelle des éléments de facturation sur le portail</w:t>
      </w:r>
      <w:r w:rsidR="00A37BF8">
        <w:t xml:space="preserve"> </w:t>
      </w:r>
      <w:r>
        <w:t>internet, soit le dépôt de sa facture dématérialisée dans un format autorisé, dans les conditions prévues à</w:t>
      </w:r>
      <w:r w:rsidR="00A37BF8">
        <w:t xml:space="preserve"> </w:t>
      </w:r>
      <w:r>
        <w:t>l'article 5 du décret précité. La transmission de factures selon le mode portail s'effectue à partir du portail</w:t>
      </w:r>
      <w:r w:rsidR="00A37BF8">
        <w:t xml:space="preserve"> </w:t>
      </w:r>
      <w:r>
        <w:t>internet mis à disposition des fournisseurs de l'Etat à l'adresse suivante : https://chorus‐pro.gouv.fr.</w:t>
      </w:r>
    </w:p>
    <w:p w:rsidR="00B56BD5" w:rsidRDefault="00B56BD5" w:rsidP="002A3CA7">
      <w:pPr>
        <w:pStyle w:val="Paragraphedeliste"/>
        <w:numPr>
          <w:ilvl w:val="0"/>
          <w:numId w:val="2"/>
        </w:numPr>
        <w:spacing w:line="240" w:lineRule="auto"/>
        <w:jc w:val="both"/>
      </w:pPr>
      <w:r>
        <w:t> un mode « service », nécessitant de la part du titulaire l'implémentation dans son système d'information de</w:t>
      </w:r>
      <w:r w:rsidR="00A37BF8">
        <w:t xml:space="preserve"> </w:t>
      </w:r>
      <w:r>
        <w:t>l'appel aux services mis à disposition par Chorus Pro.</w:t>
      </w:r>
    </w:p>
    <w:p w:rsidR="00B56BD5" w:rsidRDefault="00B56BD5" w:rsidP="002A3CA7">
      <w:pPr>
        <w:spacing w:line="240" w:lineRule="auto"/>
        <w:jc w:val="both"/>
      </w:pPr>
      <w:r>
        <w:t>Il est précisé que l'utilisation par le titulaire de l'un de ces modes de transmissi</w:t>
      </w:r>
      <w:r w:rsidR="00A37BF8">
        <w:t xml:space="preserve">on n'exclut pas le recours à un </w:t>
      </w:r>
      <w:r>
        <w:t>autre de ces modes dans le cadre de l'exécution d'un même contrat ou d'un autre contrat.</w:t>
      </w:r>
    </w:p>
    <w:p w:rsidR="00472F84" w:rsidRPr="00307F84" w:rsidRDefault="00472F84" w:rsidP="002A3CA7">
      <w:pPr>
        <w:shd w:val="clear" w:color="auto" w:fill="BFBFBF" w:themeFill="background1" w:themeFillShade="BF"/>
        <w:spacing w:line="240" w:lineRule="auto"/>
        <w:jc w:val="both"/>
        <w:rPr>
          <w:b/>
        </w:rPr>
      </w:pPr>
      <w:r>
        <w:rPr>
          <w:b/>
        </w:rPr>
        <w:t xml:space="preserve">ARTICLE </w:t>
      </w:r>
      <w:r w:rsidR="009806E3">
        <w:rPr>
          <w:b/>
        </w:rPr>
        <w:t>8</w:t>
      </w:r>
      <w:r w:rsidRPr="00307F84">
        <w:rPr>
          <w:b/>
        </w:rPr>
        <w:t xml:space="preserve"> </w:t>
      </w:r>
      <w:r w:rsidR="009806E3">
        <w:rPr>
          <w:b/>
        </w:rPr>
        <w:t>– MODALITE D’EXECUTION DU MARCHE</w:t>
      </w:r>
      <w:r w:rsidRPr="00307F84">
        <w:rPr>
          <w:b/>
        </w:rPr>
        <w:t xml:space="preserve">  </w:t>
      </w:r>
    </w:p>
    <w:p w:rsidR="00B56BD5" w:rsidRPr="009806E3" w:rsidRDefault="00B56BD5" w:rsidP="002A3CA7">
      <w:pPr>
        <w:spacing w:line="240" w:lineRule="auto"/>
        <w:jc w:val="both"/>
        <w:rPr>
          <w:b/>
          <w:sz w:val="28"/>
          <w:szCs w:val="28"/>
          <w:u w:val="single"/>
        </w:rPr>
      </w:pPr>
      <w:r w:rsidRPr="009806E3">
        <w:rPr>
          <w:b/>
          <w:sz w:val="28"/>
          <w:szCs w:val="28"/>
          <w:u w:val="single"/>
        </w:rPr>
        <w:t>8.1. Protection de la main d'œuvre et conditions de travail</w:t>
      </w:r>
    </w:p>
    <w:p w:rsidR="00B56BD5" w:rsidRDefault="00B56BD5" w:rsidP="002A3CA7">
      <w:pPr>
        <w:spacing w:line="240" w:lineRule="auto"/>
        <w:jc w:val="both"/>
      </w:pPr>
      <w:r>
        <w:t xml:space="preserve">Le titulaire s'engage au respect des lois et </w:t>
      </w:r>
      <w:r w:rsidR="009806E3">
        <w:t>règlements</w:t>
      </w:r>
      <w:r>
        <w:t xml:space="preserve"> relatifs à la protection de la ma</w:t>
      </w:r>
      <w:r w:rsidR="009806E3">
        <w:t xml:space="preserve">in d'œuvre et aux conditions de </w:t>
      </w:r>
      <w:r>
        <w:t>travail dans les conditions définies à l'article 6.1 du CCAG FCS.</w:t>
      </w:r>
    </w:p>
    <w:p w:rsidR="00B56BD5" w:rsidRPr="009806E3" w:rsidRDefault="00B56BD5" w:rsidP="002A3CA7">
      <w:pPr>
        <w:spacing w:line="240" w:lineRule="auto"/>
        <w:jc w:val="both"/>
        <w:rPr>
          <w:b/>
          <w:sz w:val="28"/>
          <w:szCs w:val="28"/>
          <w:u w:val="single"/>
        </w:rPr>
      </w:pPr>
      <w:r w:rsidRPr="009806E3">
        <w:rPr>
          <w:b/>
          <w:sz w:val="28"/>
          <w:szCs w:val="28"/>
          <w:u w:val="single"/>
        </w:rPr>
        <w:t>8.2. Conditions de livraison</w:t>
      </w:r>
    </w:p>
    <w:p w:rsidR="00B56BD5" w:rsidRDefault="009806E3" w:rsidP="002A3CA7">
      <w:pPr>
        <w:spacing w:line="240" w:lineRule="auto"/>
        <w:jc w:val="both"/>
      </w:pPr>
      <w:r>
        <w:t>Les véhicules</w:t>
      </w:r>
      <w:r w:rsidR="00F65F9F">
        <w:t xml:space="preserve"> devront être livré</w:t>
      </w:r>
      <w:r w:rsidR="00B56BD5">
        <w:t>s dans les délais prévus à l'a</w:t>
      </w:r>
      <w:r>
        <w:t>rticle 3 de l'acte d'engagement à l’adresse suivante :</w:t>
      </w:r>
    </w:p>
    <w:p w:rsidR="00B56BD5" w:rsidRPr="009806E3" w:rsidRDefault="00B56BD5" w:rsidP="002A3CA7">
      <w:pPr>
        <w:spacing w:line="240" w:lineRule="auto"/>
        <w:jc w:val="both"/>
        <w:rPr>
          <w:b/>
        </w:rPr>
      </w:pPr>
      <w:r w:rsidRPr="009806E3">
        <w:rPr>
          <w:b/>
        </w:rPr>
        <w:t>Ecole Nationale Vétérinaire de Toulouse (ENVT)</w:t>
      </w:r>
    </w:p>
    <w:p w:rsidR="00B56BD5" w:rsidRPr="009806E3" w:rsidRDefault="00B56BD5" w:rsidP="002A3CA7">
      <w:pPr>
        <w:spacing w:line="240" w:lineRule="auto"/>
        <w:jc w:val="both"/>
        <w:rPr>
          <w:b/>
        </w:rPr>
      </w:pPr>
      <w:r w:rsidRPr="009806E3">
        <w:rPr>
          <w:b/>
        </w:rPr>
        <w:t>23 Chemin des Capelles – BP 67614</w:t>
      </w:r>
    </w:p>
    <w:p w:rsidR="00B56BD5" w:rsidRPr="009806E3" w:rsidRDefault="00B56BD5" w:rsidP="002A3CA7">
      <w:pPr>
        <w:spacing w:line="240" w:lineRule="auto"/>
        <w:jc w:val="both"/>
        <w:rPr>
          <w:b/>
        </w:rPr>
      </w:pPr>
      <w:r w:rsidRPr="009806E3">
        <w:rPr>
          <w:b/>
        </w:rPr>
        <w:t>31076 Toulouse Cedex</w:t>
      </w:r>
    </w:p>
    <w:p w:rsidR="00B56BD5" w:rsidRPr="009806E3" w:rsidRDefault="00B56BD5" w:rsidP="002A3CA7">
      <w:pPr>
        <w:spacing w:line="240" w:lineRule="auto"/>
        <w:jc w:val="both"/>
        <w:rPr>
          <w:b/>
          <w:sz w:val="28"/>
          <w:szCs w:val="28"/>
          <w:u w:val="single"/>
        </w:rPr>
      </w:pPr>
      <w:r w:rsidRPr="009806E3">
        <w:rPr>
          <w:b/>
          <w:sz w:val="28"/>
          <w:szCs w:val="28"/>
          <w:u w:val="single"/>
        </w:rPr>
        <w:t>8.3. Documents fournis après exécution</w:t>
      </w:r>
    </w:p>
    <w:p w:rsidR="00B56BD5" w:rsidRDefault="00B56BD5" w:rsidP="002A3CA7">
      <w:pPr>
        <w:spacing w:line="240" w:lineRule="auto"/>
        <w:jc w:val="both"/>
      </w:pPr>
      <w:r>
        <w:t>Le titulaire s'engage à fournir à la livraison toute la documentation, rédigée en lan</w:t>
      </w:r>
      <w:r w:rsidR="009806E3">
        <w:t xml:space="preserve">gue française, nécessaire à une </w:t>
      </w:r>
      <w:r>
        <w:t>utilisation et un fonctionnement corrects du matériel livré et à son entretien courant.</w:t>
      </w:r>
    </w:p>
    <w:p w:rsidR="008B73C6" w:rsidRDefault="008B73C6" w:rsidP="002A3CA7">
      <w:pPr>
        <w:spacing w:line="240" w:lineRule="auto"/>
        <w:jc w:val="both"/>
      </w:pPr>
    </w:p>
    <w:p w:rsidR="009806E3" w:rsidRPr="00307F84" w:rsidRDefault="009806E3" w:rsidP="002A3CA7">
      <w:pPr>
        <w:shd w:val="clear" w:color="auto" w:fill="BFBFBF" w:themeFill="background1" w:themeFillShade="BF"/>
        <w:spacing w:line="240" w:lineRule="auto"/>
        <w:jc w:val="both"/>
        <w:rPr>
          <w:b/>
        </w:rPr>
      </w:pPr>
      <w:r>
        <w:rPr>
          <w:b/>
        </w:rPr>
        <w:t>ARTICLE 9</w:t>
      </w:r>
      <w:r w:rsidRPr="00307F84">
        <w:rPr>
          <w:b/>
        </w:rPr>
        <w:t xml:space="preserve"> -  </w:t>
      </w:r>
      <w:r>
        <w:rPr>
          <w:b/>
        </w:rPr>
        <w:t>PENALITES / PRIMES</w:t>
      </w:r>
    </w:p>
    <w:p w:rsidR="00B56BD5" w:rsidRPr="009806E3" w:rsidRDefault="00B56BD5" w:rsidP="002A3CA7">
      <w:pPr>
        <w:spacing w:line="240" w:lineRule="auto"/>
        <w:jc w:val="both"/>
        <w:rPr>
          <w:b/>
          <w:sz w:val="28"/>
          <w:szCs w:val="28"/>
          <w:u w:val="single"/>
        </w:rPr>
      </w:pPr>
      <w:r w:rsidRPr="009806E3">
        <w:rPr>
          <w:b/>
          <w:sz w:val="28"/>
          <w:szCs w:val="28"/>
          <w:u w:val="single"/>
        </w:rPr>
        <w:t>9.1. Pénalités pour retard dans l'exécution des prestations</w:t>
      </w:r>
    </w:p>
    <w:p w:rsidR="00B56BD5" w:rsidRDefault="00B56BD5" w:rsidP="002A3CA7">
      <w:pPr>
        <w:spacing w:line="240" w:lineRule="auto"/>
        <w:jc w:val="both"/>
      </w:pPr>
      <w:r>
        <w:t>En application de l’article 14.1.3 du CCAG FCS le titulaire est exonéré des pén</w:t>
      </w:r>
      <w:r w:rsidR="009806E3">
        <w:t xml:space="preserve">alités dont le montant total ne </w:t>
      </w:r>
      <w:r>
        <w:t>dépasse pas 1 000 € pour l'ensemble du marché.</w:t>
      </w:r>
    </w:p>
    <w:p w:rsidR="00B56BD5" w:rsidRDefault="00B56BD5" w:rsidP="002A3CA7">
      <w:pPr>
        <w:spacing w:line="240" w:lineRule="auto"/>
        <w:jc w:val="both"/>
      </w:pPr>
      <w:r>
        <w:lastRenderedPageBreak/>
        <w:t xml:space="preserve">En complément, une exonération des pénalités </w:t>
      </w:r>
      <w:r w:rsidR="00102DA1">
        <w:t>au-delà</w:t>
      </w:r>
      <w:r>
        <w:t xml:space="preserve"> de ce seuil pou</w:t>
      </w:r>
      <w:r w:rsidR="009806E3">
        <w:t xml:space="preserve">rra être envisagée sur décision </w:t>
      </w:r>
      <w:r>
        <w:t>du pouvoir adjudicateur.</w:t>
      </w:r>
    </w:p>
    <w:p w:rsidR="00B56BD5" w:rsidRDefault="00B56BD5" w:rsidP="002A3CA7">
      <w:pPr>
        <w:spacing w:line="240" w:lineRule="auto"/>
        <w:jc w:val="both"/>
      </w:pPr>
      <w:r>
        <w:t>Par dérogation aux dispositions de l'article 14.1.1 du CCAG FCS, les modalités</w:t>
      </w:r>
      <w:r w:rsidR="009806E3">
        <w:t xml:space="preserve"> d'application des pénalités de retard sont les suivantes :</w:t>
      </w:r>
    </w:p>
    <w:p w:rsidR="002A3CA7" w:rsidRDefault="002A3CA7" w:rsidP="002A3CA7">
      <w:pPr>
        <w:spacing w:line="240" w:lineRule="auto"/>
        <w:jc w:val="both"/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9806E3" w:rsidTr="009806E3">
        <w:tc>
          <w:tcPr>
            <w:tcW w:w="4531" w:type="dxa"/>
          </w:tcPr>
          <w:p w:rsidR="009806E3" w:rsidRPr="00B623D3" w:rsidRDefault="009806E3" w:rsidP="002A3CA7">
            <w:pPr>
              <w:jc w:val="both"/>
              <w:rPr>
                <w:b/>
              </w:rPr>
            </w:pPr>
            <w:r w:rsidRPr="00B623D3">
              <w:rPr>
                <w:b/>
              </w:rPr>
              <w:t>Nature du manquement</w:t>
            </w:r>
          </w:p>
          <w:p w:rsidR="009806E3" w:rsidRPr="00B623D3" w:rsidRDefault="009806E3" w:rsidP="002A3CA7">
            <w:pPr>
              <w:jc w:val="both"/>
              <w:rPr>
                <w:b/>
              </w:rPr>
            </w:pPr>
          </w:p>
        </w:tc>
        <w:tc>
          <w:tcPr>
            <w:tcW w:w="4531" w:type="dxa"/>
          </w:tcPr>
          <w:p w:rsidR="009806E3" w:rsidRPr="00B623D3" w:rsidRDefault="009806E3" w:rsidP="002A3CA7">
            <w:pPr>
              <w:jc w:val="both"/>
              <w:rPr>
                <w:b/>
              </w:rPr>
            </w:pPr>
            <w:r w:rsidRPr="00B623D3">
              <w:rPr>
                <w:b/>
              </w:rPr>
              <w:t>Pénalités</w:t>
            </w:r>
          </w:p>
        </w:tc>
      </w:tr>
      <w:tr w:rsidR="009806E3" w:rsidTr="009806E3">
        <w:tc>
          <w:tcPr>
            <w:tcW w:w="4531" w:type="dxa"/>
          </w:tcPr>
          <w:p w:rsidR="009806E3" w:rsidRDefault="009806E3" w:rsidP="002A3CA7">
            <w:pPr>
              <w:jc w:val="both"/>
            </w:pPr>
            <w:r>
              <w:t>Non-respect du délai de livraison auquel s’est engagé le candidat</w:t>
            </w:r>
          </w:p>
        </w:tc>
        <w:tc>
          <w:tcPr>
            <w:tcW w:w="4531" w:type="dxa"/>
          </w:tcPr>
          <w:p w:rsidR="00B623D3" w:rsidRDefault="00B623D3" w:rsidP="002A3CA7">
            <w:pPr>
              <w:jc w:val="both"/>
            </w:pPr>
            <w:r>
              <w:t>60 € par jour de retard</w:t>
            </w:r>
          </w:p>
          <w:p w:rsidR="009806E3" w:rsidRDefault="009806E3" w:rsidP="002A3CA7">
            <w:pPr>
              <w:jc w:val="both"/>
            </w:pPr>
          </w:p>
        </w:tc>
      </w:tr>
    </w:tbl>
    <w:p w:rsidR="009806E3" w:rsidRDefault="009806E3" w:rsidP="002A3CA7">
      <w:pPr>
        <w:spacing w:line="240" w:lineRule="auto"/>
        <w:jc w:val="both"/>
      </w:pPr>
    </w:p>
    <w:p w:rsidR="00B56BD5" w:rsidRPr="00B623D3" w:rsidRDefault="00B56BD5" w:rsidP="002A3CA7">
      <w:pPr>
        <w:spacing w:line="240" w:lineRule="auto"/>
        <w:jc w:val="both"/>
        <w:rPr>
          <w:b/>
          <w:sz w:val="28"/>
          <w:szCs w:val="28"/>
          <w:u w:val="single"/>
        </w:rPr>
      </w:pPr>
      <w:r w:rsidRPr="00B623D3">
        <w:rPr>
          <w:b/>
          <w:sz w:val="28"/>
          <w:szCs w:val="28"/>
          <w:u w:val="single"/>
        </w:rPr>
        <w:t>9.2. Pénalités pour retard dans la remise de documents</w:t>
      </w:r>
    </w:p>
    <w:p w:rsidR="00B56BD5" w:rsidRDefault="00B56BD5" w:rsidP="002A3CA7">
      <w:pPr>
        <w:spacing w:line="240" w:lineRule="auto"/>
        <w:jc w:val="both"/>
      </w:pPr>
      <w:r>
        <w:t>Par dérogation à l'article 14.1.1 du CCAG FCS, en cas de retard dans la remise des documents à fournir à</w:t>
      </w:r>
      <w:r w:rsidR="00B623D3">
        <w:t xml:space="preserve"> la </w:t>
      </w:r>
      <w:r>
        <w:t>livraison par le fournisseur, tels que définis au marché, une pénalité provisoire d'un mo</w:t>
      </w:r>
      <w:r w:rsidR="00B623D3">
        <w:t>ntant forfaitaire de 100 € sera opérée</w:t>
      </w:r>
      <w:r>
        <w:t>.</w:t>
      </w:r>
    </w:p>
    <w:p w:rsidR="00B56BD5" w:rsidRDefault="00B56BD5" w:rsidP="002A3CA7">
      <w:pPr>
        <w:spacing w:line="240" w:lineRule="auto"/>
        <w:jc w:val="both"/>
      </w:pPr>
      <w:r>
        <w:t xml:space="preserve">Elles sont appliquées lors de la </w:t>
      </w:r>
      <w:r w:rsidR="00B623D3">
        <w:t>facturation</w:t>
      </w:r>
      <w:r>
        <w:t xml:space="preserve"> sans mise en demeure préalable et sont r</w:t>
      </w:r>
      <w:r w:rsidR="00B623D3">
        <w:t xml:space="preserve">estituées après remise complète </w:t>
      </w:r>
      <w:r>
        <w:t>des documents.</w:t>
      </w:r>
    </w:p>
    <w:p w:rsidR="00B56BD5" w:rsidRDefault="00B56BD5" w:rsidP="002A3CA7">
      <w:pPr>
        <w:spacing w:line="240" w:lineRule="auto"/>
        <w:jc w:val="both"/>
      </w:pPr>
      <w:r>
        <w:t>Au-delà de 2 mois suivant l’admission, après mise en demeure préalable, si les docum</w:t>
      </w:r>
      <w:r w:rsidR="00B623D3">
        <w:t xml:space="preserve">ents ne sont pas fournis, cette </w:t>
      </w:r>
      <w:r>
        <w:t>pénalité provisoire deviendra définitive.</w:t>
      </w:r>
    </w:p>
    <w:p w:rsidR="00B623D3" w:rsidRPr="00307F84" w:rsidRDefault="00B623D3" w:rsidP="002A3CA7">
      <w:pPr>
        <w:shd w:val="clear" w:color="auto" w:fill="BFBFBF" w:themeFill="background1" w:themeFillShade="BF"/>
        <w:spacing w:line="240" w:lineRule="auto"/>
        <w:jc w:val="both"/>
        <w:rPr>
          <w:b/>
        </w:rPr>
      </w:pPr>
      <w:r>
        <w:rPr>
          <w:b/>
        </w:rPr>
        <w:t>ARTICLE 10</w:t>
      </w:r>
      <w:r w:rsidRPr="00307F84">
        <w:rPr>
          <w:b/>
        </w:rPr>
        <w:t xml:space="preserve"> -  </w:t>
      </w:r>
      <w:r>
        <w:rPr>
          <w:b/>
        </w:rPr>
        <w:t>ASSURANCES</w:t>
      </w:r>
    </w:p>
    <w:p w:rsidR="00B56BD5" w:rsidRDefault="00B56BD5" w:rsidP="002A3CA7">
      <w:pPr>
        <w:spacing w:line="240" w:lineRule="auto"/>
        <w:jc w:val="both"/>
      </w:pPr>
      <w:r>
        <w:t xml:space="preserve">Le fournisseur désigné dans le marché devra justifier dans les quinze jours à </w:t>
      </w:r>
      <w:r w:rsidR="00B623D3">
        <w:t xml:space="preserve">compter de la demande du maître </w:t>
      </w:r>
      <w:r>
        <w:t>d'ouvrage d'une assurance couvrant les conséquences pécuniaires de la responsabilité</w:t>
      </w:r>
      <w:r w:rsidR="00B623D3">
        <w:t xml:space="preserve"> civile qu'il encourt vis-à-vis </w:t>
      </w:r>
      <w:r>
        <w:t xml:space="preserve">des tiers et de le pouvoir adjudicateur à la suite de tous les dommages corporels, matériels ou immatériels </w:t>
      </w:r>
      <w:r w:rsidR="00B623D3">
        <w:t xml:space="preserve">survenant </w:t>
      </w:r>
      <w:r>
        <w:t>pendant ou après la livraison des prestations.</w:t>
      </w:r>
    </w:p>
    <w:p w:rsidR="00B623D3" w:rsidRPr="00307F84" w:rsidRDefault="00B623D3" w:rsidP="002A3CA7">
      <w:pPr>
        <w:shd w:val="clear" w:color="auto" w:fill="BFBFBF" w:themeFill="background1" w:themeFillShade="BF"/>
        <w:spacing w:line="240" w:lineRule="auto"/>
        <w:jc w:val="both"/>
        <w:rPr>
          <w:b/>
        </w:rPr>
      </w:pPr>
      <w:r>
        <w:rPr>
          <w:b/>
        </w:rPr>
        <w:t>ARTICLE 11</w:t>
      </w:r>
      <w:r w:rsidRPr="00307F84">
        <w:rPr>
          <w:b/>
        </w:rPr>
        <w:t xml:space="preserve"> -  </w:t>
      </w:r>
      <w:r>
        <w:rPr>
          <w:b/>
        </w:rPr>
        <w:t>LITIGES</w:t>
      </w:r>
    </w:p>
    <w:p w:rsidR="00B56BD5" w:rsidRDefault="00B56BD5" w:rsidP="002A3CA7">
      <w:pPr>
        <w:spacing w:line="240" w:lineRule="auto"/>
        <w:jc w:val="both"/>
      </w:pPr>
      <w:r>
        <w:t>En cas de litige, la loi française est seule applicable.</w:t>
      </w:r>
    </w:p>
    <w:p w:rsidR="00B56BD5" w:rsidRDefault="00B56BD5" w:rsidP="002A3CA7">
      <w:pPr>
        <w:spacing w:line="240" w:lineRule="auto"/>
        <w:jc w:val="both"/>
      </w:pPr>
      <w:r>
        <w:t>Le Tribunal compétent est celui du lieu d</w:t>
      </w:r>
      <w:r w:rsidR="00B623D3">
        <w:t>e livraison des fournitures.</w:t>
      </w:r>
    </w:p>
    <w:p w:rsidR="00B623D3" w:rsidRPr="00307F84" w:rsidRDefault="00B623D3" w:rsidP="002A3CA7">
      <w:pPr>
        <w:shd w:val="clear" w:color="auto" w:fill="BFBFBF" w:themeFill="background1" w:themeFillShade="BF"/>
        <w:spacing w:line="240" w:lineRule="auto"/>
        <w:jc w:val="both"/>
        <w:rPr>
          <w:b/>
        </w:rPr>
      </w:pPr>
      <w:r>
        <w:rPr>
          <w:b/>
        </w:rPr>
        <w:t xml:space="preserve">ARTICLE 12 </w:t>
      </w:r>
      <w:r w:rsidRPr="00307F84">
        <w:rPr>
          <w:b/>
        </w:rPr>
        <w:t xml:space="preserve">-  </w:t>
      </w:r>
      <w:r>
        <w:rPr>
          <w:b/>
        </w:rPr>
        <w:t>RESILIATION DU MARCHE</w:t>
      </w:r>
    </w:p>
    <w:p w:rsidR="00B56BD5" w:rsidRPr="00B623D3" w:rsidRDefault="00B56BD5" w:rsidP="002A3CA7">
      <w:pPr>
        <w:spacing w:line="240" w:lineRule="auto"/>
        <w:jc w:val="both"/>
        <w:rPr>
          <w:b/>
          <w:sz w:val="28"/>
          <w:szCs w:val="28"/>
          <w:u w:val="single"/>
        </w:rPr>
      </w:pPr>
      <w:r w:rsidRPr="00B623D3">
        <w:rPr>
          <w:b/>
          <w:sz w:val="28"/>
          <w:szCs w:val="28"/>
          <w:u w:val="single"/>
        </w:rPr>
        <w:t>12.1. Résiliation pour motif d’</w:t>
      </w:r>
      <w:r w:rsidR="00B623D3" w:rsidRPr="00B623D3">
        <w:rPr>
          <w:b/>
          <w:sz w:val="28"/>
          <w:szCs w:val="28"/>
          <w:u w:val="single"/>
        </w:rPr>
        <w:t>intérêt</w:t>
      </w:r>
      <w:r w:rsidRPr="00B623D3">
        <w:rPr>
          <w:b/>
          <w:sz w:val="28"/>
          <w:szCs w:val="28"/>
          <w:u w:val="single"/>
        </w:rPr>
        <w:t xml:space="preserve"> général</w:t>
      </w:r>
    </w:p>
    <w:p w:rsidR="00B56BD5" w:rsidRDefault="00B56BD5" w:rsidP="002A3CA7">
      <w:pPr>
        <w:spacing w:line="240" w:lineRule="auto"/>
        <w:jc w:val="both"/>
      </w:pPr>
      <w:r>
        <w:t>Dans l’hypothèse d’une résiliation au titre de l’article 33 du CCAG-FCS, sans préjudice de</w:t>
      </w:r>
      <w:r w:rsidR="00B623D3">
        <w:t xml:space="preserve"> l'application des dispositions </w:t>
      </w:r>
      <w:r>
        <w:t xml:space="preserve">des alinéas 2 et 3 de l'article 33 du CCAG FCS, l’indemnité de résiliation est fixée à </w:t>
      </w:r>
      <w:r w:rsidR="00B623D3">
        <w:t xml:space="preserve">5 % du montant initial HT du </w:t>
      </w:r>
      <w:r>
        <w:t>marché diminué du montant HT non révisé des prestations reçues.</w:t>
      </w:r>
    </w:p>
    <w:p w:rsidR="00B56BD5" w:rsidRPr="00B623D3" w:rsidRDefault="00B56BD5" w:rsidP="002A3CA7">
      <w:pPr>
        <w:spacing w:line="240" w:lineRule="auto"/>
        <w:jc w:val="both"/>
        <w:rPr>
          <w:b/>
          <w:sz w:val="28"/>
          <w:szCs w:val="28"/>
          <w:u w:val="single"/>
        </w:rPr>
      </w:pPr>
      <w:r w:rsidRPr="00B623D3">
        <w:rPr>
          <w:b/>
          <w:sz w:val="28"/>
          <w:szCs w:val="28"/>
          <w:u w:val="single"/>
        </w:rPr>
        <w:t>12.2. Résiliation du marché aux torts du titulaire</w:t>
      </w:r>
    </w:p>
    <w:p w:rsidR="00B56BD5" w:rsidRDefault="00B56BD5" w:rsidP="002A3CA7">
      <w:pPr>
        <w:spacing w:line="240" w:lineRule="auto"/>
        <w:jc w:val="both"/>
      </w:pPr>
      <w:r>
        <w:t>▪ En cas de résiliation pour faute il sera fait application des articles 41 et 45 du CCAG FCS avec les précisions</w:t>
      </w:r>
      <w:r w:rsidR="00B623D3">
        <w:t xml:space="preserve"> </w:t>
      </w:r>
      <w:r>
        <w:t>suivantes :</w:t>
      </w:r>
    </w:p>
    <w:p w:rsidR="00B56BD5" w:rsidRDefault="00B56BD5" w:rsidP="002A3CA7">
      <w:pPr>
        <w:spacing w:line="240" w:lineRule="auto"/>
        <w:jc w:val="both"/>
      </w:pPr>
      <w:r>
        <w:t>- Le maître d'ouvrage pourra faire procéder par un tiers à l'exécution des presta</w:t>
      </w:r>
      <w:r w:rsidR="00B623D3">
        <w:t xml:space="preserve">tions prévues par le marché aux </w:t>
      </w:r>
      <w:r>
        <w:t>frais et risques du titulaire dans les conditions définies à l'article 45 du CCAG FCS</w:t>
      </w:r>
      <w:r w:rsidR="00B623D3">
        <w:t xml:space="preserve">. La décision de résiliation le </w:t>
      </w:r>
      <w:r>
        <w:t xml:space="preserve">mentionnera expressément. Dans ce cas, et par dérogation à l'article 43.5 </w:t>
      </w:r>
      <w:r w:rsidR="00B623D3">
        <w:t xml:space="preserve">du CCAG FCS, la notification du </w:t>
      </w:r>
      <w:r>
        <w:t xml:space="preserve">décompte de résiliation par le pouvoir adjudicateur au titulaire doit être faite </w:t>
      </w:r>
      <w:r w:rsidR="00B623D3">
        <w:t xml:space="preserve">au plus tard deux mois après le </w:t>
      </w:r>
      <w:r>
        <w:t>règlement définitif du nouveau marché passé pour l'achèvement des prestations.</w:t>
      </w:r>
    </w:p>
    <w:p w:rsidR="00B56BD5" w:rsidRDefault="00B56BD5" w:rsidP="002A3CA7">
      <w:pPr>
        <w:spacing w:line="240" w:lineRule="auto"/>
        <w:jc w:val="both"/>
      </w:pPr>
      <w:r>
        <w:lastRenderedPageBreak/>
        <w:t>- Le titulaire n'a droit à aucune indemnisation.</w:t>
      </w:r>
    </w:p>
    <w:p w:rsidR="00B56BD5" w:rsidRDefault="00B56BD5" w:rsidP="002A3CA7">
      <w:pPr>
        <w:spacing w:line="240" w:lineRule="auto"/>
        <w:jc w:val="both"/>
      </w:pPr>
      <w:r>
        <w:t>- Par dérogation et en complément des articles 41 et 43.3 du CCAG FCS, l</w:t>
      </w:r>
      <w:r w:rsidR="00B623D3">
        <w:t xml:space="preserve">a fraction des prestations déjà </w:t>
      </w:r>
      <w:r>
        <w:t>accomplies par le titulaire est rémunérée avec un abattement de 10%.</w:t>
      </w:r>
    </w:p>
    <w:p w:rsidR="002A3CA7" w:rsidRDefault="002A3CA7" w:rsidP="002A3CA7">
      <w:pPr>
        <w:spacing w:line="240" w:lineRule="auto"/>
        <w:jc w:val="both"/>
      </w:pPr>
    </w:p>
    <w:p w:rsidR="00324E57" w:rsidRPr="00307F84" w:rsidRDefault="00324E57" w:rsidP="002A3CA7">
      <w:pPr>
        <w:shd w:val="clear" w:color="auto" w:fill="BFBFBF" w:themeFill="background1" w:themeFillShade="BF"/>
        <w:spacing w:line="240" w:lineRule="auto"/>
        <w:jc w:val="both"/>
        <w:rPr>
          <w:b/>
        </w:rPr>
      </w:pPr>
      <w:r>
        <w:rPr>
          <w:b/>
        </w:rPr>
        <w:t>ARTICLE 13</w:t>
      </w:r>
      <w:r w:rsidRPr="00307F84">
        <w:rPr>
          <w:b/>
        </w:rPr>
        <w:t xml:space="preserve"> -  </w:t>
      </w:r>
      <w:r>
        <w:rPr>
          <w:b/>
        </w:rPr>
        <w:t>CLAUSES DE REEXAMEN</w:t>
      </w:r>
    </w:p>
    <w:p w:rsidR="00B56BD5" w:rsidRDefault="00B56BD5" w:rsidP="002A3CA7">
      <w:pPr>
        <w:spacing w:line="240" w:lineRule="auto"/>
        <w:jc w:val="both"/>
      </w:pPr>
      <w:r>
        <w:t>En complément des clauses permettant le réexamen du marché qui pourraient être incl</w:t>
      </w:r>
      <w:r w:rsidR="00324E57">
        <w:t xml:space="preserve">uses dans d’autres dispositions </w:t>
      </w:r>
      <w:r>
        <w:t>du marché, il est convenu entre les parties la mise en œuvre des clauses de réexamen suivantes.</w:t>
      </w:r>
    </w:p>
    <w:p w:rsidR="00B56BD5" w:rsidRPr="00324E57" w:rsidRDefault="00B56BD5" w:rsidP="002A3CA7">
      <w:pPr>
        <w:spacing w:line="240" w:lineRule="auto"/>
        <w:jc w:val="both"/>
        <w:rPr>
          <w:b/>
          <w:sz w:val="28"/>
          <w:szCs w:val="28"/>
          <w:u w:val="single"/>
        </w:rPr>
      </w:pPr>
      <w:r w:rsidRPr="00324E57">
        <w:rPr>
          <w:b/>
          <w:sz w:val="28"/>
          <w:szCs w:val="28"/>
          <w:u w:val="single"/>
        </w:rPr>
        <w:t>13.1. Remplacement du titulaire initial pa</w:t>
      </w:r>
      <w:r w:rsidR="00324E57">
        <w:rPr>
          <w:b/>
          <w:sz w:val="28"/>
          <w:szCs w:val="28"/>
          <w:u w:val="single"/>
        </w:rPr>
        <w:t xml:space="preserve">r un nouveau titulaire en cours </w:t>
      </w:r>
      <w:r w:rsidRPr="00324E57">
        <w:rPr>
          <w:b/>
          <w:sz w:val="28"/>
          <w:szCs w:val="28"/>
          <w:u w:val="single"/>
        </w:rPr>
        <w:t>d’exécution</w:t>
      </w:r>
    </w:p>
    <w:p w:rsidR="00B56BD5" w:rsidRDefault="00B56BD5" w:rsidP="002A3CA7">
      <w:pPr>
        <w:spacing w:line="240" w:lineRule="auto"/>
        <w:jc w:val="both"/>
      </w:pPr>
      <w:r>
        <w:t>Le titulaire unique pourra proposer au pouvoir adjudicateur la substitution d’un nouveau titulaire afin de le remplacer.</w:t>
      </w:r>
    </w:p>
    <w:p w:rsidR="00B56BD5" w:rsidRDefault="00B56BD5" w:rsidP="002A3CA7">
      <w:pPr>
        <w:spacing w:line="240" w:lineRule="auto"/>
        <w:jc w:val="both"/>
      </w:pPr>
      <w:r>
        <w:t>Ce remplacement pourra intervenir, après accord entre les parties, dans les hypothèses suivantes :</w:t>
      </w:r>
    </w:p>
    <w:p w:rsidR="00B56BD5" w:rsidRDefault="00324E57" w:rsidP="002A3CA7">
      <w:pPr>
        <w:spacing w:line="240" w:lineRule="auto"/>
        <w:jc w:val="both"/>
      </w:pPr>
      <w:r>
        <w:t>- cessation d’activité</w:t>
      </w:r>
    </w:p>
    <w:p w:rsidR="00B56BD5" w:rsidRDefault="00324E57" w:rsidP="002A3CA7">
      <w:pPr>
        <w:spacing w:line="240" w:lineRule="auto"/>
        <w:jc w:val="both"/>
      </w:pPr>
      <w:r>
        <w:t>- cession de contrat</w:t>
      </w:r>
    </w:p>
    <w:p w:rsidR="00B56BD5" w:rsidRDefault="00324E57" w:rsidP="002A3CA7">
      <w:pPr>
        <w:spacing w:line="240" w:lineRule="auto"/>
        <w:jc w:val="both"/>
      </w:pPr>
      <w:r>
        <w:t>- décès</w:t>
      </w:r>
    </w:p>
    <w:p w:rsidR="00B56BD5" w:rsidRDefault="00B56BD5" w:rsidP="002A3CA7">
      <w:pPr>
        <w:spacing w:line="240" w:lineRule="auto"/>
        <w:jc w:val="both"/>
      </w:pPr>
      <w:r>
        <w:t>- difficultés techniques (affectant les moyens humains et/ou matériels) et/ou fi</w:t>
      </w:r>
      <w:r w:rsidR="00324E57">
        <w:t xml:space="preserve">nancières empêchant ou risquant </w:t>
      </w:r>
      <w:r>
        <w:t>d’empêcher la mise en œuvre des obligations contractuelles,</w:t>
      </w:r>
    </w:p>
    <w:p w:rsidR="00B56BD5" w:rsidRDefault="00B56BD5" w:rsidP="002A3CA7">
      <w:pPr>
        <w:spacing w:line="240" w:lineRule="auto"/>
        <w:jc w:val="both"/>
      </w:pPr>
      <w:r>
        <w:t>- défaillance dans l’exécution des obligations contractuelles.</w:t>
      </w:r>
    </w:p>
    <w:p w:rsidR="00B56BD5" w:rsidRDefault="00B56BD5" w:rsidP="002A3CA7">
      <w:pPr>
        <w:spacing w:line="240" w:lineRule="auto"/>
        <w:jc w:val="both"/>
      </w:pPr>
      <w:r>
        <w:t xml:space="preserve">Le pouvoir adjudicateur vérifiera que le remplaçant proposé ne relève pas d’un des cas </w:t>
      </w:r>
      <w:r w:rsidR="00324E57">
        <w:t xml:space="preserve">d’interdiction de soumissionner </w:t>
      </w:r>
      <w:r>
        <w:t>et appréciera ses capacités professionnelles, techniques et financières, sur la b</w:t>
      </w:r>
      <w:r w:rsidR="00324E57">
        <w:t xml:space="preserve">ase des mêmes pièces que celles </w:t>
      </w:r>
      <w:r>
        <w:t>produites par le titulaire.</w:t>
      </w:r>
    </w:p>
    <w:p w:rsidR="00B56BD5" w:rsidRDefault="00B56BD5" w:rsidP="002A3CA7">
      <w:pPr>
        <w:spacing w:line="240" w:lineRule="auto"/>
        <w:jc w:val="both"/>
      </w:pPr>
      <w:r>
        <w:t xml:space="preserve">A l’issue de cet examen, le pouvoir adjudicateur acceptera ou non la mise en </w:t>
      </w:r>
      <w:r w:rsidR="00324E57">
        <w:t xml:space="preserve">œuvre de la substitution. Cette </w:t>
      </w:r>
      <w:r>
        <w:t>substitution ne pourra emporter d’autres modifications substantielles au marché.</w:t>
      </w:r>
    </w:p>
    <w:p w:rsidR="00B56BD5" w:rsidRDefault="00B56BD5" w:rsidP="002A3CA7">
      <w:pPr>
        <w:spacing w:line="240" w:lineRule="auto"/>
        <w:jc w:val="both"/>
      </w:pPr>
      <w:r>
        <w:t>Dans le cadre d’un groupement, cette même possibilité est offerte à chacun d</w:t>
      </w:r>
      <w:r w:rsidR="00324E57">
        <w:t xml:space="preserve">es membres du groupement, après </w:t>
      </w:r>
      <w:r>
        <w:t>accord de l’ensemble des membres sur la substitution.</w:t>
      </w:r>
    </w:p>
    <w:p w:rsidR="00B56BD5" w:rsidRDefault="00B56BD5" w:rsidP="002A3CA7">
      <w:pPr>
        <w:spacing w:line="240" w:lineRule="auto"/>
        <w:jc w:val="both"/>
      </w:pPr>
      <w:r>
        <w:t>Le remplaçant proposé pourra être :</w:t>
      </w:r>
    </w:p>
    <w:p w:rsidR="00B56BD5" w:rsidRDefault="00B56BD5" w:rsidP="002A3CA7">
      <w:pPr>
        <w:spacing w:line="240" w:lineRule="auto"/>
        <w:jc w:val="both"/>
      </w:pPr>
      <w:r>
        <w:t>- dans le cadre d’un groupement conjoint : soit un des membres du groupement, soit une entreprise tierce.</w:t>
      </w:r>
    </w:p>
    <w:p w:rsidR="00B56BD5" w:rsidRDefault="00B56BD5" w:rsidP="002A3CA7">
      <w:pPr>
        <w:spacing w:line="240" w:lineRule="auto"/>
        <w:jc w:val="both"/>
      </w:pPr>
      <w:r>
        <w:t>- dans le cadre d’un groupement solidaire : une entreprise tierce.</w:t>
      </w:r>
    </w:p>
    <w:p w:rsidR="00B56BD5" w:rsidRPr="00324E57" w:rsidRDefault="00B56BD5" w:rsidP="002A3CA7">
      <w:pPr>
        <w:spacing w:line="240" w:lineRule="auto"/>
        <w:jc w:val="both"/>
        <w:rPr>
          <w:sz w:val="24"/>
          <w:szCs w:val="24"/>
          <w:u w:val="single"/>
        </w:rPr>
      </w:pPr>
      <w:r w:rsidRPr="00324E57">
        <w:rPr>
          <w:sz w:val="24"/>
          <w:szCs w:val="24"/>
          <w:u w:val="single"/>
        </w:rPr>
        <w:t>Conséquences de l’absence d’accord d’un des membres du groupement ou du pouvoir adjudicateur sur la</w:t>
      </w:r>
      <w:r w:rsidR="00324E57" w:rsidRPr="00324E57">
        <w:rPr>
          <w:sz w:val="24"/>
          <w:szCs w:val="24"/>
          <w:u w:val="single"/>
        </w:rPr>
        <w:t xml:space="preserve"> substitution :</w:t>
      </w:r>
    </w:p>
    <w:p w:rsidR="00B56BD5" w:rsidRDefault="00B56BD5" w:rsidP="002A3CA7">
      <w:pPr>
        <w:spacing w:line="240" w:lineRule="auto"/>
        <w:jc w:val="both"/>
      </w:pPr>
      <w:r>
        <w:t>- dans le cadre d’un groupement solidaire : la défaillance d’un cotraitant em</w:t>
      </w:r>
      <w:r w:rsidR="00324E57">
        <w:t xml:space="preserve">portera automatiquement mise en </w:t>
      </w:r>
      <w:r>
        <w:t>œuvre de la solidarité des autres membres du groupement</w:t>
      </w:r>
    </w:p>
    <w:p w:rsidR="00B56BD5" w:rsidRDefault="00B56BD5" w:rsidP="002A3CA7">
      <w:pPr>
        <w:spacing w:line="240" w:lineRule="auto"/>
        <w:jc w:val="both"/>
      </w:pPr>
      <w:r>
        <w:t>- dans le cadre d’un groupement conjoint : la part non exécutée du cotraitant défaillant sera résiliée ; les</w:t>
      </w:r>
      <w:r w:rsidR="00324E57">
        <w:t xml:space="preserve"> autres </w:t>
      </w:r>
      <w:r>
        <w:t>membres poursuivront la réalisation de la part des prestations qui leur ont été confiées.</w:t>
      </w:r>
    </w:p>
    <w:p w:rsidR="00B56BD5" w:rsidRDefault="00B56BD5" w:rsidP="002A3CA7">
      <w:pPr>
        <w:spacing w:line="240" w:lineRule="auto"/>
        <w:jc w:val="both"/>
      </w:pPr>
      <w:r>
        <w:t>Si la substitution vise le mandataire du groupement, le groupement recomposé désigne un nouveau mandataire.</w:t>
      </w:r>
    </w:p>
    <w:p w:rsidR="00B56BD5" w:rsidRDefault="00B56BD5" w:rsidP="002A3CA7">
      <w:pPr>
        <w:spacing w:line="240" w:lineRule="auto"/>
        <w:jc w:val="both"/>
      </w:pPr>
      <w:r>
        <w:lastRenderedPageBreak/>
        <w:t>A défaut,</w:t>
      </w:r>
    </w:p>
    <w:p w:rsidR="00B56BD5" w:rsidRDefault="00B56BD5" w:rsidP="002A3CA7">
      <w:pPr>
        <w:spacing w:line="240" w:lineRule="auto"/>
        <w:jc w:val="both"/>
      </w:pPr>
      <w:r>
        <w:t>- dans le cas du groupement solidaire ou du groupement conjoint sans mandatai</w:t>
      </w:r>
      <w:r w:rsidR="00324E57">
        <w:t xml:space="preserve">re solidaire : le cocontractant </w:t>
      </w:r>
      <w:r>
        <w:t>énuméré en deuxième position dans l'acte d'engagement initial devient le nouveau mandataire du groupement.</w:t>
      </w:r>
    </w:p>
    <w:p w:rsidR="00B56BD5" w:rsidRDefault="00B56BD5" w:rsidP="002A3CA7">
      <w:pPr>
        <w:spacing w:line="240" w:lineRule="auto"/>
        <w:jc w:val="both"/>
      </w:pPr>
      <w:r>
        <w:t>- dans le cas du groupement conjoint avec mandataire solidaire, le pouvoir adjudicateur se réserve la possibilité :</w:t>
      </w:r>
    </w:p>
    <w:p w:rsidR="00B56BD5" w:rsidRDefault="00B56BD5" w:rsidP="002A3CA7">
      <w:pPr>
        <w:spacing w:line="240" w:lineRule="auto"/>
        <w:jc w:val="both"/>
      </w:pPr>
      <w:r>
        <w:t>- soit de laisser la possibilité aux membres de groupement de poursuivre leur</w:t>
      </w:r>
      <w:r w:rsidR="00324E57">
        <w:t xml:space="preserve">s prestations après désignation </w:t>
      </w:r>
      <w:r>
        <w:t>d’un mandataire non solidaire ; le cocontractant énuméré en deuxième po</w:t>
      </w:r>
      <w:r w:rsidR="00324E57">
        <w:t xml:space="preserve">sition dans l'acte d'engagement </w:t>
      </w:r>
      <w:r>
        <w:t>initial devient le nouveau mandataire du groupement</w:t>
      </w:r>
    </w:p>
    <w:p w:rsidR="00B56BD5" w:rsidRDefault="00B56BD5" w:rsidP="002A3CA7">
      <w:pPr>
        <w:spacing w:line="240" w:lineRule="auto"/>
        <w:jc w:val="both"/>
      </w:pPr>
      <w:r>
        <w:t>- de prononcer la résiliation sans faute, mais sans indemnité.</w:t>
      </w:r>
    </w:p>
    <w:p w:rsidR="00B56BD5" w:rsidRPr="00324E57" w:rsidRDefault="00B56BD5" w:rsidP="002A3CA7">
      <w:pPr>
        <w:spacing w:line="240" w:lineRule="auto"/>
        <w:jc w:val="both"/>
        <w:rPr>
          <w:b/>
          <w:sz w:val="28"/>
          <w:szCs w:val="28"/>
          <w:u w:val="single"/>
        </w:rPr>
      </w:pPr>
      <w:r w:rsidRPr="00324E57">
        <w:rPr>
          <w:b/>
          <w:sz w:val="28"/>
          <w:szCs w:val="28"/>
          <w:u w:val="single"/>
        </w:rPr>
        <w:t>13.2. Remplacement du mandataire du groupement en cours d’exécution</w:t>
      </w:r>
    </w:p>
    <w:p w:rsidR="00B56BD5" w:rsidRDefault="00B56BD5" w:rsidP="002A3CA7">
      <w:pPr>
        <w:spacing w:line="240" w:lineRule="auto"/>
        <w:jc w:val="both"/>
      </w:pPr>
      <w:r>
        <w:t xml:space="preserve">Ces modalités de substitution s’appliquent au cas de la </w:t>
      </w:r>
      <w:r w:rsidR="00481480">
        <w:t>défaillance</w:t>
      </w:r>
      <w:r>
        <w:t xml:space="preserve"> du mandataire da</w:t>
      </w:r>
      <w:r w:rsidR="00481480">
        <w:t xml:space="preserve">ns l’exécution de sa mission de </w:t>
      </w:r>
      <w:r>
        <w:t>coordination et de représentation des autres membres du groupement, par dérogation à l’article 3.5 du CCAG FCS.</w:t>
      </w:r>
    </w:p>
    <w:p w:rsidR="00481480" w:rsidRPr="00307F84" w:rsidRDefault="00481480" w:rsidP="002A3CA7">
      <w:pPr>
        <w:shd w:val="clear" w:color="auto" w:fill="BFBFBF" w:themeFill="background1" w:themeFillShade="BF"/>
        <w:spacing w:line="240" w:lineRule="auto"/>
        <w:jc w:val="both"/>
        <w:rPr>
          <w:b/>
        </w:rPr>
      </w:pPr>
      <w:r>
        <w:rPr>
          <w:b/>
        </w:rPr>
        <w:t>ARTICLE 14</w:t>
      </w:r>
      <w:r w:rsidRPr="00307F84">
        <w:rPr>
          <w:b/>
        </w:rPr>
        <w:t xml:space="preserve"> </w:t>
      </w:r>
      <w:r>
        <w:rPr>
          <w:b/>
        </w:rPr>
        <w:t>–</w:t>
      </w:r>
      <w:r w:rsidRPr="00307F84">
        <w:rPr>
          <w:b/>
        </w:rPr>
        <w:t xml:space="preserve"> </w:t>
      </w:r>
      <w:r>
        <w:rPr>
          <w:b/>
        </w:rPr>
        <w:t>REGLEMENT DES DIFFERENDS ET DES LITIGES</w:t>
      </w:r>
    </w:p>
    <w:p w:rsidR="00B56BD5" w:rsidRDefault="00B56BD5" w:rsidP="002A3CA7">
      <w:pPr>
        <w:spacing w:line="240" w:lineRule="auto"/>
        <w:jc w:val="both"/>
      </w:pPr>
      <w:r>
        <w:t>Avant toute saisine du juge, les parties devront tenter de régler le litige les opp</w:t>
      </w:r>
      <w:r w:rsidR="00481480">
        <w:t xml:space="preserve">osant par le biais d’un mode de </w:t>
      </w:r>
      <w:r>
        <w:t>règ</w:t>
      </w:r>
      <w:r w:rsidR="00F65F9F">
        <w:t>lement alternatif des différends</w:t>
      </w:r>
      <w:r>
        <w:t xml:space="preserve"> dans les conditions définies aux articles L.2197-1 </w:t>
      </w:r>
      <w:r w:rsidR="00481480">
        <w:t xml:space="preserve">à 2197-7 du code de la commande </w:t>
      </w:r>
      <w:r>
        <w:t>publique, selon la nature du contrat en cause.</w:t>
      </w:r>
    </w:p>
    <w:p w:rsidR="00B56BD5" w:rsidRDefault="00B56BD5" w:rsidP="002A3CA7">
      <w:pPr>
        <w:spacing w:line="240" w:lineRule="auto"/>
        <w:jc w:val="both"/>
      </w:pPr>
      <w:r>
        <w:t>En cas d’échec de règlement du litige :</w:t>
      </w:r>
    </w:p>
    <w:p w:rsidR="00B56BD5" w:rsidRDefault="00B56BD5" w:rsidP="002A3CA7">
      <w:pPr>
        <w:spacing w:line="240" w:lineRule="auto"/>
        <w:jc w:val="both"/>
      </w:pPr>
      <w:r>
        <w:rPr>
          <w:rFonts w:ascii="Segoe UI Symbol" w:hAnsi="Segoe UI Symbol" w:cs="Segoe UI Symbol"/>
        </w:rPr>
        <w:t>➢</w:t>
      </w:r>
      <w:r>
        <w:t xml:space="preserve"> Les litiges relatifs à l'exécution du présent marché seront soumis à la compétence du juge administratif.</w:t>
      </w:r>
    </w:p>
    <w:p w:rsidR="00481480" w:rsidRPr="00307F84" w:rsidRDefault="00481480" w:rsidP="002A3CA7">
      <w:pPr>
        <w:shd w:val="clear" w:color="auto" w:fill="BFBFBF" w:themeFill="background1" w:themeFillShade="BF"/>
        <w:spacing w:line="240" w:lineRule="auto"/>
        <w:jc w:val="both"/>
        <w:rPr>
          <w:b/>
        </w:rPr>
      </w:pPr>
      <w:r>
        <w:rPr>
          <w:b/>
        </w:rPr>
        <w:t>ARTICLE 15</w:t>
      </w:r>
      <w:r w:rsidRPr="00307F84">
        <w:rPr>
          <w:b/>
        </w:rPr>
        <w:t xml:space="preserve"> -  </w:t>
      </w:r>
      <w:r>
        <w:rPr>
          <w:b/>
        </w:rPr>
        <w:t>DEROGATIONS AUX DOCUMENTS GENERAUX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481480" w:rsidTr="00481480">
        <w:tc>
          <w:tcPr>
            <w:tcW w:w="4531" w:type="dxa"/>
          </w:tcPr>
          <w:p w:rsidR="00481480" w:rsidRPr="00481480" w:rsidRDefault="00481480" w:rsidP="002A3CA7">
            <w:pPr>
              <w:jc w:val="both"/>
              <w:rPr>
                <w:b/>
              </w:rPr>
            </w:pPr>
            <w:r w:rsidRPr="00481480">
              <w:rPr>
                <w:b/>
              </w:rPr>
              <w:t>Articles du CCAG-FCS auxquels il est dérogé</w:t>
            </w:r>
          </w:p>
        </w:tc>
        <w:tc>
          <w:tcPr>
            <w:tcW w:w="4531" w:type="dxa"/>
          </w:tcPr>
          <w:p w:rsidR="00481480" w:rsidRPr="00481480" w:rsidRDefault="00481480" w:rsidP="002A3CA7">
            <w:pPr>
              <w:jc w:val="both"/>
              <w:rPr>
                <w:b/>
              </w:rPr>
            </w:pPr>
            <w:r w:rsidRPr="00481480">
              <w:rPr>
                <w:b/>
              </w:rPr>
              <w:t>Articles du CCAP par lesquels sont introduites ces dérogations</w:t>
            </w:r>
          </w:p>
          <w:p w:rsidR="00481480" w:rsidRPr="00481480" w:rsidRDefault="00481480" w:rsidP="002A3CA7">
            <w:pPr>
              <w:jc w:val="both"/>
              <w:rPr>
                <w:b/>
              </w:rPr>
            </w:pPr>
          </w:p>
        </w:tc>
      </w:tr>
      <w:tr w:rsidR="00481480" w:rsidTr="00481480">
        <w:tc>
          <w:tcPr>
            <w:tcW w:w="4531" w:type="dxa"/>
          </w:tcPr>
          <w:p w:rsidR="00481480" w:rsidRDefault="00481480" w:rsidP="002A3CA7">
            <w:pPr>
              <w:jc w:val="both"/>
            </w:pPr>
            <w:r>
              <w:t>4.1</w:t>
            </w:r>
          </w:p>
        </w:tc>
        <w:tc>
          <w:tcPr>
            <w:tcW w:w="4531" w:type="dxa"/>
          </w:tcPr>
          <w:p w:rsidR="00481480" w:rsidRDefault="00481480" w:rsidP="002A3CA7">
            <w:pPr>
              <w:jc w:val="both"/>
            </w:pPr>
            <w:r>
              <w:t>3.1</w:t>
            </w:r>
          </w:p>
        </w:tc>
      </w:tr>
      <w:tr w:rsidR="00481480" w:rsidTr="00481480">
        <w:tc>
          <w:tcPr>
            <w:tcW w:w="4531" w:type="dxa"/>
          </w:tcPr>
          <w:p w:rsidR="00481480" w:rsidRDefault="00481480" w:rsidP="002A3CA7">
            <w:pPr>
              <w:jc w:val="both"/>
            </w:pPr>
            <w:r>
              <w:t>14.1.1</w:t>
            </w:r>
          </w:p>
        </w:tc>
        <w:tc>
          <w:tcPr>
            <w:tcW w:w="4531" w:type="dxa"/>
          </w:tcPr>
          <w:p w:rsidR="00481480" w:rsidRDefault="00481480" w:rsidP="002A3CA7">
            <w:pPr>
              <w:jc w:val="both"/>
            </w:pPr>
            <w:r>
              <w:t>9.1</w:t>
            </w:r>
          </w:p>
        </w:tc>
      </w:tr>
      <w:tr w:rsidR="00481480" w:rsidTr="00481480">
        <w:tc>
          <w:tcPr>
            <w:tcW w:w="4531" w:type="dxa"/>
          </w:tcPr>
          <w:p w:rsidR="00481480" w:rsidRDefault="00481480" w:rsidP="002A3CA7">
            <w:pPr>
              <w:jc w:val="both"/>
            </w:pPr>
            <w:r>
              <w:t>14.1.1</w:t>
            </w:r>
          </w:p>
        </w:tc>
        <w:tc>
          <w:tcPr>
            <w:tcW w:w="4531" w:type="dxa"/>
          </w:tcPr>
          <w:p w:rsidR="00481480" w:rsidRDefault="00481480" w:rsidP="002A3CA7">
            <w:pPr>
              <w:jc w:val="both"/>
            </w:pPr>
            <w:r>
              <w:t>9.2</w:t>
            </w:r>
          </w:p>
        </w:tc>
      </w:tr>
      <w:tr w:rsidR="00481480" w:rsidTr="00481480">
        <w:tc>
          <w:tcPr>
            <w:tcW w:w="4531" w:type="dxa"/>
          </w:tcPr>
          <w:p w:rsidR="00481480" w:rsidRDefault="00481480" w:rsidP="002A3CA7">
            <w:pPr>
              <w:jc w:val="both"/>
            </w:pPr>
            <w:r>
              <w:t>41,43.3 et 43.5</w:t>
            </w:r>
          </w:p>
        </w:tc>
        <w:tc>
          <w:tcPr>
            <w:tcW w:w="4531" w:type="dxa"/>
          </w:tcPr>
          <w:p w:rsidR="00481480" w:rsidRDefault="00481480" w:rsidP="002A3CA7">
            <w:pPr>
              <w:jc w:val="both"/>
            </w:pPr>
            <w:r>
              <w:t>12.2</w:t>
            </w:r>
          </w:p>
        </w:tc>
      </w:tr>
      <w:tr w:rsidR="00481480" w:rsidTr="00481480">
        <w:tc>
          <w:tcPr>
            <w:tcW w:w="4531" w:type="dxa"/>
          </w:tcPr>
          <w:p w:rsidR="00481480" w:rsidRDefault="00481480" w:rsidP="002A3CA7">
            <w:pPr>
              <w:jc w:val="both"/>
            </w:pPr>
            <w:r>
              <w:t>3.5</w:t>
            </w:r>
          </w:p>
        </w:tc>
        <w:tc>
          <w:tcPr>
            <w:tcW w:w="4531" w:type="dxa"/>
          </w:tcPr>
          <w:p w:rsidR="00481480" w:rsidRDefault="00481480" w:rsidP="002A3CA7">
            <w:pPr>
              <w:jc w:val="both"/>
            </w:pPr>
            <w:r>
              <w:t>13.2</w:t>
            </w:r>
          </w:p>
        </w:tc>
      </w:tr>
    </w:tbl>
    <w:p w:rsidR="002A3CA7" w:rsidRDefault="002A3CA7" w:rsidP="002A3CA7">
      <w:pPr>
        <w:spacing w:line="240" w:lineRule="auto"/>
        <w:jc w:val="both"/>
      </w:pPr>
    </w:p>
    <w:p w:rsidR="00B56BD5" w:rsidRDefault="00B56BD5" w:rsidP="002A3CA7">
      <w:pPr>
        <w:spacing w:line="240" w:lineRule="auto"/>
        <w:jc w:val="both"/>
      </w:pPr>
      <w:r>
        <w:t>Fait à ...............................................................</w:t>
      </w:r>
    </w:p>
    <w:p w:rsidR="00B56BD5" w:rsidRDefault="00B56BD5" w:rsidP="002A3CA7">
      <w:pPr>
        <w:spacing w:line="240" w:lineRule="auto"/>
        <w:jc w:val="both"/>
      </w:pPr>
      <w:r>
        <w:t>"Lu et Accepté"</w:t>
      </w:r>
    </w:p>
    <w:p w:rsidR="0018009E" w:rsidRDefault="00B56BD5" w:rsidP="002A3CA7">
      <w:pPr>
        <w:spacing w:line="240" w:lineRule="auto"/>
        <w:jc w:val="both"/>
      </w:pPr>
      <w:r>
        <w:t>Le fournisse</w:t>
      </w:r>
      <w:r w:rsidR="002A3CA7">
        <w:t>ur</w:t>
      </w:r>
    </w:p>
    <w:sectPr w:rsidR="001800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7F84" w:rsidRDefault="00307F84" w:rsidP="00307F84">
      <w:pPr>
        <w:spacing w:after="0" w:line="240" w:lineRule="auto"/>
      </w:pPr>
      <w:r>
        <w:separator/>
      </w:r>
    </w:p>
  </w:endnote>
  <w:endnote w:type="continuationSeparator" w:id="0">
    <w:p w:rsidR="00307F84" w:rsidRDefault="00307F84" w:rsidP="00307F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7F84" w:rsidRDefault="00307F84" w:rsidP="00307F84">
      <w:pPr>
        <w:spacing w:after="0" w:line="240" w:lineRule="auto"/>
      </w:pPr>
      <w:r>
        <w:separator/>
      </w:r>
    </w:p>
  </w:footnote>
  <w:footnote w:type="continuationSeparator" w:id="0">
    <w:p w:rsidR="00307F84" w:rsidRDefault="00307F84" w:rsidP="00307F8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330466"/>
    <w:multiLevelType w:val="hybridMultilevel"/>
    <w:tmpl w:val="8B76BCD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8E06E20"/>
    <w:multiLevelType w:val="hybridMultilevel"/>
    <w:tmpl w:val="0D805158"/>
    <w:lvl w:ilvl="0" w:tplc="0A8AB6D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6BD5"/>
    <w:rsid w:val="00102DA1"/>
    <w:rsid w:val="00126F66"/>
    <w:rsid w:val="002A3CA7"/>
    <w:rsid w:val="00307F84"/>
    <w:rsid w:val="00324E57"/>
    <w:rsid w:val="00472F84"/>
    <w:rsid w:val="00481480"/>
    <w:rsid w:val="008B73C6"/>
    <w:rsid w:val="00913AA7"/>
    <w:rsid w:val="009806E3"/>
    <w:rsid w:val="00A14837"/>
    <w:rsid w:val="00A355C8"/>
    <w:rsid w:val="00A37BF8"/>
    <w:rsid w:val="00B56BD5"/>
    <w:rsid w:val="00B623D3"/>
    <w:rsid w:val="00BB111B"/>
    <w:rsid w:val="00BB648D"/>
    <w:rsid w:val="00BC6FEA"/>
    <w:rsid w:val="00C53D9B"/>
    <w:rsid w:val="00DF0ACD"/>
    <w:rsid w:val="00F32157"/>
    <w:rsid w:val="00F65F9F"/>
    <w:rsid w:val="00F76A2C"/>
    <w:rsid w:val="00F80E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7E67D9"/>
  <w15:chartTrackingRefBased/>
  <w15:docId w15:val="{2A74112B-BFB9-45AF-8649-6CB16BE302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307F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07F84"/>
  </w:style>
  <w:style w:type="paragraph" w:styleId="Pieddepage">
    <w:name w:val="footer"/>
    <w:basedOn w:val="Normal"/>
    <w:link w:val="PieddepageCar"/>
    <w:uiPriority w:val="99"/>
    <w:unhideWhenUsed/>
    <w:rsid w:val="00307F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07F84"/>
  </w:style>
  <w:style w:type="paragraph" w:styleId="Paragraphedeliste">
    <w:name w:val="List Paragraph"/>
    <w:basedOn w:val="Normal"/>
    <w:uiPriority w:val="34"/>
    <w:qFormat/>
    <w:rsid w:val="00BB648D"/>
    <w:pPr>
      <w:ind w:left="720"/>
      <w:contextualSpacing/>
    </w:pPr>
  </w:style>
  <w:style w:type="table" w:styleId="Grilledutableau">
    <w:name w:val="Table Grid"/>
    <w:basedOn w:val="TableauNormal"/>
    <w:uiPriority w:val="39"/>
    <w:rsid w:val="009806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10</Pages>
  <Words>3255</Words>
  <Characters>17907</Characters>
  <Application>Microsoft Office Word</Application>
  <DocSecurity>0</DocSecurity>
  <Lines>149</Lines>
  <Paragraphs>42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École Nationale Vétérinaire de Toulouse</Company>
  <LinksUpToDate>false</LinksUpToDate>
  <CharactersWithSpaces>21120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shaffani</dc:creator>
  <cp:keywords/>
  <dc:description/>
  <cp:lastModifiedBy>shaffani</cp:lastModifiedBy>
  <cp:revision>10</cp:revision>
  <dcterms:created xsi:type="dcterms:W3CDTF">2025-09-05T06:48:00Z</dcterms:created>
  <dcterms:modified xsi:type="dcterms:W3CDTF">2025-09-10T10:05:00Z</dcterms:modified>
</cp:coreProperties>
</file>