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D9E4767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consommables Fablab</w:t>
            </w:r>
          </w:p>
          <w:p w14:paraId="6C262DF4" w14:textId="77777777" w:rsidR="00BA0826" w:rsidRDefault="00BA0826" w:rsidP="00BA08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E0D4CD" w14:textId="77777777" w:rsidR="00482250" w:rsidRDefault="00BA0826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DG25.14</w:t>
            </w:r>
          </w:p>
          <w:p w14:paraId="67E9232E" w14:textId="77777777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1F0ECA3B" w:rsidR="00535EBC" w:rsidRDefault="00535EBC" w:rsidP="00BA082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535EBC">
              <w:rPr>
                <w:rFonts w:ascii="Trebuchet MS" w:eastAsia="Trebuchet MS" w:hAnsi="Trebuchet MS" w:cs="Trebuchet MS"/>
                <w:b/>
                <w:color w:val="000000"/>
                <w:szCs w:val="22"/>
              </w:rPr>
              <w:t>Lot 1 - Consommables pour imprimantes 3D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770EFE3" w14:textId="625BD88F" w:rsidR="000E6D1F" w:rsidRDefault="000E6D1F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E61015" w14:textId="0403D099" w:rsidR="00BA0826" w:rsidRDefault="00BA0826" w:rsidP="00D908C9">
      <w:pPr>
        <w:rPr>
          <w:rFonts w:ascii="Trebuchet MS" w:eastAsia="Trebuchet MS" w:hAnsi="Trebuchet MS" w:cs="Trebuchet MS"/>
          <w:b/>
          <w:color w:val="000000"/>
        </w:rPr>
      </w:pPr>
    </w:p>
    <w:p w14:paraId="21661E54" w14:textId="65A63E73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B6BBFD" w14:textId="3E569634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ACD12B3" w14:textId="48530D48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5315C19" w14:textId="41A6F5DC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B64B4C" w14:textId="44736452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DC8318" w14:textId="3B9DF960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674A08E" w14:textId="334048C5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4347798" w14:textId="2BDCEDBE" w:rsidR="00BA0826" w:rsidRDefault="00BA0826" w:rsidP="000E6D1F">
      <w:pPr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9D48B07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E660D0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261CDA2A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3BEA457D" w14:textId="77777777" w:rsidR="00BA0826" w:rsidRDefault="00BA0826" w:rsidP="00BA082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2D64A9A" w14:textId="77777777" w:rsidR="000E6D1F" w:rsidRDefault="000E6D1F" w:rsidP="00046502">
      <w:pPr>
        <w:pStyle w:val="Standard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08ADCEE6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 xml:space="preserve">Valeur technique : </w:t>
      </w:r>
    </w:p>
    <w:p w14:paraId="29C984E6" w14:textId="6072FA3B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046502">
        <w:rPr>
          <w:rFonts w:ascii="Calibri" w:hAnsi="Calibri"/>
          <w:b/>
        </w:rPr>
        <w:t>35</w:t>
      </w:r>
      <w:r w:rsidR="009F08E6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14D30156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2.1-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 xml:space="preserve">Modalités et processus de commande </w:t>
      </w:r>
      <w:r>
        <w:rPr>
          <w:rFonts w:ascii="Trebuchet MS" w:eastAsia="Trebuchet MS" w:hAnsi="Trebuchet MS" w:cs="Trebuchet MS"/>
          <w:i/>
          <w:color w:val="000000"/>
          <w:sz w:val="20"/>
        </w:rPr>
        <w:t>(10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165CB7C9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2.2-</w:t>
      </w:r>
      <w:r w:rsidR="00046502" w:rsidRPr="00046502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046502">
        <w:rPr>
          <w:rFonts w:ascii="Trebuchet MS" w:eastAsia="Trebuchet MS" w:hAnsi="Trebuchet MS" w:cs="Trebuchet MS"/>
          <w:i/>
          <w:color w:val="000000"/>
          <w:sz w:val="20"/>
        </w:rPr>
        <w:t>Diversités des gammes proposées</w:t>
      </w:r>
      <w:r w:rsidR="00046502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1</w:t>
      </w:r>
      <w:r w:rsidR="00046502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5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088E5F91" w:rsidR="00985DF1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rPr>
          <w:rFonts w:eastAsia="Times New Roman"/>
          <w:i/>
          <w:iCs/>
          <w:lang w:eastAsia="fr-FR"/>
        </w:rPr>
        <w:t xml:space="preserve">   2.3 - </w:t>
      </w:r>
      <w:r>
        <w:rPr>
          <w:rFonts w:ascii="Trebuchet MS" w:eastAsia="Trebuchet MS" w:hAnsi="Trebuchet MS" w:cs="Trebuchet MS"/>
          <w:i/>
          <w:color w:val="000000"/>
          <w:sz w:val="20"/>
        </w:rPr>
        <w:t>Qualité du rendu après utilisation du fil (jugé sur la base des échantillons fournis)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(10 points)</w:t>
      </w:r>
      <w:r w:rsidR="004F5425" w:rsidRPr="004F5425">
        <w:rPr>
          <w:rFonts w:eastAsia="Times New Roman"/>
          <w:i/>
          <w:iCs/>
          <w:lang w:eastAsia="fr-FR"/>
        </w:rPr>
        <w:t xml:space="preserve"> 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1B8BBA66" w14:textId="1C9A3200" w:rsidR="00046502" w:rsidRPr="009F08E6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3 : </w:t>
      </w:r>
      <w:r>
        <w:rPr>
          <w:rFonts w:ascii="Calibri" w:hAnsi="Calibri"/>
          <w:szCs w:val="24"/>
        </w:rPr>
        <w:t xml:space="preserve">Délais de livraison optimisés : </w:t>
      </w:r>
      <w:r>
        <w:rPr>
          <w:rFonts w:ascii="Calibri" w:hAnsi="Calibri"/>
          <w:b/>
          <w:szCs w:val="24"/>
        </w:rPr>
        <w:t>15</w:t>
      </w:r>
      <w:r w:rsidRPr="009C734D">
        <w:rPr>
          <w:rFonts w:ascii="Calibri" w:hAnsi="Calibri"/>
          <w:b/>
          <w:szCs w:val="24"/>
        </w:rPr>
        <w:t xml:space="preserve"> points</w:t>
      </w:r>
    </w:p>
    <w:p w14:paraId="690F842B" w14:textId="2E359884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4CDF8E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9106C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7BDCE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8BFA4" w14:textId="3353A029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89DD13C" w14:textId="3780876F" w:rsidR="00046502" w:rsidRDefault="00046502" w:rsidP="0004650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4 : </w:t>
      </w:r>
      <w:r w:rsidRPr="00046502">
        <w:rPr>
          <w:rFonts w:ascii="Calibri" w:hAnsi="Calibri"/>
        </w:rPr>
        <w:t xml:space="preserve">Responsabilité environnementale en lien avec l'objet du marché </w:t>
      </w:r>
      <w:r>
        <w:rPr>
          <w:rFonts w:ascii="Calibri" w:hAnsi="Calibri"/>
        </w:rPr>
        <w:t xml:space="preserve">: </w:t>
      </w:r>
      <w:r>
        <w:rPr>
          <w:rFonts w:ascii="Calibri" w:hAnsi="Calibri"/>
          <w:b/>
        </w:rPr>
        <w:t>10</w:t>
      </w:r>
      <w:r w:rsidRPr="001E72DB">
        <w:rPr>
          <w:rFonts w:ascii="Calibri" w:hAnsi="Calibri"/>
          <w:b/>
        </w:rPr>
        <w:t xml:space="preserve"> </w:t>
      </w:r>
      <w:r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046502" w:rsidRPr="009F08E6" w14:paraId="171A8B6C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4970B4C0" w14:textId="77777777" w:rsidR="00046502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03D30E4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2D89708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A26FFCC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530128C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40444BBE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046502" w:rsidRPr="009F08E6" w14:paraId="14FE1785" w14:textId="77777777" w:rsidTr="00423B14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70636814" w14:textId="77777777" w:rsidR="00046502" w:rsidRPr="009D2E08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309CA9CC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2ACB8F" w14:textId="77777777" w:rsidR="00046502" w:rsidRDefault="00046502" w:rsidP="00423B14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CFD542" w14:textId="77777777" w:rsidR="00046502" w:rsidRDefault="00046502" w:rsidP="00423B14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353A8B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21399C0" w14:textId="77777777" w:rsidR="00046502" w:rsidRPr="009F08E6" w:rsidRDefault="00046502" w:rsidP="00423B14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2A340483" w14:textId="77777777" w:rsidR="00046502" w:rsidRDefault="0004650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4DA469ED" w:rsidR="009F08E6" w:rsidRP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046502">
        <w:rPr>
          <w:rFonts w:ascii="Calibri" w:hAnsi="Calibri"/>
          <w:szCs w:val="24"/>
          <w:u w:val="single"/>
        </w:rPr>
        <w:t>5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>Responsabilité sociétale</w:t>
      </w:r>
      <w:r w:rsidR="00046502">
        <w:rPr>
          <w:rFonts w:ascii="Calibri" w:hAnsi="Calibri"/>
          <w:szCs w:val="24"/>
        </w:rPr>
        <w:t xml:space="preserve"> </w:t>
      </w:r>
      <w:r w:rsidR="00046502">
        <w:rPr>
          <w:rFonts w:ascii="Trebuchet MS" w:eastAsia="Trebuchet MS" w:hAnsi="Trebuchet MS" w:cs="Trebuchet MS"/>
          <w:color w:val="000000"/>
          <w:sz w:val="20"/>
        </w:rPr>
        <w:t>en lien avec l'objet du marché</w:t>
      </w:r>
      <w:r w:rsidR="00DF1B92">
        <w:rPr>
          <w:rFonts w:ascii="Calibri" w:hAnsi="Calibri"/>
          <w:szCs w:val="24"/>
        </w:rPr>
        <w:t xml:space="preserve"> : </w:t>
      </w:r>
      <w:r w:rsidR="00046502">
        <w:rPr>
          <w:rFonts w:ascii="Calibri" w:hAnsi="Calibri"/>
          <w:b/>
          <w:szCs w:val="24"/>
        </w:rPr>
        <w:t>5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7EBCD145" w14:textId="08A03EC7" w:rsidR="001E72DB" w:rsidRDefault="00046502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5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.1-Actions sur l’égalité Femmes-hommes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>2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06EB98B7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Performance environnementale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270ABF7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052A4AB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4CB54253" w:rsidR="00B41868" w:rsidRDefault="00B41868" w:rsidP="00B41868">
            <w:pPr>
              <w:pStyle w:val="RedTxt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BE37C7" w14:textId="77777777" w:rsidR="00046502" w:rsidRDefault="00046502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6D0DEBF8" w14:textId="367AB59B" w:rsidR="00046502" w:rsidRDefault="00046502" w:rsidP="0004650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5</w:t>
      </w: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(2 points)</w:t>
      </w:r>
    </w:p>
    <w:p w14:paraId="4A226C86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A2C05" w14:textId="77777777" w:rsidR="00046502" w:rsidRDefault="00046502" w:rsidP="000465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77F68" w14:textId="77777777" w:rsidR="00046502" w:rsidRDefault="00046502" w:rsidP="00046502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F661C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0D4D3C42" w14:textId="77777777" w:rsidR="00046502" w:rsidRDefault="00046502" w:rsidP="00046502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70D5BA8" w14:textId="3708938D" w:rsidR="00046502" w:rsidRPr="009D2E08" w:rsidRDefault="00046502" w:rsidP="00046502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5</w:t>
      </w: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(1 points)</w:t>
      </w:r>
    </w:p>
    <w:p w14:paraId="71070F3D" w14:textId="77777777" w:rsidR="00046502" w:rsidRDefault="00046502" w:rsidP="00046502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700B89" w14:textId="36E080BC" w:rsidR="00046502" w:rsidRDefault="00046502" w:rsidP="00046502">
      <w:pPr>
        <w:pStyle w:val="Standard"/>
      </w:pPr>
    </w:p>
    <w:p w14:paraId="06823844" w14:textId="1A776269" w:rsidR="00046502" w:rsidRDefault="00046502" w:rsidP="00046502">
      <w:pPr>
        <w:pStyle w:val="Standard"/>
      </w:pPr>
    </w:p>
    <w:p w14:paraId="1781E3D4" w14:textId="77777777" w:rsidR="00046502" w:rsidRPr="00FF066C" w:rsidRDefault="00046502" w:rsidP="00046502">
      <w:pPr>
        <w:rPr>
          <w:lang w:bidi="ar-SA"/>
        </w:rPr>
      </w:pPr>
    </w:p>
    <w:sectPr w:rsidR="00046502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D908C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D908C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D908C9">
    <w:pPr>
      <w:pStyle w:val="Pieddepage"/>
      <w:jc w:val="center"/>
    </w:pPr>
  </w:p>
  <w:p w14:paraId="56B1D9F4" w14:textId="77777777" w:rsidR="00D03B4F" w:rsidRDefault="00D908C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28CE"/>
    <w:rsid w:val="00046502"/>
    <w:rsid w:val="000610E3"/>
    <w:rsid w:val="0008002B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B0EA7"/>
    <w:rsid w:val="004B5661"/>
    <w:rsid w:val="004D7174"/>
    <w:rsid w:val="004F5425"/>
    <w:rsid w:val="005169AD"/>
    <w:rsid w:val="00524957"/>
    <w:rsid w:val="00535EBC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A0826"/>
    <w:rsid w:val="00BB6C00"/>
    <w:rsid w:val="00BB6EAE"/>
    <w:rsid w:val="00BF4EE3"/>
    <w:rsid w:val="00C16B8B"/>
    <w:rsid w:val="00C703EF"/>
    <w:rsid w:val="00CC203B"/>
    <w:rsid w:val="00D035B7"/>
    <w:rsid w:val="00D30D43"/>
    <w:rsid w:val="00D50899"/>
    <w:rsid w:val="00D6702F"/>
    <w:rsid w:val="00D736FC"/>
    <w:rsid w:val="00D908C9"/>
    <w:rsid w:val="00DB6E6B"/>
    <w:rsid w:val="00DC373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2515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cp:lastPrinted>2024-06-14T14:12:00Z</cp:lastPrinted>
  <dcterms:created xsi:type="dcterms:W3CDTF">2025-09-04T13:03:00Z</dcterms:created>
  <dcterms:modified xsi:type="dcterms:W3CDTF">2025-09-04T13:38:00Z</dcterms:modified>
</cp:coreProperties>
</file>