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pt;height:66pt">
            <v:imagedata r:id="rId4" o:title=""/>
            <o:lock v:ext="edit" aspectratio="f"/>
          </v:shape>
        </w:pic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4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MARCHÉ PUBLIC DE TRAVAUX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spacing w:line="322" w:lineRule="exact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>Travaux d'entretien et de restauration de l'écluse de Bruay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Arial" w:eastAsia="Arial" w:hAnsi="Arial" w:cs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VOIES NAVIGABLES DE FRANCE 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37, rue du Plat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BP 725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59034 LILLE Cedex</w:t>
      </w:r>
    </w:p>
    <w:p>
      <w:pPr>
        <w:pStyle w:val="Normal"/>
        <w:bidi w:val="0"/>
        <w:spacing w:line="276" w:lineRule="exact"/>
        <w:ind w:left="0" w:right="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D0C0C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D0C0C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Travaux d'entretien et de restauration de l'écluse de Bruay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Procédure adaptée ouverte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Marché public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 unitaires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Avec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Avec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eastAsia="Arial" w:ascii="Arial" w:hAnsi="Arial" w:cs="Arial"/>
            <w:lang w:val="fr-FR"/>
          </w:rPr>
          <w:t>1 - Identification de l'acheteur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eastAsia="Arial" w:ascii="Arial" w:hAnsi="Arial" w:cs="Arial"/>
            <w:lang w:val="fr-FR"/>
          </w:rPr>
          <w:t>2 - Identification du co-contractant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4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eastAsia="Arial" w:ascii="Arial" w:hAnsi="Arial" w:cs="Arial"/>
            <w:lang w:val="fr-FR"/>
          </w:rPr>
          <w:t>3 - Dispositions générales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eastAsia="Arial" w:ascii="Arial" w:hAnsi="Arial" w:cs="Arial"/>
            <w:lang w:val="fr-FR"/>
          </w:rPr>
          <w:t>3.1 - Objet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_Toc256000003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eastAsia="Arial" w:ascii="Arial" w:hAnsi="Arial" w:cs="Arial"/>
            <w:lang w:val="fr-FR"/>
          </w:rPr>
          <w:t>3.2 - Mode de passation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_Toc256000004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eastAsia="Arial" w:ascii="Arial" w:hAnsi="Arial" w:cs="Arial"/>
            <w:lang w:val="fr-FR"/>
          </w:rPr>
          <w:t>3.3 - Forme de contrat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_Toc256000005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eastAsia="Arial" w:ascii="Arial" w:hAnsi="Arial" w:cs="Arial"/>
            <w:lang w:val="fr-FR"/>
          </w:rPr>
          <w:t>4 - Prix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_Toc256000006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eastAsia="Arial" w:ascii="Arial" w:hAnsi="Arial" w:cs="Arial"/>
            <w:lang w:val="fr-FR"/>
          </w:rPr>
          <w:t>5 - Durée et Délais d'exécution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_Toc256000007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eastAsia="Arial" w:ascii="Arial" w:hAnsi="Arial" w:cs="Arial"/>
            <w:lang w:val="fr-FR"/>
          </w:rPr>
          <w:t>6 - Paiement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_Toc256000008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6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eastAsia="Arial" w:ascii="Arial" w:hAnsi="Arial" w:cs="Arial"/>
            <w:lang w:val="fr-FR"/>
          </w:rPr>
          <w:t>7 - Avance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_Toc256000009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eastAsia="Arial" w:ascii="Arial" w:hAnsi="Arial" w:cs="Arial"/>
            <w:lang w:val="fr-FR"/>
          </w:rPr>
          <w:t>8 - Nomenclature(s)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_Toc256000010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eastAsia="Arial" w:ascii="Arial" w:hAnsi="Arial" w:cs="Arial"/>
            <w:lang w:val="fr-FR"/>
          </w:rPr>
          <w:t>9 - Signature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_Toc256000011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9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Hyperlink"/>
            <w:rFonts w:eastAsia="Arial" w:ascii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hAnsi="Arial" w:cs="Arial" w:eastAsia="Arial"/>
          </w:rPr>
          <w:tab/>
        </w:r>
        <w:r>
          <w:rPr>
            <w:rFonts w:ascii="Arial" w:hAnsi="Arial" w:cs="Arial" w:eastAsia="Arial"/>
          </w:rPr>
          <w:fldChar w:fldCharType="begin"/>
        </w:r>
        <w:r>
          <w:rPr>
            <w:rFonts w:ascii="Arial" w:hAnsi="Arial" w:cs="Arial" w:eastAsia="Arial"/>
          </w:rPr>
          <w:instrText xml:space="preserve"> PAGEREF _Toc256000012 \h </w:instrText>
        </w:r>
        <w:r>
          <w:rPr>
            <w:rFonts w:ascii="Arial" w:hAnsi="Arial" w:cs="Arial" w:eastAsia="Arial"/>
          </w:rPr>
          <w:fldChar w:fldCharType="separate"/>
        </w:r>
        <w:r>
          <w:rPr>
            <w:rFonts w:ascii="Arial" w:hAnsi="Arial" w:cs="Arial" w:eastAsia="Arial"/>
          </w:rPr>
          <w:t>11</w:t>
        </w:r>
        <w:r>
          <w:rPr>
            <w:rFonts w:ascii="Arial" w:hAnsi="Arial" w:cs="Arial" w:eastAsia="Arial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Nom de l'organisme : VOIES NAVIGABLES DE FRANCE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Personne habilitée à donner les renseignements relatifs aux nantissements et cessions de créances : Le Représentant du Pouvoir Adjudicateur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Ordonnateur : Madame La Directrice générale de Voies Navigables de France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Comptable assignataire des paiements : Monsieur l'Agent Comptable de Voies Navigables de France, 175 rue Ludovic Boutleux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BP 30820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62408 BETHUNE</w:t>
      </w:r>
    </w:p>
    <w:p>
      <w:pPr>
        <w:pStyle w:val="ParagrapheIndent1"/>
        <w:pBdr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maîtrise d'œuvre sera assurée par le maître de l'ouvrage lui-même.</w:t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0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0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0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0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0" w:line="240" w:lineRule="exact"/>
        <w:rPr>
          <w:sz w:val="24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0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0" w:lineRule="exact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  <w:cr/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Travaux d'entretien et de restauration de l'écluse de Bruay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Les prestations concernent :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- La restauration des vantaux amont de l’écluse comprenant la mise à sec de la tête amont, la dépose des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portes amont, les travaux de désamiantage et de remise en peinture des portes amont ;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- La restauration de joints de bajoyers ;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- Les réparations sur le génie civil existant et le remplacement de cornières métalliques ;</w:t>
      </w:r>
    </w:p>
    <w:p>
      <w:pPr>
        <w:pStyle w:val="ParagrapheIndent2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- La restauration de lisses de guidage ;</w:t>
      </w:r>
    </w:p>
    <w:p>
      <w:pPr>
        <w:pStyle w:val="ParagrapheIndent2"/>
        <w:pBdr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- La mise en place de seuils métalliques à batardeaux dans les chambres de vanne.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Arial" w:eastAsia="Arial" w:hAnsi="Arial" w:cs="Arial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Il s'agit d'un marché ordinaire.</w:t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Les prestations seront rémunérées par application aux quantités réellement exécutées des prix unitaires fixés dans le bordereau des prix.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L'évaluation de l'ensemble des prestations à exécuter est </w:t>
      </w:r>
      <w:r>
        <w:rPr>
          <w:rFonts w:ascii="Arial" w:eastAsia="Arial" w:hAnsi="Arial" w:cs="Arial"/>
          <w:b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40"/>
        <w:ind w:left="500" w:right="52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0" w:line="240" w:lineRule="exact"/>
        <w:rPr>
          <w:sz w:val="24"/>
        </w:rPr>
      </w:pP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6" w:id="14"/>
      <w:bookmarkEnd w:id="14"/>
      <w:bookmarkStart w:name="_Toc256000007" w:id="15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5 - Durée et Délais d'exécution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durée du marché et le délai d'exécution sont définis à l’article 5 du CCAP.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délai d'exécution débutera à compter de la date fixée dans le CCAP.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8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 aucune case n'est cochée, ou si les deux cases sont cochées, le pouvoir adjudicateur considérera que seules les dispositions du CCAP s'appliquent.</w:t>
        <w:cr/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9" w:id="18"/>
      <w:bookmarkEnd w:id="18"/>
      <w:bookmarkStart w:name="_Toc256000009" w:id="19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7 - Avance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candidat renonce au bénéfice de l'avance (cocher la case correspondante)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NON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OUI</w:t>
            </w:r>
          </w:p>
        </w:tc>
      </w:tr>
    </w:tbl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11" w:id="20"/>
      <w:bookmarkEnd w:id="20"/>
      <w:bookmarkStart w:name="_Toc256000010" w:id="21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8 - Nomenclature(s)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45262330-3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Travaux de réparation d'ouvrages en béton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45248000-7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Travaux de construction d'ouvrages hydromécaniques</w:t>
            </w: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left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E-3-A14" w:id="22"/>
      <w:bookmarkEnd w:id="22"/>
      <w:bookmarkStart w:name="_Toc256000011" w:id="23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9 - Signature</w:t>
      </w:r>
      <w:bookmarkEnd w:id="2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ENGAGEMENT DU CANDIDAT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.....................................................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...................................................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Signature du candidat, du mandataire ou des membres du groupement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 Merci de ne pas verrouiller l'acte d'engagement après signature électronique, afin de faciliter la signature de VNF.   </w:t>
      </w: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L'AUTORITE CHARGEE DU CONTROLE BUDGETAIRE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  A Paris, Le ................................    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 </w:t>
      </w:r>
    </w:p>
    <w:p>
      <w:pPr>
        <w:pStyle w:val="ParagrapheIndent1"/>
        <w:pBdr>
          <w:bottom w:val="none" w:sz="0" w:space="0" w:color="auto"/>
        </w:pBdr>
        <w:bidi w:val="0"/>
        <w:spacing w:after="240"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 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Arial" w:eastAsia="Arial" w:hAnsi="Arial" w:cs="Arial"/>
          <w:b/>
          <w:i w:val="0"/>
          <w:strike w:val="0"/>
          <w:color w:val="000000"/>
          <w:sz w:val="20"/>
          <w:u w:val="singl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montant global de l'offre acceptée par le pouvoir adjudicateur est porté à :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100"/>
        <w:gridCol w:w="20"/>
        <w:gridCol w:w="4760"/>
        <w:gridCol w:w="1320"/>
      </w:tblGrid>
      <w:tr>
        <w:tblPrEx>
          <w:tblW w:w="0" w:type="auto"/>
          <w:tblInd w:w="5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Euros</w:t>
            </w:r>
          </w:p>
        </w:tc>
      </w:tr>
      <w:tr>
        <w:tblPrEx>
          <w:tblW w:w="0" w:type="auto"/>
          <w:tblInd w:w="500" w:type="dxa"/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Borders>
              <w:right w:val="none" w:sz="0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40" w:after="240"/>
        <w:ind w:left="500" w:right="52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Signature du représentant du pouvoir adjudicateur, habilité par un arrêté du ....................</w:t>
      </w:r>
    </w:p>
    <w:p>
      <w:pPr>
        <w:pStyle w:val="style1010"/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9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ParagrapheIndent1"/>
        <w:pBdr>
          <w:top w:val="none" w:sz="0" w:space="0" w:color="auto"/>
        </w:pBdr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0" w:lineRule="exact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30" w:lineRule="exact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style1010"/>
        <w:pBdr>
          <w:top w:val="none" w:sz="0" w:space="0" w:color="auto"/>
        </w:pBdr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0" w:lineRule="exact"/>
        <w:ind w:left="0" w:right="20"/>
        <w:jc w:val="center"/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1380" w:right="1140" w:bottom="1140" w:left="1140" w:header="1380" w:footer="1140"/>
          <w:cols w:space="708"/>
        </w:sectPr>
      </w:pPr>
      <w:r>
        <w:rPr>
          <w:rFonts w:ascii="Arial" w:eastAsia="Arial" w:hAnsi="Arial" w:cs="Arial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Signature</w:t>
      </w:r>
      <w:r>
        <w:rPr>
          <w:rFonts w:ascii="Arial" w:eastAsia="Arial" w:hAnsi="Arial" w:cs="Arial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Arial" w:eastAsia="Arial" w:hAnsi="Arial" w:cs="Arial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3155A4" w:fill="3155A4"/>
        <w:bidi w:val="0"/>
        <w:spacing w:after="120" w:before="0"/>
        <w:ind w:left="0" w:right="0"/>
        <w:jc w:val="center"/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</w:pPr>
      <w:bookmarkStart w:name="ArtL1_A-CT" w:id="24"/>
      <w:bookmarkEnd w:id="24"/>
      <w:bookmarkStart w:name="_Toc256000012" w:id="25"/>
      <w:r>
        <w:rPr>
          <w:rFonts w:ascii="Arial" w:eastAsia="Arial" w:hAnsi="Arial" w:cs="Arial"/>
          <w:b/>
          <w:i w:val="0"/>
          <w:strike w:val="0"/>
          <w:color w:val="0D0C0C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5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80" w:line="230" w:lineRule="exact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val="none" w:sz="0" w:space="0" w:color="auto"/>
              </w:pBdr>
              <w:bidi w:val="0"/>
              <w:spacing w:before="80" w:after="20" w:line="230" w:lineRule="exact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Le montant est estimatif car le marché est à prix unitaires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both"/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Arial" w:eastAsia="Arial" w:hAnsi="Arial" w:cs="Arial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both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Consultation n°: CP25-Bruay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Page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 sur 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11</w:t>
          </w:r>
          <w:r>
            <w:rPr>
              <w:rFonts w:ascii="Arial" w:eastAsia="Arial" w:hAnsi="Arial" w:cs="Arial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  <w:szCs w:val="24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  <w:szCs w:val="24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  <w:szCs w:val="24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  <w:szCs w:val="24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  <w:szCs w:val="24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  <w:szCs w:val="24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footer" Target="footer4.xml"/><Relationship Id="rId8" Type="http://schemas.openxmlformats.org/officeDocument/2006/relationships/image" Target="media/image5.png"/><Relationship Id="rId26" Type="http://schemas.openxmlformats.org/officeDocument/2006/relationships/customXml" Target="../customXml/item3.xml"/><Relationship Id="rId21" Type="http://schemas.openxmlformats.org/officeDocument/2006/relationships/footer" Target="footer7.xml"/><Relationship Id="rId3" Type="http://schemas.openxmlformats.org/officeDocument/2006/relationships/fontTable" Target="fontTable.xml"/><Relationship Id="rId12" Type="http://schemas.openxmlformats.org/officeDocument/2006/relationships/image" Target="media/image9.png"/><Relationship Id="rId17" Type="http://schemas.openxmlformats.org/officeDocument/2006/relationships/footer" Target="footer3.xml"/><Relationship Id="rId7" Type="http://schemas.openxmlformats.org/officeDocument/2006/relationships/image" Target="media/image4.png"/><Relationship Id="rId25" Type="http://schemas.openxmlformats.org/officeDocument/2006/relationships/customXml" Target="../customXml/item2.xml"/><Relationship Id="rId16" Type="http://schemas.openxmlformats.org/officeDocument/2006/relationships/footer" Target="footer2.xml"/><Relationship Id="rId2" Type="http://schemas.openxmlformats.org/officeDocument/2006/relationships/webSettings" Target="webSettings.xml"/><Relationship Id="rId20" Type="http://schemas.openxmlformats.org/officeDocument/2006/relationships/footer" Target="footer6.xml"/><Relationship Id="rId1" Type="http://schemas.openxmlformats.org/officeDocument/2006/relationships/settings" Target="settings.xml"/><Relationship Id="rId11" Type="http://schemas.openxmlformats.org/officeDocument/2006/relationships/image" Target="media/image8.png"/><Relationship Id="rId6" Type="http://schemas.openxmlformats.org/officeDocument/2006/relationships/image" Target="media/image3.png"/><Relationship Id="rId24" Type="http://schemas.openxmlformats.org/officeDocument/2006/relationships/customXml" Target="../customXml/item1.xml"/><Relationship Id="rId15" Type="http://schemas.openxmlformats.org/officeDocument/2006/relationships/footer" Target="footer1.xml"/><Relationship Id="rId23" Type="http://schemas.openxmlformats.org/officeDocument/2006/relationships/styles" Target="styles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19" Type="http://schemas.openxmlformats.org/officeDocument/2006/relationships/footer" Target="footer5.xml"/><Relationship Id="rId14" Type="http://schemas.openxmlformats.org/officeDocument/2006/relationships/image" Target="media/image11.png"/><Relationship Id="rId22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Props1.xml><?xml version="1.0" encoding="utf-8"?>
<ds:datastoreItem xmlns:ds="http://schemas.openxmlformats.org/officeDocument/2006/customXml" ds:itemID="{67FAA13E-67C0-41E2-A2C4-DFC7F6584E0F}"/>
</file>

<file path=customXml/itemProps2.xml><?xml version="1.0" encoding="utf-8"?>
<ds:datastoreItem xmlns:ds="http://schemas.openxmlformats.org/officeDocument/2006/customXml" ds:itemID="{8E192084-A0C2-4DCD-9D83-D74B73DBA5BC}"/>
</file>

<file path=customXml/itemProps3.xml><?xml version="1.0" encoding="utf-8"?>
<ds:datastoreItem xmlns:ds="http://schemas.openxmlformats.org/officeDocument/2006/customXml" ds:itemID="{9BF051FD-48E5-42F5-90DB-9BD80352E0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</Properties>
</file>