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01" w:rsidRDefault="005E0CC4">
      <w:pPr>
        <w:spacing w:after="120" w:line="480" w:lineRule="auto"/>
        <w:jc w:val="center"/>
        <w:rPr>
          <w:rFonts w:ascii="Arial Narrow" w:eastAsia="Times New Roman" w:hAnsi="Arial Narrow" w:cs="Arial"/>
          <w:b/>
          <w:color w:val="000080"/>
          <w:sz w:val="24"/>
          <w:szCs w:val="24"/>
          <w:lang w:eastAsia="fr-FR"/>
        </w:rPr>
      </w:pPr>
      <w:bookmarkStart w:id="0" w:name="_GoBack"/>
      <w:bookmarkEnd w:id="0"/>
      <w:r>
        <w:rPr>
          <w:rFonts w:ascii="Arial Narrow" w:eastAsia="Times New Roman" w:hAnsi="Arial Narrow" w:cs="Arial"/>
          <w:b/>
          <w:color w:val="000080"/>
          <w:sz w:val="24"/>
          <w:szCs w:val="24"/>
          <w:lang w:eastAsia="fr-FR"/>
        </w:rPr>
        <w:t>Sorbonne Université</w:t>
      </w:r>
    </w:p>
    <w:p w:rsidR="00B54901" w:rsidRDefault="005E0CC4">
      <w:pPr>
        <w:spacing w:after="120" w:line="480" w:lineRule="auto"/>
        <w:jc w:val="center"/>
        <w:rPr>
          <w:rFonts w:ascii="Arial Narrow" w:eastAsia="Times New Roman" w:hAnsi="Arial Narrow" w:cs="Arial"/>
          <w:b/>
          <w:color w:val="000080"/>
          <w:sz w:val="24"/>
          <w:szCs w:val="24"/>
          <w:lang w:eastAsia="fr-FR"/>
        </w:rPr>
      </w:pPr>
      <w:r>
        <w:rPr>
          <w:rFonts w:ascii="Arial Narrow" w:eastAsia="Times New Roman" w:hAnsi="Arial Narrow" w:cs="Arial"/>
          <w:b/>
          <w:color w:val="000080"/>
          <w:sz w:val="24"/>
          <w:szCs w:val="24"/>
          <w:lang w:eastAsia="fr-FR"/>
        </w:rPr>
        <w:t>FR3761 – IMEV</w:t>
      </w:r>
    </w:p>
    <w:p w:rsidR="00B54901" w:rsidRDefault="00B54901">
      <w:pPr>
        <w:spacing w:after="0" w:line="240" w:lineRule="auto"/>
        <w:ind w:left="708" w:right="-28"/>
        <w:jc w:val="center"/>
        <w:rPr>
          <w:rFonts w:ascii="Arial" w:eastAsia="Times New Roman" w:hAnsi="Arial" w:cs="Arial"/>
          <w:b/>
          <w:sz w:val="44"/>
          <w:szCs w:val="44"/>
          <w:lang w:eastAsia="fr-FR"/>
        </w:rPr>
      </w:pPr>
    </w:p>
    <w:p w:rsidR="00B54901" w:rsidRDefault="005E0CC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Réf : SU-IMEV_2025_PLTF02</w:t>
      </w:r>
    </w:p>
    <w:p w:rsidR="00B54901" w:rsidRDefault="00B54901">
      <w:pPr>
        <w:spacing w:after="120" w:line="480" w:lineRule="auto"/>
        <w:jc w:val="center"/>
        <w:rPr>
          <w:rFonts w:ascii="Arial Narrow" w:eastAsia="Times New Roman" w:hAnsi="Arial Narrow" w:cs="Arial"/>
          <w:b/>
          <w:color w:val="000080"/>
          <w:sz w:val="24"/>
          <w:szCs w:val="24"/>
          <w:lang w:eastAsia="fr-FR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B54901">
        <w:trPr>
          <w:trHeight w:val="1791"/>
        </w:trPr>
        <w:tc>
          <w:tcPr>
            <w:tcW w:w="9135" w:type="dxa"/>
            <w:shd w:val="clear" w:color="auto" w:fill="auto"/>
          </w:tcPr>
          <w:p w:rsidR="00B54901" w:rsidRDefault="00B54901">
            <w:pPr>
              <w:spacing w:after="0" w:line="240" w:lineRule="auto"/>
              <w:ind w:right="-28"/>
              <w:jc w:val="center"/>
              <w:rPr>
                <w:rFonts w:ascii="Arial Narrow" w:eastAsia="Times New Roman" w:hAnsi="Arial Narrow" w:cs="Arial"/>
                <w:b/>
                <w:color w:val="000080"/>
                <w:sz w:val="44"/>
                <w:szCs w:val="44"/>
                <w:lang w:eastAsia="fr-FR"/>
              </w:rPr>
            </w:pPr>
          </w:p>
          <w:p w:rsidR="00B54901" w:rsidRDefault="00B54901">
            <w:pPr>
              <w:spacing w:after="0" w:line="240" w:lineRule="auto"/>
              <w:ind w:right="-28"/>
              <w:jc w:val="center"/>
              <w:rPr>
                <w:rFonts w:ascii="Arial Narrow" w:eastAsia="Times New Roman" w:hAnsi="Arial Narrow" w:cs="Arial"/>
                <w:b/>
                <w:color w:val="000080"/>
                <w:sz w:val="44"/>
                <w:szCs w:val="44"/>
                <w:lang w:eastAsia="fr-FR"/>
              </w:rPr>
            </w:pPr>
          </w:p>
          <w:p w:rsidR="00B54901" w:rsidRDefault="005E0CC4">
            <w:pPr>
              <w:spacing w:after="0" w:line="240" w:lineRule="auto"/>
              <w:ind w:right="-28"/>
              <w:jc w:val="center"/>
              <w:rPr>
                <w:rFonts w:ascii="Arial Narrow" w:eastAsia="Times New Roman" w:hAnsi="Arial Narrow" w:cs="Arial"/>
                <w:b/>
                <w:color w:val="000080"/>
                <w:sz w:val="44"/>
                <w:szCs w:val="44"/>
                <w:lang w:eastAsia="fr-FR"/>
              </w:rPr>
            </w:pPr>
            <w:r>
              <w:rPr>
                <w:rFonts w:ascii="Arial Narrow" w:eastAsia="Times New Roman" w:hAnsi="Arial Narrow" w:cs="Arial"/>
                <w:b/>
                <w:color w:val="000080"/>
                <w:sz w:val="44"/>
                <w:szCs w:val="44"/>
                <w:lang w:eastAsia="fr-FR"/>
              </w:rPr>
              <w:t xml:space="preserve">CADRE DE REPONSE TECHNIQUE </w:t>
            </w:r>
          </w:p>
          <w:p w:rsidR="00B54901" w:rsidRDefault="00B54901">
            <w:pPr>
              <w:spacing w:after="0" w:line="240" w:lineRule="auto"/>
              <w:ind w:left="708" w:right="-28"/>
              <w:jc w:val="center"/>
              <w:rPr>
                <w:rFonts w:ascii="Arial Narrow" w:eastAsia="Times New Roman" w:hAnsi="Arial Narrow" w:cs="Arial"/>
                <w:b/>
                <w:sz w:val="44"/>
                <w:szCs w:val="44"/>
                <w:lang w:eastAsia="fr-FR"/>
              </w:rPr>
            </w:pPr>
          </w:p>
          <w:p w:rsidR="00B54901" w:rsidRDefault="005E0CC4">
            <w:pPr>
              <w:ind w:left="237" w:right="236"/>
              <w:jc w:val="center"/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</w:pPr>
            <w:r>
              <w:rPr>
                <w:rFonts w:ascii="Arial Narrow" w:eastAsia="Times New Roman" w:hAnsi="Arial Narrow" w:cs="Arial"/>
                <w:b/>
                <w:sz w:val="28"/>
                <w:szCs w:val="28"/>
                <w:lang w:eastAsia="fr-FR"/>
              </w:rPr>
              <w:t>Acquisition et installation d’un microscope à épifluorescence « timelapse »</w:t>
            </w:r>
          </w:p>
          <w:p w:rsidR="00B54901" w:rsidRDefault="00B54901">
            <w:pPr>
              <w:rPr>
                <w:rFonts w:ascii="Arial Narrow" w:eastAsia="Times New Roman" w:hAnsi="Arial Narrow" w:cs="Arial"/>
                <w:color w:val="000080"/>
                <w:sz w:val="32"/>
                <w:szCs w:val="32"/>
                <w:lang w:eastAsia="fr-FR"/>
              </w:rPr>
            </w:pPr>
          </w:p>
        </w:tc>
      </w:tr>
    </w:tbl>
    <w:p w:rsidR="00B54901" w:rsidRDefault="00B54901">
      <w:pPr>
        <w:pStyle w:val="Corpsdetexte2"/>
        <w:rPr>
          <w:rFonts w:ascii="Arial" w:hAnsi="Arial" w:cs="Arial"/>
          <w:color w:val="000080"/>
        </w:rPr>
      </w:pPr>
    </w:p>
    <w:p w:rsidR="00B54901" w:rsidRDefault="00B54901">
      <w:pPr>
        <w:pStyle w:val="Corpsdetexte"/>
        <w:ind w:right="-28"/>
        <w:rPr>
          <w:rFonts w:ascii="Arial" w:hAnsi="Arial" w:cs="Arial"/>
          <w:b/>
          <w:caps/>
          <w:color w:val="000080"/>
        </w:rPr>
      </w:pPr>
    </w:p>
    <w:p w:rsidR="00B54901" w:rsidRDefault="00B54901">
      <w:pPr>
        <w:pStyle w:val="Corpsdetexte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0" w:color="000000"/>
        </w:pBdr>
        <w:shd w:val="clear" w:color="auto" w:fill="FFFFFF" w:themeFill="background1"/>
        <w:ind w:right="-28"/>
        <w:jc w:val="center"/>
        <w:rPr>
          <w:rFonts w:ascii="Arial" w:hAnsi="Arial" w:cs="Arial"/>
          <w:b/>
        </w:rPr>
      </w:pPr>
    </w:p>
    <w:p w:rsidR="00B54901" w:rsidRDefault="005E0CC4">
      <w:pPr>
        <w:pStyle w:val="Corpsdetexte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0" w:color="000000"/>
        </w:pBdr>
        <w:shd w:val="clear" w:color="auto" w:fill="FFFFFF" w:themeFill="background1"/>
        <w:ind w:right="-28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Le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>soumissionnaire indique, dans le présent document, les prestations qu’il s’engage à mettre en œuvre dans le cadre de l’exécution du présent marché.</w:t>
      </w:r>
    </w:p>
    <w:p w:rsidR="00B54901" w:rsidRDefault="00B54901">
      <w:pPr>
        <w:pStyle w:val="Corpsdetexte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0" w:color="000000"/>
        </w:pBdr>
        <w:shd w:val="clear" w:color="auto" w:fill="FFFFFF" w:themeFill="background1"/>
        <w:ind w:right="-28"/>
        <w:jc w:val="center"/>
        <w:rPr>
          <w:rFonts w:ascii="Arial Narrow" w:hAnsi="Arial Narrow" w:cs="Arial"/>
          <w:b/>
          <w:sz w:val="28"/>
          <w:szCs w:val="28"/>
        </w:rPr>
      </w:pPr>
    </w:p>
    <w:p w:rsidR="00B54901" w:rsidRDefault="005E0CC4">
      <w:pPr>
        <w:pStyle w:val="Corpsdetexte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2" w:color="000000"/>
        </w:pBdr>
        <w:shd w:val="clear" w:color="auto" w:fill="FFFFFF" w:themeFill="background1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Chaque élément est évalué sur la base des réponses apportées dans le présent cadre de réponse et tous docum</w:t>
      </w:r>
      <w:r>
        <w:rPr>
          <w:rFonts w:ascii="Arial Narrow" w:hAnsi="Arial Narrow" w:cs="Arial"/>
          <w:b/>
          <w:sz w:val="28"/>
          <w:szCs w:val="28"/>
        </w:rPr>
        <w:t>ents ou fiches techniques joints par le soumissionnaire permettant de vérifier la conformité de l’offre au besoin exprimé dans l’avis de publicité.</w:t>
      </w:r>
    </w:p>
    <w:p w:rsidR="00B54901" w:rsidRDefault="005E0CC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 w:clear="all"/>
      </w:r>
    </w:p>
    <w:p w:rsidR="00B54901" w:rsidRDefault="005E0CC4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right="-28"/>
        <w:rPr>
          <w:rFonts w:ascii="Arial" w:eastAsia="Times New Roman" w:hAnsi="Arial" w:cs="Arial"/>
          <w:bCs/>
          <w:color w:val="323E4F" w:themeColor="text2" w:themeShade="BF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4472C4" w:themeColor="accent1"/>
          <w:sz w:val="24"/>
          <w:szCs w:val="24"/>
          <w:lang w:eastAsia="fr-FR"/>
        </w:rPr>
        <w:lastRenderedPageBreak/>
        <w:t>Désignation du soumissionnaire</w:t>
      </w:r>
      <w:r>
        <w:rPr>
          <w:rFonts w:ascii="Arial" w:eastAsia="Times New Roman" w:hAnsi="Arial" w:cs="Arial"/>
          <w:bCs/>
          <w:sz w:val="24"/>
          <w:szCs w:val="24"/>
          <w:lang w:eastAsia="fr-FR"/>
        </w:rPr>
        <w:t>/</w:t>
      </w:r>
      <w:r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bCs/>
          <w:color w:val="323E4F" w:themeColor="text2" w:themeShade="BF"/>
          <w:sz w:val="24"/>
          <w:szCs w:val="24"/>
          <w:lang w:eastAsia="fr-FR"/>
        </w:rPr>
        <w:t xml:space="preserve">Designation of the tenderer: </w:t>
      </w:r>
    </w:p>
    <w:tbl>
      <w:tblPr>
        <w:tblStyle w:val="Grilledutableau"/>
        <w:tblW w:w="9923" w:type="dxa"/>
        <w:tblInd w:w="-14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5E0CC4">
      <w:pPr>
        <w:pStyle w:val="Corpsdetexte"/>
        <w:pBdr>
          <w:top w:val="none" w:sz="4" w:space="30" w:color="000000"/>
        </w:pBdr>
        <w:ind w:right="-28"/>
        <w:jc w:val="both"/>
        <w:rPr>
          <w:rFonts w:ascii="Arial" w:hAnsi="Arial" w:cs="Arial"/>
        </w:rPr>
      </w:pPr>
      <w:r>
        <w:rPr>
          <w:rFonts w:ascii="Arial" w:hAnsi="Arial" w:cs="Arial"/>
        </w:rPr>
        <w:t>Le soumissionnaire est invité à répondre le plus précisément aux demandes suivantes :</w:t>
      </w:r>
    </w:p>
    <w:p w:rsidR="00B54901" w:rsidRDefault="00B54901">
      <w:pPr>
        <w:pStyle w:val="Corpsdetexte"/>
        <w:pBdr>
          <w:top w:val="none" w:sz="4" w:space="30" w:color="000000"/>
        </w:pBdr>
        <w:ind w:right="-28"/>
        <w:jc w:val="both"/>
        <w:rPr>
          <w:rFonts w:ascii="Arial" w:hAnsi="Arial" w:cs="Arial"/>
        </w:rPr>
      </w:pPr>
    </w:p>
    <w:p w:rsidR="00B54901" w:rsidRDefault="005E0CC4">
      <w:pPr>
        <w:pStyle w:val="Corpsdetexte"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– Le critère valeur technique (Technical value criterion) valant 45 % de la note globale</w:t>
      </w:r>
    </w:p>
    <w:p w:rsidR="00B54901" w:rsidRDefault="00B5490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B54901" w:rsidRDefault="00B54901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  <w:lang w:eastAsia="en-US" w:bidi="en-US"/>
        </w:rPr>
      </w:pPr>
    </w:p>
    <w:p w:rsidR="00B54901" w:rsidRDefault="005E0CC4">
      <w:pPr>
        <w:jc w:val="both"/>
        <w:rPr>
          <w:rFonts w:ascii="Arial" w:hAnsi="Arial" w:cs="Arial"/>
          <w:color w:val="4472C4" w:themeColor="accent1"/>
          <w:lang w:val="en-US"/>
        </w:rPr>
      </w:pPr>
      <w:r>
        <w:rPr>
          <w:rFonts w:ascii="Arial" w:hAnsi="Arial" w:cs="Arial"/>
          <w:color w:val="4472C4" w:themeColor="accent1"/>
        </w:rPr>
        <w:t>A partir des informations fournies par chaque soumissionnaire, en se basant sur le cahier des charges défini dans le CCP l’offre sera évaluée selon les items suivants.</w:t>
      </w:r>
      <w:r>
        <w:rPr>
          <w:rFonts w:ascii="Arial" w:hAnsi="Arial" w:cs="Arial"/>
          <w:color w:val="4472C4" w:themeColor="accent1"/>
        </w:rPr>
        <w:br/>
      </w:r>
      <w:r>
        <w:rPr>
          <w:rFonts w:ascii="Arial" w:hAnsi="Arial" w:cs="Arial"/>
          <w:color w:val="002060"/>
          <w:lang w:val="en-US"/>
        </w:rPr>
        <w:t xml:space="preserve">Based on the information provided by each tenderer and the specifications from the CCP, </w:t>
      </w:r>
      <w:r>
        <w:rPr>
          <w:rFonts w:ascii="Arial" w:hAnsi="Arial" w:cs="Arial"/>
          <w:color w:val="002060"/>
          <w:lang w:val="en-US"/>
        </w:rPr>
        <w:t>each offer will be evaluated according to the subsequent items:</w:t>
      </w:r>
    </w:p>
    <w:p w:rsidR="00B54901" w:rsidRDefault="005E0CC4">
      <w:pPr>
        <w:pStyle w:val="Titre2"/>
        <w:rPr>
          <w:b/>
          <w:sz w:val="28"/>
        </w:rPr>
      </w:pPr>
      <w:r>
        <w:rPr>
          <w:b/>
          <w:sz w:val="28"/>
        </w:rPr>
        <w:t>Corps de microscope (10 points)</w:t>
      </w:r>
    </w:p>
    <w:p w:rsidR="00B54901" w:rsidRDefault="005E0CC4">
      <w:pPr>
        <w:pStyle w:val="Titre3"/>
      </w:pPr>
      <w:r>
        <w:t>Motorisations intégrées dans le systeme, spécificités du corps de microscope</w:t>
      </w:r>
      <w:r>
        <w:br/>
      </w:r>
      <w:r>
        <w:rPr>
          <w:color w:val="323E4F" w:themeColor="text2" w:themeShade="BF"/>
        </w:rPr>
        <w:t>Motorizations integrated into the system, specificities of the microscope body</w:t>
      </w:r>
    </w:p>
    <w:tbl>
      <w:tblPr>
        <w:tblStyle w:val="Grilledutableau"/>
        <w:tblW w:w="9923" w:type="dxa"/>
        <w:tblInd w:w="-14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5E0CC4">
      <w:pPr>
        <w:pStyle w:val="Titre2"/>
        <w:rPr>
          <w:b/>
          <w:sz w:val="28"/>
        </w:rPr>
      </w:pPr>
      <w:r>
        <w:rPr>
          <w:b/>
          <w:sz w:val="28"/>
        </w:rPr>
        <w:t>Objectifs proposés (15 points)</w:t>
      </w:r>
    </w:p>
    <w:p w:rsidR="00B54901" w:rsidRDefault="005E0CC4">
      <w:pPr>
        <w:pStyle w:val="Titre3"/>
        <w:rPr>
          <w:color w:val="323E4F" w:themeColor="text2" w:themeShade="BF"/>
        </w:rPr>
      </w:pPr>
      <w:r>
        <w:t>Liste et performances des objectifs proposés dans l’offre</w:t>
      </w:r>
      <w:r>
        <w:br/>
      </w:r>
      <w:r>
        <w:rPr>
          <w:color w:val="323E4F" w:themeColor="text2" w:themeShade="BF"/>
        </w:rPr>
        <w:t>List and performance of the lenses in the offer</w:t>
      </w:r>
    </w:p>
    <w:tbl>
      <w:tblPr>
        <w:tblStyle w:val="Grilledutableau"/>
        <w:tblW w:w="9923" w:type="dxa"/>
        <w:tblInd w:w="-14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5E0CC4">
      <w:pPr>
        <w:pStyle w:val="Titre2"/>
        <w:rPr>
          <w:b/>
          <w:sz w:val="28"/>
        </w:rPr>
      </w:pPr>
      <w:r>
        <w:rPr>
          <w:b/>
          <w:sz w:val="28"/>
        </w:rPr>
        <w:lastRenderedPageBreak/>
        <w:t>Logiciel de pilotage (15 points)</w:t>
      </w:r>
    </w:p>
    <w:p w:rsidR="00B54901" w:rsidRDefault="005E0CC4">
      <w:pPr>
        <w:pStyle w:val="Titre3"/>
        <w:rPr>
          <w:color w:val="323E4F" w:themeColor="text2" w:themeShade="BF"/>
        </w:rPr>
      </w:pPr>
      <w:r>
        <w:t>Evaluation de l’interface utilisateurs :</w:t>
      </w:r>
      <w:r>
        <w:t xml:space="preserve"> facilité pour la formation des utilisateurs, les possibilités de faire des workflow complexes, et liste des modules intégrés</w:t>
      </w:r>
      <w:r>
        <w:br/>
      </w:r>
      <w:r>
        <w:rPr>
          <w:color w:val="323E4F" w:themeColor="text2" w:themeShade="BF"/>
        </w:rPr>
        <w:t>Evaluation of the user interface: ease for training users, the possibilities to design complex workflows, and list of integrated m</w:t>
      </w:r>
      <w:r>
        <w:rPr>
          <w:color w:val="323E4F" w:themeColor="text2" w:themeShade="BF"/>
        </w:rPr>
        <w:t>odules</w:t>
      </w:r>
    </w:p>
    <w:p w:rsidR="00B54901" w:rsidRDefault="00B54901"/>
    <w:tbl>
      <w:tblPr>
        <w:tblStyle w:val="Grilledutableau"/>
        <w:tblW w:w="9923" w:type="dxa"/>
        <w:tblInd w:w="-14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5E0CC4">
      <w:pPr>
        <w:pStyle w:val="Titre2"/>
        <w:rPr>
          <w:b/>
          <w:sz w:val="28"/>
        </w:rPr>
      </w:pPr>
      <w:r>
        <w:rPr>
          <w:b/>
          <w:sz w:val="28"/>
        </w:rPr>
        <w:t>Visualisation des données / Data visualisation (3 points)</w:t>
      </w:r>
    </w:p>
    <w:p w:rsidR="00B54901" w:rsidRDefault="005E0CC4">
      <w:pPr>
        <w:pStyle w:val="Titre3"/>
        <w:rPr>
          <w:color w:val="323E4F" w:themeColor="text2" w:themeShade="BF"/>
          <w:lang w:val="en-US"/>
        </w:rPr>
      </w:pPr>
      <w:r>
        <w:t xml:space="preserve">Description des outils pour visualiser les images (3D, multicanaux, etc…) </w:t>
      </w:r>
      <w:r>
        <w:br/>
      </w:r>
      <w:r>
        <w:rPr>
          <w:color w:val="323E4F" w:themeColor="text2" w:themeShade="BF"/>
          <w:lang w:val="en-US"/>
        </w:rPr>
        <w:t xml:space="preserve">Description of the process to visualize the data (3D, mulit-channels, etc…) </w:t>
      </w:r>
    </w:p>
    <w:p w:rsidR="00B54901" w:rsidRDefault="00B54901">
      <w:pPr>
        <w:rPr>
          <w:lang w:val="en-US"/>
        </w:rPr>
      </w:pPr>
    </w:p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B54901" w:rsidRDefault="005E0CC4">
      <w:pPr>
        <w:pStyle w:val="Titre2"/>
        <w:rPr>
          <w:b/>
          <w:sz w:val="28"/>
        </w:rPr>
      </w:pPr>
      <w:r>
        <w:rPr>
          <w:b/>
          <w:sz w:val="28"/>
        </w:rPr>
        <w:t xml:space="preserve">Maintenance interne / </w:t>
      </w:r>
      <w:r>
        <w:rPr>
          <w:b/>
          <w:sz w:val="28"/>
        </w:rPr>
        <w:t>internal maintenance (2 points)</w:t>
      </w:r>
    </w:p>
    <w:p w:rsidR="00B54901" w:rsidRDefault="005E0CC4">
      <w:pPr>
        <w:pStyle w:val="Titre3"/>
      </w:pPr>
      <w:r>
        <w:t xml:space="preserve">Description des outils et protocoles permettant la maintenance des performance de la machine </w:t>
      </w:r>
      <w:r>
        <w:br/>
      </w:r>
      <w:r>
        <w:rPr>
          <w:color w:val="323E4F" w:themeColor="text2" w:themeShade="BF"/>
        </w:rPr>
        <w:t xml:space="preserve">Description of </w:t>
      </w:r>
      <w:r>
        <w:rPr>
          <w:color w:val="17365D"/>
        </w:rPr>
        <w:t>the</w:t>
      </w:r>
      <w:r>
        <w:rPr>
          <w:color w:val="323E4F" w:themeColor="text2" w:themeShade="BF"/>
        </w:rPr>
        <w:t xml:space="preserve"> tools and protocols which help maintaining the performance of the machine</w:t>
      </w:r>
      <w:r>
        <w:br/>
      </w:r>
    </w:p>
    <w:tbl>
      <w:tblPr>
        <w:tblStyle w:val="Grilledutableau"/>
        <w:tblW w:w="9923" w:type="dxa"/>
        <w:tblInd w:w="-147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B54901">
      <w:pPr>
        <w:pStyle w:val="Corpsdetexte"/>
        <w:ind w:right="-28"/>
        <w:jc w:val="both"/>
        <w:rPr>
          <w:rFonts w:ascii="Arial" w:hAnsi="Arial" w:cs="Arial"/>
          <w:b/>
        </w:rPr>
      </w:pPr>
    </w:p>
    <w:p w:rsidR="00B54901" w:rsidRDefault="005E0CC4">
      <w:pPr>
        <w:pStyle w:val="Corpsdetexte"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 – Le critère SAV/assistance technique (after sales service/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Arial" w:hAnsi="Arial" w:cs="Arial"/>
          <w:b/>
        </w:rPr>
        <w:t xml:space="preserve">technical assistance criterion) valant 5 % de la note globale. </w:t>
      </w:r>
    </w:p>
    <w:p w:rsidR="00B54901" w:rsidRDefault="00B54901">
      <w:pPr>
        <w:pStyle w:val="Corpsdetexte"/>
        <w:ind w:right="-28"/>
        <w:jc w:val="both"/>
        <w:rPr>
          <w:rFonts w:ascii="Arial" w:hAnsi="Arial" w:cs="Arial"/>
          <w:b/>
        </w:rPr>
      </w:pPr>
    </w:p>
    <w:p w:rsidR="00B54901" w:rsidRDefault="005E0CC4">
      <w:pPr>
        <w:pStyle w:val="Titre3"/>
        <w:numPr>
          <w:ilvl w:val="0"/>
          <w:numId w:val="5"/>
        </w:numPr>
        <w:tabs>
          <w:tab w:val="num" w:pos="360"/>
        </w:tabs>
        <w:ind w:left="0" w:firstLine="0"/>
        <w:rPr>
          <w:rFonts w:ascii="Arial" w:hAnsi="Arial" w:cs="Arial"/>
          <w:color w:val="auto"/>
          <w:sz w:val="28"/>
        </w:rPr>
      </w:pPr>
      <w:r>
        <w:rPr>
          <w:rFonts w:ascii="Arial" w:hAnsi="Arial" w:cs="Arial"/>
          <w:color w:val="auto"/>
          <w:sz w:val="28"/>
        </w:rPr>
        <w:lastRenderedPageBreak/>
        <w:t>Contenu de la garantie/ warranty content (5 points)</w:t>
      </w:r>
    </w:p>
    <w:p w:rsidR="00B54901" w:rsidRDefault="005E0CC4">
      <w:pPr>
        <w:pStyle w:val="Titre3"/>
      </w:pPr>
      <w:r>
        <w:t>Le contenu minimum des services proposés pendant la période de garantie et l</w:t>
      </w:r>
      <w:r>
        <w:t>e périmètre couvert (durée, matériels, etc…) :</w:t>
      </w:r>
    </w:p>
    <w:p w:rsidR="00B54901" w:rsidRDefault="005E0CC4">
      <w:pPr>
        <w:rPr>
          <w:rFonts w:asciiTheme="majorHAnsi" w:hAnsiTheme="majorHAnsi"/>
          <w:b/>
          <w:color w:val="17365D"/>
          <w:lang w:val="en-US"/>
        </w:rPr>
      </w:pPr>
      <w:r>
        <w:rPr>
          <w:rFonts w:asciiTheme="majorHAnsi" w:hAnsiTheme="majorHAnsi"/>
          <w:b/>
          <w:color w:val="17365D"/>
          <w:lang w:val="en-US"/>
        </w:rPr>
        <w:t>The minimum content of the services offered during the warranty period and the scope covered (equipment, etc.)</w:t>
      </w:r>
    </w:p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B54901" w:rsidRDefault="00B54901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B54901" w:rsidRDefault="005E0CC4">
      <w:pPr>
        <w:pStyle w:val="Corpsdetexte"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III – Le critère délais (time criterion) valant 5 % de la note globale. </w:t>
      </w:r>
    </w:p>
    <w:p w:rsidR="00B54901" w:rsidRDefault="00B54901">
      <w:pPr>
        <w:pStyle w:val="Corpsdetexte"/>
        <w:ind w:right="-28"/>
        <w:jc w:val="both"/>
        <w:rPr>
          <w:rFonts w:ascii="Arial" w:hAnsi="Arial" w:cs="Arial"/>
          <w:b/>
        </w:rPr>
      </w:pPr>
    </w:p>
    <w:p w:rsidR="00B54901" w:rsidRDefault="005E0CC4">
      <w:pPr>
        <w:pStyle w:val="Titre2"/>
        <w:numPr>
          <w:ilvl w:val="0"/>
          <w:numId w:val="2"/>
        </w:numPr>
        <w:tabs>
          <w:tab w:val="num" w:pos="360"/>
        </w:tabs>
        <w:rPr>
          <w:b/>
          <w:sz w:val="28"/>
        </w:rPr>
      </w:pPr>
      <w:r>
        <w:rPr>
          <w:b/>
          <w:sz w:val="28"/>
        </w:rPr>
        <w:t>Délais de livraison / Delivery time (2 point)</w:t>
      </w:r>
    </w:p>
    <w:p w:rsidR="00B54901" w:rsidRDefault="005E0CC4">
      <w:pPr>
        <w:pStyle w:val="Titre3"/>
        <w:rPr>
          <w:color w:val="323E4F" w:themeColor="text2" w:themeShade="BF"/>
        </w:rPr>
      </w:pPr>
      <w:r>
        <w:t xml:space="preserve">Le soumissionnaire indique le délai de livraison sur lequel il s’engage à compter de la notification du marché </w:t>
      </w:r>
      <w:r>
        <w:br/>
      </w:r>
      <w:r>
        <w:rPr>
          <w:color w:val="323E4F" w:themeColor="text2" w:themeShade="BF"/>
        </w:rPr>
        <w:t>Delivery time starting at the tender notification</w:t>
      </w:r>
    </w:p>
    <w:p w:rsidR="00B54901" w:rsidRDefault="00B54901"/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B54901">
      <w:pPr>
        <w:jc w:val="both"/>
        <w:rPr>
          <w:rFonts w:ascii="Arial" w:hAnsi="Arial" w:cs="Arial"/>
        </w:rPr>
      </w:pPr>
    </w:p>
    <w:p w:rsidR="00B54901" w:rsidRDefault="005E0CC4">
      <w:pPr>
        <w:pStyle w:val="Titre2"/>
        <w:numPr>
          <w:ilvl w:val="0"/>
          <w:numId w:val="2"/>
        </w:numPr>
        <w:tabs>
          <w:tab w:val="num" w:pos="360"/>
        </w:tabs>
        <w:rPr>
          <w:b/>
          <w:sz w:val="28"/>
        </w:rPr>
      </w:pPr>
      <w:r>
        <w:rPr>
          <w:b/>
          <w:sz w:val="28"/>
        </w:rPr>
        <w:t>Délais d’intervention/ Response time (3</w:t>
      </w:r>
      <w:r>
        <w:rPr>
          <w:b/>
          <w:sz w:val="28"/>
        </w:rPr>
        <w:t xml:space="preserve"> points)</w:t>
      </w:r>
    </w:p>
    <w:p w:rsidR="00B54901" w:rsidRDefault="005E0CC4">
      <w:pPr>
        <w:pStyle w:val="Titre3"/>
        <w:rPr>
          <w:color w:val="323E4F" w:themeColor="text2" w:themeShade="BF"/>
        </w:rPr>
      </w:pPr>
      <w:r>
        <w:t>Le délai d’intervention en cas de panne bloquante pendant la période de garantie :</w:t>
      </w:r>
      <w:r>
        <w:rPr>
          <w:color w:val="323E4F" w:themeColor="text2" w:themeShade="BF"/>
        </w:rPr>
        <w:br/>
        <w:t>Response time for a blocking failure :</w:t>
      </w:r>
    </w:p>
    <w:p w:rsidR="00B54901" w:rsidRDefault="00B54901"/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B54901">
      <w:pPr>
        <w:jc w:val="both"/>
        <w:rPr>
          <w:rFonts w:ascii="Arial" w:hAnsi="Arial" w:cs="Arial"/>
        </w:rPr>
      </w:pPr>
    </w:p>
    <w:p w:rsidR="00B54901" w:rsidRDefault="005E0CC4">
      <w:pPr>
        <w:pStyle w:val="Corpsdetexte"/>
        <w:pBdr>
          <w:top w:val="single" w:sz="12" w:space="1" w:color="000000"/>
          <w:left w:val="single" w:sz="12" w:space="4" w:color="000000"/>
          <w:bottom w:val="single" w:sz="12" w:space="1" w:color="000000"/>
          <w:right w:val="single" w:sz="12" w:space="4" w:color="000000"/>
        </w:pBdr>
        <w:shd w:val="clear" w:color="auto" w:fill="BFBFBF" w:themeFill="background1" w:themeFillShade="BF"/>
        <w:ind w:right="-2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IV – Le critère considération environnemental valant 10 % de la note globale. </w:t>
      </w:r>
    </w:p>
    <w:p w:rsidR="00B54901" w:rsidRDefault="00B54901">
      <w:pPr>
        <w:pStyle w:val="Corpsdetexte"/>
        <w:ind w:right="-28"/>
        <w:jc w:val="both"/>
        <w:rPr>
          <w:rFonts w:ascii="Arial" w:hAnsi="Arial" w:cs="Arial"/>
          <w:b/>
        </w:rPr>
      </w:pPr>
    </w:p>
    <w:p w:rsidR="00B54901" w:rsidRDefault="005E0CC4">
      <w:pPr>
        <w:pStyle w:val="Titre2"/>
        <w:numPr>
          <w:ilvl w:val="0"/>
          <w:numId w:val="3"/>
        </w:numPr>
        <w:tabs>
          <w:tab w:val="num" w:pos="360"/>
        </w:tabs>
        <w:rPr>
          <w:b/>
          <w:sz w:val="28"/>
        </w:rPr>
      </w:pPr>
      <w:r>
        <w:rPr>
          <w:b/>
          <w:sz w:val="28"/>
        </w:rPr>
        <w:t xml:space="preserve">Réintégration de composants / </w:t>
      </w:r>
      <w:r>
        <w:rPr>
          <w:b/>
          <w:sz w:val="28"/>
        </w:rPr>
        <w:t>Components reuse (7 points)</w:t>
      </w:r>
    </w:p>
    <w:p w:rsidR="00B54901" w:rsidRDefault="005E0CC4">
      <w:pPr>
        <w:pStyle w:val="Titre3"/>
        <w:rPr>
          <w:rFonts w:asciiTheme="majorHAnsi" w:hAnsiTheme="majorHAnsi"/>
        </w:rPr>
      </w:pPr>
      <w:r>
        <w:rPr>
          <w:rFonts w:asciiTheme="majorHAnsi" w:hAnsiTheme="majorHAnsi"/>
        </w:rPr>
        <w:t>Le soumissionnaire indique les composants déjà sur la plateforme pouvant être réintégré : Source LED Home-made (en TTL ou RS232 ?), la platine Marzhauser 130x100 + Tango, la roue à filtres Prior + ProScan III, autres…)</w:t>
      </w:r>
    </w:p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</w:rPr>
            </w:pPr>
          </w:p>
        </w:tc>
      </w:tr>
    </w:tbl>
    <w:p w:rsidR="00B54901" w:rsidRDefault="00B54901">
      <w:pPr>
        <w:jc w:val="both"/>
        <w:rPr>
          <w:rFonts w:ascii="Arial" w:hAnsi="Arial" w:cs="Arial"/>
        </w:rPr>
      </w:pPr>
    </w:p>
    <w:p w:rsidR="00B54901" w:rsidRDefault="005E0CC4">
      <w:pPr>
        <w:pStyle w:val="Titre2"/>
        <w:numPr>
          <w:ilvl w:val="0"/>
          <w:numId w:val="3"/>
        </w:numPr>
        <w:tabs>
          <w:tab w:val="num" w:pos="360"/>
        </w:tabs>
        <w:rPr>
          <w:b/>
          <w:sz w:val="28"/>
        </w:rPr>
      </w:pPr>
      <w:r>
        <w:rPr>
          <w:b/>
          <w:sz w:val="28"/>
        </w:rPr>
        <w:t>Indice de réparabilité / Reparability index (3 points)</w:t>
      </w:r>
    </w:p>
    <w:p w:rsidR="00B54901" w:rsidRDefault="005E0CC4">
      <w:pPr>
        <w:ind w:left="360"/>
        <w:rPr>
          <w:rFonts w:asciiTheme="majorHAnsi" w:eastAsia="Cambria" w:hAnsiTheme="majorHAnsi" w:cs="Cambria"/>
          <w:b/>
          <w:bCs/>
          <w:color w:val="4472C4" w:themeColor="accent1"/>
          <w:lang w:val="en-US"/>
        </w:rPr>
      </w:pPr>
      <w:r>
        <w:rPr>
          <w:rFonts w:asciiTheme="majorHAnsi" w:eastAsia="Cambria" w:hAnsiTheme="majorHAnsi" w:cs="Cambria"/>
          <w:b/>
          <w:bCs/>
          <w:color w:val="4472C4" w:themeColor="accent1"/>
        </w:rPr>
        <w:t>Le soumissionnaire indique les solutions (réparation, seconde main, neuf) proposées en cas de panne d’un composant.</w:t>
      </w:r>
      <w:r>
        <w:rPr>
          <w:rFonts w:asciiTheme="majorHAnsi" w:eastAsia="Cambria" w:hAnsiTheme="majorHAnsi" w:cs="Cambria"/>
          <w:b/>
          <w:bCs/>
          <w:color w:val="4472C4" w:themeColor="accent1"/>
        </w:rPr>
        <w:br/>
      </w:r>
      <w:r>
        <w:rPr>
          <w:rFonts w:asciiTheme="majorHAnsi" w:eastAsia="Cambria" w:hAnsiTheme="majorHAnsi" w:cs="Cambria"/>
          <w:b/>
          <w:bCs/>
          <w:color w:val="323E4F" w:themeColor="text2" w:themeShade="BF"/>
          <w:lang w:val="en-US"/>
        </w:rPr>
        <w:t>Indicate the solutions in case of failure of a component (reparation, second-hand, ne</w:t>
      </w:r>
      <w:r>
        <w:rPr>
          <w:rFonts w:asciiTheme="majorHAnsi" w:eastAsia="Cambria" w:hAnsiTheme="majorHAnsi" w:cs="Cambria"/>
          <w:b/>
          <w:bCs/>
          <w:color w:val="323E4F" w:themeColor="text2" w:themeShade="BF"/>
          <w:lang w:val="en-US"/>
        </w:rPr>
        <w:t>w)</w:t>
      </w:r>
      <w:r>
        <w:rPr>
          <w:rFonts w:asciiTheme="majorHAnsi" w:eastAsia="Cambria" w:hAnsiTheme="majorHAnsi" w:cs="Cambria"/>
          <w:b/>
          <w:bCs/>
          <w:color w:val="4472C4" w:themeColor="accent1"/>
          <w:lang w:val="en-US"/>
        </w:rPr>
        <w:t>.</w:t>
      </w:r>
    </w:p>
    <w:tbl>
      <w:tblPr>
        <w:tblStyle w:val="Grilledutableau"/>
        <w:tblW w:w="9923" w:type="dxa"/>
        <w:tblInd w:w="-147" w:type="dxa"/>
        <w:tblLook w:val="04A0" w:firstRow="1" w:lastRow="0" w:firstColumn="1" w:lastColumn="0" w:noHBand="0" w:noVBand="1"/>
      </w:tblPr>
      <w:tblGrid>
        <w:gridCol w:w="9923"/>
      </w:tblGrid>
      <w:tr w:rsidR="00B54901">
        <w:tc>
          <w:tcPr>
            <w:tcW w:w="9923" w:type="dxa"/>
            <w:shd w:val="clear" w:color="auto" w:fill="D9E2F3" w:themeFill="accent1" w:themeFillTint="33"/>
          </w:tcPr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  <w:p w:rsidR="00B54901" w:rsidRDefault="00B5490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33"/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B54901" w:rsidRDefault="00B54901">
      <w:pPr>
        <w:ind w:left="360"/>
        <w:rPr>
          <w:rFonts w:asciiTheme="majorHAnsi" w:eastAsia="Cambria" w:hAnsiTheme="majorHAnsi" w:cs="Cambria"/>
          <w:b/>
          <w:bCs/>
          <w:color w:val="4472C4" w:themeColor="accent1"/>
          <w:lang w:val="en-US"/>
        </w:rPr>
      </w:pPr>
    </w:p>
    <w:p w:rsidR="00B54901" w:rsidRDefault="00B54901">
      <w:pPr>
        <w:jc w:val="both"/>
        <w:rPr>
          <w:rFonts w:ascii="Arial" w:hAnsi="Arial" w:cs="Arial"/>
        </w:rPr>
      </w:pPr>
    </w:p>
    <w:p w:rsidR="00B54901" w:rsidRDefault="00B54901">
      <w:pPr>
        <w:pStyle w:val="Corpsdetexte"/>
        <w:ind w:right="-28"/>
        <w:jc w:val="center"/>
        <w:rPr>
          <w:rFonts w:ascii="Arial" w:hAnsi="Arial" w:cs="Arial"/>
          <w:b/>
        </w:rPr>
      </w:pPr>
    </w:p>
    <w:p w:rsidR="00B54901" w:rsidRDefault="005E0CC4">
      <w:pPr>
        <w:pStyle w:val="Corpsdetexte"/>
        <w:ind w:right="-28"/>
        <w:jc w:val="center"/>
        <w:rPr>
          <w:rFonts w:ascii="Arial" w:hAnsi="Arial" w:cs="Arial"/>
          <w:b/>
          <w:color w:val="4472C4" w:themeColor="accent1"/>
        </w:rPr>
      </w:pPr>
      <w:r>
        <w:rPr>
          <w:rFonts w:ascii="Arial" w:hAnsi="Arial" w:cs="Arial"/>
          <w:b/>
          <w:color w:val="4472C4" w:themeColor="accent1"/>
        </w:rPr>
        <w:t>FIN DU QUESTIONNAIRE TECHNIQUE</w:t>
      </w:r>
    </w:p>
    <w:p w:rsidR="00B54901" w:rsidRDefault="005E0CC4">
      <w:pPr>
        <w:pStyle w:val="Corpsdetexte"/>
        <w:ind w:right="-28"/>
        <w:jc w:val="center"/>
        <w:rPr>
          <w:rFonts w:ascii="Arial" w:hAnsi="Arial" w:cs="Arial"/>
          <w:b/>
          <w:color w:val="323E4F" w:themeColor="text2" w:themeShade="BF"/>
        </w:rPr>
      </w:pPr>
      <w:r>
        <w:rPr>
          <w:rFonts w:ascii="Arial" w:hAnsi="Arial" w:cs="Arial"/>
          <w:b/>
          <w:color w:val="323E4F" w:themeColor="text2" w:themeShade="BF"/>
        </w:rPr>
        <w:t>END OF THE QUESTIONNAIRE</w:t>
      </w:r>
    </w:p>
    <w:p w:rsidR="00B54901" w:rsidRDefault="00B54901"/>
    <w:sectPr w:rsidR="00B5490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CC4" w:rsidRDefault="005E0CC4">
      <w:pPr>
        <w:spacing w:after="0" w:line="240" w:lineRule="auto"/>
      </w:pPr>
      <w:r>
        <w:separator/>
      </w:r>
    </w:p>
  </w:endnote>
  <w:endnote w:type="continuationSeparator" w:id="0">
    <w:p w:rsidR="005E0CC4" w:rsidRDefault="005E0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798489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54901" w:rsidRDefault="005E0CC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138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138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54901" w:rsidRDefault="005E0CC4">
    <w:pPr>
      <w:pStyle w:val="Pieddepag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 xml:space="preserve">CRT </w:t>
    </w:r>
    <w:r>
      <w:rPr>
        <w:rFonts w:ascii="Arial" w:hAnsi="Arial" w:cs="Arial"/>
        <w:sz w:val="16"/>
        <w:szCs w:val="16"/>
      </w:rPr>
      <w:t>SU-IMEV_2025_PLTF02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CC4" w:rsidRDefault="005E0CC4">
      <w:pPr>
        <w:spacing w:after="0" w:line="240" w:lineRule="auto"/>
      </w:pPr>
      <w:r>
        <w:separator/>
      </w:r>
    </w:p>
  </w:footnote>
  <w:footnote w:type="continuationSeparator" w:id="0">
    <w:p w:rsidR="005E0CC4" w:rsidRDefault="005E0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901" w:rsidRDefault="005E0CC4">
    <w:pPr>
      <w:pStyle w:val="En-tte"/>
    </w:pPr>
    <w:r>
      <w:rPr>
        <w:noProof/>
        <w:lang w:eastAsia="fr-FR"/>
      </w:rPr>
      <mc:AlternateContent>
        <mc:Choice Requires="wpg">
          <w:drawing>
            <wp:inline distT="0" distB="0" distL="0" distR="0">
              <wp:extent cx="1622066" cy="654871"/>
              <wp:effectExtent l="0" t="0" r="0" b="0"/>
              <wp:docPr id="1" name="Imag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logo SU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687864" cy="68143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27.72pt;height:51.56pt;mso-wrap-distance-left:0.00pt;mso-wrap-distance-top:0.00pt;mso-wrap-distance-right:0.00pt;mso-wrap-distance-bottom:0.00pt;z-index:1;" stroked="false">
              <v:imagedata r:id="rId2" o:title=""/>
              <o:lock v:ext="edit" rotation="t"/>
            </v:shape>
          </w:pict>
        </mc:Fallback>
      </mc:AlternateContent>
    </w:r>
    <w:r>
      <w:tab/>
    </w:r>
    <w:r>
      <w:tab/>
    </w:r>
    <w:r>
      <w:rPr>
        <w:noProof/>
        <w:lang w:eastAsia="fr-FR"/>
      </w:rPr>
      <mc:AlternateContent>
        <mc:Choice Requires="wpg">
          <w:drawing>
            <wp:inline distT="0" distB="0" distL="0" distR="0">
              <wp:extent cx="1447138" cy="677947"/>
              <wp:effectExtent l="0" t="0" r="0" b="0"/>
              <wp:docPr id="2" name="Imag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logo-imev-b-VECTO_B.png"/>
                      <pic:cNvPicPr>
                        <a:picLocks noChangeAspect="1"/>
                      </pic:cNvPicPr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1530680" cy="71708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width:113.95pt;height:53.38pt;mso-wrap-distance-left:0.00pt;mso-wrap-distance-top:0.00pt;mso-wrap-distance-right:0.00pt;mso-wrap-distance-bottom:0.00pt;z-index:1;" stroked="false">
              <v:imagedata r:id="rId4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5579"/>
    <w:multiLevelType w:val="multilevel"/>
    <w:tmpl w:val="94AC2D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6166F"/>
    <w:multiLevelType w:val="multilevel"/>
    <w:tmpl w:val="A30C7C4C"/>
    <w:lvl w:ilvl="0">
      <w:start w:val="1"/>
      <w:numFmt w:val="decimal"/>
      <w:pStyle w:val="Titre2"/>
      <w:lvlText w:val="%1.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1533" w:hanging="360"/>
      </w:pPr>
    </w:lvl>
    <w:lvl w:ilvl="2">
      <w:start w:val="1"/>
      <w:numFmt w:val="lowerRoman"/>
      <w:lvlText w:val="%3."/>
      <w:lvlJc w:val="right"/>
      <w:pPr>
        <w:ind w:left="2253" w:hanging="180"/>
      </w:pPr>
    </w:lvl>
    <w:lvl w:ilvl="3">
      <w:start w:val="1"/>
      <w:numFmt w:val="decimal"/>
      <w:lvlText w:val="%4."/>
      <w:lvlJc w:val="left"/>
      <w:pPr>
        <w:ind w:left="2973" w:hanging="360"/>
      </w:pPr>
    </w:lvl>
    <w:lvl w:ilvl="4">
      <w:start w:val="1"/>
      <w:numFmt w:val="lowerLetter"/>
      <w:lvlText w:val="%5."/>
      <w:lvlJc w:val="left"/>
      <w:pPr>
        <w:ind w:left="3693" w:hanging="360"/>
      </w:pPr>
    </w:lvl>
    <w:lvl w:ilvl="5">
      <w:start w:val="1"/>
      <w:numFmt w:val="lowerRoman"/>
      <w:lvlText w:val="%6."/>
      <w:lvlJc w:val="right"/>
      <w:pPr>
        <w:ind w:left="4413" w:hanging="180"/>
      </w:pPr>
    </w:lvl>
    <w:lvl w:ilvl="6">
      <w:start w:val="1"/>
      <w:numFmt w:val="decimal"/>
      <w:lvlText w:val="%7."/>
      <w:lvlJc w:val="left"/>
      <w:pPr>
        <w:ind w:left="5133" w:hanging="360"/>
      </w:pPr>
    </w:lvl>
    <w:lvl w:ilvl="7">
      <w:start w:val="1"/>
      <w:numFmt w:val="lowerLetter"/>
      <w:lvlText w:val="%8."/>
      <w:lvlJc w:val="left"/>
      <w:pPr>
        <w:ind w:left="5853" w:hanging="360"/>
      </w:pPr>
    </w:lvl>
    <w:lvl w:ilvl="8">
      <w:start w:val="1"/>
      <w:numFmt w:val="lowerRoman"/>
      <w:lvlText w:val="%9."/>
      <w:lvlJc w:val="right"/>
      <w:pPr>
        <w:ind w:left="6573" w:hanging="180"/>
      </w:pPr>
    </w:lvl>
  </w:abstractNum>
  <w:abstractNum w:abstractNumId="2" w15:restartNumberingAfterBreak="0">
    <w:nsid w:val="598E5399"/>
    <w:multiLevelType w:val="multilevel"/>
    <w:tmpl w:val="C61E0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01"/>
    <w:rsid w:val="005E0CC4"/>
    <w:rsid w:val="00B54901"/>
    <w:rsid w:val="00DC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EB513-F6EA-4288-A67D-FBB4F109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ascii="Calibri" w:eastAsia="Calibri" w:hAnsi="Calibri" w:cs="Calibri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numId w:val="1"/>
      </w:numPr>
      <w:spacing w:before="360"/>
      <w:ind w:left="813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bCs/>
      <w:color w:val="4472C4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Emphasepl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pl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Cambria" w:eastAsia="Cambria" w:hAnsi="Cambria" w:cs="Cambria"/>
      <w:b/>
      <w:bCs/>
      <w:color w:val="4472C4" w:themeColor="accent1"/>
    </w:rPr>
  </w:style>
  <w:style w:type="paragraph" w:styleId="Corpsdetexte">
    <w:name w:val="Body Text"/>
    <w:basedOn w:val="Normal"/>
    <w:link w:val="CorpsdetexteCar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Pr>
      <w:rFonts w:ascii="Times New Roman" w:eastAsia="Times New Roman" w:hAnsi="Times New Roman" w:cs="Times New Roman"/>
      <w:b/>
      <w:bCs/>
      <w:color w:val="FF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  <w:rPr>
      <w:rFonts w:ascii="Cambria" w:eastAsia="Times New Roman" w:hAnsi="Cambria" w:cs="Times New Roman"/>
      <w:lang w:bidi="en-US"/>
    </w:rPr>
  </w:style>
  <w:style w:type="table" w:styleId="Grilledutableau">
    <w:name w:val="Table Grid"/>
    <w:basedOn w:val="TableauNormal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g"/><Relationship Id="rId1" Type="http://schemas.openxmlformats.org/officeDocument/2006/relationships/image" Target="media/image1.jp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</dc:creator>
  <cp:keywords/>
  <dc:description/>
  <cp:lastModifiedBy>Grégory Maggion</cp:lastModifiedBy>
  <cp:revision>2</cp:revision>
  <dcterms:created xsi:type="dcterms:W3CDTF">2025-09-04T12:08:00Z</dcterms:created>
  <dcterms:modified xsi:type="dcterms:W3CDTF">2025-09-04T12:08:00Z</dcterms:modified>
</cp:coreProperties>
</file>