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8"/>
        <w:gridCol w:w="62"/>
        <w:gridCol w:w="4569"/>
      </w:tblGrid>
      <w:tr>
        <w:trPr>
          <w:jc w:val="center"/>
        </w:trPr>
        <w:tc>
          <w:tcPr>
            <w:tcW w:w="5029" w:type="dxa"/>
            <w:tcBorders>
              <w:top w:val="none" w:sz="4" w:space="0" w:color="000000"/>
              <w:left w:val="none" w:sz="4" w:space="0" w:color="000000"/>
              <w:bottom w:val="none" w:sz="4" w:space="0" w:color="000000"/>
              <w:right w:val="none" w:sz="4" w:space="0" w:color="000000"/>
            </w:tcBorders>
          </w:tcPr>
          <w:p>
            <w:r>
              <w:rPr>
                <w:noProof/>
              </w:rPr>
              <w:drawing>
                <wp:inline distT="0" distB="0" distL="0" distR="0">
                  <wp:extent cx="2806505" cy="1529196"/>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rcRect l="5265" t="7623" b="7453"/>
                          <a:stretch/>
                        </pic:blipFill>
                        <pic:spPr bwMode="auto">
                          <a:xfrm>
                            <a:off x="0" y="0"/>
                            <a:ext cx="2852936" cy="1554495"/>
                          </a:xfrm>
                          <a:prstGeom prst="rect">
                            <a:avLst/>
                          </a:prstGeom>
                          <a:noFill/>
                          <a:ln>
                            <a:noFill/>
                          </a:ln>
                        </pic:spPr>
                      </pic:pic>
                    </a:graphicData>
                  </a:graphic>
                </wp:inline>
              </w:drawing>
            </w:r>
          </w:p>
          <w:p/>
        </w:tc>
        <w:tc>
          <w:tcPr>
            <w:tcW w:w="4750" w:type="dxa"/>
            <w:gridSpan w:val="2"/>
            <w:tcBorders>
              <w:top w:val="none" w:sz="4" w:space="0" w:color="000000"/>
              <w:left w:val="none" w:sz="4" w:space="0" w:color="000000"/>
              <w:bottom w:val="none" w:sz="4" w:space="0" w:color="000000"/>
              <w:right w:val="none" w:sz="4" w:space="0" w:color="000000"/>
            </w:tcBorders>
          </w:tcPr>
          <w:p>
            <w:pPr>
              <w:jc w:val="right"/>
              <w:rPr>
                <w:rStyle w:val="Objetducourrier"/>
                <w:rFonts w:ascii="Marianne" w:hAnsi="Marianne"/>
                <w:b/>
                <w:sz w:val="28"/>
                <w:szCs w:val="28"/>
              </w:rPr>
            </w:pPr>
            <w:r>
              <w:rPr>
                <w:rStyle w:val="Objetducourrier"/>
                <w:rFonts w:ascii="Marianne" w:hAnsi="Marianne"/>
                <w:b/>
                <w:sz w:val="28"/>
                <w:szCs w:val="28"/>
              </w:rPr>
              <w:t>Agence pour l’informatique financière de l’État</w:t>
            </w:r>
          </w:p>
          <w:p>
            <w:pPr>
              <w:jc w:val="right"/>
              <w:rPr>
                <w:sz w:val="18"/>
              </w:rPr>
            </w:pPr>
          </w:p>
        </w:tc>
      </w:tr>
      <w:tr>
        <w:trPr>
          <w:jc w:val="center"/>
        </w:trPr>
        <w:tc>
          <w:tcPr>
            <w:tcW w:w="5092" w:type="dxa"/>
            <w:gridSpan w:val="2"/>
            <w:tcBorders>
              <w:top w:val="none" w:sz="4" w:space="0" w:color="000000"/>
              <w:left w:val="none" w:sz="4" w:space="0" w:color="000000"/>
              <w:bottom w:val="none" w:sz="4" w:space="0" w:color="000000"/>
              <w:right w:val="none" w:sz="4" w:space="0" w:color="000000"/>
            </w:tcBorders>
          </w:tcPr>
          <w:p>
            <w:pPr>
              <w:pStyle w:val="Adresseexpediteur"/>
            </w:pPr>
          </w:p>
        </w:tc>
        <w:tc>
          <w:tcPr>
            <w:tcW w:w="4687" w:type="dxa"/>
            <w:tcBorders>
              <w:top w:val="none" w:sz="4" w:space="0" w:color="000000"/>
              <w:left w:val="none" w:sz="4" w:space="0" w:color="000000"/>
              <w:bottom w:val="none" w:sz="4" w:space="0" w:color="000000"/>
              <w:right w:val="none" w:sz="4" w:space="0" w:color="000000"/>
            </w:tcBorders>
          </w:tcPr>
          <w:p>
            <w:pPr>
              <w:pStyle w:val="Titre6"/>
              <w:numPr>
                <w:ilvl w:val="0"/>
                <w:numId w:val="0"/>
              </w:numPr>
              <w:tabs>
                <w:tab w:val="center" w:pos="1134"/>
                <w:tab w:val="left" w:pos="6804"/>
              </w:tabs>
              <w:jc w:val="center"/>
              <w:rPr>
                <w:i w:val="0"/>
                <w:color w:val="333333"/>
                <w:spacing w:val="0"/>
                <w:sz w:val="14"/>
                <w:szCs w:val="16"/>
              </w:rPr>
            </w:pPr>
          </w:p>
        </w:tc>
      </w:tr>
    </w:tbl>
    <w:p>
      <w:pPr>
        <w:jc w:val="center"/>
        <w:rPr>
          <w:b/>
          <w:smallCaps/>
          <w:sz w:val="40"/>
          <w:szCs w:val="40"/>
        </w:rPr>
      </w:pPr>
    </w:p>
    <w:p>
      <w:pPr>
        <w:jc w:val="center"/>
        <w:rPr>
          <w:b/>
          <w:smallCaps/>
          <w:sz w:val="40"/>
          <w:szCs w:val="40"/>
        </w:rPr>
      </w:pPr>
    </w:p>
    <w:p>
      <w:pPr>
        <w:jc w:val="center"/>
        <w:rPr>
          <w:b/>
          <w:smallCaps/>
          <w:sz w:val="40"/>
          <w:szCs w:val="40"/>
        </w:rPr>
      </w:pPr>
    </w:p>
    <w:p>
      <w:pPr>
        <w:jc w:val="center"/>
        <w:rPr>
          <w:b/>
          <w:smallCaps/>
          <w:sz w:val="40"/>
          <w:szCs w:val="40"/>
        </w:rPr>
      </w:pPr>
      <w:r>
        <w:rPr>
          <w:noProof/>
          <w:lang w:eastAsia="fr-FR"/>
        </w:rPr>
        <mc:AlternateContent>
          <mc:Choice Requires="wpg">
            <w:drawing>
              <wp:anchor distT="0" distB="0" distL="114300" distR="114300" simplePos="0" relativeHeight="251657216" behindDoc="0" locked="0" layoutInCell="1" allowOverlap="1">
                <wp:simplePos x="0" y="0"/>
                <wp:positionH relativeFrom="margin">
                  <wp:posOffset>377825</wp:posOffset>
                </wp:positionH>
                <wp:positionV relativeFrom="paragraph">
                  <wp:posOffset>657860</wp:posOffset>
                </wp:positionV>
                <wp:extent cx="5181600" cy="0"/>
                <wp:effectExtent l="0" t="0" r="19050" b="19050"/>
                <wp:wrapNone/>
                <wp:docPr id="3" name="AutoShape 2"/>
                <wp:cNvGraphicFramePr/>
                <a:graphic xmlns:a="http://schemas.openxmlformats.org/drawingml/2006/main">
                  <a:graphicData uri="http://schemas.microsoft.com/office/word/2010/wordprocessingShape">
                    <wps:wsp>
                      <wps:cNvCnPr/>
                      <wps:spPr bwMode="auto">
                        <a:xfrm>
                          <a:off x="0" y="0"/>
                          <a:ext cx="5181600" cy="0"/>
                        </a:xfrm>
                        <a:prstGeom prst="straightConnector1">
                          <a:avLst/>
                        </a:prstGeom>
                        <a:noFill/>
                        <a:ln w="9525">
                          <a:solidFill>
                            <a:schemeClr val="tx1"/>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32" type="#_x0000_t32" style="position:absolute;z-index:251657216;o:allowoverlap:true;o:allowincell:true;mso-position-horizontal-relative:margin;margin-left:29.75pt;mso-position-horizontal:absolute;mso-position-vertical-relative:text;margin-top:51.80pt;mso-position-vertical:absolute;width:408.00pt;height:0.00pt;mso-wrap-distance-left:9.00pt;mso-wrap-distance-top:0.00pt;mso-wrap-distance-right:9.00pt;mso-wrap-distance-bottom:0.00pt;visibility:visible;" filled="f" strokecolor="#000000" strokeweight="0.75pt"/>
            </w:pict>
          </mc:Fallback>
        </mc:AlternateContent>
      </w:r>
      <w:r>
        <w:rPr>
          <w:b/>
          <w:smallCaps/>
          <w:noProof/>
          <w:sz w:val="40"/>
          <w:szCs w:val="40"/>
          <w:lang w:eastAsia="fr-FR"/>
        </w:rPr>
        <mc:AlternateContent>
          <mc:Choice Requires="wps">
            <w:drawing>
              <wp:inline distT="0" distB="0" distL="0" distR="0">
                <wp:extent cx="6057900" cy="2095500"/>
                <wp:effectExtent l="19050" t="19050" r="19050" b="19050"/>
                <wp:docPr id="4" name="AutoShape 3" descr="[NOM COMITE (A RENSEIGNER DANS &quot;FICHIER&quot;/&quot;PROPRIETE&quot;/&quot;PERSONNALISATION&quot;)] N°[NUM]  Compte-rendu – [jj/mm/aaaa] "/>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095500"/>
                        </a:xfrm>
                        <a:prstGeom prst="roundRect">
                          <a:avLst>
                            <a:gd name="adj" fmla="val 16667"/>
                          </a:avLst>
                        </a:prstGeom>
                        <a:solidFill>
                          <a:srgbClr val="FFFFFF">
                            <a:alpha val="20000"/>
                          </a:srgbClr>
                        </a:solidFill>
                        <a:ln w="31750">
                          <a:solidFill>
                            <a:schemeClr val="tx1"/>
                          </a:solidFill>
                          <a:round/>
                          <a:headEnd/>
                          <a:tailEnd/>
                        </a:ln>
                      </wps:spPr>
                      <wps:txbx>
                        <w:txbxContent>
                          <w:p>
                            <w:pPr>
                              <w:pStyle w:val="Titre"/>
                              <w:jc w:val="center"/>
                            </w:pPr>
                            <w:r>
                              <w:t xml:space="preserve">Cadre de réponse technique </w:t>
                            </w:r>
                          </w:p>
                          <w:p>
                            <w:pPr>
                              <w:pStyle w:val="Sous-titre"/>
                              <w:jc w:val="center"/>
                            </w:pPr>
                          </w:p>
                          <w:p>
                            <w:pPr>
                              <w:pStyle w:val="Sous-titre"/>
                              <w:jc w:val="center"/>
                            </w:pPr>
                            <w:r>
                              <w:t>LOT 2 : TIERCE MAINTENANCE APPLICATIVE DES SERVICES TRANSVERSES NUMERIQUES DE LA COMMANDE PUBLIQUE</w:t>
                            </w:r>
                          </w:p>
                          <w:p>
                            <w:pPr>
                              <w:pStyle w:val="Sous-titre"/>
                              <w:jc w:val="center"/>
                            </w:pPr>
                            <w:r>
                              <w:t>REFERENCE MARCHE :</w:t>
                            </w:r>
                          </w:p>
                          <w:p>
                            <w:pPr>
                              <w:pStyle w:val="Sous-titre"/>
                              <w:jc w:val="center"/>
                            </w:pPr>
                            <w:r>
                              <w:t>25_AIFE_TMA_SI_COMMANDE_PUBLIQUE</w:t>
                            </w:r>
                          </w:p>
                          <w:p>
                            <w:pPr>
                              <w:pStyle w:val="Sous-titre"/>
                              <w:jc w:val="center"/>
                            </w:pPr>
                          </w:p>
                        </w:txbxContent>
                      </wps:txbx>
                      <wps:bodyPr rot="0" vert="horz" wrap="square" lIns="0" tIns="45720" rIns="0" bIns="45720" anchor="t" anchorCtr="0" upright="1">
                        <a:noAutofit/>
                      </wps:bodyPr>
                    </wps:wsp>
                  </a:graphicData>
                </a:graphic>
              </wp:inline>
            </w:drawing>
          </mc:Choice>
          <mc:Fallback>
            <w:pict>
              <v:roundrect id="AutoShape 3" o:spid="_x0000_s1026" alt="[NOM COMITE (A RENSEIGNER DANS &quot;FICHIER&quot;/&quot;PROPRIETE&quot;/&quot;PERSONNALISATION&quot;)] N°[NUM]  Compte-rendu – [jj/mm/aaaa] " style="width:477pt;height:16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" strokecolor="black [3213]" strokeweight="2.5pt">
                <v:fill opacity="13107f"/>
                <v:textbox inset="0,,0">
                  <w:txbxContent>
                    <w:p>
                      <w:pPr>
                        <w:pStyle w:val="Titre"/>
                        <w:jc w:val="center"/>
                      </w:pPr>
                      <w:r>
                        <w:t xml:space="preserve">Cadre de réponse technique </w:t>
                      </w:r>
                    </w:p>
                    <w:p>
                      <w:pPr>
                        <w:pStyle w:val="Sous-titre"/>
                        <w:jc w:val="center"/>
                      </w:pPr>
                    </w:p>
                    <w:p>
                      <w:pPr>
                        <w:pStyle w:val="Sous-titre"/>
                        <w:jc w:val="center"/>
                      </w:pPr>
                      <w:r>
                        <w:t>LOT 2 : TIERCE MAINTENANCE APPLICATIVE DES SERVICES TRANSVERSES NUMERIQUES DE LA COMMANDE PUBLIQUE</w:t>
                      </w:r>
                    </w:p>
                    <w:p>
                      <w:pPr>
                        <w:pStyle w:val="Sous-titre"/>
                        <w:jc w:val="center"/>
                      </w:pPr>
                      <w:r>
                        <w:t>REFERENCE MARCHE :</w:t>
                      </w:r>
                    </w:p>
                    <w:p>
                      <w:pPr>
                        <w:pStyle w:val="Sous-titre"/>
                        <w:jc w:val="center"/>
                      </w:pPr>
                      <w:r>
                        <w:t>25_AIFE_TMA_SI_COMMANDE_PUBLIQUE</w:t>
                      </w:r>
                    </w:p>
                    <w:p>
                      <w:pPr>
                        <w:pStyle w:val="Sous-titre"/>
                        <w:jc w:val="center"/>
                      </w:pPr>
                    </w:p>
                  </w:txbxContent>
                </v:textbox>
                <w10:anchorlock/>
              </v:roundrect>
            </w:pict>
          </mc:Fallback>
        </mc:AlternateContent>
      </w:r>
    </w:p>
    <w:p>
      <w:pPr>
        <w:spacing w:line="240" w:lineRule="auto"/>
        <w:jc w:val="center"/>
        <w:rPr>
          <w:color w:val="1F497D"/>
          <w:lang w:eastAsia="fr-FR"/>
        </w:rPr>
      </w:pPr>
    </w:p>
    <w:p>
      <w:pPr>
        <w:jc w:val="center"/>
        <w:rPr>
          <w:caps/>
          <w:color w:val="1F497D"/>
          <w:sz w:val="16"/>
          <w:szCs w:val="16"/>
        </w:rPr>
      </w:pPr>
    </w:p>
    <w:p>
      <w:pPr>
        <w:jc w:val="center"/>
      </w:pPr>
    </w:p>
    <w:p>
      <w:pPr>
        <w:jc w:val="center"/>
      </w:pPr>
    </w:p>
    <w:p>
      <w:pPr>
        <w:jc w:val="center"/>
      </w:pPr>
    </w:p>
    <w:p>
      <w:pPr>
        <w:jc w:val="center"/>
      </w:pPr>
    </w:p>
    <w:p>
      <w:pPr>
        <w:jc w:val="center"/>
      </w:pPr>
    </w:p>
    <w:p>
      <w:pPr>
        <w:jc w:val="center"/>
      </w:pPr>
    </w:p>
    <w:p>
      <w:pPr>
        <w:pStyle w:val="Corpsdetexte"/>
        <w:jc w:val="center"/>
        <w:rPr>
          <w:b/>
          <w:sz w:val="24"/>
        </w:rPr>
        <w:sectPr>
          <w:headerReference w:type="default" r:id="rId9"/>
          <w:footerReference w:type="even" r:id="rId10"/>
          <w:footerReference w:type="default" r:id="rId11"/>
          <w:headerReference w:type="first" r:id="rId12"/>
          <w:pgSz w:w="11907" w:h="16840"/>
          <w:pgMar w:top="1134" w:right="1134" w:bottom="1134" w:left="1134" w:header="340" w:footer="340" w:gutter="0"/>
          <w:pgNumType w:start="2"/>
          <w:cols w:space="720"/>
        </w:sectPr>
      </w:pPr>
      <w:r>
        <w:rPr>
          <w:b/>
          <w:spacing w:val="0"/>
          <w:sz w:val="24"/>
        </w:rPr>
        <w:t>DATE LIMITE DE RECEPTION DES OFFRES : CF. REGLEMENT DE LA CONSULTATION</w:t>
      </w:r>
    </w:p>
    <w:p>
      <w:pPr>
        <w:rPr>
          <w:b/>
          <w:sz w:val="24"/>
        </w:rPr>
      </w:pPr>
      <w:r>
        <w:rPr>
          <w:b/>
          <w:sz w:val="24"/>
        </w:rPr>
        <w:lastRenderedPageBreak/>
        <w:t>Sommaire</w:t>
      </w:r>
    </w:p>
    <w:p/>
    <w:p>
      <w:pPr>
        <w:pStyle w:val="TM1"/>
        <w:rPr>
          <w:rFonts w:asciiTheme="minorHAnsi" w:eastAsiaTheme="minorEastAsia" w:hAnsiTheme="minorHAnsi" w:cstheme="minorBidi"/>
          <w:noProof/>
          <w:spacing w:val="0"/>
          <w:sz w:val="22"/>
          <w:lang w:eastAsia="fr-FR"/>
        </w:rPr>
      </w:pPr>
      <w:r>
        <w:rPr>
          <w:color w:val="8EB0AB"/>
        </w:rPr>
        <w:fldChar w:fldCharType="begin"/>
      </w:r>
      <w:r>
        <w:rPr>
          <w:color w:val="8EB0AB"/>
        </w:rPr>
        <w:instrText xml:space="preserve"> TOC \o "1-3" \h \z \u </w:instrText>
      </w:r>
      <w:r>
        <w:rPr>
          <w:color w:val="8EB0AB"/>
        </w:rPr>
        <w:fldChar w:fldCharType="separate"/>
      </w:r>
      <w:hyperlink w:anchor="_Toc207973644" w:history="1">
        <w:r>
          <w:rPr>
            <w:rStyle w:val="Lienhypertexte"/>
            <w:noProof/>
          </w:rPr>
          <w:t>1</w:t>
        </w:r>
        <w:r>
          <w:rPr>
            <w:rFonts w:asciiTheme="minorHAnsi" w:eastAsiaTheme="minorEastAsia" w:hAnsiTheme="minorHAnsi" w:cstheme="minorBidi"/>
            <w:noProof/>
            <w:spacing w:val="0"/>
            <w:sz w:val="22"/>
            <w:lang w:eastAsia="fr-FR"/>
          </w:rPr>
          <w:tab/>
        </w:r>
        <w:r>
          <w:rPr>
            <w:rStyle w:val="Lienhypertexte"/>
            <w:noProof/>
          </w:rPr>
          <w:t>PRESENTATION</w:t>
        </w:r>
        <w:r>
          <w:rPr>
            <w:noProof/>
            <w:webHidden/>
          </w:rPr>
          <w:tab/>
        </w:r>
        <w:r>
          <w:rPr>
            <w:noProof/>
            <w:webHidden/>
          </w:rPr>
          <w:fldChar w:fldCharType="begin"/>
        </w:r>
        <w:r>
          <w:rPr>
            <w:noProof/>
            <w:webHidden/>
          </w:rPr>
          <w:instrText xml:space="preserve"> PAGEREF _Toc207973644 \h </w:instrText>
        </w:r>
        <w:r>
          <w:rPr>
            <w:noProof/>
            <w:webHidden/>
          </w:rPr>
        </w:r>
        <w:r>
          <w:rPr>
            <w:noProof/>
            <w:webHidden/>
          </w:rPr>
          <w:fldChar w:fldCharType="separate"/>
        </w:r>
        <w:r>
          <w:rPr>
            <w:noProof/>
            <w:webHidden/>
          </w:rPr>
          <w:t>3</w:t>
        </w:r>
        <w:r>
          <w:rPr>
            <w:noProof/>
            <w:webHidden/>
          </w:rPr>
          <w:fldChar w:fldCharType="end"/>
        </w:r>
      </w:hyperlink>
    </w:p>
    <w:p>
      <w:pPr>
        <w:pStyle w:val="TM1"/>
        <w:rPr>
          <w:rFonts w:asciiTheme="minorHAnsi" w:eastAsiaTheme="minorEastAsia" w:hAnsiTheme="minorHAnsi" w:cstheme="minorBidi"/>
          <w:noProof/>
          <w:spacing w:val="0"/>
          <w:sz w:val="22"/>
          <w:lang w:eastAsia="fr-FR"/>
        </w:rPr>
      </w:pPr>
      <w:hyperlink w:anchor="_Toc207973645" w:history="1">
        <w:r>
          <w:rPr>
            <w:rStyle w:val="Lienhypertexte"/>
            <w:noProof/>
          </w:rPr>
          <w:t>2</w:t>
        </w:r>
        <w:r>
          <w:rPr>
            <w:rFonts w:asciiTheme="minorHAnsi" w:eastAsiaTheme="minorEastAsia" w:hAnsiTheme="minorHAnsi" w:cstheme="minorBidi"/>
            <w:noProof/>
            <w:spacing w:val="0"/>
            <w:sz w:val="22"/>
            <w:lang w:eastAsia="fr-FR"/>
          </w:rPr>
          <w:tab/>
        </w:r>
        <w:r>
          <w:rPr>
            <w:rStyle w:val="Lienhypertexte"/>
            <w:noProof/>
          </w:rPr>
          <w:t>Synthèse de l’offre</w:t>
        </w:r>
        <w:r>
          <w:rPr>
            <w:noProof/>
            <w:webHidden/>
          </w:rPr>
          <w:tab/>
        </w:r>
        <w:r>
          <w:rPr>
            <w:noProof/>
            <w:webHidden/>
          </w:rPr>
          <w:fldChar w:fldCharType="begin"/>
        </w:r>
        <w:r>
          <w:rPr>
            <w:noProof/>
            <w:webHidden/>
          </w:rPr>
          <w:instrText xml:space="preserve"> PAGEREF _Toc207973645 \h </w:instrText>
        </w:r>
        <w:r>
          <w:rPr>
            <w:noProof/>
            <w:webHidden/>
          </w:rPr>
        </w:r>
        <w:r>
          <w:rPr>
            <w:noProof/>
            <w:webHidden/>
          </w:rPr>
          <w:fldChar w:fldCharType="separate"/>
        </w:r>
        <w:r>
          <w:rPr>
            <w:noProof/>
            <w:webHidden/>
          </w:rPr>
          <w:t>3</w:t>
        </w:r>
        <w:r>
          <w:rPr>
            <w:noProof/>
            <w:webHidden/>
          </w:rPr>
          <w:fldChar w:fldCharType="end"/>
        </w:r>
      </w:hyperlink>
    </w:p>
    <w:p>
      <w:pPr>
        <w:pStyle w:val="TM1"/>
        <w:rPr>
          <w:rFonts w:asciiTheme="minorHAnsi" w:eastAsiaTheme="minorEastAsia" w:hAnsiTheme="minorHAnsi" w:cstheme="minorBidi"/>
          <w:noProof/>
          <w:spacing w:val="0"/>
          <w:sz w:val="22"/>
          <w:lang w:eastAsia="fr-FR"/>
        </w:rPr>
      </w:pPr>
      <w:hyperlink w:anchor="_Toc207973646" w:history="1">
        <w:r>
          <w:rPr>
            <w:rStyle w:val="Lienhypertexte"/>
            <w:noProof/>
          </w:rPr>
          <w:t>3</w:t>
        </w:r>
        <w:r>
          <w:rPr>
            <w:rFonts w:asciiTheme="minorHAnsi" w:eastAsiaTheme="minorEastAsia" w:hAnsiTheme="minorHAnsi" w:cstheme="minorBidi"/>
            <w:noProof/>
            <w:spacing w:val="0"/>
            <w:sz w:val="22"/>
            <w:lang w:eastAsia="fr-FR"/>
          </w:rPr>
          <w:tab/>
        </w:r>
        <w:r>
          <w:rPr>
            <w:rStyle w:val="Lienhypertexte"/>
            <w:noProof/>
          </w:rPr>
          <w:t>Compréhension du contexte, des enjeux et des exigences</w:t>
        </w:r>
        <w:r>
          <w:rPr>
            <w:noProof/>
            <w:webHidden/>
          </w:rPr>
          <w:tab/>
        </w:r>
        <w:r>
          <w:rPr>
            <w:noProof/>
            <w:webHidden/>
          </w:rPr>
          <w:fldChar w:fldCharType="begin"/>
        </w:r>
        <w:r>
          <w:rPr>
            <w:noProof/>
            <w:webHidden/>
          </w:rPr>
          <w:instrText xml:space="preserve"> PAGEREF _Toc207973646 \h </w:instrText>
        </w:r>
        <w:r>
          <w:rPr>
            <w:noProof/>
            <w:webHidden/>
          </w:rPr>
        </w:r>
        <w:r>
          <w:rPr>
            <w:noProof/>
            <w:webHidden/>
          </w:rPr>
          <w:fldChar w:fldCharType="separate"/>
        </w:r>
        <w:r>
          <w:rPr>
            <w:noProof/>
            <w:webHidden/>
          </w:rPr>
          <w:t>3</w:t>
        </w:r>
        <w:r>
          <w:rPr>
            <w:noProof/>
            <w:webHidden/>
          </w:rPr>
          <w:fldChar w:fldCharType="end"/>
        </w:r>
      </w:hyperlink>
    </w:p>
    <w:p>
      <w:pPr>
        <w:pStyle w:val="TM1"/>
        <w:rPr>
          <w:rFonts w:asciiTheme="minorHAnsi" w:eastAsiaTheme="minorEastAsia" w:hAnsiTheme="minorHAnsi" w:cstheme="minorBidi"/>
          <w:noProof/>
          <w:spacing w:val="0"/>
          <w:sz w:val="22"/>
          <w:lang w:eastAsia="fr-FR"/>
        </w:rPr>
      </w:pPr>
      <w:hyperlink w:anchor="_Toc207973647" w:history="1">
        <w:r>
          <w:rPr>
            <w:rStyle w:val="Lienhypertexte"/>
            <w:noProof/>
          </w:rPr>
          <w:t>4</w:t>
        </w:r>
        <w:r>
          <w:rPr>
            <w:rFonts w:asciiTheme="minorHAnsi" w:eastAsiaTheme="minorEastAsia" w:hAnsiTheme="minorHAnsi" w:cstheme="minorBidi"/>
            <w:noProof/>
            <w:spacing w:val="0"/>
            <w:sz w:val="22"/>
            <w:lang w:eastAsia="fr-FR"/>
          </w:rPr>
          <w:tab/>
        </w:r>
        <w:r>
          <w:rPr>
            <w:rStyle w:val="Lienhypertexte"/>
            <w:noProof/>
          </w:rPr>
          <w:t>prestations du candidat</w:t>
        </w:r>
        <w:r>
          <w:rPr>
            <w:noProof/>
            <w:webHidden/>
          </w:rPr>
          <w:tab/>
        </w:r>
        <w:r>
          <w:rPr>
            <w:noProof/>
            <w:webHidden/>
          </w:rPr>
          <w:fldChar w:fldCharType="begin"/>
        </w:r>
        <w:r>
          <w:rPr>
            <w:noProof/>
            <w:webHidden/>
          </w:rPr>
          <w:instrText xml:space="preserve"> PAGEREF _Toc207973647 \h </w:instrText>
        </w:r>
        <w:r>
          <w:rPr>
            <w:noProof/>
            <w:webHidden/>
          </w:rPr>
        </w:r>
        <w:r>
          <w:rPr>
            <w:noProof/>
            <w:webHidden/>
          </w:rPr>
          <w:fldChar w:fldCharType="separate"/>
        </w:r>
        <w:r>
          <w:rPr>
            <w:noProof/>
            <w:webHidden/>
          </w:rPr>
          <w:t>3</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48" w:history="1">
        <w:r>
          <w:rPr>
            <w:rStyle w:val="Lienhypertexte"/>
            <w:noProof/>
          </w:rPr>
          <w:t>4.1</w:t>
        </w:r>
        <w:r>
          <w:rPr>
            <w:rFonts w:asciiTheme="minorHAnsi" w:eastAsiaTheme="minorEastAsia" w:hAnsiTheme="minorHAnsi" w:cstheme="minorBidi"/>
            <w:noProof/>
            <w:sz w:val="22"/>
            <w:lang w:eastAsia="fr-FR"/>
          </w:rPr>
          <w:tab/>
        </w:r>
        <w:r>
          <w:rPr>
            <w:rStyle w:val="Lienhypertexte"/>
            <w:noProof/>
          </w:rPr>
          <w:t>Description de la prestation et des modalités d’exécution</w:t>
        </w:r>
        <w:r>
          <w:rPr>
            <w:noProof/>
            <w:webHidden/>
          </w:rPr>
          <w:tab/>
        </w:r>
        <w:r>
          <w:rPr>
            <w:noProof/>
            <w:webHidden/>
          </w:rPr>
          <w:fldChar w:fldCharType="begin"/>
        </w:r>
        <w:r>
          <w:rPr>
            <w:noProof/>
            <w:webHidden/>
          </w:rPr>
          <w:instrText xml:space="preserve"> PAGEREF _Toc207973648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49" w:history="1">
        <w:r>
          <w:rPr>
            <w:rStyle w:val="Lienhypertexte"/>
            <w:noProof/>
          </w:rPr>
          <w:t>4.2</w:t>
        </w:r>
        <w:r>
          <w:rPr>
            <w:rFonts w:asciiTheme="minorHAnsi" w:eastAsiaTheme="minorEastAsia" w:hAnsiTheme="minorHAnsi" w:cstheme="minorBidi"/>
            <w:noProof/>
            <w:sz w:val="22"/>
            <w:lang w:eastAsia="fr-FR"/>
          </w:rPr>
          <w:tab/>
        </w:r>
        <w:r>
          <w:rPr>
            <w:rStyle w:val="Lienhypertexte"/>
            <w:noProof/>
          </w:rPr>
          <w:t>Facteurs clés de succès de la prestation</w:t>
        </w:r>
        <w:r>
          <w:rPr>
            <w:noProof/>
            <w:webHidden/>
          </w:rPr>
          <w:tab/>
        </w:r>
        <w:r>
          <w:rPr>
            <w:noProof/>
            <w:webHidden/>
          </w:rPr>
          <w:fldChar w:fldCharType="begin"/>
        </w:r>
        <w:r>
          <w:rPr>
            <w:noProof/>
            <w:webHidden/>
          </w:rPr>
          <w:instrText xml:space="preserve"> PAGEREF _Toc207973649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0" w:history="1">
        <w:r>
          <w:rPr>
            <w:rStyle w:val="Lienhypertexte"/>
            <w:noProof/>
          </w:rPr>
          <w:t>4.3</w:t>
        </w:r>
        <w:r>
          <w:rPr>
            <w:rFonts w:asciiTheme="minorHAnsi" w:eastAsiaTheme="minorEastAsia" w:hAnsiTheme="minorHAnsi" w:cstheme="minorBidi"/>
            <w:noProof/>
            <w:sz w:val="22"/>
            <w:lang w:eastAsia="fr-FR"/>
          </w:rPr>
          <w:tab/>
        </w:r>
        <w:r>
          <w:rPr>
            <w:rStyle w:val="Lienhypertexte"/>
            <w:noProof/>
          </w:rPr>
          <w:t>Trois principaux risques liés à la prestation</w:t>
        </w:r>
        <w:r>
          <w:rPr>
            <w:noProof/>
            <w:webHidden/>
          </w:rPr>
          <w:tab/>
        </w:r>
        <w:r>
          <w:rPr>
            <w:noProof/>
            <w:webHidden/>
          </w:rPr>
          <w:fldChar w:fldCharType="begin"/>
        </w:r>
        <w:r>
          <w:rPr>
            <w:noProof/>
            <w:webHidden/>
          </w:rPr>
          <w:instrText xml:space="preserve"> PAGEREF _Toc207973650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1" w:history="1">
        <w:r>
          <w:rPr>
            <w:rStyle w:val="Lienhypertexte"/>
            <w:noProof/>
          </w:rPr>
          <w:t>4.4</w:t>
        </w:r>
        <w:r>
          <w:rPr>
            <w:rFonts w:asciiTheme="minorHAnsi" w:eastAsiaTheme="minorEastAsia" w:hAnsiTheme="minorHAnsi" w:cstheme="minorBidi"/>
            <w:noProof/>
            <w:sz w:val="22"/>
            <w:lang w:eastAsia="fr-FR"/>
          </w:rPr>
          <w:tab/>
        </w:r>
        <w:r>
          <w:rPr>
            <w:rStyle w:val="Lienhypertexte"/>
            <w:noProof/>
          </w:rPr>
          <w:t>Améliorations et innovations proposées</w:t>
        </w:r>
        <w:r>
          <w:rPr>
            <w:noProof/>
            <w:webHidden/>
          </w:rPr>
          <w:tab/>
        </w:r>
        <w:r>
          <w:rPr>
            <w:noProof/>
            <w:webHidden/>
          </w:rPr>
          <w:fldChar w:fldCharType="begin"/>
        </w:r>
        <w:r>
          <w:rPr>
            <w:noProof/>
            <w:webHidden/>
          </w:rPr>
          <w:instrText xml:space="preserve"> PAGEREF _Toc207973651 \h </w:instrText>
        </w:r>
        <w:r>
          <w:rPr>
            <w:noProof/>
            <w:webHidden/>
          </w:rPr>
        </w:r>
        <w:r>
          <w:rPr>
            <w:noProof/>
            <w:webHidden/>
          </w:rPr>
          <w:fldChar w:fldCharType="separate"/>
        </w:r>
        <w:r>
          <w:rPr>
            <w:noProof/>
            <w:webHidden/>
          </w:rPr>
          <w:t>4</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2" w:history="1">
        <w:r>
          <w:rPr>
            <w:rStyle w:val="Lienhypertexte"/>
            <w:noProof/>
          </w:rPr>
          <w:t>4.5</w:t>
        </w:r>
        <w:r>
          <w:rPr>
            <w:rFonts w:asciiTheme="minorHAnsi" w:eastAsiaTheme="minorEastAsia" w:hAnsiTheme="minorHAnsi" w:cstheme="minorBidi"/>
            <w:noProof/>
            <w:sz w:val="22"/>
            <w:lang w:eastAsia="fr-FR"/>
          </w:rPr>
          <w:tab/>
        </w:r>
        <w:r>
          <w:rPr>
            <w:rStyle w:val="Lienhypertexte"/>
            <w:noProof/>
          </w:rPr>
          <w:t>Demandes spécifiques</w:t>
        </w:r>
        <w:r>
          <w:rPr>
            <w:noProof/>
            <w:webHidden/>
          </w:rPr>
          <w:tab/>
        </w:r>
        <w:r>
          <w:rPr>
            <w:noProof/>
            <w:webHidden/>
          </w:rPr>
          <w:fldChar w:fldCharType="begin"/>
        </w:r>
        <w:r>
          <w:rPr>
            <w:noProof/>
            <w:webHidden/>
          </w:rPr>
          <w:instrText xml:space="preserve"> PAGEREF _Toc207973652 \h </w:instrText>
        </w:r>
        <w:r>
          <w:rPr>
            <w:noProof/>
            <w:webHidden/>
          </w:rPr>
        </w:r>
        <w:r>
          <w:rPr>
            <w:noProof/>
            <w:webHidden/>
          </w:rPr>
          <w:fldChar w:fldCharType="separate"/>
        </w:r>
        <w:r>
          <w:rPr>
            <w:noProof/>
            <w:webHidden/>
          </w:rPr>
          <w:t>5</w:t>
        </w:r>
        <w:r>
          <w:rPr>
            <w:noProof/>
            <w:webHidden/>
          </w:rPr>
          <w:fldChar w:fldCharType="end"/>
        </w:r>
      </w:hyperlink>
    </w:p>
    <w:p>
      <w:pPr>
        <w:pStyle w:val="TM1"/>
        <w:rPr>
          <w:rFonts w:asciiTheme="minorHAnsi" w:eastAsiaTheme="minorEastAsia" w:hAnsiTheme="minorHAnsi" w:cstheme="minorBidi"/>
          <w:noProof/>
          <w:spacing w:val="0"/>
          <w:sz w:val="22"/>
          <w:lang w:eastAsia="fr-FR"/>
        </w:rPr>
      </w:pPr>
      <w:hyperlink w:anchor="_Toc207973653" w:history="1">
        <w:r>
          <w:rPr>
            <w:rStyle w:val="Lienhypertexte"/>
            <w:noProof/>
          </w:rPr>
          <w:t>5</w:t>
        </w:r>
        <w:r>
          <w:rPr>
            <w:rFonts w:asciiTheme="minorHAnsi" w:eastAsiaTheme="minorEastAsia" w:hAnsiTheme="minorHAnsi" w:cstheme="minorBidi"/>
            <w:noProof/>
            <w:spacing w:val="0"/>
            <w:sz w:val="22"/>
            <w:lang w:eastAsia="fr-FR"/>
          </w:rPr>
          <w:tab/>
        </w:r>
        <w:r>
          <w:rPr>
            <w:rStyle w:val="Lienhypertexte"/>
            <w:noProof/>
          </w:rPr>
          <w:t>Organisation pressentie</w:t>
        </w:r>
        <w:r>
          <w:rPr>
            <w:noProof/>
            <w:webHidden/>
          </w:rPr>
          <w:tab/>
        </w:r>
        <w:r>
          <w:rPr>
            <w:noProof/>
            <w:webHidden/>
          </w:rPr>
          <w:fldChar w:fldCharType="begin"/>
        </w:r>
        <w:r>
          <w:rPr>
            <w:noProof/>
            <w:webHidden/>
          </w:rPr>
          <w:instrText xml:space="preserve"> PAGEREF _Toc207973653 \h </w:instrText>
        </w:r>
        <w:r>
          <w:rPr>
            <w:noProof/>
            <w:webHidden/>
          </w:rPr>
        </w:r>
        <w:r>
          <w:rPr>
            <w:noProof/>
            <w:webHidden/>
          </w:rPr>
          <w:fldChar w:fldCharType="separate"/>
        </w:r>
        <w:r>
          <w:rPr>
            <w:noProof/>
            <w:webHidden/>
          </w:rPr>
          <w:t>8</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4" w:history="1">
        <w:r>
          <w:rPr>
            <w:rStyle w:val="Lienhypertexte"/>
            <w:noProof/>
          </w:rPr>
          <w:t>5.1</w:t>
        </w:r>
        <w:r>
          <w:rPr>
            <w:rFonts w:asciiTheme="minorHAnsi" w:eastAsiaTheme="minorEastAsia" w:hAnsiTheme="minorHAnsi" w:cstheme="minorBidi"/>
            <w:noProof/>
            <w:sz w:val="22"/>
            <w:lang w:eastAsia="fr-FR"/>
          </w:rPr>
          <w:tab/>
        </w:r>
        <w:r>
          <w:rPr>
            <w:rStyle w:val="Lienhypertexte"/>
            <w:noProof/>
          </w:rPr>
          <w:t>Organisation et profils pressentis</w:t>
        </w:r>
        <w:r>
          <w:rPr>
            <w:noProof/>
            <w:webHidden/>
          </w:rPr>
          <w:tab/>
        </w:r>
        <w:r>
          <w:rPr>
            <w:noProof/>
            <w:webHidden/>
          </w:rPr>
          <w:fldChar w:fldCharType="begin"/>
        </w:r>
        <w:r>
          <w:rPr>
            <w:noProof/>
            <w:webHidden/>
          </w:rPr>
          <w:instrText xml:space="preserve"> PAGEREF _Toc207973654 \h </w:instrText>
        </w:r>
        <w:r>
          <w:rPr>
            <w:noProof/>
            <w:webHidden/>
          </w:rPr>
        </w:r>
        <w:r>
          <w:rPr>
            <w:noProof/>
            <w:webHidden/>
          </w:rPr>
          <w:fldChar w:fldCharType="separate"/>
        </w:r>
        <w:r>
          <w:rPr>
            <w:noProof/>
            <w:webHidden/>
          </w:rPr>
          <w:t>8</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5" w:history="1">
        <w:r>
          <w:rPr>
            <w:rStyle w:val="Lienhypertexte"/>
            <w:noProof/>
          </w:rPr>
          <w:t>5.2</w:t>
        </w:r>
        <w:r>
          <w:rPr>
            <w:rFonts w:asciiTheme="minorHAnsi" w:eastAsiaTheme="minorEastAsia" w:hAnsiTheme="minorHAnsi" w:cstheme="minorBidi"/>
            <w:noProof/>
            <w:sz w:val="22"/>
            <w:lang w:eastAsia="fr-FR"/>
          </w:rPr>
          <w:tab/>
        </w:r>
        <w:r>
          <w:rPr>
            <w:rStyle w:val="Lienhypertexte"/>
            <w:noProof/>
          </w:rPr>
          <w:t>Mobilisation des compétences sur la durée du marché</w:t>
        </w:r>
        <w:r>
          <w:rPr>
            <w:noProof/>
            <w:webHidden/>
          </w:rPr>
          <w:tab/>
        </w:r>
        <w:r>
          <w:rPr>
            <w:noProof/>
            <w:webHidden/>
          </w:rPr>
          <w:fldChar w:fldCharType="begin"/>
        </w:r>
        <w:r>
          <w:rPr>
            <w:noProof/>
            <w:webHidden/>
          </w:rPr>
          <w:instrText xml:space="preserve"> PAGEREF _Toc207973655 \h </w:instrText>
        </w:r>
        <w:r>
          <w:rPr>
            <w:noProof/>
            <w:webHidden/>
          </w:rPr>
        </w:r>
        <w:r>
          <w:rPr>
            <w:noProof/>
            <w:webHidden/>
          </w:rPr>
          <w:fldChar w:fldCharType="separate"/>
        </w:r>
        <w:r>
          <w:rPr>
            <w:noProof/>
            <w:webHidden/>
          </w:rPr>
          <w:t>8</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6" w:history="1">
        <w:r>
          <w:rPr>
            <w:rStyle w:val="Lienhypertexte"/>
            <w:noProof/>
          </w:rPr>
          <w:t>5.3</w:t>
        </w:r>
        <w:r>
          <w:rPr>
            <w:rFonts w:asciiTheme="minorHAnsi" w:eastAsiaTheme="minorEastAsia" w:hAnsiTheme="minorHAnsi" w:cstheme="minorBidi"/>
            <w:noProof/>
            <w:sz w:val="22"/>
            <w:lang w:eastAsia="fr-FR"/>
          </w:rPr>
          <w:tab/>
        </w:r>
        <w:r>
          <w:rPr>
            <w:rStyle w:val="Lienhypertexte"/>
            <w:noProof/>
          </w:rPr>
          <w:t>Estimation des charges</w:t>
        </w:r>
        <w:r>
          <w:rPr>
            <w:noProof/>
            <w:webHidden/>
          </w:rPr>
          <w:tab/>
        </w:r>
        <w:r>
          <w:rPr>
            <w:noProof/>
            <w:webHidden/>
          </w:rPr>
          <w:fldChar w:fldCharType="begin"/>
        </w:r>
        <w:r>
          <w:rPr>
            <w:noProof/>
            <w:webHidden/>
          </w:rPr>
          <w:instrText xml:space="preserve"> PAGEREF _Toc207973656 \h </w:instrText>
        </w:r>
        <w:r>
          <w:rPr>
            <w:noProof/>
            <w:webHidden/>
          </w:rPr>
        </w:r>
        <w:r>
          <w:rPr>
            <w:noProof/>
            <w:webHidden/>
          </w:rPr>
          <w:fldChar w:fldCharType="separate"/>
        </w:r>
        <w:r>
          <w:rPr>
            <w:noProof/>
            <w:webHidden/>
          </w:rPr>
          <w:t>8</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7" w:history="1">
        <w:r>
          <w:rPr>
            <w:rStyle w:val="Lienhypertexte"/>
            <w:noProof/>
          </w:rPr>
          <w:t>5.4</w:t>
        </w:r>
        <w:r>
          <w:rPr>
            <w:rFonts w:asciiTheme="minorHAnsi" w:eastAsiaTheme="minorEastAsia" w:hAnsiTheme="minorHAnsi" w:cstheme="minorBidi"/>
            <w:noProof/>
            <w:sz w:val="22"/>
            <w:lang w:eastAsia="fr-FR"/>
          </w:rPr>
          <w:tab/>
        </w:r>
        <w:r>
          <w:rPr>
            <w:rStyle w:val="Lienhypertexte"/>
            <w:noProof/>
          </w:rPr>
          <w:t>Focus sur la gestion des projets majeurs</w:t>
        </w:r>
        <w:r>
          <w:rPr>
            <w:noProof/>
            <w:webHidden/>
          </w:rPr>
          <w:tab/>
        </w:r>
        <w:r>
          <w:rPr>
            <w:noProof/>
            <w:webHidden/>
          </w:rPr>
          <w:fldChar w:fldCharType="begin"/>
        </w:r>
        <w:r>
          <w:rPr>
            <w:noProof/>
            <w:webHidden/>
          </w:rPr>
          <w:instrText xml:space="preserve"> PAGEREF _Toc207973657 \h </w:instrText>
        </w:r>
        <w:r>
          <w:rPr>
            <w:noProof/>
            <w:webHidden/>
          </w:rPr>
        </w:r>
        <w:r>
          <w:rPr>
            <w:noProof/>
            <w:webHidden/>
          </w:rPr>
          <w:fldChar w:fldCharType="separate"/>
        </w:r>
        <w:r>
          <w:rPr>
            <w:noProof/>
            <w:webHidden/>
          </w:rPr>
          <w:t>9</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8" w:history="1">
        <w:r>
          <w:rPr>
            <w:rStyle w:val="Lienhypertexte"/>
            <w:noProof/>
          </w:rPr>
          <w:t>5.5</w:t>
        </w:r>
        <w:r>
          <w:rPr>
            <w:rFonts w:asciiTheme="minorHAnsi" w:eastAsiaTheme="minorEastAsia" w:hAnsiTheme="minorHAnsi" w:cstheme="minorBidi"/>
            <w:noProof/>
            <w:sz w:val="22"/>
            <w:lang w:eastAsia="fr-FR"/>
          </w:rPr>
          <w:tab/>
        </w:r>
        <w:r>
          <w:rPr>
            <w:rStyle w:val="Lienhypertexte"/>
            <w:noProof/>
          </w:rPr>
          <w:t>Plan de progrès</w:t>
        </w:r>
        <w:r>
          <w:rPr>
            <w:noProof/>
            <w:webHidden/>
          </w:rPr>
          <w:tab/>
        </w:r>
        <w:r>
          <w:rPr>
            <w:noProof/>
            <w:webHidden/>
          </w:rPr>
          <w:fldChar w:fldCharType="begin"/>
        </w:r>
        <w:r>
          <w:rPr>
            <w:noProof/>
            <w:webHidden/>
          </w:rPr>
          <w:instrText xml:space="preserve"> PAGEREF _Toc207973658 \h </w:instrText>
        </w:r>
        <w:r>
          <w:rPr>
            <w:noProof/>
            <w:webHidden/>
          </w:rPr>
        </w:r>
        <w:r>
          <w:rPr>
            <w:noProof/>
            <w:webHidden/>
          </w:rPr>
          <w:fldChar w:fldCharType="separate"/>
        </w:r>
        <w:r>
          <w:rPr>
            <w:noProof/>
            <w:webHidden/>
          </w:rPr>
          <w:t>9</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59" w:history="1">
        <w:r>
          <w:rPr>
            <w:rStyle w:val="Lienhypertexte"/>
            <w:noProof/>
          </w:rPr>
          <w:t>5.6</w:t>
        </w:r>
        <w:r>
          <w:rPr>
            <w:rFonts w:asciiTheme="minorHAnsi" w:eastAsiaTheme="minorEastAsia" w:hAnsiTheme="minorHAnsi" w:cstheme="minorBidi"/>
            <w:noProof/>
            <w:sz w:val="22"/>
            <w:lang w:eastAsia="fr-FR"/>
          </w:rPr>
          <w:tab/>
        </w:r>
        <w:r>
          <w:rPr>
            <w:rStyle w:val="Lienhypertexte"/>
            <w:noProof/>
          </w:rPr>
          <w:t>Information sur la localisation géographique des données et des services</w:t>
        </w:r>
        <w:r>
          <w:rPr>
            <w:noProof/>
            <w:webHidden/>
          </w:rPr>
          <w:tab/>
        </w:r>
        <w:r>
          <w:rPr>
            <w:noProof/>
            <w:webHidden/>
          </w:rPr>
          <w:fldChar w:fldCharType="begin"/>
        </w:r>
        <w:r>
          <w:rPr>
            <w:noProof/>
            <w:webHidden/>
          </w:rPr>
          <w:instrText xml:space="preserve"> PAGEREF _Toc207973659 \h </w:instrText>
        </w:r>
        <w:r>
          <w:rPr>
            <w:noProof/>
            <w:webHidden/>
          </w:rPr>
        </w:r>
        <w:r>
          <w:rPr>
            <w:noProof/>
            <w:webHidden/>
          </w:rPr>
          <w:fldChar w:fldCharType="separate"/>
        </w:r>
        <w:r>
          <w:rPr>
            <w:noProof/>
            <w:webHidden/>
          </w:rPr>
          <w:t>9</w:t>
        </w:r>
        <w:r>
          <w:rPr>
            <w:noProof/>
            <w:webHidden/>
          </w:rPr>
          <w:fldChar w:fldCharType="end"/>
        </w:r>
      </w:hyperlink>
    </w:p>
    <w:p>
      <w:pPr>
        <w:pStyle w:val="TM2"/>
        <w:rPr>
          <w:rFonts w:asciiTheme="minorHAnsi" w:eastAsiaTheme="minorEastAsia" w:hAnsiTheme="minorHAnsi" w:cstheme="minorBidi"/>
          <w:noProof/>
          <w:sz w:val="22"/>
          <w:lang w:eastAsia="fr-FR"/>
        </w:rPr>
      </w:pPr>
      <w:hyperlink w:anchor="_Toc207973660" w:history="1">
        <w:r>
          <w:rPr>
            <w:rStyle w:val="Lienhypertexte"/>
            <w:noProof/>
          </w:rPr>
          <w:t>5.7</w:t>
        </w:r>
        <w:r>
          <w:rPr>
            <w:rFonts w:asciiTheme="minorHAnsi" w:eastAsiaTheme="minorEastAsia" w:hAnsiTheme="minorHAnsi" w:cstheme="minorBidi"/>
            <w:noProof/>
            <w:sz w:val="22"/>
            <w:lang w:eastAsia="fr-FR"/>
          </w:rPr>
          <w:tab/>
        </w:r>
        <w:r>
          <w:rPr>
            <w:rStyle w:val="Lienhypertexte"/>
            <w:noProof/>
          </w:rPr>
          <w:t>Enjeux environnementaux et sociaux</w:t>
        </w:r>
        <w:r>
          <w:rPr>
            <w:noProof/>
            <w:webHidden/>
          </w:rPr>
          <w:tab/>
        </w:r>
        <w:r>
          <w:rPr>
            <w:noProof/>
            <w:webHidden/>
          </w:rPr>
          <w:fldChar w:fldCharType="begin"/>
        </w:r>
        <w:r>
          <w:rPr>
            <w:noProof/>
            <w:webHidden/>
          </w:rPr>
          <w:instrText xml:space="preserve"> PAGEREF _Toc207973660 \h </w:instrText>
        </w:r>
        <w:r>
          <w:rPr>
            <w:noProof/>
            <w:webHidden/>
          </w:rPr>
        </w:r>
        <w:r>
          <w:rPr>
            <w:noProof/>
            <w:webHidden/>
          </w:rPr>
          <w:fldChar w:fldCharType="separate"/>
        </w:r>
        <w:r>
          <w:rPr>
            <w:noProof/>
            <w:webHidden/>
          </w:rPr>
          <w:t>10</w:t>
        </w:r>
        <w:r>
          <w:rPr>
            <w:noProof/>
            <w:webHidden/>
          </w:rPr>
          <w:fldChar w:fldCharType="end"/>
        </w:r>
      </w:hyperlink>
    </w:p>
    <w:p>
      <w:pPr>
        <w:rPr>
          <w:color w:val="8EB0AB"/>
        </w:rPr>
      </w:pPr>
      <w:r>
        <w:rPr>
          <w:color w:val="8EB0AB"/>
        </w:rPr>
        <w:fldChar w:fldCharType="end"/>
      </w:r>
    </w:p>
    <w:p>
      <w:pPr>
        <w:rPr>
          <w:color w:val="8EB0AB"/>
        </w:rPr>
      </w:pPr>
    </w:p>
    <w:p/>
    <w:p>
      <w:pPr>
        <w:rPr>
          <w:color w:val="8EB0AB"/>
        </w:rPr>
      </w:pPr>
    </w:p>
    <w:p>
      <w:pPr>
        <w:spacing w:line="240" w:lineRule="auto"/>
        <w:rPr>
          <w:b/>
          <w:sz w:val="28"/>
        </w:rPr>
      </w:pPr>
      <w:r>
        <w:rPr>
          <w:b/>
          <w:sz w:val="28"/>
        </w:rPr>
        <w:br w:type="page" w:clear="all"/>
      </w:r>
    </w:p>
    <w:p>
      <w:pPr>
        <w:pStyle w:val="Titre1"/>
        <w:pageBreakBefore w:val="0"/>
        <w:shd w:val="clear" w:color="auto" w:fill="FFFFFF"/>
        <w:tabs>
          <w:tab w:val="num" w:pos="851"/>
        </w:tabs>
        <w:spacing w:before="360" w:after="360"/>
        <w:ind w:left="851" w:hanging="851"/>
        <w:jc w:val="both"/>
      </w:pPr>
      <w:bookmarkStart w:id="0" w:name="_Toc207973644"/>
      <w:r>
        <w:lastRenderedPageBreak/>
        <w:t>PRESENTATION</w:t>
      </w:r>
      <w:bookmarkEnd w:id="0"/>
    </w:p>
    <w:p>
      <w:pPr>
        <w:pStyle w:val="En-tte"/>
        <w:jc w:val="both"/>
      </w:pPr>
      <w:r>
        <w:t xml:space="preserve">Pour la présentation de sa proposition technique, et dans le but d’en assurer une meilleure lisibilité, </w:t>
      </w:r>
      <w:r>
        <w:rPr>
          <w:b/>
        </w:rPr>
        <w:t>il est demandé au candidat d'utiliser le présent cadre de réponse, sans apporter de modification à sa structure</w:t>
      </w:r>
      <w:r>
        <w:t>. Le candidat peut y joindre tout document qu’il estime propre à permettre une meilleure appréciation des renseignements fournis dans le présent cadre de réponse. Tout renvoi à un autre document joint au dossier, devra préciser le nom du document, la page concernée, la section concernée.</w:t>
      </w:r>
    </w:p>
    <w:p>
      <w:pPr>
        <w:pStyle w:val="En-tte"/>
        <w:jc w:val="both"/>
      </w:pPr>
    </w:p>
    <w:p>
      <w:pPr>
        <w:jc w:val="both"/>
      </w:pPr>
      <w:r>
        <w:t>Les éléments et les exigences décrits dans le CCTP sont à prendre en compte dans leur intégralité.</w:t>
      </w:r>
    </w:p>
    <w:p>
      <w:pPr>
        <w:jc w:val="both"/>
      </w:pPr>
      <w:r>
        <w:t>Le candidat limite son offre à 200 pages.</w:t>
      </w:r>
    </w:p>
    <w:p>
      <w:pPr>
        <w:pStyle w:val="Titre1"/>
        <w:pageBreakBefore w:val="0"/>
        <w:shd w:val="clear" w:color="auto" w:fill="FFFFFF"/>
        <w:tabs>
          <w:tab w:val="num" w:pos="851"/>
        </w:tabs>
        <w:spacing w:before="360" w:after="360"/>
        <w:ind w:left="851" w:hanging="851"/>
        <w:jc w:val="both"/>
      </w:pPr>
      <w:bookmarkStart w:id="1" w:name="_Toc207973645"/>
      <w:r>
        <w:t>Synthèse de l’offre</w:t>
      </w:r>
      <w:bookmarkEnd w:id="1"/>
    </w:p>
    <w:p>
      <w:pPr>
        <w:jc w:val="both"/>
      </w:pPr>
      <w:r>
        <w:t>Le candidat introduit sa proposition par une synthèse mettant notamment en avant les éléments différenciateurs de son offre.</w:t>
      </w:r>
    </w:p>
    <w:p>
      <w:pPr>
        <w:jc w:val="both"/>
      </w:pPr>
      <w:r>
        <w:t xml:space="preserve">Le candidat décrit les principes directeurs de son offre et ses engagements. </w:t>
      </w:r>
    </w:p>
    <w:p>
      <w:pPr>
        <w:jc w:val="both"/>
      </w:pPr>
      <w:r>
        <w:t>Le candidat présente les apports de son offre en termes de maîtrise des délais et la qualité de ses prestations et des livrables, ainsi qu’en termes de productivité globale et d’innovations.</w:t>
      </w:r>
    </w:p>
    <w:p>
      <w:pPr>
        <w:jc w:val="both"/>
      </w:pPr>
      <w:r>
        <w:t>Le candidat limite la synthèse de l’offre à 30 pages.</w:t>
      </w:r>
    </w:p>
    <w:p>
      <w:pPr>
        <w:pStyle w:val="Titre1"/>
        <w:pageBreakBefore w:val="0"/>
        <w:shd w:val="clear" w:color="auto" w:fill="FFFFFF"/>
        <w:tabs>
          <w:tab w:val="num" w:pos="851"/>
        </w:tabs>
        <w:spacing w:before="360" w:after="360"/>
        <w:ind w:left="851" w:hanging="851"/>
        <w:jc w:val="both"/>
      </w:pPr>
      <w:bookmarkStart w:id="2" w:name="_Toc207973646"/>
      <w:r>
        <w:t>Compréhension du contexte, des enjeux et des exigences</w:t>
      </w:r>
      <w:bookmarkEnd w:id="2"/>
    </w:p>
    <w:p>
      <w:pPr>
        <w:jc w:val="both"/>
      </w:pPr>
      <w:r>
        <w:t>Le contexte de travail de l’AIFE est complexe, avec de nombreux partenaires et différents prestataires. Or, sa maîtrise par le candidat est un facteur important de sa capacité à réaliser les prestations du périmètre du présent marché, en interaction avec les équipes de l’AIFE et les prestations des autres marchés.</w:t>
      </w:r>
    </w:p>
    <w:p>
      <w:pPr>
        <w:jc w:val="both"/>
      </w:pPr>
      <w:r>
        <w:t xml:space="preserve">Aussi le candidat procède-t-il dans ce chapitre à une reformulation précise du contexte et du cadre général du marché afin d’en montrer sa bonne compréhension. </w:t>
      </w:r>
    </w:p>
    <w:p>
      <w:pPr>
        <w:jc w:val="both"/>
      </w:pPr>
      <w:r>
        <w:t>Selon le même principe, le candidat décrit sa compréhension du paysage applicatif et technique existant, du besoin et de chacune des exigences de l’Administration.</w:t>
      </w:r>
    </w:p>
    <w:p>
      <w:pPr>
        <w:pStyle w:val="Titre1"/>
        <w:pageBreakBefore w:val="0"/>
        <w:shd w:val="clear" w:color="auto" w:fill="FFFFFF"/>
        <w:tabs>
          <w:tab w:val="num" w:pos="851"/>
        </w:tabs>
        <w:spacing w:before="360" w:after="360"/>
        <w:ind w:left="851" w:hanging="851"/>
        <w:jc w:val="both"/>
      </w:pPr>
      <w:bookmarkStart w:id="3" w:name="_Toc207973647"/>
      <w:r>
        <w:t>prestations du candidat</w:t>
      </w:r>
      <w:bookmarkEnd w:id="3"/>
    </w:p>
    <w:p>
      <w:pPr>
        <w:jc w:val="both"/>
      </w:pPr>
      <w:r>
        <w:t xml:space="preserve">Ce chapitre doit permettre au candidat d’exposer sa compréhension de chaque prestation du marché dans l’ordre d’énonciation du CCTP et de détailler les modalités mises en œuvre pour répondre aux différentes activités décrites. </w:t>
      </w:r>
    </w:p>
    <w:p>
      <w:pPr>
        <w:jc w:val="both"/>
      </w:pPr>
      <w:r>
        <w:lastRenderedPageBreak/>
        <w:t>Le candidat prend connaissance des prestations dans leur globalité afin de présenter sa compréhension de l’ensemble du périmètre du présent marché et des interactions éventuelles avec d’autres prestataires.</w:t>
      </w:r>
    </w:p>
    <w:p>
      <w:pPr>
        <w:jc w:val="both"/>
      </w:pPr>
    </w:p>
    <w:p>
      <w:pPr>
        <w:jc w:val="both"/>
      </w:pPr>
      <w:r>
        <w:t>Le candidat décrit donc ici comment il répond à chacune des prestations demandées en respectant l’ensemble des exigences.</w:t>
      </w:r>
    </w:p>
    <w:p>
      <w:pPr>
        <w:jc w:val="both"/>
      </w:pPr>
    </w:p>
    <w:p>
      <w:pPr>
        <w:jc w:val="both"/>
      </w:pPr>
      <w:r>
        <w:t>Pour chacune des prestations, le candidat donne une description synthétique de la méthodologie qu’il entend mettre en œuvre pour répondre aux activités décrites par la Personne publique dans le CCTP du marché et présente ses engagements, en termes de bonne exécution des prestations. Il veille à la clarté et la pertinence de la méthodologie et des modalités d’exécution proposées pour chaque prestation du marché.</w:t>
      </w:r>
    </w:p>
    <w:p>
      <w:pPr>
        <w:jc w:val="both"/>
      </w:pPr>
      <w:r>
        <w:t xml:space="preserve">Il est demandé que la trame générique suivante soit respectée pour décrire l’offre relative à chaque prestation. </w:t>
      </w:r>
    </w:p>
    <w:p>
      <w:pPr>
        <w:pStyle w:val="Titre2"/>
        <w:jc w:val="both"/>
      </w:pPr>
      <w:bookmarkStart w:id="4" w:name="_Toc207973648"/>
      <w:r>
        <w:t>Description de la prestation et des modalités d’exécution</w:t>
      </w:r>
      <w:bookmarkEnd w:id="4"/>
    </w:p>
    <w:p>
      <w:pPr>
        <w:jc w:val="both"/>
      </w:pPr>
    </w:p>
    <w:p>
      <w:pPr>
        <w:jc w:val="both"/>
      </w:pPr>
      <w:r>
        <w:t>Le candidat présente sa compréhension de la prestation à réaliser et fournit une description des modalités d’exécution de cette prestation, il décrit notamment</w:t>
      </w:r>
      <w:r>
        <w:rPr>
          <w:rFonts w:ascii="Calibri" w:hAnsi="Calibri" w:cs="Calibri"/>
        </w:rPr>
        <w:t> </w:t>
      </w:r>
      <w:r>
        <w:t>:</w:t>
      </w:r>
    </w:p>
    <w:p>
      <w:pPr>
        <w:pStyle w:val="Liste1"/>
      </w:pPr>
      <w:r>
        <w:t>La méthodologie qu’il entend mettre en œuvre pour réaliser la prestation ;</w:t>
      </w:r>
    </w:p>
    <w:p>
      <w:pPr>
        <w:pStyle w:val="Liste1"/>
      </w:pPr>
      <w:r>
        <w:t>Le plan et le planning de déroulement de la prestation</w:t>
      </w:r>
      <w:r>
        <w:rPr>
          <w:rFonts w:ascii="Calibri" w:hAnsi="Calibri" w:cs="Calibri"/>
        </w:rPr>
        <w:t> </w:t>
      </w:r>
      <w:r>
        <w:t>;</w:t>
      </w:r>
    </w:p>
    <w:p>
      <w:pPr>
        <w:pStyle w:val="Liste1"/>
      </w:pPr>
      <w:r>
        <w:t>Ses engagements et hypothèses induisant les charges associées à chaque prestation</w:t>
      </w:r>
      <w:r>
        <w:rPr>
          <w:rFonts w:ascii="Calibri" w:hAnsi="Calibri" w:cs="Calibri"/>
        </w:rPr>
        <w:t> </w:t>
      </w:r>
      <w:r>
        <w:t>;</w:t>
      </w:r>
    </w:p>
    <w:p>
      <w:pPr>
        <w:pStyle w:val="Liste1"/>
      </w:pPr>
      <w:r>
        <w:t xml:space="preserve">Les solutions proposées pour réaliser la prestation. </w:t>
      </w:r>
    </w:p>
    <w:p>
      <w:pPr>
        <w:pStyle w:val="Liste1"/>
        <w:numPr>
          <w:ilvl w:val="0"/>
          <w:numId w:val="0"/>
        </w:numPr>
      </w:pPr>
    </w:p>
    <w:p>
      <w:pPr>
        <w:jc w:val="both"/>
        <w:rPr>
          <w:szCs w:val="28"/>
        </w:rPr>
      </w:pPr>
      <w:r>
        <w:t>Le candidat doit proposer une solution d’hébergement de l’exécution de ses prestations et indiquer la localisation précise du ou des sites d’exécution des prestations.</w:t>
      </w:r>
      <w:r>
        <w:rPr>
          <w:szCs w:val="28"/>
        </w:rPr>
        <w:t xml:space="preserve"> </w:t>
      </w:r>
    </w:p>
    <w:p>
      <w:pPr>
        <w:pStyle w:val="Titre2"/>
        <w:jc w:val="both"/>
      </w:pPr>
      <w:bookmarkStart w:id="5" w:name="_Toc207973649"/>
      <w:r>
        <w:t>Facteurs clés de succès de la prestation</w:t>
      </w:r>
      <w:bookmarkEnd w:id="5"/>
    </w:p>
    <w:p>
      <w:pPr>
        <w:jc w:val="both"/>
      </w:pPr>
    </w:p>
    <w:p>
      <w:pPr>
        <w:jc w:val="both"/>
      </w:pPr>
      <w:r>
        <w:t>Le candidat présente les principaux facteurs qui assureront la réussite de la prestation.</w:t>
      </w:r>
    </w:p>
    <w:p>
      <w:pPr>
        <w:pStyle w:val="Titre2"/>
        <w:jc w:val="both"/>
      </w:pPr>
      <w:bookmarkStart w:id="6" w:name="_Toc207973650"/>
      <w:r>
        <w:t>Trois principaux risques liés à la prestation</w:t>
      </w:r>
      <w:bookmarkEnd w:id="6"/>
      <w:r>
        <w:t xml:space="preserve"> </w:t>
      </w:r>
    </w:p>
    <w:p>
      <w:pPr>
        <w:jc w:val="both"/>
      </w:pPr>
    </w:p>
    <w:p>
      <w:pPr>
        <w:jc w:val="both"/>
      </w:pPr>
      <w:r>
        <w:t>Le candidat présente les trois principaux risques identifiés pour la bonne exécution de la prestation, avec leurs plans de couverture associés.</w:t>
      </w:r>
    </w:p>
    <w:p>
      <w:pPr>
        <w:pStyle w:val="Titre2"/>
        <w:jc w:val="both"/>
      </w:pPr>
      <w:bookmarkStart w:id="7" w:name="_Toc207973651"/>
      <w:r>
        <w:t>Améliorations et innovations proposées</w:t>
      </w:r>
      <w:bookmarkEnd w:id="7"/>
    </w:p>
    <w:p>
      <w:pPr>
        <w:jc w:val="both"/>
      </w:pPr>
    </w:p>
    <w:p>
      <w:pPr>
        <w:jc w:val="both"/>
      </w:pPr>
      <w:r>
        <w:t xml:space="preserve">Le candidat peut proposer des améliorations sur le contenu des prestations présentées dans le CCTP ainsi que des innovations (technologiques, méthodologiques, organisationnelles, etc.) s’il juge que </w:t>
      </w:r>
      <w:r>
        <w:lastRenderedPageBreak/>
        <w:t>celles-ci permettront d’augmenter la productivité de ses équipes et plus globalement de l’AIFE, et/ou d’améliorer la qualité du service proposé par ses équipes, voire in fine la qualité du service proposé par l’AIFE à ses clients.</w:t>
      </w:r>
    </w:p>
    <w:p>
      <w:pPr>
        <w:jc w:val="both"/>
      </w:pPr>
      <w:r>
        <w:t xml:space="preserve">Le candidat précisera et si possible quantifiera les bénéfices attendus, ainsi que les investissements associés pour atteindre ces bénéfices. Le candidat précisera s’il s’agit d’un investissement propre du candidat, d’un </w:t>
      </w:r>
      <w:proofErr w:type="spellStart"/>
      <w:r>
        <w:t>co</w:t>
      </w:r>
      <w:proofErr w:type="spellEnd"/>
      <w:r>
        <w:t>-investissement (AIFE/Candidat) ou d’un investissement totalement financé par l’AIFE. Il précisera également le délai estimé pour atteindre les bénéfices.</w:t>
      </w:r>
    </w:p>
    <w:p>
      <w:pPr>
        <w:pStyle w:val="Titre2"/>
        <w:jc w:val="both"/>
      </w:pPr>
      <w:bookmarkStart w:id="8" w:name="_Toc207973652"/>
      <w:r>
        <w:t>Demandes spécifiques</w:t>
      </w:r>
      <w:bookmarkEnd w:id="8"/>
    </w:p>
    <w:p>
      <w:pPr>
        <w:spacing w:after="120"/>
        <w:jc w:val="both"/>
      </w:pPr>
      <w:r>
        <w:t>Pour certaines prestations, des éléments de réponse complémentaires sont demandés spécifiquement aux candidats, tels qu’indiqués dans la colonne « Demandes spécifiques » ci-après :</w:t>
      </w:r>
    </w:p>
    <w:tbl>
      <w:tblPr>
        <w:tblStyle w:val="Grilledutableau"/>
        <w:tblW w:w="9781" w:type="dxa"/>
        <w:tblInd w:w="-147" w:type="dxa"/>
        <w:tblLayout w:type="fixed"/>
        <w:tblLook w:val="04A0" w:firstRow="1" w:lastRow="0" w:firstColumn="1" w:lastColumn="0" w:noHBand="0" w:noVBand="1"/>
      </w:tblPr>
      <w:tblGrid>
        <w:gridCol w:w="1560"/>
        <w:gridCol w:w="850"/>
        <w:gridCol w:w="7371"/>
      </w:tblGrid>
      <w:tr>
        <w:trPr>
          <w:tblHeader/>
        </w:trPr>
        <w:tc>
          <w:tcPr>
            <w:tcW w:w="1560" w:type="dxa"/>
            <w:shd w:val="clear" w:color="auto" w:fill="000000" w:themeFill="text1"/>
          </w:tcPr>
          <w:p>
            <w:pPr>
              <w:jc w:val="center"/>
              <w:rPr>
                <w:b/>
                <w:color w:val="FFFFFF"/>
              </w:rPr>
            </w:pPr>
            <w:r>
              <w:rPr>
                <w:b/>
                <w:color w:val="FFFFFF" w:themeColor="background1"/>
                <w:sz w:val="18"/>
                <w:szCs w:val="18"/>
              </w:rPr>
              <w:t>Prestation</w:t>
            </w:r>
          </w:p>
        </w:tc>
        <w:tc>
          <w:tcPr>
            <w:tcW w:w="850" w:type="dxa"/>
            <w:shd w:val="clear" w:color="auto" w:fill="000000" w:themeFill="text1"/>
          </w:tcPr>
          <w:p>
            <w:pPr>
              <w:jc w:val="center"/>
              <w:rPr>
                <w:b/>
                <w:color w:val="FFFFFF" w:themeColor="background1"/>
                <w:sz w:val="18"/>
                <w:szCs w:val="18"/>
              </w:rPr>
            </w:pPr>
            <w:r>
              <w:rPr>
                <w:b/>
                <w:color w:val="FFFFFF" w:themeColor="background1"/>
                <w:sz w:val="18"/>
                <w:szCs w:val="18"/>
              </w:rPr>
              <w:t>§</w:t>
            </w:r>
          </w:p>
        </w:tc>
        <w:tc>
          <w:tcPr>
            <w:tcW w:w="7371" w:type="dxa"/>
            <w:shd w:val="clear" w:color="auto" w:fill="000000" w:themeFill="text1"/>
            <w:vAlign w:val="center"/>
          </w:tcPr>
          <w:p>
            <w:pPr>
              <w:jc w:val="both"/>
              <w:rPr>
                <w:color w:val="FFFFFF"/>
              </w:rPr>
            </w:pPr>
            <w:r>
              <w:rPr>
                <w:b/>
                <w:color w:val="FFFFFF" w:themeColor="background1"/>
                <w:sz w:val="18"/>
                <w:szCs w:val="18"/>
              </w:rPr>
              <w:t>Demandes spécifiques</w:t>
            </w:r>
          </w:p>
        </w:tc>
      </w:tr>
      <w:tr>
        <w:tc>
          <w:tcPr>
            <w:tcW w:w="1560" w:type="dxa"/>
            <w:vMerge w:val="restart"/>
            <w:shd w:val="clear" w:color="auto" w:fill="FFFFFF"/>
          </w:tcPr>
          <w:p>
            <w:pPr>
              <w:jc w:val="center"/>
              <w:rPr>
                <w:b/>
                <w:sz w:val="18"/>
                <w:szCs w:val="18"/>
              </w:rPr>
            </w:pPr>
            <w:r>
              <w:rPr>
                <w:b/>
                <w:sz w:val="18"/>
                <w:szCs w:val="18"/>
              </w:rPr>
              <w:t>Initialisation</w:t>
            </w:r>
          </w:p>
        </w:tc>
        <w:tc>
          <w:tcPr>
            <w:tcW w:w="850" w:type="dxa"/>
            <w:vMerge w:val="restart"/>
            <w:shd w:val="clear" w:color="auto" w:fill="FFFFFF"/>
          </w:tcPr>
          <w:p>
            <w:pPr>
              <w:jc w:val="center"/>
              <w:rPr>
                <w:b/>
                <w:sz w:val="18"/>
                <w:szCs w:val="18"/>
              </w:rPr>
            </w:pPr>
            <w:r>
              <w:rPr>
                <w:b/>
                <w:sz w:val="18"/>
                <w:szCs w:val="18"/>
              </w:rPr>
              <w:t>10.1</w:t>
            </w:r>
          </w:p>
        </w:tc>
        <w:tc>
          <w:tcPr>
            <w:tcW w:w="7371" w:type="dxa"/>
            <w:shd w:val="clear" w:color="auto" w:fill="FFFFFF"/>
          </w:tcPr>
          <w:p>
            <w:pPr>
              <w:jc w:val="both"/>
              <w:rPr>
                <w:sz w:val="18"/>
                <w:szCs w:val="18"/>
              </w:rPr>
            </w:pPr>
            <w:r>
              <w:rPr>
                <w:sz w:val="18"/>
                <w:szCs w:val="18"/>
              </w:rPr>
              <w:t>Présenter la vision du candidat de la phase d’initialisation et de son déroulement, en précisant sa démarche permettant d’optimiser la montée en compétence et de limiter les risques opérationnels pendant cette phase.</w:t>
            </w:r>
          </w:p>
        </w:tc>
      </w:tr>
      <w:tr>
        <w:trPr>
          <w:trHeight w:val="325"/>
        </w:trPr>
        <w:tc>
          <w:tcPr>
            <w:tcW w:w="1560" w:type="dxa"/>
            <w:vMerge/>
            <w:shd w:val="clear" w:color="FFFFFF" w:fill="FFFFFF"/>
          </w:tcPr>
          <w:p>
            <w:pPr>
              <w:jc w:val="center"/>
              <w:rPr>
                <w:b/>
                <w:sz w:val="18"/>
                <w:szCs w:val="18"/>
              </w:rPr>
            </w:pPr>
          </w:p>
        </w:tc>
        <w:tc>
          <w:tcPr>
            <w:tcW w:w="850" w:type="dxa"/>
            <w:vMerge/>
            <w:shd w:val="clear" w:color="FFFFFF" w:fill="FFFFFF"/>
          </w:tcPr>
          <w:p>
            <w:pPr>
              <w:jc w:val="center"/>
              <w:rPr>
                <w:b/>
                <w:sz w:val="18"/>
                <w:szCs w:val="18"/>
              </w:rPr>
            </w:pPr>
          </w:p>
        </w:tc>
        <w:tc>
          <w:tcPr>
            <w:tcW w:w="7371" w:type="dxa"/>
            <w:vMerge w:val="restart"/>
            <w:shd w:val="clear" w:color="FFFFFF" w:fill="FFFFFF"/>
          </w:tcPr>
          <w:p>
            <w:pPr>
              <w:jc w:val="both"/>
              <w:rPr>
                <w:sz w:val="18"/>
                <w:szCs w:val="18"/>
              </w:rPr>
            </w:pPr>
            <w:r>
              <w:rPr>
                <w:sz w:val="18"/>
                <w:szCs w:val="18"/>
              </w:rPr>
              <w:t>Décrire la démarche d’élaboration du plan de montée en compétences de ses équipes (avec planning détaillé)</w:t>
            </w:r>
          </w:p>
        </w:tc>
      </w:tr>
      <w:tr>
        <w:tc>
          <w:tcPr>
            <w:tcW w:w="1560" w:type="dxa"/>
            <w:vMerge/>
            <w:shd w:val="clear" w:color="auto" w:fill="FFFFFF"/>
          </w:tcPr>
          <w:p>
            <w:pPr>
              <w:jc w:val="center"/>
              <w:rPr>
                <w:b/>
                <w:sz w:val="18"/>
                <w:szCs w:val="18"/>
              </w:rPr>
            </w:pPr>
          </w:p>
        </w:tc>
        <w:tc>
          <w:tcPr>
            <w:tcW w:w="850" w:type="dxa"/>
            <w:vMerge/>
            <w:shd w:val="clear" w:color="auto" w:fill="FFFFFF"/>
          </w:tcPr>
          <w:p>
            <w:pPr>
              <w:jc w:val="center"/>
              <w:rPr>
                <w:b/>
                <w:sz w:val="18"/>
                <w:szCs w:val="18"/>
              </w:rPr>
            </w:pPr>
          </w:p>
        </w:tc>
        <w:tc>
          <w:tcPr>
            <w:tcW w:w="7371" w:type="dxa"/>
            <w:shd w:val="clear" w:color="auto" w:fill="FFFFFF"/>
          </w:tcPr>
          <w:p>
            <w:pPr>
              <w:jc w:val="both"/>
              <w:rPr>
                <w:sz w:val="18"/>
                <w:szCs w:val="18"/>
              </w:rPr>
            </w:pPr>
            <w:r>
              <w:rPr>
                <w:sz w:val="18"/>
                <w:szCs w:val="18"/>
              </w:rPr>
              <w:t>Renseigner la matrice de compétences avec les profils pressentis pour la phase d’initialisation.</w:t>
            </w:r>
          </w:p>
        </w:tc>
      </w:tr>
      <w:tr>
        <w:trPr>
          <w:trHeight w:val="361"/>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Expliciter les garanties de continuité de l’équipe pressentie entre la phase d’initialisation et le démarrage des prestations de MCO.</w:t>
            </w:r>
          </w:p>
        </w:tc>
      </w:tr>
      <w:tr>
        <w:tc>
          <w:tcPr>
            <w:tcW w:w="1560" w:type="dxa"/>
            <w:vMerge/>
          </w:tcPr>
          <w:p>
            <w:pPr>
              <w:pStyle w:val="Titre4"/>
              <w:keepLines w:val="0"/>
              <w:numPr>
                <w:ilvl w:val="0"/>
                <w:numId w:val="0"/>
              </w:numPr>
              <w:spacing w:before="120" w:after="8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Faire des suggestions pour faciliter le transfert de connaissance avec le prestataire sortant et ainsi minimiser l’impact sur ce dernier.</w:t>
            </w:r>
          </w:p>
        </w:tc>
      </w:tr>
      <w:tr>
        <w:tc>
          <w:tcPr>
            <w:tcW w:w="1560" w:type="dxa"/>
            <w:vMerge/>
          </w:tcPr>
          <w:p>
            <w:pPr>
              <w:pStyle w:val="Titre4"/>
              <w:numPr>
                <w:ilvl w:val="3"/>
                <w:numId w:val="26"/>
              </w:numPr>
              <w:spacing w:before="120" w:after="80" w:line="240" w:lineRule="atLeast"/>
              <w:ind w:left="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Proposer des indicateurs de mesure d'avancement de la phase d'initialisation, ainsi que la méthodologie pour les mesurer. Préciser la fréquence de calcul de ces indicateurs.</w:t>
            </w:r>
          </w:p>
        </w:tc>
      </w:tr>
      <w:tr>
        <w:tc>
          <w:tcPr>
            <w:tcW w:w="1560" w:type="dxa"/>
            <w:vMerge/>
          </w:tcPr>
          <w:p>
            <w:pPr>
              <w:pStyle w:val="Titre4"/>
              <w:numPr>
                <w:ilvl w:val="3"/>
                <w:numId w:val="26"/>
              </w:numPr>
              <w:spacing w:before="120" w:after="80" w:line="240" w:lineRule="atLeast"/>
              <w:ind w:left="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Préciser les modalités de mise en œuvre des indicateurs outillés de suivi des niveaux service (SLA) de l’ensemble des prestations de maintenance corrective, préventive et évolutive post-initialisation.</w:t>
            </w:r>
          </w:p>
        </w:tc>
      </w:tr>
      <w:tr>
        <w:trPr>
          <w:trHeight w:val="70"/>
        </w:trPr>
        <w:tc>
          <w:tcPr>
            <w:tcW w:w="1560" w:type="dxa"/>
            <w:vMerge/>
          </w:tcPr>
          <w:p>
            <w:pPr>
              <w:pStyle w:val="Titre4"/>
              <w:numPr>
                <w:ilvl w:val="3"/>
                <w:numId w:val="26"/>
              </w:numPr>
              <w:spacing w:before="120" w:after="80" w:line="240" w:lineRule="atLeast"/>
              <w:ind w:left="0"/>
              <w:jc w:val="center"/>
              <w:rPr>
                <w:sz w:val="18"/>
                <w:szCs w:val="18"/>
              </w:rPr>
            </w:pPr>
          </w:p>
        </w:tc>
        <w:tc>
          <w:tcPr>
            <w:tcW w:w="850" w:type="dxa"/>
            <w:vMerge/>
            <w:shd w:val="clear" w:color="auto" w:fill="FFFFFF"/>
          </w:tcPr>
          <w:p>
            <w:pPr>
              <w:jc w:val="center"/>
              <w:rPr>
                <w:b/>
                <w:sz w:val="18"/>
                <w:szCs w:val="18"/>
              </w:rPr>
            </w:pPr>
          </w:p>
        </w:tc>
        <w:tc>
          <w:tcPr>
            <w:tcW w:w="7371" w:type="dxa"/>
          </w:tcPr>
          <w:p>
            <w:pPr>
              <w:jc w:val="both"/>
              <w:rPr>
                <w:sz w:val="18"/>
                <w:szCs w:val="18"/>
                <w:highlight w:val="yellow"/>
              </w:rPr>
            </w:pPr>
            <w:r>
              <w:rPr>
                <w:sz w:val="18"/>
                <w:szCs w:val="18"/>
              </w:rPr>
              <w:t xml:space="preserve">Préciser l’approche qui pourrait être utilisée pour évaluer la situation du SI pendant la phase d’initialisation, ainsi que le contenu type du rapport d’obsolescence qui en résulterait. Quelles propositions pourraient découler de cette analyse ? </w:t>
            </w:r>
          </w:p>
        </w:tc>
      </w:tr>
      <w:tr>
        <w:trPr>
          <w:trHeight w:val="278"/>
        </w:trPr>
        <w:tc>
          <w:tcPr>
            <w:tcW w:w="1560" w:type="dxa"/>
            <w:vMerge/>
          </w:tcPr>
          <w:p>
            <w:pPr>
              <w:pStyle w:val="Titre4"/>
              <w:keepLines w:val="0"/>
              <w:numPr>
                <w:ilvl w:val="0"/>
                <w:numId w:val="0"/>
              </w:numPr>
              <w:spacing w:before="120" w:after="8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Préciser le plan d'actions proposé pour mettre en place toutes les mesures de sécurité pendant la phase d’initialisation (postes console, locaux, accès réseau, etc.).</w:t>
            </w:r>
          </w:p>
        </w:tc>
      </w:tr>
      <w:tr>
        <w:trPr>
          <w:trHeight w:val="278"/>
        </w:trPr>
        <w:tc>
          <w:tcPr>
            <w:tcW w:w="1560" w:type="dxa"/>
            <w:vMerge/>
          </w:tcPr>
          <w:p>
            <w:pPr>
              <w:pStyle w:val="Titre4"/>
              <w:keepLines w:val="0"/>
              <w:numPr>
                <w:ilvl w:val="0"/>
                <w:numId w:val="0"/>
              </w:numPr>
              <w:spacing w:before="120" w:after="80"/>
              <w:jc w:val="center"/>
              <w:rPr>
                <w:sz w:val="18"/>
                <w:szCs w:val="18"/>
              </w:rPr>
            </w:pPr>
          </w:p>
        </w:tc>
        <w:tc>
          <w:tcPr>
            <w:tcW w:w="850" w:type="dxa"/>
            <w:vMerge/>
          </w:tcPr>
          <w:p>
            <w:pPr>
              <w:jc w:val="center"/>
              <w:rPr>
                <w:b/>
                <w:sz w:val="18"/>
                <w:szCs w:val="18"/>
              </w:rPr>
            </w:pPr>
          </w:p>
        </w:tc>
        <w:tc>
          <w:tcPr>
            <w:tcW w:w="7371" w:type="dxa"/>
          </w:tcPr>
          <w:p>
            <w:pPr>
              <w:jc w:val="both"/>
            </w:pPr>
            <w:r>
              <w:rPr>
                <w:sz w:val="18"/>
                <w:szCs w:val="18"/>
              </w:rPr>
              <w:t>Décrire de manière précise comment suivre l’atteinte du niveau requis d’autonomie des équipes pendant la phase d’initialisation.</w:t>
            </w:r>
          </w:p>
        </w:tc>
      </w:tr>
      <w:tr>
        <w:trPr>
          <w:trHeight w:val="278"/>
        </w:trP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Présenter les modalités permettant de sécuriser le cadrage des activités pour aboutir à la production d’un PAQ en parallèle de la phase d’initialisation.</w:t>
            </w:r>
          </w:p>
        </w:tc>
      </w:tr>
      <w:tr>
        <w:tc>
          <w:tcPr>
            <w:tcW w:w="1560" w:type="dxa"/>
            <w:vMerge w:val="restart"/>
            <w:shd w:val="clear" w:color="auto" w:fill="FFFFFF"/>
          </w:tcPr>
          <w:p>
            <w:pPr>
              <w:jc w:val="center"/>
              <w:rPr>
                <w:b/>
                <w:sz w:val="18"/>
                <w:szCs w:val="18"/>
              </w:rPr>
            </w:pPr>
            <w:r>
              <w:rPr>
                <w:b/>
                <w:sz w:val="18"/>
                <w:szCs w:val="18"/>
              </w:rPr>
              <w:t>Pilotage</w:t>
            </w:r>
          </w:p>
        </w:tc>
        <w:tc>
          <w:tcPr>
            <w:tcW w:w="850" w:type="dxa"/>
            <w:vMerge w:val="restart"/>
          </w:tcPr>
          <w:p>
            <w:pPr>
              <w:jc w:val="center"/>
              <w:rPr>
                <w:b/>
                <w:sz w:val="18"/>
                <w:szCs w:val="18"/>
              </w:rPr>
            </w:pPr>
            <w:r>
              <w:rPr>
                <w:b/>
                <w:sz w:val="18"/>
                <w:szCs w:val="18"/>
              </w:rPr>
              <w:t>10.2</w:t>
            </w:r>
          </w:p>
        </w:tc>
        <w:tc>
          <w:tcPr>
            <w:tcW w:w="7371" w:type="dxa"/>
          </w:tcPr>
          <w:p>
            <w:pPr>
              <w:jc w:val="both"/>
              <w:rPr>
                <w:sz w:val="18"/>
                <w:szCs w:val="18"/>
              </w:rPr>
            </w:pPr>
            <w:r>
              <w:rPr>
                <w:sz w:val="18"/>
                <w:szCs w:val="18"/>
              </w:rPr>
              <w:t>Décrire le pilotage opérationnel de la TMA corrective, préventive et évolutive, dans le respect des niveaux de service.</w:t>
            </w:r>
          </w:p>
        </w:tc>
      </w:tr>
      <w:tr>
        <w:trPr>
          <w:trHeight w:val="50"/>
        </w:trP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le dispositif permettant de mobiliser les expertises adéquates en fonctions des besoins récurrents et ponctuels.</w:t>
            </w:r>
          </w:p>
        </w:tc>
      </w:tr>
      <w:t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Préciser les modalités de suivi des niveaux service (SLA) de l’ensemble des prestations de maintenance corrective, préventive et évolutive.</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Proposer des approches pour maîtriser le chiffrage des évolutions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prise en compte de la sécurité tout au long de la prestation.</w:t>
            </w:r>
          </w:p>
        </w:tc>
      </w:tr>
      <w:t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prise en compte de la qualité tout au long de la prestation.</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Définir les risques liés à la prise en main des prestations de maintenance dans le contexte métier de la commande publique, en s’inscrivant dans le modèle de matrice de risques fourni en annexe.</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highlight w:val="green"/>
              </w:rPr>
            </w:pPr>
            <w:r>
              <w:rPr>
                <w:sz w:val="18"/>
                <w:szCs w:val="18"/>
              </w:rPr>
              <w:t>Expliciter comment est réalisé le pilotage des sujets nécessitant des interactions avec les autres acteurs de l’écosystème de la commande publique.</w:t>
            </w:r>
          </w:p>
        </w:tc>
      </w:tr>
      <w:tr>
        <w:tc>
          <w:tcPr>
            <w:tcW w:w="1560" w:type="dxa"/>
            <w:vMerge w:val="restart"/>
          </w:tcPr>
          <w:p>
            <w:pPr>
              <w:jc w:val="center"/>
              <w:rPr>
                <w:b/>
                <w:sz w:val="18"/>
                <w:szCs w:val="18"/>
              </w:rPr>
            </w:pPr>
            <w:r>
              <w:rPr>
                <w:b/>
                <w:sz w:val="18"/>
                <w:szCs w:val="18"/>
              </w:rPr>
              <w:t>TMA corrective et préventive</w:t>
            </w:r>
          </w:p>
        </w:tc>
        <w:tc>
          <w:tcPr>
            <w:tcW w:w="850" w:type="dxa"/>
            <w:vMerge w:val="restart"/>
          </w:tcPr>
          <w:p>
            <w:pPr>
              <w:jc w:val="center"/>
              <w:rPr>
                <w:b/>
                <w:sz w:val="18"/>
                <w:szCs w:val="18"/>
              </w:rPr>
            </w:pPr>
            <w:r>
              <w:rPr>
                <w:b/>
                <w:sz w:val="18"/>
                <w:szCs w:val="18"/>
              </w:rPr>
              <w:t>10.3</w:t>
            </w:r>
          </w:p>
        </w:tc>
        <w:tc>
          <w:tcPr>
            <w:tcW w:w="7371" w:type="dxa"/>
          </w:tcPr>
          <w:p>
            <w:pPr>
              <w:jc w:val="both"/>
              <w:rPr>
                <w:sz w:val="18"/>
                <w:szCs w:val="18"/>
              </w:rPr>
            </w:pPr>
            <w:r>
              <w:rPr>
                <w:sz w:val="18"/>
                <w:szCs w:val="18"/>
              </w:rPr>
              <w:t>Décrire le dispositif mis en place pour qualifier les incidents, les problèmes et les traiter.</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l’approche pour s’assurer du bon fonctionnement des correctifs en s’inscrivant dans l’ensemble des exigences.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s’assurer et améliorer en continu la qualité du code dans le cadre des corrections.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éviter et suivre en continu la dette technique.</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s’assurer et améliorer en continu la qualité des solutions livrées (notamment pour éviter les régressions en production) et les livrables documentaires afférents.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 xml:space="preserve">Décrire l’approche pour sécuriser le déploiement par l’exploitation des versions correctives et évolutives et des patchs / </w:t>
            </w:r>
            <w:proofErr w:type="spellStart"/>
            <w:r>
              <w:rPr>
                <w:sz w:val="18"/>
                <w:szCs w:val="18"/>
              </w:rPr>
              <w:t>hotfix</w:t>
            </w:r>
            <w:proofErr w:type="spellEnd"/>
            <w:r>
              <w:rPr>
                <w:sz w:val="18"/>
                <w:szCs w:val="18"/>
              </w:rPr>
              <w:t>.</w:t>
            </w:r>
          </w:p>
        </w:tc>
      </w:tr>
      <w:tr>
        <w:trPr>
          <w:trHeight w:val="325"/>
        </w:trPr>
        <w:tc>
          <w:tcPr>
            <w:tcW w:w="1560" w:type="dxa"/>
            <w:vMerge w:val="restart"/>
          </w:tcPr>
          <w:p>
            <w:pPr>
              <w:jc w:val="center"/>
              <w:rPr>
                <w:b/>
                <w:sz w:val="18"/>
                <w:szCs w:val="18"/>
              </w:rPr>
            </w:pPr>
            <w:r>
              <w:rPr>
                <w:b/>
                <w:sz w:val="18"/>
                <w:szCs w:val="18"/>
              </w:rPr>
              <w:t>TMA évolutive</w:t>
            </w:r>
          </w:p>
        </w:tc>
        <w:tc>
          <w:tcPr>
            <w:tcW w:w="850" w:type="dxa"/>
            <w:vMerge w:val="restart"/>
          </w:tcPr>
          <w:p>
            <w:pPr>
              <w:jc w:val="center"/>
              <w:rPr>
                <w:b/>
                <w:sz w:val="18"/>
                <w:szCs w:val="18"/>
              </w:rPr>
            </w:pPr>
            <w:r>
              <w:rPr>
                <w:b/>
                <w:sz w:val="18"/>
                <w:szCs w:val="18"/>
              </w:rPr>
              <w:t>10.4</w:t>
            </w:r>
          </w:p>
        </w:tc>
        <w:tc>
          <w:tcPr>
            <w:tcW w:w="7371" w:type="dxa"/>
          </w:tcPr>
          <w:p>
            <w:pPr>
              <w:jc w:val="both"/>
              <w:rPr>
                <w:sz w:val="18"/>
                <w:szCs w:val="18"/>
              </w:rPr>
            </w:pPr>
            <w:r>
              <w:rPr>
                <w:sz w:val="18"/>
                <w:szCs w:val="18"/>
              </w:rPr>
              <w:t>Décrire la méthodologie pour s’assurer que l’ensemble des impacts d’une évolution, d’un chantier ou d’un projet sont identifiés.</w:t>
            </w:r>
          </w:p>
        </w:tc>
      </w:tr>
      <w:tr>
        <w:trPr>
          <w:trHeight w:val="361"/>
        </w:trPr>
        <w:tc>
          <w:tcPr>
            <w:tcW w:w="1560" w:type="dxa"/>
            <w:vMerge/>
          </w:tcPr>
          <w:p>
            <w:pPr>
              <w:jc w:val="center"/>
              <w:rPr>
                <w:b/>
              </w:rPr>
            </w:pPr>
          </w:p>
        </w:tc>
        <w:tc>
          <w:tcPr>
            <w:tcW w:w="850" w:type="dxa"/>
            <w:vMerge/>
          </w:tcPr>
          <w:p>
            <w:pPr>
              <w:jc w:val="center"/>
              <w:rPr>
                <w:b/>
                <w:sz w:val="18"/>
                <w:szCs w:val="18"/>
              </w:rPr>
            </w:pPr>
          </w:p>
        </w:tc>
        <w:tc>
          <w:tcPr>
            <w:tcW w:w="7371" w:type="dxa"/>
          </w:tcPr>
          <w:p>
            <w:pPr>
              <w:jc w:val="both"/>
              <w:rPr>
                <w:sz w:val="18"/>
                <w:szCs w:val="18"/>
              </w:rPr>
            </w:pPr>
            <w:r>
              <w:rPr>
                <w:sz w:val="18"/>
                <w:szCs w:val="18"/>
              </w:rPr>
              <w:t>Proposer une démarche de sécurisation du passage en MCO des évolutions.</w:t>
            </w:r>
          </w:p>
        </w:tc>
      </w:tr>
      <w:tr>
        <w:trPr>
          <w:trHeight w:val="361"/>
        </w:trPr>
        <w:tc>
          <w:tcPr>
            <w:tcW w:w="1560" w:type="dxa"/>
            <w:vMerge/>
          </w:tcPr>
          <w:p>
            <w:pPr>
              <w:jc w:val="center"/>
              <w:rPr>
                <w:b/>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s’assurer et améliorer en continu la qualité du code dans le cadre des évolutions.</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l’approche pour sécuriser le déploiement des versions évolutives par l’exploitation.</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démarche permettant de répondre aux demandes d’évolution urgentes (exemple : évolutions réglementaires).</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démarche d’amélioration continue et de mise en place de retours d’expérience.</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les modalités de gestion de l’équilibre entre les équipes en charge des évolutions et les équipe en charge de la maintenance corrective, préventive, afin de ne pas dégrader de la qualité de ces prestations.</w:t>
            </w:r>
          </w:p>
        </w:tc>
      </w:tr>
      <w:tr>
        <w:trPr>
          <w:trHeight w:val="657"/>
        </w:trPr>
        <w:tc>
          <w:tcPr>
            <w:tcW w:w="1560" w:type="dxa"/>
            <w:vMerge w:val="restart"/>
          </w:tcPr>
          <w:p>
            <w:pPr>
              <w:jc w:val="center"/>
              <w:rPr>
                <w:b/>
                <w:sz w:val="18"/>
                <w:szCs w:val="18"/>
              </w:rPr>
            </w:pPr>
            <w:r>
              <w:rPr>
                <w:b/>
                <w:sz w:val="18"/>
                <w:szCs w:val="18"/>
              </w:rPr>
              <w:t>Autres prestations de service</w:t>
            </w:r>
          </w:p>
        </w:tc>
        <w:tc>
          <w:tcPr>
            <w:tcW w:w="850" w:type="dxa"/>
            <w:vMerge w:val="restart"/>
          </w:tcPr>
          <w:p>
            <w:pPr>
              <w:jc w:val="center"/>
              <w:rPr>
                <w:b/>
                <w:sz w:val="18"/>
                <w:szCs w:val="18"/>
              </w:rPr>
            </w:pPr>
            <w:r>
              <w:rPr>
                <w:b/>
                <w:sz w:val="18"/>
                <w:szCs w:val="18"/>
              </w:rPr>
              <w:t>10.5</w:t>
            </w:r>
          </w:p>
        </w:tc>
        <w:tc>
          <w:tcPr>
            <w:tcW w:w="7371" w:type="dxa"/>
          </w:tcPr>
          <w:p>
            <w:pPr>
              <w:jc w:val="both"/>
              <w:rPr>
                <w:sz w:val="18"/>
                <w:szCs w:val="18"/>
              </w:rPr>
            </w:pPr>
            <w:r>
              <w:rPr>
                <w:sz w:val="18"/>
                <w:szCs w:val="18"/>
              </w:rPr>
              <w:t>Préciser les modalités de reprise d’un module applicatif.</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le dispositif d’astreinte (expertise, etc.)</w:t>
            </w:r>
          </w:p>
        </w:tc>
      </w:tr>
      <w:tr>
        <w:trPr>
          <w:trHeight w:val="657"/>
        </w:trPr>
        <w:tc>
          <w:tcPr>
            <w:tcW w:w="1560" w:type="dxa"/>
            <w:vMerge w:val="restart"/>
          </w:tcPr>
          <w:p>
            <w:pPr>
              <w:jc w:val="center"/>
              <w:rPr>
                <w:b/>
                <w:sz w:val="18"/>
                <w:szCs w:val="18"/>
              </w:rPr>
            </w:pPr>
            <w:r>
              <w:rPr>
                <w:b/>
                <w:sz w:val="18"/>
                <w:szCs w:val="18"/>
              </w:rPr>
              <w:t>Réversibilité</w:t>
            </w:r>
          </w:p>
        </w:tc>
        <w:tc>
          <w:tcPr>
            <w:tcW w:w="850" w:type="dxa"/>
            <w:vMerge w:val="restart"/>
          </w:tcPr>
          <w:p>
            <w:pPr>
              <w:jc w:val="center"/>
              <w:rPr>
                <w:b/>
                <w:sz w:val="18"/>
                <w:szCs w:val="18"/>
              </w:rPr>
            </w:pPr>
            <w:r>
              <w:rPr>
                <w:b/>
                <w:sz w:val="18"/>
                <w:szCs w:val="18"/>
              </w:rPr>
              <w:t>10.6</w:t>
            </w:r>
          </w:p>
        </w:tc>
        <w:tc>
          <w:tcPr>
            <w:tcW w:w="7371" w:type="dxa"/>
          </w:tcPr>
          <w:p>
            <w:pPr>
              <w:jc w:val="both"/>
              <w:rPr>
                <w:sz w:val="18"/>
                <w:szCs w:val="18"/>
              </w:rPr>
            </w:pPr>
            <w:r>
              <w:rPr>
                <w:sz w:val="18"/>
                <w:szCs w:val="18"/>
              </w:rPr>
              <w:t>Décrire l’étape de préparation et de planification de la réversibilité qui doit inclure le dispositif, les processus et les moyens mis en œuvre pour assurer la réversibilité dans de bonnes conditions. Détailler également les moyens mis en place pour produire des supports de formation de qualité.</w:t>
            </w:r>
          </w:p>
        </w:tc>
      </w:tr>
      <w:tr>
        <w:trPr>
          <w:trHeight w:val="325"/>
        </w:trPr>
        <w:tc>
          <w:tcPr>
            <w:tcW w:w="1560" w:type="dxa"/>
            <w:vMerge/>
            <w:vAlign w:val="center"/>
          </w:tcPr>
          <w:p>
            <w:pPr>
              <w:rPr>
                <w:sz w:val="18"/>
                <w:szCs w:val="18"/>
              </w:rPr>
            </w:pPr>
          </w:p>
        </w:tc>
        <w:tc>
          <w:tcPr>
            <w:tcW w:w="850" w:type="dxa"/>
            <w:vMerge/>
            <w:vAlign w:val="center"/>
          </w:tcPr>
          <w:p>
            <w:pPr>
              <w:jc w:val="center"/>
              <w:rPr>
                <w:sz w:val="18"/>
                <w:szCs w:val="18"/>
              </w:rPr>
            </w:pPr>
          </w:p>
        </w:tc>
        <w:tc>
          <w:tcPr>
            <w:tcW w:w="7371" w:type="dxa"/>
          </w:tcPr>
          <w:p>
            <w:pPr>
              <w:jc w:val="both"/>
              <w:rPr>
                <w:sz w:val="18"/>
                <w:szCs w:val="18"/>
              </w:rPr>
            </w:pPr>
            <w:r>
              <w:rPr>
                <w:sz w:val="18"/>
                <w:szCs w:val="18"/>
              </w:rPr>
              <w:t>Décrire l’étape de formation théorique qui est évaluée sur les outils et la comitologie mise en œuvre pour piloter la montée en compétence du repreneur. L’organisation des formations et la qualité des formateurs doivent être détaillés. Préciser des indicateurs de pilotage précis pour suivre cette montée en compétence.</w:t>
            </w:r>
          </w:p>
        </w:tc>
      </w:tr>
      <w:tr>
        <w:trPr>
          <w:trHeight w:val="325"/>
        </w:trPr>
        <w:tc>
          <w:tcPr>
            <w:tcW w:w="1560" w:type="dxa"/>
            <w:vMerge/>
            <w:vAlign w:val="center"/>
          </w:tcPr>
          <w:p>
            <w:pPr>
              <w:rPr>
                <w:sz w:val="18"/>
                <w:szCs w:val="18"/>
              </w:rPr>
            </w:pPr>
          </w:p>
        </w:tc>
        <w:tc>
          <w:tcPr>
            <w:tcW w:w="850" w:type="dxa"/>
            <w:vMerge/>
            <w:vAlign w:val="center"/>
          </w:tcPr>
          <w:p>
            <w:pPr>
              <w:jc w:val="center"/>
              <w:rPr>
                <w:sz w:val="18"/>
                <w:szCs w:val="18"/>
              </w:rPr>
            </w:pPr>
          </w:p>
        </w:tc>
        <w:tc>
          <w:tcPr>
            <w:tcW w:w="7371" w:type="dxa"/>
          </w:tcPr>
          <w:p>
            <w:pPr>
              <w:jc w:val="both"/>
              <w:rPr>
                <w:sz w:val="18"/>
                <w:szCs w:val="18"/>
              </w:rPr>
            </w:pPr>
            <w:r>
              <w:rPr>
                <w:sz w:val="18"/>
                <w:szCs w:val="18"/>
              </w:rPr>
              <w:t>Décrire l’étape « double commande » en précisant les outils utilisés, les processus mis en place et le RACI, ainsi que des indicateurs de suivi et une gestion des risques efficace.</w:t>
            </w:r>
          </w:p>
        </w:tc>
      </w:tr>
      <w:tr>
        <w:trPr>
          <w:trHeight w:val="325"/>
        </w:trPr>
        <w:tc>
          <w:tcPr>
            <w:tcW w:w="1560" w:type="dxa"/>
            <w:vMerge/>
            <w:vAlign w:val="center"/>
          </w:tcPr>
          <w:p>
            <w:pPr>
              <w:rPr>
                <w:sz w:val="18"/>
                <w:szCs w:val="18"/>
              </w:rPr>
            </w:pPr>
          </w:p>
        </w:tc>
        <w:tc>
          <w:tcPr>
            <w:tcW w:w="850" w:type="dxa"/>
            <w:vMerge/>
            <w:vAlign w:val="center"/>
          </w:tcPr>
          <w:p>
            <w:pPr>
              <w:jc w:val="center"/>
              <w:rPr>
                <w:sz w:val="18"/>
                <w:szCs w:val="18"/>
              </w:rPr>
            </w:pPr>
          </w:p>
        </w:tc>
        <w:tc>
          <w:tcPr>
            <w:tcW w:w="7371" w:type="dxa"/>
          </w:tcPr>
          <w:p>
            <w:pPr>
              <w:jc w:val="both"/>
              <w:rPr>
                <w:sz w:val="18"/>
                <w:szCs w:val="18"/>
              </w:rPr>
            </w:pPr>
            <w:r>
              <w:rPr>
                <w:sz w:val="18"/>
                <w:szCs w:val="18"/>
              </w:rPr>
              <w:t>Décrire l’étape de « certification » en précisant les indicateurs de suivi de l’activité, de reprise en main par le repreneur, suivi de la coordination des travaux entre le repreneur et le titulaire. Après cette dernière étape, le bilan de la réversibilité est à présenter à l’administration (anomalies résiduelles, risques identifiés, synthèse de la phase de réversibilité, etc.)</w:t>
            </w:r>
          </w:p>
        </w:tc>
      </w:tr>
    </w:tbl>
    <w:p>
      <w:pPr>
        <w:jc w:val="both"/>
      </w:pPr>
    </w:p>
    <w:p>
      <w:pPr>
        <w:pStyle w:val="Titre1"/>
        <w:jc w:val="both"/>
      </w:pPr>
      <w:bookmarkStart w:id="9" w:name="_Toc207973653"/>
      <w:r>
        <w:lastRenderedPageBreak/>
        <w:t>Organisation pressentie</w:t>
      </w:r>
      <w:bookmarkEnd w:id="9"/>
    </w:p>
    <w:p>
      <w:pPr>
        <w:pStyle w:val="Titre2"/>
        <w:jc w:val="both"/>
      </w:pPr>
      <w:bookmarkStart w:id="10" w:name="_Toc207973654"/>
      <w:r>
        <w:t>Organisation et profils pressentis</w:t>
      </w:r>
      <w:bookmarkEnd w:id="10"/>
    </w:p>
    <w:p>
      <w:pPr>
        <w:jc w:val="both"/>
      </w:pPr>
      <w:r>
        <w:t>Le candidat présente les modalités d’organisation et de gouvernance de ses équipes, ainsi que les profils des intervenants pressentis sur la base des types de fonctions définies dans l’onglet « TJM (Profils) » de l’annexe financière.</w:t>
      </w:r>
    </w:p>
    <w:p>
      <w:pPr>
        <w:jc w:val="both"/>
      </w:pPr>
    </w:p>
    <w:p>
      <w:pPr>
        <w:jc w:val="both"/>
      </w:pPr>
      <w:r>
        <w:t>Ainsi, pour chaque profil, le candidat doit présenter</w:t>
      </w:r>
      <w:r>
        <w:rPr>
          <w:rFonts w:ascii="Calibri" w:hAnsi="Calibri" w:cs="Calibri"/>
        </w:rPr>
        <w:t> </w:t>
      </w:r>
      <w:r>
        <w:t>:</w:t>
      </w:r>
    </w:p>
    <w:p>
      <w:pPr>
        <w:pStyle w:val="Liste1"/>
        <w:numPr>
          <w:ilvl w:val="1"/>
          <w:numId w:val="12"/>
        </w:numPr>
      </w:pPr>
      <w:proofErr w:type="gramStart"/>
      <w:r>
        <w:t>la</w:t>
      </w:r>
      <w:proofErr w:type="gramEnd"/>
      <w:r>
        <w:t xml:space="preserve"> fonction du profil (conformément aux fonctions des profils définies dans l’annexe financière du présent marché) et son trigramme,</w:t>
      </w:r>
    </w:p>
    <w:p>
      <w:pPr>
        <w:pStyle w:val="Liste1"/>
        <w:numPr>
          <w:ilvl w:val="1"/>
          <w:numId w:val="12"/>
        </w:numPr>
      </w:pPr>
      <w:proofErr w:type="gramStart"/>
      <w:r>
        <w:t>ses</w:t>
      </w:r>
      <w:proofErr w:type="gramEnd"/>
      <w:r>
        <w:t xml:space="preserve"> diplômes et formations complémentaires (et certifications) durant son parcours professionnel</w:t>
      </w:r>
      <w:r>
        <w:rPr>
          <w:rFonts w:ascii="Calibri" w:hAnsi="Calibri" w:cs="Calibri"/>
        </w:rPr>
        <w:t> </w:t>
      </w:r>
      <w:r>
        <w:t>;</w:t>
      </w:r>
    </w:p>
    <w:p>
      <w:pPr>
        <w:pStyle w:val="Liste1"/>
        <w:numPr>
          <w:ilvl w:val="1"/>
          <w:numId w:val="12"/>
        </w:numPr>
      </w:pPr>
      <w:proofErr w:type="gramStart"/>
      <w:r>
        <w:t>les</w:t>
      </w:r>
      <w:proofErr w:type="gramEnd"/>
      <w:r>
        <w:t xml:space="preserve"> domaines de compétences maîtrisés par le profil</w:t>
      </w:r>
      <w:r>
        <w:rPr>
          <w:rFonts w:ascii="Calibri" w:hAnsi="Calibri" w:cs="Calibri"/>
        </w:rPr>
        <w:t> </w:t>
      </w:r>
      <w:r>
        <w:t>;</w:t>
      </w:r>
    </w:p>
    <w:p>
      <w:pPr>
        <w:pStyle w:val="Liste1"/>
        <w:numPr>
          <w:ilvl w:val="1"/>
          <w:numId w:val="12"/>
        </w:numPr>
      </w:pPr>
      <w:proofErr w:type="gramStart"/>
      <w:r>
        <w:t>les</w:t>
      </w:r>
      <w:proofErr w:type="gramEnd"/>
      <w:r>
        <w:t xml:space="preserve"> secteurs d’activités maîtrisés par le profil</w:t>
      </w:r>
      <w:r>
        <w:rPr>
          <w:rFonts w:ascii="Calibri" w:hAnsi="Calibri" w:cs="Calibri"/>
        </w:rPr>
        <w:t> </w:t>
      </w:r>
      <w:r>
        <w:t>;</w:t>
      </w:r>
    </w:p>
    <w:p>
      <w:pPr>
        <w:pStyle w:val="Liste1"/>
        <w:numPr>
          <w:ilvl w:val="1"/>
          <w:numId w:val="12"/>
        </w:numPr>
      </w:pPr>
      <w:proofErr w:type="gramStart"/>
      <w:r>
        <w:t>ses</w:t>
      </w:r>
      <w:proofErr w:type="gramEnd"/>
      <w:r>
        <w:t xml:space="preserve"> expériences et missions, les plus significatives au regard du présent marché.</w:t>
      </w:r>
    </w:p>
    <w:p>
      <w:pPr>
        <w:jc w:val="both"/>
      </w:pPr>
    </w:p>
    <w:p>
      <w:pPr>
        <w:jc w:val="both"/>
      </w:pPr>
      <w:r>
        <w:t>Ces éléments doivent mettre en évidence la pertinence et la qualité des profils pressentis à l’exécution du marché, compte tenu en particulier de leurs connaissances et de leur expérience professionnelle dans le cadre des différentes prestations du marché.</w:t>
      </w:r>
    </w:p>
    <w:p>
      <w:pPr>
        <w:jc w:val="both"/>
      </w:pPr>
    </w:p>
    <w:p>
      <w:pPr>
        <w:jc w:val="both"/>
      </w:pPr>
      <w:r>
        <w:t>Concernant l’organisation, le candidat précise son organigramme, les méthodes de travail qu’il propose, en particulier dans sa relation avec les équipes de l’AIFE. Le candidat précise également son organisation interne pour gérer les différentes prestations et les évolutions à venir. Le candidat précise comment il gère le plan de charge de ses équipes et comment il le partage avec les équipes de l’AIFE.</w:t>
      </w:r>
    </w:p>
    <w:p>
      <w:pPr>
        <w:pStyle w:val="Titre2"/>
        <w:jc w:val="both"/>
      </w:pPr>
      <w:bookmarkStart w:id="11" w:name="_Toc207973655"/>
      <w:r>
        <w:t>Mobilisation des compétences sur la durée du marché</w:t>
      </w:r>
      <w:bookmarkEnd w:id="11"/>
    </w:p>
    <w:p>
      <w:pPr>
        <w:jc w:val="both"/>
      </w:pPr>
      <w:r>
        <w:t>Le candidat explicite sa gestion des ressources tout au long de l’exécution du marché et la gestion du plan de charges en fonction de l’activité. En particulier, il détaille sa gestion du turn-over</w:t>
      </w:r>
      <w:r>
        <w:rPr>
          <w:rFonts w:ascii="Calibri" w:hAnsi="Calibri" w:cs="Calibri"/>
        </w:rPr>
        <w:t> </w:t>
      </w:r>
      <w:r>
        <w:t>: d</w:t>
      </w:r>
      <w:r>
        <w:rPr>
          <w:rFonts w:cs="Marianne"/>
        </w:rPr>
        <w:t>é</w:t>
      </w:r>
      <w:r>
        <w:t>lai de pr</w:t>
      </w:r>
      <w:r>
        <w:rPr>
          <w:rFonts w:cs="Marianne"/>
        </w:rPr>
        <w:t>é</w:t>
      </w:r>
      <w:r>
        <w:t>venance, d</w:t>
      </w:r>
      <w:r>
        <w:rPr>
          <w:rFonts w:cs="Marianne"/>
        </w:rPr>
        <w:t>é</w:t>
      </w:r>
      <w:r>
        <w:t>lai du recouvrement entre les ressources entrantes et sortantes, impact sur la matrice de comp</w:t>
      </w:r>
      <w:r>
        <w:rPr>
          <w:rFonts w:cs="Marianne"/>
        </w:rPr>
        <w:t>é</w:t>
      </w:r>
      <w:r>
        <w:t xml:space="preserve">tences des </w:t>
      </w:r>
      <w:r>
        <w:rPr>
          <w:rFonts w:cs="Marianne"/>
        </w:rPr>
        <w:t>é</w:t>
      </w:r>
      <w:r>
        <w:t>quipes et plan d’action associé si besoin, plan de montée en compétences des nouveaux arrivants.</w:t>
      </w:r>
    </w:p>
    <w:p>
      <w:pPr>
        <w:jc w:val="both"/>
      </w:pPr>
    </w:p>
    <w:p>
      <w:pPr>
        <w:jc w:val="both"/>
      </w:pPr>
      <w:r>
        <w:t>Le candidat décrit sa capacité à mobiliser les niveaux de compétence et d’expertise adéquats, en fonction en fonction des besoins récurrents et ponctuels, de la montée en charge et des aléas susceptibles d’être rencontrés dans le cadre de l’exécution du marché.</w:t>
      </w:r>
    </w:p>
    <w:p>
      <w:pPr>
        <w:pStyle w:val="Titre2"/>
        <w:jc w:val="both"/>
      </w:pPr>
      <w:bookmarkStart w:id="12" w:name="_Toc207973656"/>
      <w:r>
        <w:t>Estimation des charges</w:t>
      </w:r>
      <w:bookmarkEnd w:id="12"/>
    </w:p>
    <w:p>
      <w:pPr>
        <w:jc w:val="both"/>
      </w:pPr>
      <w:r>
        <w:t xml:space="preserve">Le candidat procède à l’estimation des charges pour chacune des prestations et unités d’œuvre qu’il ventilera par type de profil d’intervenants dans l’onglet “Charges” de l’annexe financière. Ces types </w:t>
      </w:r>
      <w:r>
        <w:lastRenderedPageBreak/>
        <w:t xml:space="preserve">de profils doivent </w:t>
      </w:r>
      <w:r>
        <w:rPr>
          <w:rFonts w:cs="Marianne"/>
        </w:rPr>
        <w:t>ê</w:t>
      </w:r>
      <w:r>
        <w:t xml:space="preserve">tre identiques </w:t>
      </w:r>
      <w:r>
        <w:rPr>
          <w:rFonts w:cs="Marianne"/>
        </w:rPr>
        <w:t>à</w:t>
      </w:r>
      <w:r>
        <w:t xml:space="preserve"> ceux renseign</w:t>
      </w:r>
      <w:r>
        <w:rPr>
          <w:rFonts w:cs="Marianne"/>
        </w:rPr>
        <w:t>é</w:t>
      </w:r>
      <w:r>
        <w:t>s dans l</w:t>
      </w:r>
      <w:r>
        <w:rPr>
          <w:rFonts w:cs="Marianne"/>
        </w:rPr>
        <w:t>’</w:t>
      </w:r>
      <w:r>
        <w:t>onglet “TJM (Profils)” de l’annexe financière.</w:t>
      </w:r>
    </w:p>
    <w:p>
      <w:pPr>
        <w:jc w:val="both"/>
      </w:pPr>
    </w:p>
    <w:p>
      <w:pPr>
        <w:jc w:val="both"/>
      </w:pPr>
      <w:r>
        <w:t>Pour chaque type de profil, le candidat précise la charge en jours/homme nécessaire à l’exécution de chaque UO ainsi que les hypothèses retenues pour réaliser cette estimation.</w:t>
      </w:r>
    </w:p>
    <w:p>
      <w:pPr>
        <w:jc w:val="both"/>
      </w:pPr>
      <w:r>
        <w:t>Les charges ainsi estimées doivent être en cohérence avec le planning et la durée de la prestation.</w:t>
      </w:r>
    </w:p>
    <w:p>
      <w:pPr>
        <w:jc w:val="both"/>
      </w:pPr>
      <w:r>
        <w:t>Le candidat veille à la pertinence et au caractère réaliste de ses hypothèses de charges humaines, au regard des exigences exprimées par l’AIFE, de la complémentarité des compétences et de la séniorité des profils.</w:t>
      </w:r>
    </w:p>
    <w:p>
      <w:pPr>
        <w:pStyle w:val="Titre2"/>
        <w:jc w:val="both"/>
      </w:pPr>
      <w:bookmarkStart w:id="13" w:name="_Toc207973657"/>
      <w:r>
        <w:t>Focus sur la gestion des projets majeurs</w:t>
      </w:r>
      <w:bookmarkEnd w:id="13"/>
    </w:p>
    <w:p>
      <w:pPr>
        <w:jc w:val="both"/>
      </w:pPr>
      <w:r>
        <w:t xml:space="preserve">Dans le cadre des projets majeurs (en particulier les adaptations dans le cadre de la mise en place d’un hébergement </w:t>
      </w:r>
      <w:proofErr w:type="spellStart"/>
      <w:r>
        <w:t>Secnumcloud</w:t>
      </w:r>
      <w:proofErr w:type="spellEnd"/>
      <w:r>
        <w:t xml:space="preserve"> et la prise en compte des impacts liés à l’extension du périmètre et refonte de PLACE dans le cadre de la loi de simplification de la vie économique), le candidat explicite :</w:t>
      </w:r>
    </w:p>
    <w:p>
      <w:pPr>
        <w:pStyle w:val="Paragraphedeliste"/>
        <w:numPr>
          <w:ilvl w:val="0"/>
          <w:numId w:val="28"/>
        </w:numPr>
        <w:jc w:val="both"/>
      </w:pPr>
      <w:r>
        <w:t>La méthodologie (gouvernance, organisation, ressources, gestion des pics de charge, gestion opérationnelle, etc.) permettant de gérer des projets majeurs.</w:t>
      </w:r>
    </w:p>
    <w:p>
      <w:pPr>
        <w:pStyle w:val="Paragraphedeliste"/>
        <w:numPr>
          <w:ilvl w:val="0"/>
          <w:numId w:val="28"/>
        </w:numPr>
        <w:jc w:val="both"/>
      </w:pPr>
      <w:r>
        <w:t>Les bonnes pratiques permettant de sécuriser les projets majeurs et la gestion des risques afférente (mettre en exergue les risques).</w:t>
      </w:r>
    </w:p>
    <w:p>
      <w:pPr>
        <w:pStyle w:val="Paragraphedeliste"/>
        <w:numPr>
          <w:ilvl w:val="0"/>
          <w:numId w:val="28"/>
        </w:numPr>
        <w:jc w:val="both"/>
      </w:pPr>
      <w:r>
        <w:t>Les modalités de gestion de l’équilibre entre les équipes dédiées aux projets et les équipes en charge de la maintenance corrective, préventive et évolutive, afin de ne pas dégrader de la qualité de ces prestations.</w:t>
      </w:r>
    </w:p>
    <w:p>
      <w:pPr>
        <w:pStyle w:val="Paragraphedeliste"/>
        <w:numPr>
          <w:ilvl w:val="0"/>
          <w:numId w:val="28"/>
        </w:numPr>
        <w:jc w:val="both"/>
      </w:pPr>
      <w:r>
        <w:t>L’organisation/dispositif à mettre en place pour sécuriser, le déploiement, l’accompagnement et le passage en MCO des projets majeurs.</w:t>
      </w:r>
    </w:p>
    <w:p>
      <w:pPr>
        <w:pStyle w:val="Titre2"/>
        <w:jc w:val="both"/>
      </w:pPr>
      <w:bookmarkStart w:id="14" w:name="_Toc207973658"/>
      <w:r>
        <w:t>Plan de progrès</w:t>
      </w:r>
      <w:bookmarkEnd w:id="14"/>
    </w:p>
    <w:p>
      <w:pPr>
        <w:jc w:val="both"/>
      </w:pPr>
      <w:r>
        <w:t>Le candidat détaille les modalités de dégressivité du prix des UO portant les prestations de base de maintenance, sur la durée de l’Accord Cadre.</w:t>
      </w:r>
    </w:p>
    <w:p>
      <w:pPr>
        <w:jc w:val="both"/>
      </w:pPr>
    </w:p>
    <w:p>
      <w:pPr>
        <w:jc w:val="both"/>
        <w:rPr>
          <w:rFonts w:eastAsia="Marianne" w:cs="Marianne"/>
          <w:color w:val="000000"/>
        </w:rPr>
      </w:pPr>
      <w:r>
        <w:t>Le candidat met en exergue les</w:t>
      </w:r>
      <w:r>
        <w:rPr>
          <w:rFonts w:eastAsia="Marianne" w:cs="Marianne"/>
          <w:color w:val="000000"/>
        </w:rPr>
        <w:t xml:space="preserve"> actions susceptibles d’améliorer l’efficience du dispositif tout au long du marché, ainsi que des modalités de mise en place et d’application des abaques.</w:t>
      </w:r>
    </w:p>
    <w:p>
      <w:pPr>
        <w:pStyle w:val="Titre2"/>
        <w:ind w:left="578" w:hanging="578"/>
        <w:jc w:val="both"/>
      </w:pPr>
      <w:bookmarkStart w:id="15" w:name="_Toc207973659"/>
      <w:r>
        <w:t>Information sur la localisation géographique des données et des services</w:t>
      </w:r>
      <w:bookmarkEnd w:id="15"/>
    </w:p>
    <w:p>
      <w:pPr>
        <w:pStyle w:val="NormalWeb"/>
        <w:spacing w:before="0" w:beforeAutospacing="0" w:after="0" w:afterAutospacing="0" w:line="312" w:lineRule="auto"/>
        <w:jc w:val="both"/>
        <w:rPr>
          <w:rFonts w:ascii="Marianne" w:hAnsi="Marianne"/>
          <w:sz w:val="20"/>
          <w:szCs w:val="20"/>
        </w:rPr>
      </w:pPr>
      <w:r>
        <w:rPr>
          <w:rFonts w:ascii="Marianne" w:hAnsi="Marianne"/>
          <w:sz w:val="20"/>
          <w:szCs w:val="20"/>
        </w:rPr>
        <w:t>Le candidat précise dans son offre les lieux géographiques dans lesquels :</w:t>
      </w:r>
    </w:p>
    <w:p>
      <w:pPr>
        <w:numPr>
          <w:ilvl w:val="0"/>
          <w:numId w:val="31"/>
        </w:numPr>
        <w:jc w:val="both"/>
        <w:rPr>
          <w:szCs w:val="20"/>
          <w:lang w:eastAsia="fr-FR"/>
        </w:rPr>
      </w:pPr>
      <w:r>
        <w:rPr>
          <w:szCs w:val="20"/>
          <w:lang w:eastAsia="fr-FR"/>
        </w:rPr>
        <w:t>Les données informatiques liées à la prestation seront hébergées ;</w:t>
      </w:r>
    </w:p>
    <w:p>
      <w:pPr>
        <w:numPr>
          <w:ilvl w:val="0"/>
          <w:numId w:val="31"/>
        </w:numPr>
        <w:jc w:val="both"/>
        <w:rPr>
          <w:szCs w:val="20"/>
          <w:lang w:eastAsia="fr-FR"/>
        </w:rPr>
      </w:pPr>
      <w:r>
        <w:rPr>
          <w:szCs w:val="20"/>
          <w:lang w:eastAsia="fr-FR"/>
        </w:rPr>
        <w:t>Les services objets de la prestation seront localisés ;</w:t>
      </w:r>
    </w:p>
    <w:p>
      <w:pPr>
        <w:numPr>
          <w:ilvl w:val="0"/>
          <w:numId w:val="31"/>
        </w:numPr>
        <w:jc w:val="both"/>
        <w:rPr>
          <w:szCs w:val="20"/>
          <w:lang w:eastAsia="fr-FR"/>
        </w:rPr>
      </w:pPr>
      <w:r>
        <w:rPr>
          <w:szCs w:val="20"/>
          <w:lang w:eastAsia="fr-FR"/>
        </w:rPr>
        <w:t xml:space="preserve">Les systèmes d'accès et d'administration des services liés à la prestation seront localisés. </w:t>
      </w:r>
    </w:p>
    <w:p>
      <w:pPr>
        <w:jc w:val="both"/>
        <w:rPr>
          <w:szCs w:val="20"/>
          <w:lang w:eastAsia="fr-FR"/>
        </w:rPr>
      </w:pPr>
    </w:p>
    <w:p>
      <w:pPr>
        <w:jc w:val="both"/>
        <w:rPr>
          <w:szCs w:val="20"/>
          <w:lang w:eastAsia="fr-FR"/>
        </w:rPr>
      </w:pPr>
      <w:r>
        <w:rPr>
          <w:szCs w:val="20"/>
          <w:lang w:eastAsia="fr-FR"/>
        </w:rPr>
        <w:lastRenderedPageBreak/>
        <w:t>De même, le soumissionnaire précise dans son offre si ses infrastructures (techniques ou organisationnelles) sont gérées ou simplement accessibles par une entité juridique appartenant à un pays disposant de lois autorisant ce pays à accéder aux données.</w:t>
      </w:r>
    </w:p>
    <w:p>
      <w:pPr>
        <w:pStyle w:val="Titre2"/>
        <w:ind w:left="578" w:hanging="578"/>
        <w:jc w:val="both"/>
      </w:pPr>
      <w:bookmarkStart w:id="16" w:name="_Toc184998550"/>
      <w:bookmarkStart w:id="17" w:name="_Toc207973660"/>
      <w:r>
        <w:t>Enjeux environnementaux</w:t>
      </w:r>
      <w:bookmarkEnd w:id="16"/>
      <w:r>
        <w:t xml:space="preserve"> et sociaux</w:t>
      </w:r>
      <w:bookmarkEnd w:id="17"/>
    </w:p>
    <w:p>
      <w:pPr>
        <w:jc w:val="both"/>
      </w:pPr>
      <w:r>
        <w:t>Le candidat précisera comment il va respecter les normes et exigences du Référentiel de Conception Numérique (RCN) de l’AIFE, notamment les exigences liées à l’inclusion pour tous les usagers, à l’accessibilité du service, au respect des normes de développement et au principe d’éco-conception dont l’objectif est de réduire l’empreinte environnementale de nos services numériques tout au long de leur cycle de vie, de leur conception à leur utilisation.</w:t>
      </w:r>
    </w:p>
    <w:sectPr>
      <w:headerReference w:type="default" r:id="rId13"/>
      <w:footerReference w:type="default" r:id="rId14"/>
      <w:pgSz w:w="11907" w:h="16840"/>
      <w:pgMar w:top="1134" w:right="1134" w:bottom="1134" w:left="1134" w:header="340" w:footer="34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auto"/>
    <w:pitch w:val="default"/>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framePr w:wrap="around" w:vAnchor="text" w:hAnchor="margin" w:xAlign="right" w:y="1"/>
    </w:pPr>
    <w:r>
      <w:fldChar w:fldCharType="begin"/>
    </w:r>
    <w:r>
      <w:instrText xml:space="preserve">PAGE  </w:instrText>
    </w:r>
    <w:r>
      <w:fldChar w:fldCharType="separate"/>
    </w:r>
    <w:r>
      <w:t>2</w:t>
    </w:r>
    <w:r>
      <w:fldChar w:fldCharType="end"/>
    </w:r>
  </w:p>
  <w:p>
    <w:pPr>
      <w:ind w:left="-1080" w:right="360"/>
    </w:pPr>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margin" w:tblpYSpec="bottom"/>
      <w:tblW w:w="10056" w:type="dxa"/>
      <w:tblLayout w:type="fixed"/>
      <w:tblLook w:val="0600" w:firstRow="0" w:lastRow="0" w:firstColumn="0" w:lastColumn="0" w:noHBand="1" w:noVBand="1"/>
    </w:tblPr>
    <w:tblGrid>
      <w:gridCol w:w="9820"/>
      <w:gridCol w:w="236"/>
    </w:tblGrid>
    <w:tr>
      <w:trPr>
        <w:trHeight w:val="1474"/>
      </w:trPr>
      <w:tc>
        <w:tcPr>
          <w:tcW w:w="10035" w:type="dxa"/>
          <w:tcBorders>
            <w:top w:val="none" w:sz="4" w:space="0" w:color="000000"/>
            <w:left w:val="none" w:sz="4" w:space="0" w:color="000000"/>
            <w:bottom w:val="none" w:sz="4" w:space="0" w:color="000000"/>
            <w:right w:val="none" w:sz="4" w:space="0" w:color="000000"/>
          </w:tcBorders>
          <w:vAlign w:val="center"/>
        </w:tcPr>
        <w:tbl>
          <w:tblPr>
            <w:tblStyle w:val="Grilledutableau"/>
            <w:tblpPr w:vertAnchor="page" w:horzAnchor="page" w:tblpXSpec="center" w:tblpYSpec="bottom"/>
            <w:tblW w:w="9979" w:type="dxa"/>
            <w:tblLayout w:type="fixed"/>
            <w:tblLook w:val="0600" w:firstRow="0" w:lastRow="0" w:firstColumn="0" w:lastColumn="0" w:noHBand="1" w:noVBand="1"/>
          </w:tblPr>
          <w:tblGrid>
            <w:gridCol w:w="4649"/>
            <w:gridCol w:w="907"/>
            <w:gridCol w:w="4423"/>
          </w:tblGrid>
          <w:tr>
            <w:trPr>
              <w:trHeight w:hRule="exact" w:val="284"/>
            </w:trPr>
            <w:tc>
              <w:tcPr>
                <w:tcW w:w="9979" w:type="dxa"/>
                <w:gridSpan w:val="3"/>
                <w:tcBorders>
                  <w:top w:val="none" w:sz="4" w:space="0" w:color="000000"/>
                  <w:left w:val="none" w:sz="4" w:space="0" w:color="000000"/>
                  <w:bottom w:val="none" w:sz="4" w:space="0" w:color="000000"/>
                  <w:right w:val="none" w:sz="4" w:space="0" w:color="000000"/>
                </w:tcBorders>
              </w:tcPr>
              <w:p>
                <w:pPr>
                  <w:tabs>
                    <w:tab w:val="left" w:pos="1269"/>
                  </w:tabs>
                </w:pPr>
                <w:r>
                  <w:tab/>
                </w:r>
              </w:p>
            </w:tc>
          </w:tr>
          <w:tr>
            <w:trPr>
              <w:trHeight w:val="192"/>
            </w:trPr>
            <w:tc>
              <w:tcPr>
                <w:tcW w:w="4649" w:type="dxa"/>
                <w:tcBorders>
                  <w:top w:val="none" w:sz="4" w:space="0" w:color="000000"/>
                  <w:left w:val="none" w:sz="4" w:space="0" w:color="000000"/>
                  <w:bottom w:val="none" w:sz="4" w:space="0" w:color="000000"/>
                  <w:right w:val="none" w:sz="4" w:space="0" w:color="000000"/>
                </w:tcBorders>
                <w:vAlign w:val="bottom"/>
              </w:tcPr>
              <w:p>
                <w:pPr>
                  <w:pStyle w:val="Texte-Adresseligne1"/>
                  <w:framePr w:w="0" w:hRule="auto" w:wrap="auto" w:vAnchor="margin" w:hAnchor="text" w:xAlign="left" w:yAlign="inline"/>
                  <w:rPr>
                    <w:rFonts w:ascii="Marianne" w:hAnsi="Marianne"/>
                  </w:rPr>
                </w:pPr>
                <w:r>
                  <w:rPr>
                    <w:rFonts w:ascii="Marianne" w:hAnsi="Marianne"/>
                  </w:rPr>
                  <w:t>10, Rue du Centre</w:t>
                </w:r>
              </w:p>
              <w:p>
                <w:pPr>
                  <w:pStyle w:val="Texte-Adresseligne2"/>
                  <w:framePr w:w="0" w:hRule="auto" w:wrap="auto" w:vAnchor="margin" w:hAnchor="text" w:xAlign="left" w:yAlign="inline"/>
                  <w:rPr>
                    <w:rFonts w:ascii="Marianne" w:hAnsi="Marianne"/>
                  </w:rPr>
                </w:pPr>
                <w:r>
                  <w:rPr>
                    <w:rFonts w:ascii="Marianne" w:hAnsi="Marianne"/>
                  </w:rPr>
                  <w:t xml:space="preserve">93160 NOISY-LE-GRAND </w:t>
                </w:r>
              </w:p>
              <w:p>
                <w:pPr>
                  <w:pStyle w:val="Texte-Tl"/>
                  <w:framePr w:w="0" w:hRule="auto" w:wrap="auto" w:vAnchor="margin" w:hAnchor="text" w:xAlign="left" w:yAlign="inline"/>
                  <w:rPr>
                    <w:rFonts w:ascii="Marianne" w:hAnsi="Marianne"/>
                  </w:rPr>
                </w:pPr>
                <w:r>
                  <w:rPr>
                    <w:rFonts w:ascii="Marianne" w:hAnsi="Marianne"/>
                  </w:rPr>
                  <w:t>Tél : 01 57 33 95 87</w:t>
                </w:r>
              </w:p>
              <w:p>
                <w:pPr>
                  <w:pStyle w:val="Texte-Tl"/>
                  <w:framePr w:w="0" w:hRule="auto" w:wrap="auto" w:vAnchor="margin" w:hAnchor="text" w:xAlign="left" w:yAlign="inline"/>
                  <w:rPr>
                    <w:rFonts w:ascii="Marianne" w:hAnsi="Marianne"/>
                  </w:rPr>
                </w:pPr>
                <w:hyperlink r:id="rId1" w:tooltip="https://aife.economie.gouv.fr" w:history="1">
                  <w:r>
                    <w:rPr>
                      <w:rStyle w:val="Lienhypertexte"/>
                      <w:rFonts w:ascii="Marianne" w:hAnsi="Marianne"/>
                    </w:rPr>
                    <w:t>https://aife.economie.gouv.fr</w:t>
                  </w:r>
                </w:hyperlink>
              </w:p>
              <w:p>
                <w:pPr>
                  <w:pStyle w:val="Texte-Pieddepage"/>
                  <w:framePr w:w="0" w:hRule="auto" w:wrap="auto" w:vAnchor="margin" w:hAnchor="text" w:xAlign="left" w:yAlign="inline"/>
                  <w:rPr>
                    <w:rFonts w:ascii="Marianne" w:hAnsi="Marianne"/>
                    <w:lang w:val="fr-FR"/>
                  </w:rPr>
                </w:pPr>
              </w:p>
            </w:tc>
            <w:tc>
              <w:tcPr>
                <w:tcW w:w="907" w:type="dxa"/>
                <w:tcBorders>
                  <w:top w:val="none" w:sz="4" w:space="0" w:color="000000"/>
                  <w:left w:val="none" w:sz="4" w:space="0" w:color="000000"/>
                  <w:bottom w:val="none" w:sz="4" w:space="0" w:color="000000"/>
                  <w:right w:val="none" w:sz="4" w:space="0" w:color="000000"/>
                </w:tcBorders>
                <w:vAlign w:val="bottom"/>
              </w:tcPr>
              <w:p>
                <w:pPr>
                  <w:pStyle w:val="Pagination"/>
                  <w:framePr w:w="0" w:hRule="auto" w:wrap="auto" w:vAnchor="margin" w:hAnchor="text" w:xAlign="left" w:yAlign="inline"/>
                  <w:rPr>
                    <w:rFonts w:ascii="Marianne" w:hAnsi="Marianne"/>
                  </w:rPr>
                </w:pPr>
                <w:r>
                  <w:rPr>
                    <w:rFonts w:ascii="Marianne" w:hAnsi="Marianne"/>
                  </w:rPr>
                  <w:t>1/</w:t>
                </w:r>
                <w:r>
                  <w:rPr>
                    <w:rFonts w:ascii="Marianne" w:hAnsi="Marianne"/>
                  </w:rPr>
                  <w:fldChar w:fldCharType="begin"/>
                </w:r>
                <w:r>
                  <w:rPr>
                    <w:rFonts w:ascii="Marianne" w:hAnsi="Marianne"/>
                  </w:rPr>
                  <w:instrText xml:space="preserve"> NUMPAGES  </w:instrText>
                </w:r>
                <w:r>
                  <w:rPr>
                    <w:rFonts w:ascii="Marianne" w:hAnsi="Marianne"/>
                  </w:rPr>
                  <w:fldChar w:fldCharType="separate"/>
                </w:r>
                <w:r>
                  <w:rPr>
                    <w:rFonts w:ascii="Marianne" w:hAnsi="Marianne"/>
                  </w:rPr>
                  <w:t>7</w:t>
                </w:r>
                <w:r>
                  <w:rPr>
                    <w:rFonts w:ascii="Marianne" w:hAnsi="Marianne"/>
                  </w:rPr>
                  <w:fldChar w:fldCharType="end"/>
                </w:r>
              </w:p>
            </w:tc>
            <w:tc>
              <w:tcPr>
                <w:tcW w:w="4423" w:type="dxa"/>
                <w:tcBorders>
                  <w:top w:val="none" w:sz="4" w:space="0" w:color="000000"/>
                  <w:left w:val="none" w:sz="4" w:space="0" w:color="000000"/>
                  <w:bottom w:val="none" w:sz="4" w:space="0" w:color="000000"/>
                  <w:right w:val="none" w:sz="4" w:space="0" w:color="000000"/>
                </w:tcBorders>
                <w:vAlign w:val="bottom"/>
              </w:tcPr>
              <w:p>
                <w:pPr>
                  <w:pStyle w:val="Date"/>
                  <w:jc w:val="left"/>
                  <w:rPr>
                    <w:rFonts w:ascii="Marianne" w:hAnsi="Marianne"/>
                    <w:lang w:val="en-US"/>
                  </w:rPr>
                </w:pPr>
              </w:p>
            </w:tc>
          </w:tr>
          <w:tr>
            <w:trPr>
              <w:trHeight w:hRule="exact" w:val="936"/>
            </w:trPr>
            <w:tc>
              <w:tcPr>
                <w:tcW w:w="9979" w:type="dxa"/>
                <w:gridSpan w:val="3"/>
                <w:tcBorders>
                  <w:top w:val="none" w:sz="4" w:space="0" w:color="000000"/>
                  <w:left w:val="none" w:sz="4" w:space="0" w:color="000000"/>
                  <w:bottom w:val="none" w:sz="4" w:space="0" w:color="000000"/>
                  <w:right w:val="none" w:sz="4" w:space="0" w:color="000000"/>
                </w:tcBorders>
              </w:tcPr>
              <w:p>
                <w:pPr>
                  <w:rPr>
                    <w:lang w:val="en-US"/>
                  </w:rPr>
                </w:pPr>
              </w:p>
            </w:tc>
          </w:tr>
        </w:tbl>
        <w:p>
          <w:pPr>
            <w:pStyle w:val="Pagination"/>
            <w:framePr w:w="0" w:hRule="auto" w:wrap="auto" w:vAnchor="margin" w:hAnchor="text" w:xAlign="left" w:yAlign="inline"/>
            <w:ind w:left="877" w:hanging="877"/>
          </w:pPr>
        </w:p>
      </w:tc>
      <w:tc>
        <w:tcPr>
          <w:tcW w:w="21" w:type="dxa"/>
          <w:tcBorders>
            <w:top w:val="none" w:sz="4" w:space="0" w:color="000000"/>
            <w:left w:val="none" w:sz="4" w:space="0" w:color="000000"/>
            <w:bottom w:val="none" w:sz="4" w:space="0" w:color="000000"/>
            <w:right w:val="none" w:sz="4" w:space="0" w:color="000000"/>
          </w:tcBorders>
          <w:vAlign w:val="bottom"/>
        </w:tcPr>
        <w:p>
          <w:pPr>
            <w:pStyle w:val="Date"/>
            <w:jc w:val="left"/>
            <w:rPr>
              <w:lang w:val="en-US"/>
            </w:rPr>
          </w:pPr>
        </w:p>
      </w:tc>
    </w:tr>
  </w:tbl>
  <w:p>
    <w:pPr>
      <w:tabs>
        <w:tab w:val="left" w:pos="0"/>
      </w:tabs>
      <w:jc w:val="center"/>
      <w:rPr>
        <w:i/>
        <w:iCs/>
        <w:sz w:val="11"/>
        <w:szCs w:val="1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ayout w:type="fixed"/>
      <w:tblLook w:val="04A0" w:firstRow="1" w:lastRow="0" w:firstColumn="1" w:lastColumn="0" w:noHBand="0" w:noVBand="1"/>
    </w:tblPr>
    <w:tblGrid>
      <w:gridCol w:w="10206"/>
    </w:tblGrid>
    <w:tr>
      <w:trPr>
        <w:trHeight w:val="338"/>
        <w:jc w:val="center"/>
      </w:trPr>
      <w:tc>
        <w:tcPr>
          <w:tcW w:w="10206" w:type="dxa"/>
        </w:tcPr>
        <w:p>
          <w:pPr>
            <w:pStyle w:val="CompanyInformation"/>
            <w:jc w:val="center"/>
            <w:rPr>
              <w:rFonts w:ascii="Garamond" w:hAnsi="Garamond"/>
              <w:i/>
            </w:rPr>
          </w:pPr>
          <w:r>
            <w:rPr>
              <w:lang w:val="fr-FR" w:eastAsia="fr-FR"/>
            </w:rPr>
            <w:fldChar w:fldCharType="begin"/>
          </w:r>
          <w:r>
            <w:rPr>
              <w:lang w:val="fr-FR" w:eastAsia="fr-FR"/>
            </w:rPr>
            <w:instrText xml:space="preserve"> PAGE </w:instrText>
          </w:r>
          <w:r>
            <w:rPr>
              <w:lang w:val="fr-FR" w:eastAsia="fr-FR"/>
            </w:rPr>
            <w:fldChar w:fldCharType="separate"/>
          </w:r>
          <w:r>
            <w:rPr>
              <w:lang w:val="fr-FR" w:eastAsia="fr-FR"/>
            </w:rPr>
            <w:t>7</w:t>
          </w:r>
          <w:r>
            <w:rPr>
              <w:lang w:val="fr-FR" w:eastAsia="fr-FR"/>
            </w:rPr>
            <w:fldChar w:fldCharType="end"/>
          </w:r>
          <w:r>
            <w:rPr>
              <w:lang w:val="fr-FR" w:eastAsia="fr-FR"/>
            </w:rPr>
            <w:t xml:space="preserve"> / </w:t>
          </w:r>
          <w:r>
            <w:rPr>
              <w:lang w:val="fr-FR" w:eastAsia="fr-FR"/>
            </w:rPr>
            <w:fldChar w:fldCharType="begin"/>
          </w:r>
          <w:r>
            <w:rPr>
              <w:lang w:val="fr-FR" w:eastAsia="fr-FR"/>
            </w:rPr>
            <w:instrText xml:space="preserve"> NUMPAGES   \* MERGEFORMAT </w:instrText>
          </w:r>
          <w:r>
            <w:rPr>
              <w:lang w:val="fr-FR" w:eastAsia="fr-FR"/>
            </w:rPr>
            <w:fldChar w:fldCharType="separate"/>
          </w:r>
          <w:r>
            <w:rPr>
              <w:lang w:val="fr-FR" w:eastAsia="fr-FR"/>
            </w:rPr>
            <w:t>7</w:t>
          </w:r>
          <w:r>
            <w:rPr>
              <w:lang w:val="fr-FR" w:eastAsia="fr-FR"/>
            </w:rPr>
            <w:fldChar w:fldCharType="end"/>
          </w:r>
        </w:p>
      </w:tc>
    </w:tr>
  </w:tbl>
  <w:p>
    <w:pPr>
      <w:pStyle w:val="Pieddepage"/>
      <w:jc w:val="cente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horzAnchor="margin" w:tblpXSpec="center" w:tblpY="1"/>
      <w:tblW w:w="11669" w:type="dxa"/>
      <w:tblBorders>
        <w:insideH w:val="single" w:sz="4" w:space="0" w:color="999999"/>
        <w:insideV w:val="single" w:sz="4" w:space="0" w:color="999999"/>
      </w:tblBorders>
      <w:tblCellMar>
        <w:left w:w="86" w:type="dxa"/>
        <w:right w:w="86" w:type="dxa"/>
      </w:tblCellMar>
      <w:tblLook w:val="0000" w:firstRow="0" w:lastRow="0" w:firstColumn="0" w:lastColumn="0" w:noHBand="0" w:noVBand="0"/>
    </w:tblPr>
    <w:tblGrid>
      <w:gridCol w:w="5048"/>
      <w:gridCol w:w="3863"/>
      <w:gridCol w:w="2758"/>
    </w:tblGrid>
    <w:tr>
      <w:trPr>
        <w:trHeight w:val="574"/>
      </w:trPr>
      <w:tc>
        <w:tcPr>
          <w:tcW w:w="5048" w:type="dxa"/>
          <w:vAlign w:val="center"/>
        </w:tcPr>
        <w:p>
          <w:pPr>
            <w:pStyle w:val="CompanyInformation"/>
            <w:rPr>
              <w:lang w:val="fr-FR"/>
            </w:rPr>
          </w:pPr>
          <w:r>
            <w:rPr>
              <w:rFonts w:ascii="Garamond" w:hAnsi="Garamond"/>
              <w:noProof/>
              <w:lang w:val="fr-FR" w:eastAsia="fr-FR"/>
            </w:rPr>
            <mc:AlternateContent>
              <mc:Choice Requires="wpg">
                <w:drawing>
                  <wp:inline distT="0" distB="0" distL="0" distR="0">
                    <wp:extent cx="921385" cy="334645"/>
                    <wp:effectExtent l="0" t="0" r="0" b="8255"/>
                    <wp:docPr id="1" name="Image 16" descr="s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6" descr="sife"/>
                            <pic:cNvPicPr>
                              <a:picLocks noChangeAspect="1"/>
                            </pic:cNvPicPr>
                          </pic:nvPicPr>
                          <pic:blipFill>
                            <a:blip r:embed="rId1"/>
                            <a:stretch/>
                          </pic:blipFill>
                          <pic:spPr bwMode="auto">
                            <a:xfrm>
                              <a:off x="0" y="0"/>
                              <a:ext cx="921385" cy="33464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72.55pt;height:26.35pt;mso-wrap-distance-left:0.00pt;mso-wrap-distance-top:0.00pt;mso-wrap-distance-right:0.00pt;mso-wrap-distance-bottom:0.00pt;z-index:1;" stroked="f">
                    <v:imagedata r:id="rId2" o:title=""/>
                    <o:lock v:ext="edit" rotation="t"/>
                  </v:shape>
                </w:pict>
              </mc:Fallback>
            </mc:AlternateContent>
          </w:r>
        </w:p>
      </w:tc>
      <w:tc>
        <w:tcPr>
          <w:tcW w:w="3863" w:type="dxa"/>
          <w:vAlign w:val="center"/>
        </w:tcPr>
        <w:p>
          <w:pPr>
            <w:pStyle w:val="CompanyInformation"/>
            <w:rPr>
              <w:lang w:val="fr-FR"/>
            </w:rPr>
          </w:pPr>
          <w:r>
            <w:rPr>
              <w:lang w:val="fr-FR"/>
            </w:rPr>
            <w:t>Auteur : Florent Tournois</w:t>
          </w:r>
        </w:p>
        <w:p>
          <w:pPr>
            <w:pStyle w:val="CompanyInformation"/>
            <w:rPr>
              <w:lang w:val="fr-FR"/>
            </w:rPr>
          </w:pPr>
          <w:r>
            <w:rPr>
              <w:lang w:val="fr-FR"/>
            </w:rPr>
            <w:t>Vérificateur : Florent Tournois</w:t>
          </w:r>
        </w:p>
        <w:p>
          <w:pPr>
            <w:pStyle w:val="CompanyInformation"/>
            <w:rPr>
              <w:lang w:val="fr-FR"/>
            </w:rPr>
          </w:pPr>
          <w:r>
            <w:rPr>
              <w:lang w:val="fr-FR"/>
            </w:rPr>
            <w:t>Approbateur : Florent Tournois</w:t>
          </w:r>
        </w:p>
      </w:tc>
      <w:tc>
        <w:tcPr>
          <w:tcW w:w="2758" w:type="dxa"/>
          <w:vAlign w:val="center"/>
        </w:tcPr>
        <w:p>
          <w:pPr>
            <w:pStyle w:val="CompanyInformation"/>
            <w:rPr>
              <w:i/>
              <w:lang w:val="fr-FR"/>
            </w:rPr>
          </w:pPr>
          <w:r>
            <w:rPr>
              <w:rStyle w:val="CompanyInformationItalicChar"/>
              <w:i w:val="0"/>
              <w:lang w:val="fr-FR"/>
            </w:rPr>
            <w:t>Statut : Initial</w:t>
          </w:r>
        </w:p>
        <w:p>
          <w:pPr>
            <w:pStyle w:val="CompanyInformation"/>
            <w:rPr>
              <w:rStyle w:val="CompanyInformationItalicChar"/>
              <w:i w:val="0"/>
              <w:lang w:val="fr-FR"/>
            </w:rPr>
          </w:pPr>
          <w:r>
            <w:rPr>
              <w:rStyle w:val="CompanyInformationItalicChar"/>
              <w:i w:val="0"/>
              <w:lang w:val="fr-FR"/>
            </w:rPr>
            <w:t xml:space="preserve">Création : </w:t>
          </w:r>
        </w:p>
        <w:p>
          <w:pPr>
            <w:pStyle w:val="CompanyInformation"/>
            <w:rPr>
              <w:lang w:val="fr-FR"/>
            </w:rPr>
          </w:pPr>
          <w:r>
            <w:rPr>
              <w:rStyle w:val="CompanyInformationItalicChar"/>
              <w:i w:val="0"/>
              <w:lang w:val="fr-FR"/>
            </w:rPr>
            <w:t xml:space="preserve">Effectif le : </w:t>
          </w:r>
        </w:p>
      </w:tc>
    </w:tr>
  </w:tbl>
  <w:p/>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horzAnchor="margin" w:tblpXSpec="center" w:tblpY="1"/>
      <w:tblW w:w="11001" w:type="dxa"/>
      <w:tblBorders>
        <w:insideH w:val="single" w:sz="4" w:space="0" w:color="8EB0AB"/>
      </w:tblBorders>
      <w:tblCellMar>
        <w:left w:w="86" w:type="dxa"/>
        <w:right w:w="86" w:type="dxa"/>
      </w:tblCellMar>
      <w:tblLook w:val="0000" w:firstRow="0" w:lastRow="0" w:firstColumn="0" w:lastColumn="0" w:noHBand="0" w:noVBand="0"/>
    </w:tblPr>
    <w:tblGrid>
      <w:gridCol w:w="5245"/>
      <w:gridCol w:w="5756"/>
    </w:tblGrid>
    <w:tr>
      <w:trPr>
        <w:trHeight w:val="555"/>
      </w:trPr>
      <w:tc>
        <w:tcPr>
          <w:tcW w:w="5245" w:type="dxa"/>
          <w:vAlign w:val="center"/>
        </w:tcPr>
        <w:p>
          <w:pPr>
            <w:pStyle w:val="CompanyInformation"/>
            <w:rPr>
              <w:lang w:val="fr-FR"/>
            </w:rPr>
          </w:pPr>
          <w:r>
            <w:rPr>
              <w:lang w:val="fr-FR"/>
            </w:rPr>
            <w:t xml:space="preserve">Ministère de l’économie, des finances et de la souveraineté industrielle et numérique - </w:t>
          </w:r>
          <w:r>
            <w:rPr>
              <w:lang w:val="fr-FR" w:eastAsia="fr-FR"/>
            </w:rPr>
            <w:t>AIFE</w:t>
          </w:r>
        </w:p>
      </w:tc>
      <w:tc>
        <w:tcPr>
          <w:tcW w:w="5756" w:type="dxa"/>
          <w:vAlign w:val="center"/>
        </w:tcPr>
        <w:p>
          <w:pPr>
            <w:pStyle w:val="CompanyInformation"/>
            <w:jc w:val="right"/>
            <w:rPr>
              <w:lang w:val="fr-FR" w:eastAsia="fr-FR"/>
            </w:rPr>
          </w:pPr>
          <w:r>
            <w:t>25_AIFE_TMA_SI_COMMANDE_</w:t>
          </w:r>
          <w:r>
            <w:t xml:space="preserve">PUBLIQUE </w:t>
          </w:r>
          <w:r>
            <w:rPr>
              <w:lang w:val="fr-FR" w:eastAsia="fr-FR"/>
            </w:rPr>
            <w:t>– Cadre de réponse LOT 2</w:t>
          </w:r>
        </w:p>
      </w:tc>
    </w:tr>
  </w:tbl>
  <w:p>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11D8"/>
    <w:multiLevelType w:val="multilevel"/>
    <w:tmpl w:val="5992A564"/>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BD7574B"/>
    <w:multiLevelType w:val="multilevel"/>
    <w:tmpl w:val="48427A3A"/>
    <w:lvl w:ilvl="0">
      <w:start w:val="1"/>
      <w:numFmt w:val="bullet"/>
      <w:pStyle w:val="lmentsPointsdaction"/>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1EC3D22"/>
    <w:multiLevelType w:val="multilevel"/>
    <w:tmpl w:val="F3DE0F3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15:restartNumberingAfterBreak="0">
    <w:nsid w:val="13E3159A"/>
    <w:multiLevelType w:val="multilevel"/>
    <w:tmpl w:val="E328F3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D725907"/>
    <w:multiLevelType w:val="multilevel"/>
    <w:tmpl w:val="55B4360A"/>
    <w:lvl w:ilvl="0">
      <w:start w:val="1"/>
      <w:numFmt w:val="bullet"/>
      <w:pStyle w:val="BulletedList"/>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0532A4"/>
    <w:multiLevelType w:val="multilevel"/>
    <w:tmpl w:val="F06026F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00D4696"/>
    <w:multiLevelType w:val="multilevel"/>
    <w:tmpl w:val="68643F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2F66C9E"/>
    <w:multiLevelType w:val="multilevel"/>
    <w:tmpl w:val="598490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EF3C23"/>
    <w:multiLevelType w:val="multilevel"/>
    <w:tmpl w:val="9792234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2641413A"/>
    <w:multiLevelType w:val="multilevel"/>
    <w:tmpl w:val="2F0ADC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9247258"/>
    <w:multiLevelType w:val="multilevel"/>
    <w:tmpl w:val="E72659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B0512D9"/>
    <w:multiLevelType w:val="multilevel"/>
    <w:tmpl w:val="933AC6A0"/>
    <w:lvl w:ilvl="0">
      <w:start w:val="1"/>
      <w:numFmt w:val="lowerLetter"/>
      <w:lvlText w:val="%1."/>
      <w:lvlJc w:val="left"/>
      <w:pPr>
        <w:ind w:left="3762"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2E6B77E3"/>
    <w:multiLevelType w:val="multilevel"/>
    <w:tmpl w:val="2B5CDF06"/>
    <w:lvl w:ilvl="0">
      <w:start w:val="1"/>
      <w:numFmt w:val="decimal"/>
      <w:pStyle w:val="Lgende"/>
      <w:lvlText w:val="*"/>
      <w:lvlJc w:val="left"/>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160600B"/>
    <w:multiLevelType w:val="multilevel"/>
    <w:tmpl w:val="8B92D7A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15:restartNumberingAfterBreak="0">
    <w:nsid w:val="32DF49FF"/>
    <w:multiLevelType w:val="multilevel"/>
    <w:tmpl w:val="DF1AAD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B15441F"/>
    <w:multiLevelType w:val="multilevel"/>
    <w:tmpl w:val="543CEC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EFD1F4E"/>
    <w:multiLevelType w:val="multilevel"/>
    <w:tmpl w:val="671ABC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31C475D"/>
    <w:multiLevelType w:val="multilevel"/>
    <w:tmpl w:val="063C93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EBA0580"/>
    <w:multiLevelType w:val="multilevel"/>
    <w:tmpl w:val="6D52696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 w15:restartNumberingAfterBreak="0">
    <w:nsid w:val="53756C7B"/>
    <w:multiLevelType w:val="multilevel"/>
    <w:tmpl w:val="E71842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4FD3E06"/>
    <w:multiLevelType w:val="multilevel"/>
    <w:tmpl w:val="3D0663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63B5FCA"/>
    <w:multiLevelType w:val="multilevel"/>
    <w:tmpl w:val="4BA42170"/>
    <w:lvl w:ilvl="0">
      <w:start w:val="1"/>
      <w:numFmt w:val="bullet"/>
      <w:pStyle w:val="Liste1"/>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7133871"/>
    <w:multiLevelType w:val="multilevel"/>
    <w:tmpl w:val="F1E0DDBA"/>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57841CCF"/>
    <w:multiLevelType w:val="multilevel"/>
    <w:tmpl w:val="AAD2E394"/>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24" w15:restartNumberingAfterBreak="0">
    <w:nsid w:val="58962B69"/>
    <w:multiLevelType w:val="multilevel"/>
    <w:tmpl w:val="21AACF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2244D34"/>
    <w:multiLevelType w:val="multilevel"/>
    <w:tmpl w:val="377CFE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3B271A6"/>
    <w:multiLevelType w:val="multilevel"/>
    <w:tmpl w:val="6082EC9A"/>
    <w:lvl w:ilvl="0">
      <w:start w:val="1"/>
      <w:numFmt w:val="decimal"/>
      <w:pStyle w:val="NumberedList"/>
      <w:lvlText w:val="%1."/>
      <w:lvlJc w:val="left"/>
      <w:pPr>
        <w:tabs>
          <w:tab w:val="num" w:pos="720"/>
        </w:tabs>
        <w:ind w:left="720" w:hanging="360"/>
      </w:pPr>
      <w:rPr>
        <w:rFonts w:ascii="Verdana" w:hAnsi="Verdana" w:cs="Times New Roman" w:hint="default"/>
        <w:sz w:val="16"/>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92965CC"/>
    <w:multiLevelType w:val="multilevel"/>
    <w:tmpl w:val="0A362E20"/>
    <w:lvl w:ilvl="0">
      <w:start w:val="1"/>
      <w:numFmt w:val="bullet"/>
      <w:lvlText w:val="-"/>
      <w:lvlJc w:val="left"/>
      <w:pPr>
        <w:ind w:left="720" w:hanging="360"/>
      </w:pPr>
      <w:rPr>
        <w:rFonts w:ascii="Verdana" w:eastAsia="Times New Roman"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9FF7BAD"/>
    <w:multiLevelType w:val="multilevel"/>
    <w:tmpl w:val="D944976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12"/>
    <w:lvlOverride w:ilvl="0">
      <w:lvl w:ilvl="0">
        <w:start w:val="1"/>
        <w:numFmt w:val="bullet"/>
        <w:pStyle w:val="Lgende"/>
        <w:lvlText w:val=""/>
        <w:legacy w:legacy="1" w:legacySpace="0" w:legacyIndent="120"/>
        <w:lvlJc w:val="left"/>
        <w:pPr>
          <w:ind w:left="1920" w:hanging="120"/>
        </w:pPr>
        <w:rPr>
          <w:rFonts w:ascii="Symbol" w:hAnsi="Symbol" w:hint="default"/>
          <w:sz w:val="18"/>
        </w:rPr>
      </w:lvl>
    </w:lvlOverride>
  </w:num>
  <w:num w:numId="2">
    <w:abstractNumId w:val="4"/>
  </w:num>
  <w:num w:numId="3">
    <w:abstractNumId w:val="26"/>
  </w:num>
  <w:num w:numId="4">
    <w:abstractNumId w:val="23"/>
  </w:num>
  <w:num w:numId="5">
    <w:abstractNumId w:val="1"/>
  </w:num>
  <w:num w:numId="6">
    <w:abstractNumId w:val="15"/>
  </w:num>
  <w:num w:numId="7">
    <w:abstractNumId w:val="20"/>
  </w:num>
  <w:num w:numId="8">
    <w:abstractNumId w:val="6"/>
  </w:num>
  <w:num w:numId="9">
    <w:abstractNumId w:val="10"/>
  </w:num>
  <w:num w:numId="10">
    <w:abstractNumId w:val="9"/>
  </w:num>
  <w:num w:numId="11">
    <w:abstractNumId w:val="14"/>
  </w:num>
  <w:num w:numId="12">
    <w:abstractNumId w:val="21"/>
  </w:num>
  <w:num w:numId="13">
    <w:abstractNumId w:val="17"/>
  </w:num>
  <w:num w:numId="14">
    <w:abstractNumId w:val="25"/>
  </w:num>
  <w:num w:numId="15">
    <w:abstractNumId w:val="3"/>
  </w:num>
  <w:num w:numId="16">
    <w:abstractNumId w:val="27"/>
  </w:num>
  <w:num w:numId="17">
    <w:abstractNumId w:val="7"/>
  </w:num>
  <w:num w:numId="18">
    <w:abstractNumId w:val="0"/>
  </w:num>
  <w:num w:numId="19">
    <w:abstractNumId w:val="5"/>
  </w:num>
  <w:num w:numId="20">
    <w:abstractNumId w:val="16"/>
  </w:num>
  <w:num w:numId="21">
    <w:abstractNumId w:val="11"/>
  </w:num>
  <w:num w:numId="22">
    <w:abstractNumId w:val="2"/>
  </w:num>
  <w:num w:numId="23">
    <w:abstractNumId w:val="18"/>
  </w:num>
  <w:num w:numId="24">
    <w:abstractNumId w:val="28"/>
  </w:num>
  <w:num w:numId="25">
    <w:abstractNumId w:val="22"/>
  </w:num>
  <w:num w:numId="26">
    <w:abstractNumId w:val="8"/>
  </w:num>
  <w:num w:numId="27">
    <w:abstractNumId w:val="23"/>
  </w:num>
  <w:num w:numId="28">
    <w:abstractNumId w:val="24"/>
  </w:num>
  <w:num w:numId="29">
    <w:abstractNumId w:val="23"/>
  </w:num>
  <w:num w:numId="30">
    <w:abstractNumId w:val="13"/>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01BEB-05FA-4270-8ECB-50DA1E78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pPr>
    <w:rPr>
      <w:rFonts w:ascii="Marianne" w:hAnsi="Marianne"/>
      <w:lang w:eastAsia="en-US"/>
    </w:rPr>
  </w:style>
  <w:style w:type="paragraph" w:styleId="Titre1">
    <w:name w:val="heading 1"/>
    <w:basedOn w:val="Normal"/>
    <w:next w:val="Normal"/>
    <w:link w:val="Titre1Car"/>
    <w:uiPriority w:val="9"/>
    <w:qFormat/>
    <w:pPr>
      <w:keepNext/>
      <w:pageBreakBefore/>
      <w:numPr>
        <w:numId w:val="4"/>
      </w:numPr>
      <w:spacing w:before="240" w:after="40" w:line="240" w:lineRule="auto"/>
      <w:outlineLvl w:val="0"/>
    </w:pPr>
    <w:rPr>
      <w:b/>
      <w:caps/>
      <w:sz w:val="28"/>
      <w:szCs w:val="24"/>
    </w:rPr>
  </w:style>
  <w:style w:type="paragraph" w:styleId="Titre2">
    <w:name w:val="heading 2"/>
    <w:basedOn w:val="Normal"/>
    <w:next w:val="Normal"/>
    <w:link w:val="Titre2Car"/>
    <w:uiPriority w:val="9"/>
    <w:qFormat/>
    <w:pPr>
      <w:keepNext/>
      <w:numPr>
        <w:ilvl w:val="1"/>
        <w:numId w:val="4"/>
      </w:numPr>
      <w:spacing w:before="240" w:after="40" w:line="240" w:lineRule="auto"/>
      <w:outlineLvl w:val="1"/>
    </w:pPr>
    <w:rPr>
      <w:b/>
      <w:sz w:val="28"/>
    </w:rPr>
  </w:style>
  <w:style w:type="paragraph" w:styleId="Titre3">
    <w:name w:val="heading 3"/>
    <w:basedOn w:val="Titre2"/>
    <w:next w:val="Normal"/>
    <w:link w:val="Titre3Car"/>
    <w:uiPriority w:val="99"/>
    <w:qFormat/>
    <w:pPr>
      <w:numPr>
        <w:ilvl w:val="2"/>
      </w:numPr>
      <w:outlineLvl w:val="2"/>
    </w:pPr>
    <w:rPr>
      <w:sz w:val="24"/>
    </w:rPr>
  </w:style>
  <w:style w:type="paragraph" w:styleId="Titre4">
    <w:name w:val="heading 4"/>
    <w:basedOn w:val="Titre3"/>
    <w:next w:val="Normal"/>
    <w:link w:val="Titre4Car"/>
    <w:uiPriority w:val="99"/>
    <w:qFormat/>
    <w:pPr>
      <w:keepLines/>
      <w:numPr>
        <w:ilvl w:val="3"/>
      </w:numPr>
      <w:ind w:left="862" w:hanging="862"/>
      <w:outlineLvl w:val="3"/>
    </w:pPr>
    <w:rPr>
      <w:spacing w:val="-4"/>
      <w:sz w:val="22"/>
    </w:rPr>
  </w:style>
  <w:style w:type="paragraph" w:styleId="Titre5">
    <w:name w:val="heading 5"/>
    <w:basedOn w:val="Titre4"/>
    <w:next w:val="Normal"/>
    <w:link w:val="Titre5Car"/>
    <w:uiPriority w:val="99"/>
    <w:qFormat/>
    <w:pPr>
      <w:numPr>
        <w:ilvl w:val="4"/>
      </w:numPr>
      <w:ind w:left="1009" w:hanging="1009"/>
      <w:outlineLvl w:val="4"/>
    </w:pPr>
    <w:rPr>
      <w:sz w:val="20"/>
    </w:rPr>
  </w:style>
  <w:style w:type="paragraph" w:styleId="Titre6">
    <w:name w:val="heading 6"/>
    <w:basedOn w:val="Titre5"/>
    <w:next w:val="Normal"/>
    <w:link w:val="Titre6Car"/>
    <w:uiPriority w:val="99"/>
    <w:qFormat/>
    <w:pPr>
      <w:numPr>
        <w:ilvl w:val="5"/>
      </w:numPr>
      <w:spacing w:line="220" w:lineRule="atLeast"/>
      <w:ind w:left="1151" w:hanging="1151"/>
      <w:outlineLvl w:val="5"/>
    </w:pPr>
    <w:rPr>
      <w:i/>
    </w:rPr>
  </w:style>
  <w:style w:type="paragraph" w:styleId="Titre7">
    <w:name w:val="heading 7"/>
    <w:basedOn w:val="Titre6"/>
    <w:next w:val="Normal"/>
    <w:link w:val="Titre7Car"/>
    <w:uiPriority w:val="99"/>
    <w:qFormat/>
    <w:pPr>
      <w:numPr>
        <w:ilvl w:val="6"/>
      </w:numPr>
      <w:ind w:left="1298" w:hanging="1298"/>
      <w:outlineLvl w:val="6"/>
    </w:pPr>
  </w:style>
  <w:style w:type="paragraph" w:styleId="Titre8">
    <w:name w:val="heading 8"/>
    <w:basedOn w:val="Titre7"/>
    <w:next w:val="Normal"/>
    <w:link w:val="Titre8Car"/>
    <w:uiPriority w:val="99"/>
    <w:qFormat/>
    <w:pPr>
      <w:numPr>
        <w:ilvl w:val="7"/>
      </w:numPr>
      <w:outlineLvl w:val="7"/>
    </w:pPr>
  </w:style>
  <w:style w:type="paragraph" w:styleId="Titre9">
    <w:name w:val="heading 9"/>
    <w:basedOn w:val="Titre8"/>
    <w:next w:val="Normal"/>
    <w:link w:val="Titre9Car"/>
    <w:uiPriority w:val="99"/>
    <w:qFormat/>
    <w:pPr>
      <w:numPr>
        <w:ilvl w:val="8"/>
      </w:numPr>
      <w:ind w:left="1582" w:hanging="1582"/>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dnoteTextChar">
    <w:name w:val="Endnote Text Char"/>
    <w:basedOn w:val="Policepardfaut"/>
    <w:uiPriority w:val="99"/>
    <w:semiHidden/>
    <w:rPr>
      <w:sz w:val="20"/>
      <w:szCs w:val="20"/>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Titre1Car">
    <w:name w:val="Titre 1 Car"/>
    <w:link w:val="Titre1"/>
    <w:uiPriority w:val="9"/>
    <w:rPr>
      <w:rFonts w:ascii="Marianne" w:hAnsi="Marianne"/>
      <w:b/>
      <w:caps/>
      <w:sz w:val="28"/>
      <w:szCs w:val="24"/>
      <w:lang w:eastAsia="en-US"/>
    </w:rPr>
  </w:style>
  <w:style w:type="character" w:customStyle="1" w:styleId="Titre2Car">
    <w:name w:val="Titre 2 Car"/>
    <w:link w:val="Titre2"/>
    <w:uiPriority w:val="9"/>
    <w:rPr>
      <w:rFonts w:ascii="Marianne" w:hAnsi="Marianne"/>
      <w:b/>
      <w:sz w:val="28"/>
      <w:lang w:eastAsia="en-US"/>
    </w:rPr>
  </w:style>
  <w:style w:type="character" w:customStyle="1" w:styleId="Titre3Car">
    <w:name w:val="Titre 3 Car"/>
    <w:link w:val="Titre3"/>
    <w:uiPriority w:val="9"/>
    <w:rPr>
      <w:rFonts w:ascii="Marianne" w:hAnsi="Marianne"/>
      <w:b/>
      <w:sz w:val="24"/>
      <w:lang w:eastAsia="en-US"/>
    </w:rPr>
  </w:style>
  <w:style w:type="character" w:customStyle="1" w:styleId="Titre4Car">
    <w:name w:val="Titre 4 Car"/>
    <w:link w:val="Titre4"/>
    <w:uiPriority w:val="9"/>
    <w:rPr>
      <w:rFonts w:ascii="Marianne" w:hAnsi="Marianne"/>
      <w:b/>
      <w:spacing w:val="-4"/>
      <w:sz w:val="22"/>
      <w:lang w:eastAsia="en-US"/>
    </w:rPr>
  </w:style>
  <w:style w:type="character" w:customStyle="1" w:styleId="Titre5Car">
    <w:name w:val="Titre 5 Car"/>
    <w:link w:val="Titre5"/>
    <w:uiPriority w:val="9"/>
    <w:rPr>
      <w:rFonts w:ascii="Marianne" w:hAnsi="Marianne"/>
      <w:b/>
      <w:spacing w:val="-4"/>
      <w:lang w:eastAsia="en-US"/>
    </w:rPr>
  </w:style>
  <w:style w:type="character" w:customStyle="1" w:styleId="Titre6Car">
    <w:name w:val="Titre 6 Car"/>
    <w:link w:val="Titre6"/>
    <w:uiPriority w:val="9"/>
    <w:rPr>
      <w:rFonts w:ascii="Marianne" w:hAnsi="Marianne"/>
      <w:b/>
      <w:i/>
      <w:spacing w:val="-4"/>
      <w:lang w:eastAsia="en-US"/>
    </w:rPr>
  </w:style>
  <w:style w:type="character" w:customStyle="1" w:styleId="Titre7Car">
    <w:name w:val="Titre 7 Car"/>
    <w:link w:val="Titre7"/>
    <w:uiPriority w:val="9"/>
    <w:rPr>
      <w:rFonts w:ascii="Verdana" w:hAnsi="Verdana"/>
      <w:i/>
      <w:spacing w:val="-4"/>
      <w:sz w:val="17"/>
      <w:lang w:eastAsia="en-US"/>
    </w:rPr>
  </w:style>
  <w:style w:type="character" w:customStyle="1" w:styleId="Titre8Car">
    <w:name w:val="Titre 8 Car"/>
    <w:link w:val="Titre8"/>
    <w:uiPriority w:val="9"/>
    <w:rPr>
      <w:rFonts w:ascii="Verdana" w:hAnsi="Verdana"/>
      <w:i/>
      <w:spacing w:val="-4"/>
      <w:sz w:val="17"/>
      <w:lang w:eastAsia="en-US"/>
    </w:rPr>
  </w:style>
  <w:style w:type="character" w:customStyle="1" w:styleId="Titre9Car">
    <w:name w:val="Titre 9 Car"/>
    <w:link w:val="Titre9"/>
    <w:uiPriority w:val="9"/>
    <w:rPr>
      <w:rFonts w:ascii="Verdana" w:hAnsi="Verdana"/>
      <w:i/>
      <w:spacing w:val="-4"/>
      <w:sz w:val="17"/>
      <w:lang w:eastAsia="en-US"/>
    </w:rPr>
  </w:style>
  <w:style w:type="paragraph" w:customStyle="1" w:styleId="CompanyInformation">
    <w:name w:val="Company Information"/>
    <w:basedOn w:val="Normal"/>
    <w:link w:val="CompanyInformationChar"/>
    <w:pPr>
      <w:spacing w:line="240" w:lineRule="auto"/>
    </w:pPr>
    <w:rPr>
      <w:color w:val="808080"/>
      <w:sz w:val="15"/>
      <w:lang w:val="en-US"/>
    </w:rPr>
  </w:style>
  <w:style w:type="character" w:customStyle="1" w:styleId="CompanyInformationChar">
    <w:name w:val="Company Information Char"/>
    <w:link w:val="CompanyInformation"/>
    <w:rPr>
      <w:rFonts w:ascii="Verdana" w:hAnsi="Verdana"/>
      <w:color w:val="808080"/>
      <w:sz w:val="15"/>
      <w:lang w:val="en-US" w:eastAsia="en-US"/>
    </w:rPr>
  </w:style>
  <w:style w:type="paragraph" w:customStyle="1" w:styleId="InsideTitle">
    <w:name w:val="Inside Title"/>
    <w:basedOn w:val="Normal"/>
    <w:pPr>
      <w:keepNext/>
      <w:spacing w:before="2400" w:line="240" w:lineRule="auto"/>
    </w:pPr>
    <w:rPr>
      <w:b/>
      <w:sz w:val="32"/>
    </w:rPr>
  </w:style>
  <w:style w:type="paragraph" w:styleId="Lgende">
    <w:name w:val="caption"/>
    <w:basedOn w:val="Normal"/>
    <w:next w:val="Normal"/>
    <w:uiPriority w:val="35"/>
    <w:qFormat/>
    <w:pPr>
      <w:keepNext/>
      <w:numPr>
        <w:numId w:val="1"/>
      </w:numPr>
      <w:spacing w:before="60" w:after="240" w:line="220" w:lineRule="atLeast"/>
    </w:pPr>
    <w:rPr>
      <w:rFonts w:ascii="Arial Narrow" w:hAnsi="Arial Narrow"/>
      <w:sz w:val="18"/>
    </w:rPr>
  </w:style>
  <w:style w:type="paragraph" w:customStyle="1" w:styleId="InsideSubtitle">
    <w:name w:val="Inside Subtitle"/>
    <w:basedOn w:val="Normal"/>
    <w:pPr>
      <w:spacing w:after="200" w:line="240" w:lineRule="auto"/>
    </w:pPr>
    <w:rPr>
      <w:i/>
      <w:sz w:val="24"/>
    </w:rPr>
  </w:style>
  <w:style w:type="paragraph" w:customStyle="1" w:styleId="BulletedList">
    <w:name w:val="Bulleted List"/>
    <w:basedOn w:val="Normal"/>
    <w:link w:val="BulletedListChar"/>
    <w:pPr>
      <w:numPr>
        <w:numId w:val="2"/>
      </w:numPr>
      <w:spacing w:after="80"/>
      <w:contextualSpacing/>
    </w:pPr>
    <w:rPr>
      <w:lang w:val="en-US"/>
    </w:rPr>
  </w:style>
  <w:style w:type="character" w:customStyle="1" w:styleId="BulletedListChar">
    <w:name w:val="Bulleted List Char"/>
    <w:link w:val="BulletedList"/>
    <w:rPr>
      <w:rFonts w:ascii="Verdana" w:hAnsi="Verdana"/>
      <w:sz w:val="17"/>
      <w:lang w:val="en-US" w:eastAsia="en-US"/>
    </w:rPr>
  </w:style>
  <w:style w:type="character" w:styleId="Marquedecommentaire">
    <w:name w:val="annotation reference"/>
    <w:uiPriority w:val="99"/>
    <w:semiHidden/>
    <w:rPr>
      <w:rFonts w:ascii="Arial" w:hAnsi="Arial"/>
      <w:sz w:val="16"/>
    </w:r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rPr>
      <w:rFonts w:ascii="Verdana" w:hAnsi="Verdana"/>
      <w:lang w:eastAsia="en-US"/>
    </w:rPr>
  </w:style>
  <w:style w:type="paragraph" w:customStyle="1" w:styleId="NumberedList">
    <w:name w:val="Numbered List"/>
    <w:basedOn w:val="Normal"/>
    <w:link w:val="NumberedListChar"/>
    <w:pPr>
      <w:numPr>
        <w:numId w:val="3"/>
      </w:numPr>
      <w:spacing w:after="80"/>
      <w:contextualSpacing/>
    </w:pPr>
    <w:rPr>
      <w:lang w:val="en-US"/>
    </w:rPr>
  </w:style>
  <w:style w:type="character" w:customStyle="1" w:styleId="NumberedListChar">
    <w:name w:val="Numbered List Char"/>
    <w:link w:val="NumberedList"/>
    <w:rPr>
      <w:rFonts w:ascii="Verdana" w:hAnsi="Verdana"/>
      <w:sz w:val="17"/>
      <w:lang w:val="en-US" w:eastAsia="en-US"/>
    </w:rPr>
  </w:style>
  <w:style w:type="character" w:customStyle="1" w:styleId="CorpsdetexteCar">
    <w:name w:val="Corps de texte Car"/>
    <w:link w:val="Corpsdetexte"/>
    <w:rPr>
      <w:rFonts w:ascii="Verdana" w:hAnsi="Verdana"/>
      <w:spacing w:val="10"/>
      <w:sz w:val="17"/>
      <w:lang w:val="fr-FR" w:eastAsia="en-US"/>
    </w:rPr>
  </w:style>
  <w:style w:type="paragraph" w:styleId="Corpsdetexte">
    <w:name w:val="Body Text"/>
    <w:basedOn w:val="Normal"/>
    <w:link w:val="CorpsdetexteCar"/>
    <w:pPr>
      <w:spacing w:after="200" w:line="240" w:lineRule="exact"/>
    </w:pPr>
    <w:rPr>
      <w:spacing w:val="10"/>
    </w:rPr>
  </w:style>
  <w:style w:type="character" w:customStyle="1" w:styleId="BodyTextChar1">
    <w:name w:val="Body Text Char1"/>
    <w:uiPriority w:val="99"/>
    <w:semiHidden/>
    <w:rPr>
      <w:rFonts w:ascii="Verdana" w:hAnsi="Verdana"/>
      <w:sz w:val="17"/>
      <w:lang w:eastAsia="en-US"/>
    </w:rPr>
  </w:style>
  <w:style w:type="character" w:styleId="Appeldenotedefin">
    <w:name w:val="endnote reference"/>
    <w:uiPriority w:val="99"/>
    <w:semiHidden/>
    <w:rPr>
      <w:vertAlign w:val="superscript"/>
    </w:rPr>
  </w:style>
  <w:style w:type="paragraph" w:styleId="Notedefin">
    <w:name w:val="endnote text"/>
    <w:basedOn w:val="Normal"/>
    <w:link w:val="NotedefinCar"/>
    <w:uiPriority w:val="99"/>
    <w:semiHidden/>
  </w:style>
  <w:style w:type="character" w:customStyle="1" w:styleId="NotedefinCar">
    <w:name w:val="Note de fin Car"/>
    <w:link w:val="Notedefin"/>
    <w:uiPriority w:val="99"/>
    <w:semiHidden/>
    <w:rPr>
      <w:rFonts w:ascii="Verdana" w:hAnsi="Verdana"/>
      <w:lang w:eastAsia="en-US"/>
    </w:rPr>
  </w:style>
  <w:style w:type="paragraph" w:customStyle="1" w:styleId="BlockQuotation">
    <w:name w:val="Block Quotation"/>
    <w:basedOn w:val="Normal"/>
    <w:link w:val="BlockQuotationChar"/>
    <w:pPr>
      <w:spacing w:before="80" w:after="80"/>
      <w:ind w:left="720"/>
    </w:pPr>
    <w:rPr>
      <w:spacing w:val="-10"/>
      <w:lang w:val="en-US"/>
    </w:rPr>
  </w:style>
  <w:style w:type="character" w:customStyle="1" w:styleId="BlockQuotationChar">
    <w:name w:val="Block Quotation Char"/>
    <w:link w:val="BlockQuotation"/>
    <w:rPr>
      <w:rFonts w:ascii="Verdana" w:hAnsi="Verdana"/>
      <w:spacing w:val="-10"/>
      <w:sz w:val="17"/>
      <w:lang w:val="en-US" w:eastAsia="en-US"/>
    </w:rPr>
  </w:style>
  <w:style w:type="character" w:styleId="Appelnotedebasdep">
    <w:name w:val="footnote reference"/>
    <w:uiPriority w:val="99"/>
    <w:rPr>
      <w:vertAlign w:val="superscript"/>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rPr>
      <w:rFonts w:ascii="Verdana" w:hAnsi="Verdana"/>
      <w:lang w:eastAsia="en-US"/>
    </w:rPr>
  </w:style>
  <w:style w:type="paragraph" w:styleId="En-tte">
    <w:name w:val="header"/>
    <w:basedOn w:val="Normal"/>
    <w:link w:val="En-tteCar"/>
    <w:pPr>
      <w:tabs>
        <w:tab w:val="center" w:pos="4320"/>
        <w:tab w:val="right" w:pos="8640"/>
      </w:tabs>
    </w:pPr>
  </w:style>
  <w:style w:type="character" w:customStyle="1" w:styleId="En-tteCar">
    <w:name w:val="En-tête Car"/>
    <w:link w:val="En-tte"/>
    <w:semiHidden/>
    <w:rPr>
      <w:rFonts w:ascii="Verdana" w:hAnsi="Verdana"/>
      <w:sz w:val="17"/>
      <w:lang w:eastAsia="en-US"/>
    </w:rPr>
  </w:style>
  <w:style w:type="paragraph" w:styleId="Index1">
    <w:name w:val="index 1"/>
    <w:basedOn w:val="Normal"/>
    <w:uiPriority w:val="99"/>
    <w:semiHidden/>
  </w:style>
  <w:style w:type="paragraph" w:styleId="Index2">
    <w:name w:val="index 2"/>
    <w:basedOn w:val="Normal"/>
    <w:uiPriority w:val="99"/>
    <w:semiHidden/>
    <w:pPr>
      <w:ind w:left="720"/>
    </w:pPr>
  </w:style>
  <w:style w:type="paragraph" w:styleId="Index3">
    <w:name w:val="index 3"/>
    <w:basedOn w:val="Normal"/>
    <w:uiPriority w:val="99"/>
    <w:semiHidden/>
  </w:style>
  <w:style w:type="paragraph" w:styleId="Index4">
    <w:name w:val="index 4"/>
    <w:basedOn w:val="Normal"/>
    <w:uiPriority w:val="99"/>
    <w:semiHidden/>
    <w:pPr>
      <w:ind w:left="1440"/>
    </w:pPr>
  </w:style>
  <w:style w:type="paragraph" w:styleId="Index5">
    <w:name w:val="index 5"/>
    <w:basedOn w:val="Normal"/>
    <w:uiPriority w:val="99"/>
    <w:semiHidden/>
    <w:pPr>
      <w:ind w:left="1800"/>
    </w:pPr>
  </w:style>
  <w:style w:type="paragraph" w:styleId="Titreindex">
    <w:name w:val="index heading"/>
    <w:basedOn w:val="Normal"/>
    <w:next w:val="Index1"/>
    <w:uiPriority w:val="99"/>
    <w:semiHidden/>
    <w:pPr>
      <w:spacing w:line="480" w:lineRule="atLeast"/>
    </w:pPr>
    <w:rPr>
      <w:rFonts w:ascii="Arial Black" w:hAnsi="Arial Black"/>
      <w:sz w:val="24"/>
    </w:rPr>
  </w:style>
  <w:style w:type="paragraph" w:customStyle="1" w:styleId="TableCaption">
    <w:name w:val="Table Caption"/>
    <w:basedOn w:val="Normal"/>
    <w:pPr>
      <w:spacing w:before="80" w:after="120"/>
      <w:ind w:left="360"/>
    </w:pPr>
    <w:rPr>
      <w:i/>
      <w:sz w:val="15"/>
    </w:rPr>
  </w:style>
  <w:style w:type="paragraph" w:customStyle="1" w:styleId="TableText">
    <w:name w:val="Table Text"/>
    <w:basedOn w:val="Normal"/>
    <w:rPr>
      <w:sz w:val="15"/>
    </w:rPr>
  </w:style>
  <w:style w:type="paragraph" w:customStyle="1" w:styleId="TableTextBold">
    <w:name w:val="Table Text Bold"/>
    <w:basedOn w:val="TableText"/>
    <w:rPr>
      <w:b/>
    </w:rPr>
  </w:style>
  <w:style w:type="paragraph" w:customStyle="1" w:styleId="IndentedBodyText">
    <w:name w:val="Indented Body Text"/>
    <w:basedOn w:val="Normal"/>
    <w:link w:val="IndentedBodyTextChar"/>
    <w:pPr>
      <w:spacing w:after="80"/>
      <w:ind w:left="360"/>
    </w:pPr>
    <w:rPr>
      <w:lang w:val="en-US"/>
    </w:rPr>
  </w:style>
  <w:style w:type="character" w:customStyle="1" w:styleId="IndentedBodyTextChar">
    <w:name w:val="Indented Body Text Char"/>
    <w:link w:val="IndentedBodyText"/>
    <w:rPr>
      <w:rFonts w:ascii="Verdana" w:hAnsi="Verdana"/>
      <w:sz w:val="17"/>
      <w:lang w:val="en-US" w:eastAsia="en-US"/>
    </w:rPr>
  </w:style>
  <w:style w:type="paragraph" w:customStyle="1" w:styleId="LineSpace">
    <w:name w:val="Line Space"/>
    <w:basedOn w:val="Normal"/>
    <w:pPr>
      <w:spacing w:line="240" w:lineRule="auto"/>
    </w:pPr>
    <w:rPr>
      <w:sz w:val="12"/>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rPr>
      <w:sz w:val="0"/>
      <w:szCs w:val="0"/>
      <w:lang w:eastAsia="en-US"/>
    </w:rPr>
  </w:style>
  <w:style w:type="paragraph" w:customStyle="1" w:styleId="CompanyInformationBold">
    <w:name w:val="Company Information Bold"/>
    <w:basedOn w:val="CompanyInformation"/>
    <w:rPr>
      <w:b/>
    </w:rPr>
  </w:style>
  <w:style w:type="paragraph" w:styleId="Tabledesrfrencesjuridiques">
    <w:name w:val="table of authorities"/>
    <w:basedOn w:val="Normal"/>
    <w:uiPriority w:val="99"/>
    <w:semiHidden/>
    <w:pPr>
      <w:tabs>
        <w:tab w:val="right" w:leader="dot" w:pos="7560"/>
      </w:tabs>
      <w:ind w:left="1440" w:hanging="360"/>
    </w:pPr>
  </w:style>
  <w:style w:type="paragraph" w:styleId="Tabledesillustrations">
    <w:name w:val="table of figures"/>
    <w:basedOn w:val="Normal"/>
    <w:uiPriority w:val="99"/>
    <w:semiHidden/>
    <w:pPr>
      <w:ind w:left="1440" w:hanging="360"/>
    </w:pPr>
  </w:style>
  <w:style w:type="paragraph" w:styleId="TitreTR">
    <w:name w:val="toa heading"/>
    <w:basedOn w:val="Normal"/>
    <w:next w:val="Tabledesrfrencesjuridiques"/>
    <w:uiPriority w:val="99"/>
    <w:semiHidden/>
    <w:pPr>
      <w:keepNext/>
      <w:spacing w:line="480" w:lineRule="atLeast"/>
    </w:pPr>
    <w:rPr>
      <w:rFonts w:ascii="Arial Black" w:hAnsi="Arial Black"/>
      <w:b/>
      <w:spacing w:val="-10"/>
    </w:rPr>
  </w:style>
  <w:style w:type="paragraph" w:styleId="TM1">
    <w:name w:val="toc 1"/>
    <w:basedOn w:val="Normal"/>
    <w:uiPriority w:val="39"/>
    <w:pPr>
      <w:tabs>
        <w:tab w:val="left" w:pos="284"/>
        <w:tab w:val="right" w:leader="dot" w:pos="9072"/>
      </w:tabs>
    </w:pPr>
    <w:rPr>
      <w:spacing w:val="-4"/>
    </w:rPr>
  </w:style>
  <w:style w:type="paragraph" w:customStyle="1" w:styleId="AdresseAIFE">
    <w:name w:val="Adresse AIFE"/>
    <w:basedOn w:val="CompanyInformation"/>
    <w:rPr>
      <w:color w:val="333333"/>
      <w:sz w:val="14"/>
    </w:rPr>
  </w:style>
  <w:style w:type="paragraph" w:styleId="TM3">
    <w:name w:val="toc 3"/>
    <w:basedOn w:val="Normal"/>
    <w:uiPriority w:val="39"/>
    <w:pPr>
      <w:tabs>
        <w:tab w:val="left" w:pos="1134"/>
        <w:tab w:val="right" w:leader="dot" w:pos="9072"/>
      </w:tabs>
      <w:ind w:left="567"/>
    </w:pPr>
  </w:style>
  <w:style w:type="paragraph" w:styleId="TM4">
    <w:name w:val="toc 4"/>
    <w:basedOn w:val="Normal"/>
    <w:uiPriority w:val="39"/>
    <w:semiHidden/>
    <w:pPr>
      <w:ind w:left="360"/>
    </w:pPr>
  </w:style>
  <w:style w:type="paragraph" w:styleId="TM5">
    <w:name w:val="toc 5"/>
    <w:basedOn w:val="Normal"/>
    <w:uiPriority w:val="39"/>
    <w:semiHidden/>
    <w:pPr>
      <w:ind w:left="360"/>
    </w:pPr>
  </w:style>
  <w:style w:type="paragraph" w:customStyle="1" w:styleId="Chapter">
    <w:name w:val="Chapter"/>
    <w:basedOn w:val="Normal"/>
    <w:pPr>
      <w:spacing w:before="20"/>
    </w:pPr>
    <w:rPr>
      <w:caps/>
      <w:color w:val="808080"/>
      <w:sz w:val="15"/>
      <w:szCs w:val="17"/>
    </w:rPr>
  </w:style>
  <w:style w:type="paragraph" w:customStyle="1" w:styleId="ChapterBold">
    <w:name w:val="Chapter Bold"/>
    <w:basedOn w:val="Chapter"/>
    <w:rPr>
      <w:b/>
    </w:rPr>
  </w:style>
  <w:style w:type="paragraph" w:customStyle="1" w:styleId="CompanyInformationItalic">
    <w:name w:val="Company Information Italic"/>
    <w:basedOn w:val="CompanyInformation"/>
    <w:link w:val="CompanyInformationItalicChar"/>
    <w:rPr>
      <w:i/>
    </w:rPr>
  </w:style>
  <w:style w:type="character" w:customStyle="1" w:styleId="CompanyInformationItalicChar">
    <w:name w:val="Company Information Italic Char"/>
    <w:link w:val="CompanyInformationItalic"/>
    <w:rPr>
      <w:rFonts w:ascii="Verdana" w:hAnsi="Verdana"/>
      <w:i/>
      <w:color w:val="808080"/>
      <w:sz w:val="15"/>
      <w:lang w:val="en-US" w:eastAsia="en-US"/>
    </w:rPr>
  </w:style>
  <w:style w:type="paragraph" w:styleId="Pieddepage">
    <w:name w:val="footer"/>
    <w:basedOn w:val="Normal"/>
    <w:link w:val="PieddepageCar"/>
    <w:uiPriority w:val="99"/>
    <w:pPr>
      <w:tabs>
        <w:tab w:val="center" w:pos="4320"/>
        <w:tab w:val="right" w:pos="8640"/>
      </w:tabs>
    </w:pPr>
  </w:style>
  <w:style w:type="character" w:customStyle="1" w:styleId="PieddepageCar">
    <w:name w:val="Pied de page Car"/>
    <w:link w:val="Pieddepage"/>
    <w:uiPriority w:val="99"/>
    <w:semiHidden/>
    <w:rPr>
      <w:rFonts w:ascii="Verdana" w:hAnsi="Verdana"/>
      <w:sz w:val="17"/>
      <w:lang w:eastAsia="en-US"/>
    </w:rPr>
  </w:style>
  <w:style w:type="paragraph" w:styleId="Titre">
    <w:name w:val="Title"/>
    <w:basedOn w:val="Normal"/>
    <w:link w:val="TitreCar"/>
    <w:uiPriority w:val="10"/>
    <w:qFormat/>
    <w:rPr>
      <w:b/>
      <w:caps/>
      <w:sz w:val="40"/>
      <w:szCs w:val="40"/>
    </w:rPr>
  </w:style>
  <w:style w:type="character" w:customStyle="1" w:styleId="TitreCar">
    <w:name w:val="Titre Car"/>
    <w:link w:val="Titre"/>
    <w:uiPriority w:val="10"/>
    <w:rPr>
      <w:rFonts w:ascii="Cambria" w:eastAsia="Times New Roman" w:hAnsi="Cambria" w:cs="Times New Roman"/>
      <w:b/>
      <w:bCs/>
      <w:sz w:val="32"/>
      <w:szCs w:val="32"/>
      <w:lang w:eastAsia="en-US"/>
    </w:rPr>
  </w:style>
  <w:style w:type="paragraph" w:styleId="Sous-titre">
    <w:name w:val="Subtitle"/>
    <w:basedOn w:val="Normal"/>
    <w:link w:val="Sous-titreCar"/>
    <w:uiPriority w:val="11"/>
    <w:qFormat/>
    <w:rPr>
      <w:i/>
      <w:sz w:val="24"/>
    </w:rPr>
  </w:style>
  <w:style w:type="character" w:customStyle="1" w:styleId="Sous-titreCar">
    <w:name w:val="Sous-titre Car"/>
    <w:link w:val="Sous-titre"/>
    <w:uiPriority w:val="11"/>
    <w:rPr>
      <w:rFonts w:ascii="Cambria" w:eastAsia="Times New Roman" w:hAnsi="Cambria" w:cs="Times New Roman"/>
      <w:sz w:val="24"/>
      <w:szCs w:val="24"/>
      <w:lang w:eastAsia="en-US"/>
    </w:rPr>
  </w:style>
  <w:style w:type="paragraph" w:customStyle="1" w:styleId="BulletedListBold">
    <w:name w:val="Bulleted List Bold"/>
    <w:basedOn w:val="BulletedList"/>
    <w:link w:val="BulletedListBoldChar"/>
    <w:rPr>
      <w:b/>
    </w:rPr>
  </w:style>
  <w:style w:type="character" w:customStyle="1" w:styleId="BulletedListBoldChar">
    <w:name w:val="Bulleted List Bold Char"/>
    <w:link w:val="BulletedListBold"/>
    <w:rPr>
      <w:rFonts w:ascii="Verdana" w:hAnsi="Verdana"/>
      <w:b/>
      <w:sz w:val="17"/>
      <w:lang w:val="en-US" w:eastAsia="en-US"/>
    </w:rPr>
  </w:style>
  <w:style w:type="paragraph" w:customStyle="1" w:styleId="NumberedListBold">
    <w:name w:val="Numbered List Bold"/>
    <w:basedOn w:val="NumberedList"/>
    <w:link w:val="NumberedListBoldChar"/>
    <w:rPr>
      <w:b/>
    </w:rPr>
  </w:style>
  <w:style w:type="character" w:customStyle="1" w:styleId="NumberedListBoldChar">
    <w:name w:val="Numbered List Bold Char"/>
    <w:link w:val="NumberedListBold"/>
    <w:rPr>
      <w:rFonts w:ascii="Verdana" w:hAnsi="Verdana"/>
      <w:b/>
      <w:sz w:val="17"/>
      <w:lang w:val="en-US" w:eastAsia="en-US"/>
    </w:rPr>
  </w:style>
  <w:style w:type="character" w:customStyle="1" w:styleId="Lead-inEmphasis">
    <w:name w:val="Lead-in Emphasis"/>
    <w:rPr>
      <w:rFonts w:ascii="Tahoma" w:hAnsi="Tahoma"/>
      <w:b/>
      <w:spacing w:val="4"/>
    </w:rPr>
  </w:style>
  <w:style w:type="character" w:styleId="Lienhypertexte">
    <w:name w:val="Hyperlink"/>
    <w:uiPriority w:val="99"/>
    <w:rPr>
      <w:color w:val="0000FF"/>
      <w:u w:val="single"/>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lassique1">
    <w:name w:val="Classique 1"/>
    <w:basedOn w:val="TableauNormal"/>
    <w:uiPriority w:val="99"/>
    <w:pPr>
      <w:spacing w:line="312" w:lineRule="auto"/>
    </w:pPr>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character" w:styleId="Numrodepage">
    <w:name w:val="page number"/>
    <w:uiPriority w:val="99"/>
    <w:rPr>
      <w:rFonts w:cs="Times New Roman"/>
    </w:rPr>
  </w:style>
  <w:style w:type="paragraph" w:styleId="En-ttedetabledesmatires">
    <w:name w:val="TOC Heading"/>
    <w:basedOn w:val="Titre1"/>
    <w:next w:val="Normal"/>
    <w:uiPriority w:val="39"/>
    <w:qFormat/>
    <w:pPr>
      <w:keepLines/>
      <w:numPr>
        <w:numId w:val="0"/>
      </w:numPr>
      <w:spacing w:before="480" w:after="0" w:line="276" w:lineRule="auto"/>
      <w:outlineLvl w:val="9"/>
    </w:pPr>
    <w:rPr>
      <w:rFonts w:ascii="Cambria" w:hAnsi="Cambria"/>
      <w:bCs/>
      <w:caps w:val="0"/>
      <w:color w:val="365F91"/>
      <w:szCs w:val="28"/>
    </w:rPr>
  </w:style>
  <w:style w:type="paragraph" w:styleId="Citationintense">
    <w:name w:val="Intense Quote"/>
    <w:basedOn w:val="Normal"/>
    <w:next w:val="Normal"/>
    <w:link w:val="CitationintenseCar"/>
    <w:uiPriority w:val="30"/>
    <w:qFormat/>
    <w:pPr>
      <w:pBdr>
        <w:bottom w:val="single" w:sz="4" w:space="4" w:color="8EB0AB"/>
      </w:pBdr>
      <w:spacing w:before="200" w:after="280"/>
      <w:ind w:left="936" w:right="936"/>
    </w:pPr>
    <w:rPr>
      <w:b/>
      <w:bCs/>
      <w:i/>
      <w:iCs/>
      <w:color w:val="8EB0AB"/>
      <w:lang w:val="en-US"/>
    </w:rPr>
  </w:style>
  <w:style w:type="character" w:customStyle="1" w:styleId="CitationintenseCar">
    <w:name w:val="Citation intense Car"/>
    <w:link w:val="Citationintense"/>
    <w:uiPriority w:val="30"/>
    <w:rPr>
      <w:rFonts w:ascii="Verdana" w:hAnsi="Verdana"/>
      <w:b/>
      <w:i/>
      <w:color w:val="8EB0AB"/>
      <w:sz w:val="17"/>
      <w:lang w:val="en-US" w:eastAsia="en-US"/>
    </w:rPr>
  </w:style>
  <w:style w:type="paragraph" w:customStyle="1" w:styleId="lmentsPointsdaction">
    <w:name w:val="Éléments Points d'action"/>
    <w:basedOn w:val="Normal"/>
    <w:pPr>
      <w:numPr>
        <w:numId w:val="5"/>
      </w:numPr>
      <w:tabs>
        <w:tab w:val="left" w:pos="5040"/>
      </w:tabs>
      <w:spacing w:before="60" w:after="60" w:line="240" w:lineRule="auto"/>
    </w:pPr>
    <w:rPr>
      <w:rFonts w:ascii="Arial" w:hAnsi="Arial" w:cs="Arial"/>
      <w:sz w:val="19"/>
      <w:szCs w:val="19"/>
    </w:rPr>
  </w:style>
  <w:style w:type="paragraph" w:customStyle="1" w:styleId="AllCapsHeading">
    <w:name w:val="All Caps Heading"/>
    <w:basedOn w:val="Normal"/>
    <w:pPr>
      <w:spacing w:line="240" w:lineRule="auto"/>
    </w:pPr>
    <w:rPr>
      <w:rFonts w:ascii="Tahoma" w:hAnsi="Tahoma" w:cs="Tahoma"/>
      <w:b/>
      <w:caps/>
      <w:color w:val="808080"/>
      <w:spacing w:val="4"/>
      <w:sz w:val="14"/>
      <w:szCs w:val="14"/>
    </w:rPr>
  </w:style>
  <w:style w:type="paragraph" w:customStyle="1" w:styleId="Adresseexpediteur">
    <w:name w:val="Adresse expediteur"/>
    <w:basedOn w:val="Normal"/>
    <w:pPr>
      <w:spacing w:line="240" w:lineRule="auto"/>
      <w:ind w:left="142"/>
    </w:pPr>
    <w:rPr>
      <w:sz w:val="16"/>
      <w:lang w:eastAsia="fr-FR"/>
    </w:rPr>
  </w:style>
  <w:style w:type="paragraph" w:styleId="TM2">
    <w:name w:val="toc 2"/>
    <w:basedOn w:val="Normal"/>
    <w:uiPriority w:val="39"/>
    <w:pPr>
      <w:tabs>
        <w:tab w:val="left" w:pos="851"/>
        <w:tab w:val="right" w:leader="dot" w:pos="9072"/>
      </w:tabs>
      <w:ind w:left="360"/>
    </w:pPr>
  </w:style>
  <w:style w:type="character" w:customStyle="1" w:styleId="Objetducourrier">
    <w:name w:val="Objet du courrier"/>
    <w:rPr>
      <w:rFonts w:ascii="Verdana" w:hAnsi="Verdana"/>
      <w:sz w:val="18"/>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eastAsia="fr-FR"/>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rFonts w:ascii="Verdana" w:hAnsi="Verdana"/>
      <w:b/>
      <w:bCs/>
      <w:lang w:eastAsia="en-US"/>
    </w:rPr>
  </w:style>
  <w:style w:type="paragraph" w:styleId="Sansinterligne">
    <w:name w:val="No Spacing"/>
    <w:uiPriority w:val="1"/>
    <w:rPr>
      <w:rFonts w:ascii="Verdana" w:hAnsi="Verdana"/>
      <w:sz w:val="17"/>
      <w:lang w:eastAsia="en-US"/>
    </w:rPr>
  </w:style>
  <w:style w:type="paragraph" w:customStyle="1" w:styleId="Liste1">
    <w:name w:val="Liste 1"/>
    <w:basedOn w:val="Normal"/>
    <w:link w:val="Liste1Car"/>
    <w:uiPriority w:val="99"/>
    <w:qFormat/>
    <w:pPr>
      <w:numPr>
        <w:numId w:val="12"/>
      </w:numPr>
      <w:spacing w:after="120" w:line="240" w:lineRule="auto"/>
      <w:ind w:left="357" w:hanging="357"/>
      <w:jc w:val="both"/>
    </w:pPr>
    <w:rPr>
      <w:sz w:val="18"/>
      <w:szCs w:val="24"/>
    </w:rPr>
  </w:style>
  <w:style w:type="character" w:customStyle="1" w:styleId="Liste1Car">
    <w:name w:val="Liste 1 Car"/>
    <w:link w:val="Liste1"/>
    <w:uiPriority w:val="99"/>
    <w:rPr>
      <w:rFonts w:ascii="Marianne" w:hAnsi="Marianne"/>
      <w:sz w:val="18"/>
      <w:szCs w:val="24"/>
      <w:lang w:eastAsia="en-US"/>
    </w:rPr>
  </w:style>
  <w:style w:type="paragraph" w:styleId="Paragraphedeliste">
    <w:name w:val="List Paragraph"/>
    <w:basedOn w:val="Normal"/>
    <w:uiPriority w:val="34"/>
    <w:qFormat/>
    <w:pPr>
      <w:ind w:left="720"/>
      <w:contextualSpacing/>
    </w:pPr>
  </w:style>
  <w:style w:type="paragraph" w:customStyle="1" w:styleId="Texte-Adresseligne1">
    <w:name w:val="Texte - Adresse ligne 1"/>
    <w:basedOn w:val="Normal"/>
    <w:pPr>
      <w:framePr w:w="9979" w:h="964" w:wrap="notBeside" w:vAnchor="page" w:hAnchor="page" w:xAlign="center" w:yAlign="bottom"/>
      <w:spacing w:line="192" w:lineRule="atLeast"/>
    </w:pPr>
    <w:rPr>
      <w:rFonts w:ascii="Calibri" w:eastAsia="Calibri" w:hAnsi="Calibri" w:cs="Calibri"/>
      <w:sz w:val="16"/>
    </w:rPr>
  </w:style>
  <w:style w:type="paragraph" w:customStyle="1" w:styleId="Texte-Adresseligne2">
    <w:name w:val="Texte - Adresse ligne 2"/>
    <w:basedOn w:val="Texte-Adresseligne1"/>
    <w:pPr>
      <w:framePr w:wrap="notBeside"/>
    </w:pPr>
  </w:style>
  <w:style w:type="paragraph" w:customStyle="1" w:styleId="Texte-Tl">
    <w:name w:val="Texte - Tél."/>
    <w:basedOn w:val="Texte-Adresseligne1"/>
    <w:pPr>
      <w:framePr w:wrap="notBeside"/>
    </w:pPr>
  </w:style>
  <w:style w:type="paragraph" w:customStyle="1" w:styleId="Texte-Pieddepage">
    <w:name w:val="Texte - Pied de page"/>
    <w:basedOn w:val="Texte-Adresseligne1"/>
    <w:pPr>
      <w:framePr w:wrap="notBeside"/>
    </w:pPr>
    <w:rPr>
      <w:lang w:val="en-US"/>
    </w:rPr>
  </w:style>
  <w:style w:type="paragraph" w:customStyle="1" w:styleId="Pagination">
    <w:name w:val="Pagination"/>
    <w:basedOn w:val="Normal"/>
    <w:pPr>
      <w:framePr w:w="9979" w:h="964" w:wrap="notBeside" w:vAnchor="page" w:hAnchor="page" w:xAlign="center" w:yAlign="bottom"/>
      <w:spacing w:line="192" w:lineRule="atLeast"/>
      <w:jc w:val="center"/>
    </w:pPr>
    <w:rPr>
      <w:rFonts w:ascii="Calibri" w:eastAsia="Calibri" w:hAnsi="Calibri" w:cs="Calibri"/>
      <w:sz w:val="16"/>
      <w:lang w:val="en-US"/>
    </w:rPr>
  </w:style>
  <w:style w:type="paragraph" w:styleId="Date">
    <w:name w:val="Date"/>
    <w:basedOn w:val="Normal"/>
    <w:next w:val="Normal"/>
    <w:link w:val="DateCar"/>
    <w:uiPriority w:val="99"/>
    <w:pPr>
      <w:spacing w:line="192" w:lineRule="atLeast"/>
      <w:jc w:val="right"/>
    </w:pPr>
    <w:rPr>
      <w:rFonts w:ascii="Calibri" w:eastAsia="Calibri" w:hAnsi="Calibri" w:cs="Calibri"/>
      <w:sz w:val="16"/>
    </w:rPr>
  </w:style>
  <w:style w:type="character" w:customStyle="1" w:styleId="DateCar">
    <w:name w:val="Date Car"/>
    <w:basedOn w:val="Policepardfaut"/>
    <w:link w:val="Date"/>
    <w:uiPriority w:val="99"/>
    <w:rPr>
      <w:rFonts w:ascii="Calibri" w:eastAsia="Calibri" w:hAnsi="Calibri" w:cs="Calibri"/>
      <w:sz w:val="16"/>
      <w:lang w:eastAsia="en-US"/>
    </w:rPr>
  </w:style>
  <w:style w:type="paragraph" w:customStyle="1" w:styleId="TITRE0">
    <w:name w:val="TITRE 0"/>
    <w:basedOn w:val="Titre1"/>
    <w:pPr>
      <w:numPr>
        <w:numId w:val="0"/>
      </w:numPr>
      <w:shd w:val="clear" w:color="auto" w:fill="FFFFFF"/>
      <w:spacing w:before="360" w:after="600"/>
      <w:jc w:val="center"/>
    </w:pPr>
    <w:rPr>
      <w:rFonts w:ascii="Arial" w:hAnsi="Arial" w:cs="Arial"/>
      <w:bCs/>
      <w:caps w:val="0"/>
      <w:sz w:val="36"/>
      <w:szCs w:val="32"/>
      <w:lang w:eastAsia="fr-FR"/>
    </w:rPr>
  </w:style>
  <w:style w:type="character" w:customStyle="1" w:styleId="docdata">
    <w:name w:val="docdata"/>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aife.economie.gouv.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EE3EC-CA3F-46F7-8A38-C694EB358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2810</Words>
  <Characters>15455</Characters>
  <Application>Microsoft Office Word</Application>
  <DocSecurity>0</DocSecurity>
  <Lines>128</Lines>
  <Paragraphs>36</Paragraphs>
  <ScaleCrop>false</ScaleCrop>
  <Company>AIFE</Company>
  <LinksUpToDate>false</LinksUpToDate>
  <CharactersWithSpaces>18229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fcopit</dc:creator>
  <cp:keywords>AIFE</cp:keywords>
  <cp:lastModifiedBy>Marie-Gabrielle BATTEAU</cp:lastModifiedBy>
  <cp:revision>3</cp:revision>
  <dcterms:created xsi:type="dcterms:W3CDTF">2025-09-05T12:08:00Z</dcterms:created>
  <dcterms:modified xsi:type="dcterms:W3CDTF">2025-09-05T12:18:00Z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1.5</vt:lpwstr>
  </property>
</Properties>
</file>