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1E50E1" w14:textId="77777777" w:rsidR="00EB207D" w:rsidRPr="00636642" w:rsidRDefault="00EB207D" w:rsidP="00EB207D">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431190CB" w14:textId="77777777" w:rsidR="00587227" w:rsidRPr="00587227" w:rsidRDefault="00587227" w:rsidP="00587227">
      <w:pPr>
        <w:pBdr>
          <w:top w:val="single" w:sz="4" w:space="1" w:color="auto"/>
          <w:left w:val="single" w:sz="4" w:space="1" w:color="auto"/>
          <w:bottom w:val="single" w:sz="4" w:space="1" w:color="auto"/>
          <w:right w:val="single" w:sz="4" w:space="1" w:color="auto"/>
        </w:pBdr>
        <w:jc w:val="center"/>
        <w:rPr>
          <w:b/>
          <w:sz w:val="28"/>
        </w:rPr>
      </w:pPr>
      <w:r w:rsidRPr="00587227">
        <w:rPr>
          <w:b/>
          <w:sz w:val="28"/>
        </w:rPr>
        <w:t>Département de la communication</w:t>
      </w:r>
    </w:p>
    <w:p w14:paraId="482EB8C9" w14:textId="77777777" w:rsidR="00CC005F" w:rsidRDefault="00CC005F" w:rsidP="00CC005F">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4373D86D" w14:textId="77777777" w:rsidR="00CC005F" w:rsidRPr="00967301" w:rsidRDefault="00CC005F" w:rsidP="00CC005F">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097F51E0" w14:textId="77777777" w:rsidR="00EB207D" w:rsidRPr="00980D5A" w:rsidRDefault="00EB207D" w:rsidP="00EB207D">
      <w:pPr>
        <w:pBdr>
          <w:top w:val="single" w:sz="4" w:space="1" w:color="auto"/>
          <w:left w:val="single" w:sz="4" w:space="1" w:color="auto"/>
          <w:bottom w:val="single" w:sz="4" w:space="1" w:color="auto"/>
          <w:right w:val="single" w:sz="4" w:space="1" w:color="auto"/>
        </w:pBdr>
        <w:jc w:val="center"/>
        <w:rPr>
          <w:b/>
          <w:sz w:val="32"/>
        </w:rPr>
      </w:pPr>
      <w:r w:rsidRPr="00980D5A">
        <w:rPr>
          <w:b/>
          <w:sz w:val="32"/>
          <w:u w:val="single"/>
        </w:rPr>
        <w:t>OBJET</w:t>
      </w:r>
      <w:r w:rsidRPr="00980D5A">
        <w:rPr>
          <w:b/>
          <w:sz w:val="32"/>
        </w:rPr>
        <w:t xml:space="preserve"> :</w:t>
      </w:r>
    </w:p>
    <w:p w14:paraId="7474AFFA" w14:textId="77777777" w:rsidR="00587227" w:rsidRDefault="00587227" w:rsidP="00EB207D">
      <w:pPr>
        <w:pBdr>
          <w:top w:val="single" w:sz="4" w:space="1" w:color="auto"/>
          <w:left w:val="single" w:sz="4" w:space="1" w:color="auto"/>
          <w:bottom w:val="single" w:sz="4" w:space="1" w:color="auto"/>
          <w:right w:val="single" w:sz="4" w:space="1" w:color="auto"/>
        </w:pBdr>
        <w:jc w:val="center"/>
        <w:rPr>
          <w:b/>
          <w:sz w:val="24"/>
        </w:rPr>
      </w:pPr>
    </w:p>
    <w:p w14:paraId="71EA443A" w14:textId="77777777" w:rsidR="00252A40" w:rsidRDefault="00252A40" w:rsidP="00252A40">
      <w:pPr>
        <w:pBdr>
          <w:top w:val="single" w:sz="4" w:space="1" w:color="auto"/>
          <w:left w:val="single" w:sz="4" w:space="1" w:color="auto"/>
          <w:bottom w:val="single" w:sz="4" w:space="1" w:color="auto"/>
          <w:right w:val="single" w:sz="4" w:space="1" w:color="auto"/>
        </w:pBdr>
        <w:jc w:val="center"/>
        <w:rPr>
          <w:rFonts w:cs="Arial"/>
          <w:b/>
          <w:sz w:val="36"/>
        </w:rPr>
      </w:pPr>
      <w:r w:rsidRPr="00AE4DA4">
        <w:rPr>
          <w:rFonts w:cs="Arial"/>
          <w:b/>
          <w:sz w:val="36"/>
        </w:rPr>
        <w:t>Prestations de conseils en stratégie médias et de mise en œuvre des relations presse (nationale et internationale) pour les expositions, la programmation associée et l’actualité culturelle du Mucem</w:t>
      </w:r>
    </w:p>
    <w:p w14:paraId="1B87CBD9" w14:textId="77777777"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43A40FA9" w14:textId="77777777"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0D7C7B5F" w14:textId="1BF29E6C" w:rsidR="00EB207D" w:rsidRPr="007318E4" w:rsidRDefault="00BE63A7" w:rsidP="00EB207D">
      <w:pPr>
        <w:pBdr>
          <w:top w:val="single" w:sz="4" w:space="1" w:color="auto"/>
          <w:left w:val="single" w:sz="4" w:space="1" w:color="auto"/>
          <w:bottom w:val="single" w:sz="4" w:space="1" w:color="auto"/>
          <w:right w:val="single" w:sz="4" w:space="1" w:color="auto"/>
        </w:pBdr>
        <w:jc w:val="center"/>
        <w:rPr>
          <w:b/>
          <w:sz w:val="32"/>
        </w:rPr>
      </w:pPr>
      <w:r w:rsidRPr="007318E4">
        <w:rPr>
          <w:b/>
          <w:sz w:val="32"/>
        </w:rPr>
        <w:t xml:space="preserve">Accord-cadre </w:t>
      </w:r>
      <w:r w:rsidR="006E62FC" w:rsidRPr="007318E4">
        <w:rPr>
          <w:b/>
          <w:sz w:val="32"/>
        </w:rPr>
        <w:t>à bons de commande</w:t>
      </w:r>
      <w:r w:rsidR="00935F87" w:rsidRPr="007318E4">
        <w:rPr>
          <w:b/>
          <w:sz w:val="32"/>
        </w:rPr>
        <w:t>s</w:t>
      </w:r>
    </w:p>
    <w:p w14:paraId="7B959A0A" w14:textId="77777777" w:rsidR="00EB207D" w:rsidRPr="006F21E8"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35436A1E" w14:textId="77777777" w:rsidR="00EB207D" w:rsidRPr="006F21E8" w:rsidRDefault="00EB207D" w:rsidP="00EB207D">
      <w:pPr>
        <w:pBdr>
          <w:top w:val="single" w:sz="4" w:space="1" w:color="auto"/>
          <w:left w:val="single" w:sz="4" w:space="1" w:color="auto"/>
          <w:bottom w:val="single" w:sz="4" w:space="1" w:color="auto"/>
          <w:right w:val="single" w:sz="4" w:space="1" w:color="auto"/>
        </w:pBdr>
        <w:jc w:val="center"/>
        <w:rPr>
          <w:b/>
          <w:sz w:val="24"/>
        </w:rPr>
      </w:pPr>
      <w:r w:rsidRPr="006F21E8">
        <w:rPr>
          <w:b/>
          <w:sz w:val="24"/>
          <w:u w:val="single"/>
        </w:rPr>
        <w:t>PROCEDURE</w:t>
      </w:r>
      <w:r w:rsidRPr="006F21E8">
        <w:rPr>
          <w:b/>
          <w:sz w:val="24"/>
        </w:rPr>
        <w:t> :</w:t>
      </w:r>
    </w:p>
    <w:p w14:paraId="764ADDBB" w14:textId="77777777" w:rsidR="0095437D" w:rsidRDefault="0095437D" w:rsidP="0095437D">
      <w:pPr>
        <w:pBdr>
          <w:top w:val="single" w:sz="4" w:space="1" w:color="auto"/>
          <w:left w:val="single" w:sz="4" w:space="1" w:color="auto"/>
          <w:bottom w:val="single" w:sz="4" w:space="1" w:color="auto"/>
          <w:right w:val="single" w:sz="4" w:space="1" w:color="auto"/>
        </w:pBdr>
        <w:jc w:val="center"/>
        <w:rPr>
          <w:i/>
          <w:sz w:val="24"/>
        </w:rPr>
      </w:pPr>
      <w:r w:rsidRPr="006F21E8">
        <w:rPr>
          <w:b/>
          <w:sz w:val="24"/>
        </w:rPr>
        <w:t xml:space="preserve">PROCEDURE ADAPTEE - </w:t>
      </w:r>
      <w:r w:rsidRPr="006F21E8">
        <w:rPr>
          <w:i/>
          <w:sz w:val="24"/>
        </w:rPr>
        <w:t>art R2123-1 3°du Code de la Commande Publique (services spécifiques)</w:t>
      </w:r>
    </w:p>
    <w:p w14:paraId="31295129"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191B600C" w14:textId="77777777" w:rsidR="00EB207D" w:rsidRPr="00636642" w:rsidRDefault="00EB207D" w:rsidP="00EB207D">
      <w:pPr>
        <w:pBdr>
          <w:top w:val="single" w:sz="4" w:space="1" w:color="auto"/>
          <w:left w:val="single" w:sz="4" w:space="1" w:color="auto"/>
          <w:bottom w:val="single" w:sz="4" w:space="1" w:color="auto"/>
          <w:right w:val="single" w:sz="4" w:space="1" w:color="auto"/>
        </w:pBdr>
        <w:jc w:val="center"/>
        <w:rPr>
          <w:b/>
          <w:sz w:val="28"/>
        </w:rPr>
      </w:pPr>
      <w:r w:rsidRPr="00636642">
        <w:rPr>
          <w:b/>
          <w:sz w:val="28"/>
          <w:u w:val="single"/>
        </w:rPr>
        <w:t xml:space="preserve">Date limite de remise des offres </w:t>
      </w:r>
      <w:r w:rsidR="00CE538D">
        <w:rPr>
          <w:b/>
          <w:sz w:val="28"/>
        </w:rPr>
        <w:t>:</w:t>
      </w:r>
    </w:p>
    <w:p w14:paraId="4A407125" w14:textId="1DEDC35A" w:rsidR="00EB207D" w:rsidRPr="008C5668" w:rsidRDefault="00073060" w:rsidP="00EB207D">
      <w:pPr>
        <w:pBdr>
          <w:top w:val="single" w:sz="4" w:space="1" w:color="auto"/>
          <w:left w:val="single" w:sz="4" w:space="1" w:color="auto"/>
          <w:bottom w:val="single" w:sz="4" w:space="1" w:color="auto"/>
          <w:right w:val="single" w:sz="4" w:space="1" w:color="auto"/>
        </w:pBdr>
        <w:jc w:val="center"/>
        <w:rPr>
          <w:b/>
          <w:sz w:val="28"/>
        </w:rPr>
      </w:pPr>
      <w:r w:rsidRPr="00CB6C55">
        <w:rPr>
          <w:b/>
          <w:sz w:val="28"/>
        </w:rPr>
        <w:t>9/10</w:t>
      </w:r>
      <w:r w:rsidR="00C93AB5" w:rsidRPr="00CB6C55">
        <w:rPr>
          <w:b/>
          <w:sz w:val="28"/>
        </w:rPr>
        <w:t>/2025</w:t>
      </w:r>
      <w:r w:rsidR="008C5668" w:rsidRPr="00CB6C55">
        <w:rPr>
          <w:b/>
          <w:sz w:val="28"/>
        </w:rPr>
        <w:t xml:space="preserve"> à 17</w:t>
      </w:r>
      <w:r w:rsidR="00EB207D" w:rsidRPr="00CB6C55">
        <w:rPr>
          <w:b/>
          <w:sz w:val="28"/>
        </w:rPr>
        <w:t>h00</w:t>
      </w:r>
    </w:p>
    <w:p w14:paraId="2541688B" w14:textId="5599B761" w:rsidR="0095437D" w:rsidRPr="008C5668" w:rsidRDefault="00EB207D" w:rsidP="00EB207D">
      <w:pPr>
        <w:pBdr>
          <w:top w:val="single" w:sz="4" w:space="1" w:color="auto"/>
          <w:left w:val="single" w:sz="4" w:space="1" w:color="auto"/>
          <w:bottom w:val="single" w:sz="4" w:space="1" w:color="auto"/>
          <w:right w:val="single" w:sz="4" w:space="1" w:color="auto"/>
        </w:pBdr>
        <w:jc w:val="center"/>
        <w:rPr>
          <w:b/>
          <w:color w:val="FF0000"/>
          <w:sz w:val="28"/>
        </w:rPr>
      </w:pPr>
      <w:r w:rsidRPr="008C5668">
        <w:rPr>
          <w:b/>
          <w:color w:val="FF0000"/>
          <w:sz w:val="28"/>
        </w:rPr>
        <w:t>ATTENTION : Remise des plis obligatoire sur le site</w:t>
      </w:r>
      <w:r w:rsidR="00C21B27">
        <w:rPr>
          <w:b/>
          <w:color w:val="FF0000"/>
          <w:sz w:val="28"/>
        </w:rPr>
        <w:t> :</w:t>
      </w:r>
    </w:p>
    <w:p w14:paraId="595456A4" w14:textId="63549120" w:rsidR="00EB207D" w:rsidRPr="008C5668" w:rsidRDefault="00CC005F" w:rsidP="00EB207D">
      <w:pPr>
        <w:pBdr>
          <w:top w:val="single" w:sz="4" w:space="1" w:color="auto"/>
          <w:left w:val="single" w:sz="4" w:space="1" w:color="auto"/>
          <w:bottom w:val="single" w:sz="4" w:space="1" w:color="auto"/>
          <w:right w:val="single" w:sz="4" w:space="1" w:color="auto"/>
        </w:pBdr>
        <w:jc w:val="center"/>
        <w:rPr>
          <w:b/>
          <w:color w:val="FF0000"/>
          <w:sz w:val="24"/>
        </w:rPr>
      </w:pPr>
      <w:r w:rsidRPr="00CC005F">
        <w:rPr>
          <w:rStyle w:val="Lienhypertexte"/>
          <w:b/>
          <w:sz w:val="28"/>
        </w:rPr>
        <w:t>https://</w:t>
      </w:r>
      <w:hyperlink r:id="rId8" w:history="1">
        <w:r w:rsidRPr="00BA615B">
          <w:rPr>
            <w:rStyle w:val="Lienhypertexte"/>
            <w:b/>
            <w:sz w:val="28"/>
          </w:rPr>
          <w:t>www.marches-publics.gouv.fr</w:t>
        </w:r>
      </w:hyperlink>
    </w:p>
    <w:p w14:paraId="138CA99F" w14:textId="77777777" w:rsidR="00EB207D" w:rsidRPr="008C5668"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1653FCA6" w14:textId="77777777" w:rsidR="00EB207D" w:rsidRPr="008C5668" w:rsidRDefault="00EB207D" w:rsidP="00EB207D">
      <w:pPr>
        <w:pBdr>
          <w:top w:val="single" w:sz="4" w:space="1" w:color="auto"/>
          <w:left w:val="single" w:sz="4" w:space="1" w:color="auto"/>
          <w:bottom w:val="single" w:sz="4" w:space="1" w:color="auto"/>
          <w:right w:val="single" w:sz="4" w:space="1" w:color="auto"/>
        </w:pBdr>
        <w:jc w:val="center"/>
        <w:rPr>
          <w:b/>
          <w:sz w:val="24"/>
        </w:rPr>
      </w:pPr>
      <w:r w:rsidRPr="008C5668">
        <w:rPr>
          <w:b/>
          <w:sz w:val="24"/>
          <w:u w:val="single"/>
        </w:rPr>
        <w:t>Référence procédure</w:t>
      </w:r>
      <w:r w:rsidRPr="008C5668">
        <w:rPr>
          <w:b/>
          <w:sz w:val="24"/>
        </w:rPr>
        <w:t xml:space="preserve"> : </w:t>
      </w:r>
    </w:p>
    <w:p w14:paraId="2F103583" w14:textId="77777777" w:rsidR="00EB207D" w:rsidRDefault="00587227" w:rsidP="00EB207D">
      <w:pPr>
        <w:pBdr>
          <w:top w:val="single" w:sz="4" w:space="1" w:color="auto"/>
          <w:left w:val="single" w:sz="4" w:space="1" w:color="auto"/>
          <w:bottom w:val="single" w:sz="4" w:space="1" w:color="auto"/>
          <w:right w:val="single" w:sz="4" w:space="1" w:color="auto"/>
        </w:pBdr>
        <w:jc w:val="center"/>
        <w:rPr>
          <w:b/>
          <w:sz w:val="24"/>
        </w:rPr>
      </w:pPr>
      <w:r w:rsidRPr="00CC005F">
        <w:rPr>
          <w:b/>
          <w:sz w:val="24"/>
        </w:rPr>
        <w:t>C202</w:t>
      </w:r>
      <w:r w:rsidR="00C93AB5" w:rsidRPr="00CC005F">
        <w:rPr>
          <w:b/>
          <w:sz w:val="24"/>
        </w:rPr>
        <w:t>5</w:t>
      </w:r>
      <w:r w:rsidR="00EB207D" w:rsidRPr="00CC005F">
        <w:rPr>
          <w:b/>
          <w:sz w:val="24"/>
        </w:rPr>
        <w:t>_</w:t>
      </w:r>
      <w:r w:rsidRPr="00CC005F">
        <w:rPr>
          <w:b/>
          <w:sz w:val="24"/>
        </w:rPr>
        <w:t>COM02</w:t>
      </w:r>
    </w:p>
    <w:p w14:paraId="1BE1A7D3" w14:textId="77777777"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3AF01D33" w14:textId="77777777" w:rsidR="00EB207D" w:rsidRPr="00613DEF" w:rsidRDefault="00EB207D" w:rsidP="00EB207D">
      <w:pPr>
        <w:pBdr>
          <w:top w:val="single" w:sz="4" w:space="1" w:color="auto"/>
          <w:left w:val="single" w:sz="4" w:space="1" w:color="auto"/>
          <w:bottom w:val="single" w:sz="4" w:space="1" w:color="auto"/>
          <w:right w:val="single" w:sz="4" w:space="1" w:color="auto"/>
        </w:pBdr>
        <w:jc w:val="center"/>
        <w:rPr>
          <w:b/>
          <w:sz w:val="24"/>
        </w:rPr>
      </w:pPr>
    </w:p>
    <w:p w14:paraId="289CF54F" w14:textId="355432BB" w:rsidR="00EB207D" w:rsidRDefault="00EB207D" w:rsidP="00EB207D">
      <w:pPr>
        <w:pBdr>
          <w:top w:val="single" w:sz="4" w:space="1" w:color="auto"/>
          <w:left w:val="single" w:sz="4" w:space="1" w:color="auto"/>
          <w:bottom w:val="single" w:sz="4" w:space="1" w:color="auto"/>
          <w:right w:val="single" w:sz="4" w:space="1" w:color="auto"/>
        </w:pBdr>
        <w:jc w:val="center"/>
        <w:rPr>
          <w:b/>
          <w:sz w:val="24"/>
        </w:rPr>
      </w:pPr>
      <w:bookmarkStart w:id="1" w:name="_Hlk205392009"/>
      <w:r w:rsidRPr="00613DEF">
        <w:rPr>
          <w:b/>
          <w:sz w:val="24"/>
          <w:u w:val="single"/>
        </w:rPr>
        <w:t xml:space="preserve">Contact </w:t>
      </w:r>
      <w:r w:rsidR="00CC005F">
        <w:rPr>
          <w:b/>
          <w:sz w:val="24"/>
          <w:u w:val="single"/>
        </w:rPr>
        <w:t>service des</w:t>
      </w:r>
      <w:r w:rsidRPr="00613DEF">
        <w:rPr>
          <w:b/>
          <w:sz w:val="24"/>
          <w:u w:val="single"/>
        </w:rPr>
        <w:t xml:space="preserve"> achats</w:t>
      </w:r>
      <w:r w:rsidRPr="00613DEF">
        <w:rPr>
          <w:b/>
          <w:sz w:val="24"/>
        </w:rPr>
        <w:t xml:space="preserve"> : </w:t>
      </w:r>
    </w:p>
    <w:p w14:paraId="287BB1FD" w14:textId="77777777" w:rsidR="00EB207D" w:rsidRDefault="00C93AB5" w:rsidP="00EB207D">
      <w:pPr>
        <w:pBdr>
          <w:top w:val="single" w:sz="4" w:space="1" w:color="auto"/>
          <w:left w:val="single" w:sz="4" w:space="1" w:color="auto"/>
          <w:bottom w:val="single" w:sz="4" w:space="1" w:color="auto"/>
          <w:right w:val="single" w:sz="4" w:space="1" w:color="auto"/>
        </w:pBdr>
        <w:jc w:val="center"/>
        <w:rPr>
          <w:b/>
          <w:sz w:val="24"/>
        </w:rPr>
      </w:pPr>
      <w:r>
        <w:rPr>
          <w:b/>
          <w:sz w:val="24"/>
        </w:rPr>
        <w:t>Laure VIAL</w:t>
      </w:r>
    </w:p>
    <w:bookmarkEnd w:id="1"/>
    <w:p w14:paraId="2C680C08" w14:textId="77777777" w:rsidR="00EB207D" w:rsidRDefault="00EB207D" w:rsidP="00EB207D">
      <w:pPr>
        <w:jc w:val="center"/>
      </w:pPr>
    </w:p>
    <w:p w14:paraId="2EA24F92"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2" w:name="_Toc295308286"/>
    <w:p w14:paraId="28276FA7" w14:textId="4A93A9E8" w:rsidR="00980D5A"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208480475" w:history="1">
        <w:r w:rsidR="00980D5A" w:rsidRPr="0065458A">
          <w:rPr>
            <w:rStyle w:val="Lienhypertexte"/>
            <w:noProof/>
            <w14:scene3d>
              <w14:camera w14:prst="orthographicFront"/>
              <w14:lightRig w14:rig="threePt" w14:dir="t">
                <w14:rot w14:lat="0" w14:lon="0" w14:rev="0"/>
              </w14:lightRig>
            </w14:scene3d>
          </w:rPr>
          <w:t>ARTICLE 1.</w:t>
        </w:r>
        <w:r w:rsidR="00980D5A">
          <w:rPr>
            <w:rFonts w:asciiTheme="minorHAnsi" w:eastAsiaTheme="minorEastAsia" w:hAnsiTheme="minorHAnsi" w:cstheme="minorBidi"/>
            <w:b w:val="0"/>
            <w:bCs w:val="0"/>
            <w:iCs w:val="0"/>
            <w:noProof/>
            <w:color w:val="auto"/>
            <w:sz w:val="22"/>
            <w:szCs w:val="22"/>
            <w:lang w:eastAsia="fr-FR"/>
          </w:rPr>
          <w:tab/>
        </w:r>
        <w:r w:rsidR="00980D5A" w:rsidRPr="0065458A">
          <w:rPr>
            <w:rStyle w:val="Lienhypertexte"/>
            <w:noProof/>
          </w:rPr>
          <w:t>Objet de la consultation</w:t>
        </w:r>
        <w:r w:rsidR="00980D5A">
          <w:rPr>
            <w:noProof/>
            <w:webHidden/>
          </w:rPr>
          <w:tab/>
        </w:r>
        <w:r w:rsidR="00980D5A">
          <w:rPr>
            <w:noProof/>
            <w:webHidden/>
          </w:rPr>
          <w:fldChar w:fldCharType="begin"/>
        </w:r>
        <w:r w:rsidR="00980D5A">
          <w:rPr>
            <w:noProof/>
            <w:webHidden/>
          </w:rPr>
          <w:instrText xml:space="preserve"> PAGEREF _Toc208480475 \h </w:instrText>
        </w:r>
        <w:r w:rsidR="00980D5A">
          <w:rPr>
            <w:noProof/>
            <w:webHidden/>
          </w:rPr>
        </w:r>
        <w:r w:rsidR="00980D5A">
          <w:rPr>
            <w:noProof/>
            <w:webHidden/>
          </w:rPr>
          <w:fldChar w:fldCharType="separate"/>
        </w:r>
        <w:r w:rsidR="00980D5A">
          <w:rPr>
            <w:noProof/>
            <w:webHidden/>
          </w:rPr>
          <w:t>3</w:t>
        </w:r>
        <w:r w:rsidR="00980D5A">
          <w:rPr>
            <w:noProof/>
            <w:webHidden/>
          </w:rPr>
          <w:fldChar w:fldCharType="end"/>
        </w:r>
      </w:hyperlink>
    </w:p>
    <w:p w14:paraId="0BF33310" w14:textId="3F07702D" w:rsidR="00980D5A" w:rsidRDefault="00980D5A">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8480476" w:history="1">
        <w:r w:rsidRPr="0065458A">
          <w:rPr>
            <w:rStyle w:val="Lienhypertexte"/>
            <w:noProof/>
            <w14:scene3d>
              <w14:camera w14:prst="orthographicFront"/>
              <w14:lightRig w14:rig="threePt" w14:dir="t">
                <w14:rot w14:lat="0" w14:lon="0" w14:rev="0"/>
              </w14:lightRig>
            </w14:scene3d>
          </w:rPr>
          <w:t>ARTICLE 2.</w:t>
        </w:r>
        <w:r>
          <w:rPr>
            <w:rFonts w:asciiTheme="minorHAnsi" w:eastAsiaTheme="minorEastAsia" w:hAnsiTheme="minorHAnsi" w:cstheme="minorBidi"/>
            <w:b w:val="0"/>
            <w:bCs w:val="0"/>
            <w:iCs w:val="0"/>
            <w:noProof/>
            <w:color w:val="auto"/>
            <w:sz w:val="22"/>
            <w:szCs w:val="22"/>
            <w:lang w:eastAsia="fr-FR"/>
          </w:rPr>
          <w:tab/>
        </w:r>
        <w:r w:rsidRPr="0065458A">
          <w:rPr>
            <w:rStyle w:val="Lienhypertexte"/>
            <w:noProof/>
          </w:rPr>
          <w:t>Caractéristiques principales du futur contrat</w:t>
        </w:r>
        <w:r>
          <w:rPr>
            <w:noProof/>
            <w:webHidden/>
          </w:rPr>
          <w:tab/>
        </w:r>
        <w:r>
          <w:rPr>
            <w:noProof/>
            <w:webHidden/>
          </w:rPr>
          <w:fldChar w:fldCharType="begin"/>
        </w:r>
        <w:r>
          <w:rPr>
            <w:noProof/>
            <w:webHidden/>
          </w:rPr>
          <w:instrText xml:space="preserve"> PAGEREF _Toc208480476 \h </w:instrText>
        </w:r>
        <w:r>
          <w:rPr>
            <w:noProof/>
            <w:webHidden/>
          </w:rPr>
        </w:r>
        <w:r>
          <w:rPr>
            <w:noProof/>
            <w:webHidden/>
          </w:rPr>
          <w:fldChar w:fldCharType="separate"/>
        </w:r>
        <w:r>
          <w:rPr>
            <w:noProof/>
            <w:webHidden/>
          </w:rPr>
          <w:t>3</w:t>
        </w:r>
        <w:r>
          <w:rPr>
            <w:noProof/>
            <w:webHidden/>
          </w:rPr>
          <w:fldChar w:fldCharType="end"/>
        </w:r>
      </w:hyperlink>
    </w:p>
    <w:p w14:paraId="0BFA94AE" w14:textId="4DB75989"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77" w:history="1">
        <w:r w:rsidRPr="0065458A">
          <w:rPr>
            <w:rStyle w:val="Lienhypertexte"/>
            <w:noProof/>
          </w:rPr>
          <w:t>2.1.</w:t>
        </w:r>
        <w:r>
          <w:rPr>
            <w:rFonts w:asciiTheme="minorHAnsi" w:eastAsiaTheme="minorEastAsia" w:hAnsiTheme="minorHAnsi" w:cstheme="minorBidi"/>
            <w:bCs w:val="0"/>
            <w:noProof/>
            <w:color w:val="auto"/>
            <w:sz w:val="22"/>
            <w:lang w:eastAsia="fr-FR"/>
          </w:rPr>
          <w:tab/>
        </w:r>
        <w:r w:rsidRPr="0065458A">
          <w:rPr>
            <w:rStyle w:val="Lienhypertexte"/>
            <w:noProof/>
          </w:rPr>
          <w:t>Forme du contrat – minimum – maximum – prix unitaires plafond</w:t>
        </w:r>
        <w:r>
          <w:rPr>
            <w:noProof/>
            <w:webHidden/>
          </w:rPr>
          <w:tab/>
        </w:r>
        <w:r>
          <w:rPr>
            <w:noProof/>
            <w:webHidden/>
          </w:rPr>
          <w:fldChar w:fldCharType="begin"/>
        </w:r>
        <w:r>
          <w:rPr>
            <w:noProof/>
            <w:webHidden/>
          </w:rPr>
          <w:instrText xml:space="preserve"> PAGEREF _Toc208480477 \h </w:instrText>
        </w:r>
        <w:r>
          <w:rPr>
            <w:noProof/>
            <w:webHidden/>
          </w:rPr>
        </w:r>
        <w:r>
          <w:rPr>
            <w:noProof/>
            <w:webHidden/>
          </w:rPr>
          <w:fldChar w:fldCharType="separate"/>
        </w:r>
        <w:r>
          <w:rPr>
            <w:noProof/>
            <w:webHidden/>
          </w:rPr>
          <w:t>3</w:t>
        </w:r>
        <w:r>
          <w:rPr>
            <w:noProof/>
            <w:webHidden/>
          </w:rPr>
          <w:fldChar w:fldCharType="end"/>
        </w:r>
      </w:hyperlink>
    </w:p>
    <w:p w14:paraId="27267C9A" w14:textId="435CB9A3"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78" w:history="1">
        <w:r w:rsidRPr="0065458A">
          <w:rPr>
            <w:rStyle w:val="Lienhypertexte"/>
            <w:noProof/>
          </w:rPr>
          <w:t>2.2.</w:t>
        </w:r>
        <w:r>
          <w:rPr>
            <w:rFonts w:asciiTheme="minorHAnsi" w:eastAsiaTheme="minorEastAsia" w:hAnsiTheme="minorHAnsi" w:cstheme="minorBidi"/>
            <w:bCs w:val="0"/>
            <w:noProof/>
            <w:color w:val="auto"/>
            <w:sz w:val="22"/>
            <w:lang w:eastAsia="fr-FR"/>
          </w:rPr>
          <w:tab/>
        </w:r>
        <w:r w:rsidRPr="0065458A">
          <w:rPr>
            <w:rStyle w:val="Lienhypertexte"/>
            <w:noProof/>
          </w:rPr>
          <w:t>Durée</w:t>
        </w:r>
        <w:r>
          <w:rPr>
            <w:noProof/>
            <w:webHidden/>
          </w:rPr>
          <w:tab/>
        </w:r>
        <w:r>
          <w:rPr>
            <w:noProof/>
            <w:webHidden/>
          </w:rPr>
          <w:fldChar w:fldCharType="begin"/>
        </w:r>
        <w:r>
          <w:rPr>
            <w:noProof/>
            <w:webHidden/>
          </w:rPr>
          <w:instrText xml:space="preserve"> PAGEREF _Toc208480478 \h </w:instrText>
        </w:r>
        <w:r>
          <w:rPr>
            <w:noProof/>
            <w:webHidden/>
          </w:rPr>
        </w:r>
        <w:r>
          <w:rPr>
            <w:noProof/>
            <w:webHidden/>
          </w:rPr>
          <w:fldChar w:fldCharType="separate"/>
        </w:r>
        <w:r>
          <w:rPr>
            <w:noProof/>
            <w:webHidden/>
          </w:rPr>
          <w:t>3</w:t>
        </w:r>
        <w:r>
          <w:rPr>
            <w:noProof/>
            <w:webHidden/>
          </w:rPr>
          <w:fldChar w:fldCharType="end"/>
        </w:r>
      </w:hyperlink>
    </w:p>
    <w:p w14:paraId="0A86EBED" w14:textId="6D365945"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79" w:history="1">
        <w:r w:rsidRPr="0065458A">
          <w:rPr>
            <w:rStyle w:val="Lienhypertexte"/>
            <w:noProof/>
          </w:rPr>
          <w:t>2.3.</w:t>
        </w:r>
        <w:r>
          <w:rPr>
            <w:rFonts w:asciiTheme="minorHAnsi" w:eastAsiaTheme="minorEastAsia" w:hAnsiTheme="minorHAnsi" w:cstheme="minorBidi"/>
            <w:bCs w:val="0"/>
            <w:noProof/>
            <w:color w:val="auto"/>
            <w:sz w:val="22"/>
            <w:lang w:eastAsia="fr-FR"/>
          </w:rPr>
          <w:tab/>
        </w:r>
        <w:r w:rsidRPr="0065458A">
          <w:rPr>
            <w:rStyle w:val="Lienhypertexte"/>
            <w:noProof/>
          </w:rPr>
          <w:t>Modalités essentielles de paiement et de financement</w:t>
        </w:r>
        <w:r>
          <w:rPr>
            <w:noProof/>
            <w:webHidden/>
          </w:rPr>
          <w:tab/>
        </w:r>
        <w:r>
          <w:rPr>
            <w:noProof/>
            <w:webHidden/>
          </w:rPr>
          <w:fldChar w:fldCharType="begin"/>
        </w:r>
        <w:r>
          <w:rPr>
            <w:noProof/>
            <w:webHidden/>
          </w:rPr>
          <w:instrText xml:space="preserve"> PAGEREF _Toc208480479 \h </w:instrText>
        </w:r>
        <w:r>
          <w:rPr>
            <w:noProof/>
            <w:webHidden/>
          </w:rPr>
        </w:r>
        <w:r>
          <w:rPr>
            <w:noProof/>
            <w:webHidden/>
          </w:rPr>
          <w:fldChar w:fldCharType="separate"/>
        </w:r>
        <w:r>
          <w:rPr>
            <w:noProof/>
            <w:webHidden/>
          </w:rPr>
          <w:t>3</w:t>
        </w:r>
        <w:r>
          <w:rPr>
            <w:noProof/>
            <w:webHidden/>
          </w:rPr>
          <w:fldChar w:fldCharType="end"/>
        </w:r>
      </w:hyperlink>
    </w:p>
    <w:p w14:paraId="75159D9D" w14:textId="5C7EB934" w:rsidR="00980D5A" w:rsidRDefault="00980D5A">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8480480" w:history="1">
        <w:r w:rsidRPr="0065458A">
          <w:rPr>
            <w:rStyle w:val="Lienhypertexte"/>
            <w:noProof/>
            <w14:scene3d>
              <w14:camera w14:prst="orthographicFront"/>
              <w14:lightRig w14:rig="threePt" w14:dir="t">
                <w14:rot w14:lat="0" w14:lon="0" w14:rev="0"/>
              </w14:lightRig>
            </w14:scene3d>
          </w:rPr>
          <w:t>ARTICLE 3.</w:t>
        </w:r>
        <w:r>
          <w:rPr>
            <w:rFonts w:asciiTheme="minorHAnsi" w:eastAsiaTheme="minorEastAsia" w:hAnsiTheme="minorHAnsi" w:cstheme="minorBidi"/>
            <w:b w:val="0"/>
            <w:bCs w:val="0"/>
            <w:iCs w:val="0"/>
            <w:noProof/>
            <w:color w:val="auto"/>
            <w:sz w:val="22"/>
            <w:szCs w:val="22"/>
            <w:lang w:eastAsia="fr-FR"/>
          </w:rPr>
          <w:tab/>
        </w:r>
        <w:r w:rsidRPr="0065458A">
          <w:rPr>
            <w:rStyle w:val="Lienhypertexte"/>
            <w:noProof/>
          </w:rPr>
          <w:t>Dossier de consultation des entreprises (DCE)</w:t>
        </w:r>
        <w:r>
          <w:rPr>
            <w:noProof/>
            <w:webHidden/>
          </w:rPr>
          <w:tab/>
        </w:r>
        <w:r>
          <w:rPr>
            <w:noProof/>
            <w:webHidden/>
          </w:rPr>
          <w:fldChar w:fldCharType="begin"/>
        </w:r>
        <w:r>
          <w:rPr>
            <w:noProof/>
            <w:webHidden/>
          </w:rPr>
          <w:instrText xml:space="preserve"> PAGEREF _Toc208480480 \h </w:instrText>
        </w:r>
        <w:r>
          <w:rPr>
            <w:noProof/>
            <w:webHidden/>
          </w:rPr>
        </w:r>
        <w:r>
          <w:rPr>
            <w:noProof/>
            <w:webHidden/>
          </w:rPr>
          <w:fldChar w:fldCharType="separate"/>
        </w:r>
        <w:r>
          <w:rPr>
            <w:noProof/>
            <w:webHidden/>
          </w:rPr>
          <w:t>3</w:t>
        </w:r>
        <w:r>
          <w:rPr>
            <w:noProof/>
            <w:webHidden/>
          </w:rPr>
          <w:fldChar w:fldCharType="end"/>
        </w:r>
      </w:hyperlink>
    </w:p>
    <w:p w14:paraId="594C8AEB" w14:textId="25EEBCC6"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1" w:history="1">
        <w:r w:rsidRPr="0065458A">
          <w:rPr>
            <w:rStyle w:val="Lienhypertexte"/>
            <w:noProof/>
          </w:rPr>
          <w:t>3.1.</w:t>
        </w:r>
        <w:r>
          <w:rPr>
            <w:rFonts w:asciiTheme="minorHAnsi" w:eastAsiaTheme="minorEastAsia" w:hAnsiTheme="minorHAnsi" w:cstheme="minorBidi"/>
            <w:bCs w:val="0"/>
            <w:noProof/>
            <w:color w:val="auto"/>
            <w:sz w:val="22"/>
            <w:lang w:eastAsia="fr-FR"/>
          </w:rPr>
          <w:tab/>
        </w:r>
        <w:r w:rsidRPr="0065458A">
          <w:rPr>
            <w:rStyle w:val="Lienhypertexte"/>
            <w:noProof/>
          </w:rPr>
          <w:t>Retrait des documents de consultation</w:t>
        </w:r>
        <w:r>
          <w:rPr>
            <w:noProof/>
            <w:webHidden/>
          </w:rPr>
          <w:tab/>
        </w:r>
        <w:r>
          <w:rPr>
            <w:noProof/>
            <w:webHidden/>
          </w:rPr>
          <w:fldChar w:fldCharType="begin"/>
        </w:r>
        <w:r>
          <w:rPr>
            <w:noProof/>
            <w:webHidden/>
          </w:rPr>
          <w:instrText xml:space="preserve"> PAGEREF _Toc208480481 \h </w:instrText>
        </w:r>
        <w:r>
          <w:rPr>
            <w:noProof/>
            <w:webHidden/>
          </w:rPr>
        </w:r>
        <w:r>
          <w:rPr>
            <w:noProof/>
            <w:webHidden/>
          </w:rPr>
          <w:fldChar w:fldCharType="separate"/>
        </w:r>
        <w:r>
          <w:rPr>
            <w:noProof/>
            <w:webHidden/>
          </w:rPr>
          <w:t>3</w:t>
        </w:r>
        <w:r>
          <w:rPr>
            <w:noProof/>
            <w:webHidden/>
          </w:rPr>
          <w:fldChar w:fldCharType="end"/>
        </w:r>
      </w:hyperlink>
    </w:p>
    <w:p w14:paraId="687A2F03" w14:textId="00C8BA5E"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2" w:history="1">
        <w:r w:rsidRPr="0065458A">
          <w:rPr>
            <w:rStyle w:val="Lienhypertexte"/>
            <w:noProof/>
          </w:rPr>
          <w:t>3.2.</w:t>
        </w:r>
        <w:r>
          <w:rPr>
            <w:rFonts w:asciiTheme="minorHAnsi" w:eastAsiaTheme="minorEastAsia" w:hAnsiTheme="minorHAnsi" w:cstheme="minorBidi"/>
            <w:bCs w:val="0"/>
            <w:noProof/>
            <w:color w:val="auto"/>
            <w:sz w:val="22"/>
            <w:lang w:eastAsia="fr-FR"/>
          </w:rPr>
          <w:tab/>
        </w:r>
        <w:r w:rsidRPr="0065458A">
          <w:rPr>
            <w:rStyle w:val="Lienhypertexte"/>
            <w:noProof/>
          </w:rPr>
          <w:t>Composition du DCE</w:t>
        </w:r>
        <w:r>
          <w:rPr>
            <w:noProof/>
            <w:webHidden/>
          </w:rPr>
          <w:tab/>
        </w:r>
        <w:r>
          <w:rPr>
            <w:noProof/>
            <w:webHidden/>
          </w:rPr>
          <w:fldChar w:fldCharType="begin"/>
        </w:r>
        <w:r>
          <w:rPr>
            <w:noProof/>
            <w:webHidden/>
          </w:rPr>
          <w:instrText xml:space="preserve"> PAGEREF _Toc208480482 \h </w:instrText>
        </w:r>
        <w:r>
          <w:rPr>
            <w:noProof/>
            <w:webHidden/>
          </w:rPr>
        </w:r>
        <w:r>
          <w:rPr>
            <w:noProof/>
            <w:webHidden/>
          </w:rPr>
          <w:fldChar w:fldCharType="separate"/>
        </w:r>
        <w:r>
          <w:rPr>
            <w:noProof/>
            <w:webHidden/>
          </w:rPr>
          <w:t>3</w:t>
        </w:r>
        <w:r>
          <w:rPr>
            <w:noProof/>
            <w:webHidden/>
          </w:rPr>
          <w:fldChar w:fldCharType="end"/>
        </w:r>
      </w:hyperlink>
    </w:p>
    <w:p w14:paraId="326A7788" w14:textId="1DBAF3D4"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3" w:history="1">
        <w:r w:rsidRPr="0065458A">
          <w:rPr>
            <w:rStyle w:val="Lienhypertexte"/>
            <w:noProof/>
          </w:rPr>
          <w:t>3.3.</w:t>
        </w:r>
        <w:r>
          <w:rPr>
            <w:rFonts w:asciiTheme="minorHAnsi" w:eastAsiaTheme="minorEastAsia" w:hAnsiTheme="minorHAnsi" w:cstheme="minorBidi"/>
            <w:bCs w:val="0"/>
            <w:noProof/>
            <w:color w:val="auto"/>
            <w:sz w:val="22"/>
            <w:lang w:eastAsia="fr-FR"/>
          </w:rPr>
          <w:tab/>
        </w:r>
        <w:r w:rsidRPr="0065458A">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_Toc208480483 \h </w:instrText>
        </w:r>
        <w:r>
          <w:rPr>
            <w:noProof/>
            <w:webHidden/>
          </w:rPr>
        </w:r>
        <w:r>
          <w:rPr>
            <w:noProof/>
            <w:webHidden/>
          </w:rPr>
          <w:fldChar w:fldCharType="separate"/>
        </w:r>
        <w:r>
          <w:rPr>
            <w:noProof/>
            <w:webHidden/>
          </w:rPr>
          <w:t>4</w:t>
        </w:r>
        <w:r>
          <w:rPr>
            <w:noProof/>
            <w:webHidden/>
          </w:rPr>
          <w:fldChar w:fldCharType="end"/>
        </w:r>
      </w:hyperlink>
    </w:p>
    <w:p w14:paraId="39787665" w14:textId="5A3539E6" w:rsidR="00980D5A" w:rsidRDefault="00980D5A">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8480484" w:history="1">
        <w:r w:rsidRPr="0065458A">
          <w:rPr>
            <w:rStyle w:val="Lienhypertexte"/>
            <w:noProof/>
            <w14:scene3d>
              <w14:camera w14:prst="orthographicFront"/>
              <w14:lightRig w14:rig="threePt" w14:dir="t">
                <w14:rot w14:lat="0" w14:lon="0" w14:rev="0"/>
              </w14:lightRig>
            </w14:scene3d>
          </w:rPr>
          <w:t>ARTICLE 4.</w:t>
        </w:r>
        <w:r>
          <w:rPr>
            <w:rFonts w:asciiTheme="minorHAnsi" w:eastAsiaTheme="minorEastAsia" w:hAnsiTheme="minorHAnsi" w:cstheme="minorBidi"/>
            <w:b w:val="0"/>
            <w:bCs w:val="0"/>
            <w:iCs w:val="0"/>
            <w:noProof/>
            <w:color w:val="auto"/>
            <w:sz w:val="22"/>
            <w:szCs w:val="22"/>
            <w:lang w:eastAsia="fr-FR"/>
          </w:rPr>
          <w:tab/>
        </w:r>
        <w:r w:rsidRPr="0065458A">
          <w:rPr>
            <w:rStyle w:val="Lienhypertexte"/>
            <w:noProof/>
          </w:rPr>
          <w:t>Modalités de réponse à la consultation</w:t>
        </w:r>
        <w:r>
          <w:rPr>
            <w:noProof/>
            <w:webHidden/>
          </w:rPr>
          <w:tab/>
        </w:r>
        <w:r>
          <w:rPr>
            <w:noProof/>
            <w:webHidden/>
          </w:rPr>
          <w:fldChar w:fldCharType="begin"/>
        </w:r>
        <w:r>
          <w:rPr>
            <w:noProof/>
            <w:webHidden/>
          </w:rPr>
          <w:instrText xml:space="preserve"> PAGEREF _Toc208480484 \h </w:instrText>
        </w:r>
        <w:r>
          <w:rPr>
            <w:noProof/>
            <w:webHidden/>
          </w:rPr>
        </w:r>
        <w:r>
          <w:rPr>
            <w:noProof/>
            <w:webHidden/>
          </w:rPr>
          <w:fldChar w:fldCharType="separate"/>
        </w:r>
        <w:r>
          <w:rPr>
            <w:noProof/>
            <w:webHidden/>
          </w:rPr>
          <w:t>4</w:t>
        </w:r>
        <w:r>
          <w:rPr>
            <w:noProof/>
            <w:webHidden/>
          </w:rPr>
          <w:fldChar w:fldCharType="end"/>
        </w:r>
      </w:hyperlink>
    </w:p>
    <w:p w14:paraId="5D62E04C" w14:textId="112CC1F3"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5" w:history="1">
        <w:r w:rsidRPr="0065458A">
          <w:rPr>
            <w:rStyle w:val="Lienhypertexte"/>
            <w:noProof/>
          </w:rPr>
          <w:t>4.1.</w:t>
        </w:r>
        <w:r>
          <w:rPr>
            <w:rFonts w:asciiTheme="minorHAnsi" w:eastAsiaTheme="minorEastAsia" w:hAnsiTheme="minorHAnsi" w:cstheme="minorBidi"/>
            <w:bCs w:val="0"/>
            <w:noProof/>
            <w:color w:val="auto"/>
            <w:sz w:val="22"/>
            <w:lang w:eastAsia="fr-FR"/>
          </w:rPr>
          <w:tab/>
        </w:r>
        <w:r w:rsidRPr="0065458A">
          <w:rPr>
            <w:rStyle w:val="Lienhypertexte"/>
            <w:noProof/>
          </w:rPr>
          <w:t>Echanges de questions-réponses</w:t>
        </w:r>
        <w:r>
          <w:rPr>
            <w:noProof/>
            <w:webHidden/>
          </w:rPr>
          <w:tab/>
        </w:r>
        <w:r>
          <w:rPr>
            <w:noProof/>
            <w:webHidden/>
          </w:rPr>
          <w:fldChar w:fldCharType="begin"/>
        </w:r>
        <w:r>
          <w:rPr>
            <w:noProof/>
            <w:webHidden/>
          </w:rPr>
          <w:instrText xml:space="preserve"> PAGEREF _Toc208480485 \h </w:instrText>
        </w:r>
        <w:r>
          <w:rPr>
            <w:noProof/>
            <w:webHidden/>
          </w:rPr>
        </w:r>
        <w:r>
          <w:rPr>
            <w:noProof/>
            <w:webHidden/>
          </w:rPr>
          <w:fldChar w:fldCharType="separate"/>
        </w:r>
        <w:r>
          <w:rPr>
            <w:noProof/>
            <w:webHidden/>
          </w:rPr>
          <w:t>4</w:t>
        </w:r>
        <w:r>
          <w:rPr>
            <w:noProof/>
            <w:webHidden/>
          </w:rPr>
          <w:fldChar w:fldCharType="end"/>
        </w:r>
      </w:hyperlink>
    </w:p>
    <w:p w14:paraId="3543BB1F" w14:textId="6BCFC4D5"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6" w:history="1">
        <w:r w:rsidRPr="0065458A">
          <w:rPr>
            <w:rStyle w:val="Lienhypertexte"/>
            <w:noProof/>
          </w:rPr>
          <w:t>4.2.</w:t>
        </w:r>
        <w:r>
          <w:rPr>
            <w:rFonts w:asciiTheme="minorHAnsi" w:eastAsiaTheme="minorEastAsia" w:hAnsiTheme="minorHAnsi" w:cstheme="minorBidi"/>
            <w:bCs w:val="0"/>
            <w:noProof/>
            <w:color w:val="auto"/>
            <w:sz w:val="22"/>
            <w:lang w:eastAsia="fr-FR"/>
          </w:rPr>
          <w:tab/>
        </w:r>
        <w:r w:rsidRPr="0065458A">
          <w:rPr>
            <w:rStyle w:val="Lienhypertexte"/>
            <w:noProof/>
          </w:rPr>
          <w:t>Forme juridique des candidats</w:t>
        </w:r>
        <w:r>
          <w:rPr>
            <w:noProof/>
            <w:webHidden/>
          </w:rPr>
          <w:tab/>
        </w:r>
        <w:r>
          <w:rPr>
            <w:noProof/>
            <w:webHidden/>
          </w:rPr>
          <w:fldChar w:fldCharType="begin"/>
        </w:r>
        <w:r>
          <w:rPr>
            <w:noProof/>
            <w:webHidden/>
          </w:rPr>
          <w:instrText xml:space="preserve"> PAGEREF _Toc208480486 \h </w:instrText>
        </w:r>
        <w:r>
          <w:rPr>
            <w:noProof/>
            <w:webHidden/>
          </w:rPr>
        </w:r>
        <w:r>
          <w:rPr>
            <w:noProof/>
            <w:webHidden/>
          </w:rPr>
          <w:fldChar w:fldCharType="separate"/>
        </w:r>
        <w:r>
          <w:rPr>
            <w:noProof/>
            <w:webHidden/>
          </w:rPr>
          <w:t>4</w:t>
        </w:r>
        <w:r>
          <w:rPr>
            <w:noProof/>
            <w:webHidden/>
          </w:rPr>
          <w:fldChar w:fldCharType="end"/>
        </w:r>
      </w:hyperlink>
    </w:p>
    <w:p w14:paraId="026E633D" w14:textId="5D4BB9F6"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7" w:history="1">
        <w:r w:rsidRPr="0065458A">
          <w:rPr>
            <w:rStyle w:val="Lienhypertexte"/>
            <w:noProof/>
          </w:rPr>
          <w:t>4.3.</w:t>
        </w:r>
        <w:r>
          <w:rPr>
            <w:rFonts w:asciiTheme="minorHAnsi" w:eastAsiaTheme="minorEastAsia" w:hAnsiTheme="minorHAnsi" w:cstheme="minorBidi"/>
            <w:bCs w:val="0"/>
            <w:noProof/>
            <w:color w:val="auto"/>
            <w:sz w:val="22"/>
            <w:lang w:eastAsia="fr-FR"/>
          </w:rPr>
          <w:tab/>
        </w:r>
        <w:r w:rsidRPr="0065458A">
          <w:rPr>
            <w:rStyle w:val="Lienhypertexte"/>
            <w:noProof/>
          </w:rPr>
          <w:t>Dates principales de la procédure – date de réception des réponses</w:t>
        </w:r>
        <w:r>
          <w:rPr>
            <w:noProof/>
            <w:webHidden/>
          </w:rPr>
          <w:tab/>
        </w:r>
        <w:r>
          <w:rPr>
            <w:noProof/>
            <w:webHidden/>
          </w:rPr>
          <w:fldChar w:fldCharType="begin"/>
        </w:r>
        <w:r>
          <w:rPr>
            <w:noProof/>
            <w:webHidden/>
          </w:rPr>
          <w:instrText xml:space="preserve"> PAGEREF _Toc208480487 \h </w:instrText>
        </w:r>
        <w:r>
          <w:rPr>
            <w:noProof/>
            <w:webHidden/>
          </w:rPr>
        </w:r>
        <w:r>
          <w:rPr>
            <w:noProof/>
            <w:webHidden/>
          </w:rPr>
          <w:fldChar w:fldCharType="separate"/>
        </w:r>
        <w:r>
          <w:rPr>
            <w:noProof/>
            <w:webHidden/>
          </w:rPr>
          <w:t>5</w:t>
        </w:r>
        <w:r>
          <w:rPr>
            <w:noProof/>
            <w:webHidden/>
          </w:rPr>
          <w:fldChar w:fldCharType="end"/>
        </w:r>
      </w:hyperlink>
    </w:p>
    <w:p w14:paraId="5FE1DFDE" w14:textId="7C8B5A0A"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8" w:history="1">
        <w:r w:rsidRPr="0065458A">
          <w:rPr>
            <w:rStyle w:val="Lienhypertexte"/>
            <w:noProof/>
          </w:rPr>
          <w:t>4.4.</w:t>
        </w:r>
        <w:r>
          <w:rPr>
            <w:rFonts w:asciiTheme="minorHAnsi" w:eastAsiaTheme="minorEastAsia" w:hAnsiTheme="minorHAnsi" w:cstheme="minorBidi"/>
            <w:bCs w:val="0"/>
            <w:noProof/>
            <w:color w:val="auto"/>
            <w:sz w:val="22"/>
            <w:lang w:eastAsia="fr-FR"/>
          </w:rPr>
          <w:tab/>
        </w:r>
        <w:r w:rsidRPr="0065458A">
          <w:rPr>
            <w:rStyle w:val="Lienhypertexte"/>
            <w:noProof/>
          </w:rPr>
          <w:t>Modes et formes de remise des offres</w:t>
        </w:r>
        <w:r>
          <w:rPr>
            <w:noProof/>
            <w:webHidden/>
          </w:rPr>
          <w:tab/>
        </w:r>
        <w:r>
          <w:rPr>
            <w:noProof/>
            <w:webHidden/>
          </w:rPr>
          <w:fldChar w:fldCharType="begin"/>
        </w:r>
        <w:r>
          <w:rPr>
            <w:noProof/>
            <w:webHidden/>
          </w:rPr>
          <w:instrText xml:space="preserve"> PAGEREF _Toc208480488 \h </w:instrText>
        </w:r>
        <w:r>
          <w:rPr>
            <w:noProof/>
            <w:webHidden/>
          </w:rPr>
        </w:r>
        <w:r>
          <w:rPr>
            <w:noProof/>
            <w:webHidden/>
          </w:rPr>
          <w:fldChar w:fldCharType="separate"/>
        </w:r>
        <w:r>
          <w:rPr>
            <w:noProof/>
            <w:webHidden/>
          </w:rPr>
          <w:t>5</w:t>
        </w:r>
        <w:r>
          <w:rPr>
            <w:noProof/>
            <w:webHidden/>
          </w:rPr>
          <w:fldChar w:fldCharType="end"/>
        </w:r>
      </w:hyperlink>
    </w:p>
    <w:p w14:paraId="77563724" w14:textId="28547307"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89" w:history="1">
        <w:r w:rsidRPr="0065458A">
          <w:rPr>
            <w:rStyle w:val="Lienhypertexte"/>
            <w:noProof/>
          </w:rPr>
          <w:t>4.5.</w:t>
        </w:r>
        <w:r>
          <w:rPr>
            <w:rFonts w:asciiTheme="minorHAnsi" w:eastAsiaTheme="minorEastAsia" w:hAnsiTheme="minorHAnsi" w:cstheme="minorBidi"/>
            <w:bCs w:val="0"/>
            <w:noProof/>
            <w:color w:val="auto"/>
            <w:sz w:val="22"/>
            <w:lang w:eastAsia="fr-FR"/>
          </w:rPr>
          <w:tab/>
        </w:r>
        <w:r w:rsidRPr="0065458A">
          <w:rPr>
            <w:rStyle w:val="Lienhypertexte"/>
            <w:noProof/>
          </w:rPr>
          <w:t>Délai de validité des offres</w:t>
        </w:r>
        <w:r>
          <w:rPr>
            <w:noProof/>
            <w:webHidden/>
          </w:rPr>
          <w:tab/>
        </w:r>
        <w:r>
          <w:rPr>
            <w:noProof/>
            <w:webHidden/>
          </w:rPr>
          <w:fldChar w:fldCharType="begin"/>
        </w:r>
        <w:r>
          <w:rPr>
            <w:noProof/>
            <w:webHidden/>
          </w:rPr>
          <w:instrText xml:space="preserve"> PAGEREF _Toc208480489 \h </w:instrText>
        </w:r>
        <w:r>
          <w:rPr>
            <w:noProof/>
            <w:webHidden/>
          </w:rPr>
        </w:r>
        <w:r>
          <w:rPr>
            <w:noProof/>
            <w:webHidden/>
          </w:rPr>
          <w:fldChar w:fldCharType="separate"/>
        </w:r>
        <w:r>
          <w:rPr>
            <w:noProof/>
            <w:webHidden/>
          </w:rPr>
          <w:t>6</w:t>
        </w:r>
        <w:r>
          <w:rPr>
            <w:noProof/>
            <w:webHidden/>
          </w:rPr>
          <w:fldChar w:fldCharType="end"/>
        </w:r>
      </w:hyperlink>
    </w:p>
    <w:p w14:paraId="418E5BB6" w14:textId="26B3F3B7"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0" w:history="1">
        <w:r w:rsidRPr="0065458A">
          <w:rPr>
            <w:rStyle w:val="Lienhypertexte"/>
            <w:noProof/>
          </w:rPr>
          <w:t>4.6.</w:t>
        </w:r>
        <w:r>
          <w:rPr>
            <w:rFonts w:asciiTheme="minorHAnsi" w:eastAsiaTheme="minorEastAsia" w:hAnsiTheme="minorHAnsi" w:cstheme="minorBidi"/>
            <w:bCs w:val="0"/>
            <w:noProof/>
            <w:color w:val="auto"/>
            <w:sz w:val="22"/>
            <w:lang w:eastAsia="fr-FR"/>
          </w:rPr>
          <w:tab/>
        </w:r>
        <w:r w:rsidRPr="0065458A">
          <w:rPr>
            <w:rStyle w:val="Lienhypertexte"/>
            <w:noProof/>
          </w:rPr>
          <w:t>Documents à produire relatifs à la CANDIDATURE (signature des documents non obligatoire au stade de la remise des plis)</w:t>
        </w:r>
        <w:r>
          <w:rPr>
            <w:noProof/>
            <w:webHidden/>
          </w:rPr>
          <w:tab/>
        </w:r>
        <w:r>
          <w:rPr>
            <w:noProof/>
            <w:webHidden/>
          </w:rPr>
          <w:fldChar w:fldCharType="begin"/>
        </w:r>
        <w:r>
          <w:rPr>
            <w:noProof/>
            <w:webHidden/>
          </w:rPr>
          <w:instrText xml:space="preserve"> PAGEREF _Toc208480490 \h </w:instrText>
        </w:r>
        <w:r>
          <w:rPr>
            <w:noProof/>
            <w:webHidden/>
          </w:rPr>
        </w:r>
        <w:r>
          <w:rPr>
            <w:noProof/>
            <w:webHidden/>
          </w:rPr>
          <w:fldChar w:fldCharType="separate"/>
        </w:r>
        <w:r>
          <w:rPr>
            <w:noProof/>
            <w:webHidden/>
          </w:rPr>
          <w:t>7</w:t>
        </w:r>
        <w:r>
          <w:rPr>
            <w:noProof/>
            <w:webHidden/>
          </w:rPr>
          <w:fldChar w:fldCharType="end"/>
        </w:r>
      </w:hyperlink>
    </w:p>
    <w:p w14:paraId="0D6123DF" w14:textId="19F5FDA9"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1" w:history="1">
        <w:r w:rsidRPr="0065458A">
          <w:rPr>
            <w:rStyle w:val="Lienhypertexte"/>
            <w:noProof/>
          </w:rPr>
          <w:t>4.7.</w:t>
        </w:r>
        <w:r>
          <w:rPr>
            <w:rFonts w:asciiTheme="minorHAnsi" w:eastAsiaTheme="minorEastAsia" w:hAnsiTheme="minorHAnsi" w:cstheme="minorBidi"/>
            <w:bCs w:val="0"/>
            <w:noProof/>
            <w:color w:val="auto"/>
            <w:sz w:val="22"/>
            <w:lang w:eastAsia="fr-FR"/>
          </w:rPr>
          <w:tab/>
        </w:r>
        <w:r w:rsidRPr="0065458A">
          <w:rPr>
            <w:rStyle w:val="Lienhypertexte"/>
            <w:noProof/>
          </w:rPr>
          <w:t>Diversité – égalité dans les marchés publics</w:t>
        </w:r>
        <w:r>
          <w:rPr>
            <w:noProof/>
            <w:webHidden/>
          </w:rPr>
          <w:tab/>
        </w:r>
        <w:r>
          <w:rPr>
            <w:noProof/>
            <w:webHidden/>
          </w:rPr>
          <w:fldChar w:fldCharType="begin"/>
        </w:r>
        <w:r>
          <w:rPr>
            <w:noProof/>
            <w:webHidden/>
          </w:rPr>
          <w:instrText xml:space="preserve"> PAGEREF _Toc208480491 \h </w:instrText>
        </w:r>
        <w:r>
          <w:rPr>
            <w:noProof/>
            <w:webHidden/>
          </w:rPr>
        </w:r>
        <w:r>
          <w:rPr>
            <w:noProof/>
            <w:webHidden/>
          </w:rPr>
          <w:fldChar w:fldCharType="separate"/>
        </w:r>
        <w:r>
          <w:rPr>
            <w:noProof/>
            <w:webHidden/>
          </w:rPr>
          <w:t>7</w:t>
        </w:r>
        <w:r>
          <w:rPr>
            <w:noProof/>
            <w:webHidden/>
          </w:rPr>
          <w:fldChar w:fldCharType="end"/>
        </w:r>
      </w:hyperlink>
    </w:p>
    <w:p w14:paraId="62A9D1D0" w14:textId="3C381AD0"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2" w:history="1">
        <w:r w:rsidRPr="0065458A">
          <w:rPr>
            <w:rStyle w:val="Lienhypertexte"/>
            <w:noProof/>
          </w:rPr>
          <w:t>4.8.</w:t>
        </w:r>
        <w:r>
          <w:rPr>
            <w:rFonts w:asciiTheme="minorHAnsi" w:eastAsiaTheme="minorEastAsia" w:hAnsiTheme="minorHAnsi" w:cstheme="minorBidi"/>
            <w:bCs w:val="0"/>
            <w:noProof/>
            <w:color w:val="auto"/>
            <w:sz w:val="22"/>
            <w:lang w:eastAsia="fr-FR"/>
          </w:rPr>
          <w:tab/>
        </w:r>
        <w:r w:rsidRPr="0065458A">
          <w:rPr>
            <w:rStyle w:val="Lienhypertexte"/>
            <w:noProof/>
          </w:rPr>
          <w:t>Documents à produire relatifs à l’OFFRE</w:t>
        </w:r>
        <w:r>
          <w:rPr>
            <w:noProof/>
            <w:webHidden/>
          </w:rPr>
          <w:tab/>
        </w:r>
        <w:r>
          <w:rPr>
            <w:noProof/>
            <w:webHidden/>
          </w:rPr>
          <w:fldChar w:fldCharType="begin"/>
        </w:r>
        <w:r>
          <w:rPr>
            <w:noProof/>
            <w:webHidden/>
          </w:rPr>
          <w:instrText xml:space="preserve"> PAGEREF _Toc208480492 \h </w:instrText>
        </w:r>
        <w:r>
          <w:rPr>
            <w:noProof/>
            <w:webHidden/>
          </w:rPr>
        </w:r>
        <w:r>
          <w:rPr>
            <w:noProof/>
            <w:webHidden/>
          </w:rPr>
          <w:fldChar w:fldCharType="separate"/>
        </w:r>
        <w:r>
          <w:rPr>
            <w:noProof/>
            <w:webHidden/>
          </w:rPr>
          <w:t>8</w:t>
        </w:r>
        <w:r>
          <w:rPr>
            <w:noProof/>
            <w:webHidden/>
          </w:rPr>
          <w:fldChar w:fldCharType="end"/>
        </w:r>
      </w:hyperlink>
    </w:p>
    <w:p w14:paraId="27E3146C" w14:textId="7AC41AB3" w:rsidR="00980D5A" w:rsidRDefault="00980D5A">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8480493" w:history="1">
        <w:r w:rsidRPr="0065458A">
          <w:rPr>
            <w:rStyle w:val="Lienhypertexte"/>
            <w:noProof/>
            <w14:scene3d>
              <w14:camera w14:prst="orthographicFront"/>
              <w14:lightRig w14:rig="threePt" w14:dir="t">
                <w14:rot w14:lat="0" w14:lon="0" w14:rev="0"/>
              </w14:lightRig>
            </w14:scene3d>
          </w:rPr>
          <w:t>ARTICLE 5.</w:t>
        </w:r>
        <w:r>
          <w:rPr>
            <w:rFonts w:asciiTheme="minorHAnsi" w:eastAsiaTheme="minorEastAsia" w:hAnsiTheme="minorHAnsi" w:cstheme="minorBidi"/>
            <w:b w:val="0"/>
            <w:bCs w:val="0"/>
            <w:iCs w:val="0"/>
            <w:noProof/>
            <w:color w:val="auto"/>
            <w:sz w:val="22"/>
            <w:szCs w:val="22"/>
            <w:lang w:eastAsia="fr-FR"/>
          </w:rPr>
          <w:tab/>
        </w:r>
        <w:r w:rsidRPr="0065458A">
          <w:rPr>
            <w:rStyle w:val="Lienhypertexte"/>
            <w:noProof/>
          </w:rPr>
          <w:t>Conditions de jugement des candidatures et offres</w:t>
        </w:r>
        <w:r>
          <w:rPr>
            <w:noProof/>
            <w:webHidden/>
          </w:rPr>
          <w:tab/>
        </w:r>
        <w:r>
          <w:rPr>
            <w:noProof/>
            <w:webHidden/>
          </w:rPr>
          <w:fldChar w:fldCharType="begin"/>
        </w:r>
        <w:r>
          <w:rPr>
            <w:noProof/>
            <w:webHidden/>
          </w:rPr>
          <w:instrText xml:space="preserve"> PAGEREF _Toc208480493 \h </w:instrText>
        </w:r>
        <w:r>
          <w:rPr>
            <w:noProof/>
            <w:webHidden/>
          </w:rPr>
        </w:r>
        <w:r>
          <w:rPr>
            <w:noProof/>
            <w:webHidden/>
          </w:rPr>
          <w:fldChar w:fldCharType="separate"/>
        </w:r>
        <w:r>
          <w:rPr>
            <w:noProof/>
            <w:webHidden/>
          </w:rPr>
          <w:t>9</w:t>
        </w:r>
        <w:r>
          <w:rPr>
            <w:noProof/>
            <w:webHidden/>
          </w:rPr>
          <w:fldChar w:fldCharType="end"/>
        </w:r>
      </w:hyperlink>
    </w:p>
    <w:p w14:paraId="4D933060" w14:textId="7105E2ED"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4" w:history="1">
        <w:r w:rsidRPr="0065458A">
          <w:rPr>
            <w:rStyle w:val="Lienhypertexte"/>
            <w:noProof/>
          </w:rPr>
          <w:t>5.1.</w:t>
        </w:r>
        <w:r>
          <w:rPr>
            <w:rFonts w:asciiTheme="minorHAnsi" w:eastAsiaTheme="minorEastAsia" w:hAnsiTheme="minorHAnsi" w:cstheme="minorBidi"/>
            <w:bCs w:val="0"/>
            <w:noProof/>
            <w:color w:val="auto"/>
            <w:sz w:val="22"/>
            <w:lang w:eastAsia="fr-FR"/>
          </w:rPr>
          <w:tab/>
        </w:r>
        <w:r w:rsidRPr="0065458A">
          <w:rPr>
            <w:rStyle w:val="Lienhypertexte"/>
            <w:noProof/>
          </w:rPr>
          <w:t>Analyse de la conformité des candidatures et offres</w:t>
        </w:r>
        <w:r>
          <w:rPr>
            <w:noProof/>
            <w:webHidden/>
          </w:rPr>
          <w:tab/>
        </w:r>
        <w:r>
          <w:rPr>
            <w:noProof/>
            <w:webHidden/>
          </w:rPr>
          <w:fldChar w:fldCharType="begin"/>
        </w:r>
        <w:r>
          <w:rPr>
            <w:noProof/>
            <w:webHidden/>
          </w:rPr>
          <w:instrText xml:space="preserve"> PAGEREF _Toc208480494 \h </w:instrText>
        </w:r>
        <w:r>
          <w:rPr>
            <w:noProof/>
            <w:webHidden/>
          </w:rPr>
        </w:r>
        <w:r>
          <w:rPr>
            <w:noProof/>
            <w:webHidden/>
          </w:rPr>
          <w:fldChar w:fldCharType="separate"/>
        </w:r>
        <w:r>
          <w:rPr>
            <w:noProof/>
            <w:webHidden/>
          </w:rPr>
          <w:t>9</w:t>
        </w:r>
        <w:r>
          <w:rPr>
            <w:noProof/>
            <w:webHidden/>
          </w:rPr>
          <w:fldChar w:fldCharType="end"/>
        </w:r>
      </w:hyperlink>
    </w:p>
    <w:p w14:paraId="22B3B51C" w14:textId="64112B46"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5" w:history="1">
        <w:r w:rsidRPr="0065458A">
          <w:rPr>
            <w:rStyle w:val="Lienhypertexte"/>
            <w:noProof/>
          </w:rPr>
          <w:t>5.2.</w:t>
        </w:r>
        <w:r>
          <w:rPr>
            <w:rFonts w:asciiTheme="minorHAnsi" w:eastAsiaTheme="minorEastAsia" w:hAnsiTheme="minorHAnsi" w:cstheme="minorBidi"/>
            <w:bCs w:val="0"/>
            <w:noProof/>
            <w:color w:val="auto"/>
            <w:sz w:val="22"/>
            <w:lang w:eastAsia="fr-FR"/>
          </w:rPr>
          <w:tab/>
        </w:r>
        <w:r w:rsidRPr="0065458A">
          <w:rPr>
            <w:rStyle w:val="Lienhypertexte"/>
            <w:noProof/>
          </w:rPr>
          <w:t>Sélection des candidatures</w:t>
        </w:r>
        <w:r>
          <w:rPr>
            <w:noProof/>
            <w:webHidden/>
          </w:rPr>
          <w:tab/>
        </w:r>
        <w:r>
          <w:rPr>
            <w:noProof/>
            <w:webHidden/>
          </w:rPr>
          <w:fldChar w:fldCharType="begin"/>
        </w:r>
        <w:r>
          <w:rPr>
            <w:noProof/>
            <w:webHidden/>
          </w:rPr>
          <w:instrText xml:space="preserve"> PAGEREF _Toc208480495 \h </w:instrText>
        </w:r>
        <w:r>
          <w:rPr>
            <w:noProof/>
            <w:webHidden/>
          </w:rPr>
        </w:r>
        <w:r>
          <w:rPr>
            <w:noProof/>
            <w:webHidden/>
          </w:rPr>
          <w:fldChar w:fldCharType="separate"/>
        </w:r>
        <w:r>
          <w:rPr>
            <w:noProof/>
            <w:webHidden/>
          </w:rPr>
          <w:t>9</w:t>
        </w:r>
        <w:r>
          <w:rPr>
            <w:noProof/>
            <w:webHidden/>
          </w:rPr>
          <w:fldChar w:fldCharType="end"/>
        </w:r>
      </w:hyperlink>
    </w:p>
    <w:p w14:paraId="6337ABAA" w14:textId="23DCFA89"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6" w:history="1">
        <w:r w:rsidRPr="0065458A">
          <w:rPr>
            <w:rStyle w:val="Lienhypertexte"/>
            <w:noProof/>
          </w:rPr>
          <w:t>5.3.</w:t>
        </w:r>
        <w:r>
          <w:rPr>
            <w:rFonts w:asciiTheme="minorHAnsi" w:eastAsiaTheme="minorEastAsia" w:hAnsiTheme="minorHAnsi" w:cstheme="minorBidi"/>
            <w:bCs w:val="0"/>
            <w:noProof/>
            <w:color w:val="auto"/>
            <w:sz w:val="22"/>
            <w:lang w:eastAsia="fr-FR"/>
          </w:rPr>
          <w:tab/>
        </w:r>
        <w:r w:rsidRPr="0065458A">
          <w:rPr>
            <w:rStyle w:val="Lienhypertexte"/>
            <w:noProof/>
          </w:rPr>
          <w:t>Disposition pour la vérification des offres</w:t>
        </w:r>
        <w:r>
          <w:rPr>
            <w:noProof/>
            <w:webHidden/>
          </w:rPr>
          <w:tab/>
        </w:r>
        <w:r>
          <w:rPr>
            <w:noProof/>
            <w:webHidden/>
          </w:rPr>
          <w:fldChar w:fldCharType="begin"/>
        </w:r>
        <w:r>
          <w:rPr>
            <w:noProof/>
            <w:webHidden/>
          </w:rPr>
          <w:instrText xml:space="preserve"> PAGEREF _Toc208480496 \h </w:instrText>
        </w:r>
        <w:r>
          <w:rPr>
            <w:noProof/>
            <w:webHidden/>
          </w:rPr>
        </w:r>
        <w:r>
          <w:rPr>
            <w:noProof/>
            <w:webHidden/>
          </w:rPr>
          <w:fldChar w:fldCharType="separate"/>
        </w:r>
        <w:r>
          <w:rPr>
            <w:noProof/>
            <w:webHidden/>
          </w:rPr>
          <w:t>9</w:t>
        </w:r>
        <w:r>
          <w:rPr>
            <w:noProof/>
            <w:webHidden/>
          </w:rPr>
          <w:fldChar w:fldCharType="end"/>
        </w:r>
      </w:hyperlink>
    </w:p>
    <w:p w14:paraId="69C1974F" w14:textId="09BBCA4B"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7" w:history="1">
        <w:r w:rsidRPr="0065458A">
          <w:rPr>
            <w:rStyle w:val="Lienhypertexte"/>
            <w:noProof/>
          </w:rPr>
          <w:t>5.4.</w:t>
        </w:r>
        <w:r>
          <w:rPr>
            <w:rFonts w:asciiTheme="minorHAnsi" w:eastAsiaTheme="minorEastAsia" w:hAnsiTheme="minorHAnsi" w:cstheme="minorBidi"/>
            <w:bCs w:val="0"/>
            <w:noProof/>
            <w:color w:val="auto"/>
            <w:sz w:val="22"/>
            <w:lang w:eastAsia="fr-FR"/>
          </w:rPr>
          <w:tab/>
        </w:r>
        <w:r w:rsidRPr="0065458A">
          <w:rPr>
            <w:rStyle w:val="Lienhypertexte"/>
            <w:noProof/>
          </w:rPr>
          <w:t>Choix de l’offre attributaire – critères d’évaluation des offres</w:t>
        </w:r>
        <w:r>
          <w:rPr>
            <w:noProof/>
            <w:webHidden/>
          </w:rPr>
          <w:tab/>
        </w:r>
        <w:r>
          <w:rPr>
            <w:noProof/>
            <w:webHidden/>
          </w:rPr>
          <w:fldChar w:fldCharType="begin"/>
        </w:r>
        <w:r>
          <w:rPr>
            <w:noProof/>
            <w:webHidden/>
          </w:rPr>
          <w:instrText xml:space="preserve"> PAGEREF _Toc208480497 \h </w:instrText>
        </w:r>
        <w:r>
          <w:rPr>
            <w:noProof/>
            <w:webHidden/>
          </w:rPr>
        </w:r>
        <w:r>
          <w:rPr>
            <w:noProof/>
            <w:webHidden/>
          </w:rPr>
          <w:fldChar w:fldCharType="separate"/>
        </w:r>
        <w:r>
          <w:rPr>
            <w:noProof/>
            <w:webHidden/>
          </w:rPr>
          <w:t>9</w:t>
        </w:r>
        <w:r>
          <w:rPr>
            <w:noProof/>
            <w:webHidden/>
          </w:rPr>
          <w:fldChar w:fldCharType="end"/>
        </w:r>
      </w:hyperlink>
    </w:p>
    <w:p w14:paraId="42D6A9E2" w14:textId="38DB5F78" w:rsidR="00980D5A" w:rsidRDefault="00980D5A">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8480498" w:history="1">
        <w:r w:rsidRPr="0065458A">
          <w:rPr>
            <w:rStyle w:val="Lienhypertexte"/>
            <w:noProof/>
            <w14:scene3d>
              <w14:camera w14:prst="orthographicFront"/>
              <w14:lightRig w14:rig="threePt" w14:dir="t">
                <w14:rot w14:lat="0" w14:lon="0" w14:rev="0"/>
              </w14:lightRig>
            </w14:scene3d>
          </w:rPr>
          <w:t>ARTICLE 6.</w:t>
        </w:r>
        <w:r>
          <w:rPr>
            <w:rFonts w:asciiTheme="minorHAnsi" w:eastAsiaTheme="minorEastAsia" w:hAnsiTheme="minorHAnsi" w:cstheme="minorBidi"/>
            <w:b w:val="0"/>
            <w:bCs w:val="0"/>
            <w:iCs w:val="0"/>
            <w:noProof/>
            <w:color w:val="auto"/>
            <w:sz w:val="22"/>
            <w:szCs w:val="22"/>
            <w:lang w:eastAsia="fr-FR"/>
          </w:rPr>
          <w:tab/>
        </w:r>
        <w:r w:rsidRPr="0065458A">
          <w:rPr>
            <w:rStyle w:val="Lienhypertexte"/>
            <w:noProof/>
          </w:rPr>
          <w:t>Négociation</w:t>
        </w:r>
        <w:r>
          <w:rPr>
            <w:noProof/>
            <w:webHidden/>
          </w:rPr>
          <w:tab/>
        </w:r>
        <w:r>
          <w:rPr>
            <w:noProof/>
            <w:webHidden/>
          </w:rPr>
          <w:fldChar w:fldCharType="begin"/>
        </w:r>
        <w:r>
          <w:rPr>
            <w:noProof/>
            <w:webHidden/>
          </w:rPr>
          <w:instrText xml:space="preserve"> PAGEREF _Toc208480498 \h </w:instrText>
        </w:r>
        <w:r>
          <w:rPr>
            <w:noProof/>
            <w:webHidden/>
          </w:rPr>
        </w:r>
        <w:r>
          <w:rPr>
            <w:noProof/>
            <w:webHidden/>
          </w:rPr>
          <w:fldChar w:fldCharType="separate"/>
        </w:r>
        <w:r>
          <w:rPr>
            <w:noProof/>
            <w:webHidden/>
          </w:rPr>
          <w:t>11</w:t>
        </w:r>
        <w:r>
          <w:rPr>
            <w:noProof/>
            <w:webHidden/>
          </w:rPr>
          <w:fldChar w:fldCharType="end"/>
        </w:r>
      </w:hyperlink>
    </w:p>
    <w:p w14:paraId="40402A6E" w14:textId="6AEDE35A"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499" w:history="1">
        <w:r w:rsidRPr="0065458A">
          <w:rPr>
            <w:rStyle w:val="Lienhypertexte"/>
            <w:noProof/>
          </w:rPr>
          <w:t>6.1.</w:t>
        </w:r>
        <w:r>
          <w:rPr>
            <w:rFonts w:asciiTheme="minorHAnsi" w:eastAsiaTheme="minorEastAsia" w:hAnsiTheme="minorHAnsi" w:cstheme="minorBidi"/>
            <w:bCs w:val="0"/>
            <w:noProof/>
            <w:color w:val="auto"/>
            <w:sz w:val="22"/>
            <w:lang w:eastAsia="fr-FR"/>
          </w:rPr>
          <w:tab/>
        </w:r>
        <w:r w:rsidRPr="0065458A">
          <w:rPr>
            <w:rStyle w:val="Lienhypertexte"/>
            <w:noProof/>
          </w:rPr>
          <w:t>Négociation écrite</w:t>
        </w:r>
        <w:r>
          <w:rPr>
            <w:noProof/>
            <w:webHidden/>
          </w:rPr>
          <w:tab/>
        </w:r>
        <w:r>
          <w:rPr>
            <w:noProof/>
            <w:webHidden/>
          </w:rPr>
          <w:fldChar w:fldCharType="begin"/>
        </w:r>
        <w:r>
          <w:rPr>
            <w:noProof/>
            <w:webHidden/>
          </w:rPr>
          <w:instrText xml:space="preserve"> PAGEREF _Toc208480499 \h </w:instrText>
        </w:r>
        <w:r>
          <w:rPr>
            <w:noProof/>
            <w:webHidden/>
          </w:rPr>
        </w:r>
        <w:r>
          <w:rPr>
            <w:noProof/>
            <w:webHidden/>
          </w:rPr>
          <w:fldChar w:fldCharType="separate"/>
        </w:r>
        <w:r>
          <w:rPr>
            <w:noProof/>
            <w:webHidden/>
          </w:rPr>
          <w:t>12</w:t>
        </w:r>
        <w:r>
          <w:rPr>
            <w:noProof/>
            <w:webHidden/>
          </w:rPr>
          <w:fldChar w:fldCharType="end"/>
        </w:r>
      </w:hyperlink>
    </w:p>
    <w:p w14:paraId="78A883F1" w14:textId="4663218D"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500" w:history="1">
        <w:r w:rsidRPr="0065458A">
          <w:rPr>
            <w:rStyle w:val="Lienhypertexte"/>
            <w:noProof/>
          </w:rPr>
          <w:t>6.2.</w:t>
        </w:r>
        <w:r>
          <w:rPr>
            <w:rFonts w:asciiTheme="minorHAnsi" w:eastAsiaTheme="minorEastAsia" w:hAnsiTheme="minorHAnsi" w:cstheme="minorBidi"/>
            <w:bCs w:val="0"/>
            <w:noProof/>
            <w:color w:val="auto"/>
            <w:sz w:val="22"/>
            <w:lang w:eastAsia="fr-FR"/>
          </w:rPr>
          <w:tab/>
        </w:r>
        <w:r w:rsidRPr="0065458A">
          <w:rPr>
            <w:rStyle w:val="Lienhypertexte"/>
            <w:noProof/>
          </w:rPr>
          <w:t>Négociation orale</w:t>
        </w:r>
        <w:r>
          <w:rPr>
            <w:noProof/>
            <w:webHidden/>
          </w:rPr>
          <w:tab/>
        </w:r>
        <w:r>
          <w:rPr>
            <w:noProof/>
            <w:webHidden/>
          </w:rPr>
          <w:fldChar w:fldCharType="begin"/>
        </w:r>
        <w:r>
          <w:rPr>
            <w:noProof/>
            <w:webHidden/>
          </w:rPr>
          <w:instrText xml:space="preserve"> PAGEREF _Toc208480500 \h </w:instrText>
        </w:r>
        <w:r>
          <w:rPr>
            <w:noProof/>
            <w:webHidden/>
          </w:rPr>
        </w:r>
        <w:r>
          <w:rPr>
            <w:noProof/>
            <w:webHidden/>
          </w:rPr>
          <w:fldChar w:fldCharType="separate"/>
        </w:r>
        <w:r>
          <w:rPr>
            <w:noProof/>
            <w:webHidden/>
          </w:rPr>
          <w:t>12</w:t>
        </w:r>
        <w:r>
          <w:rPr>
            <w:noProof/>
            <w:webHidden/>
          </w:rPr>
          <w:fldChar w:fldCharType="end"/>
        </w:r>
      </w:hyperlink>
    </w:p>
    <w:p w14:paraId="73DAA76A" w14:textId="76FF9583" w:rsidR="00980D5A" w:rsidRDefault="00980D5A">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8480501" w:history="1">
        <w:r w:rsidRPr="0065458A">
          <w:rPr>
            <w:rStyle w:val="Lienhypertexte"/>
            <w:noProof/>
          </w:rPr>
          <w:t>6.3.</w:t>
        </w:r>
        <w:r>
          <w:rPr>
            <w:rFonts w:asciiTheme="minorHAnsi" w:eastAsiaTheme="minorEastAsia" w:hAnsiTheme="minorHAnsi" w:cstheme="minorBidi"/>
            <w:bCs w:val="0"/>
            <w:noProof/>
            <w:color w:val="auto"/>
            <w:sz w:val="22"/>
            <w:lang w:eastAsia="fr-FR"/>
          </w:rPr>
          <w:tab/>
        </w:r>
        <w:r w:rsidRPr="0065458A">
          <w:rPr>
            <w:rStyle w:val="Lienhypertexte"/>
            <w:noProof/>
          </w:rPr>
          <w:t>Issue des négociations - mise au point du contrat – documents à fournir avant notification</w:t>
        </w:r>
        <w:r>
          <w:rPr>
            <w:noProof/>
            <w:webHidden/>
          </w:rPr>
          <w:tab/>
        </w:r>
        <w:r>
          <w:rPr>
            <w:noProof/>
            <w:webHidden/>
          </w:rPr>
          <w:fldChar w:fldCharType="begin"/>
        </w:r>
        <w:r>
          <w:rPr>
            <w:noProof/>
            <w:webHidden/>
          </w:rPr>
          <w:instrText xml:space="preserve"> PAGEREF _Toc208480501 \h </w:instrText>
        </w:r>
        <w:r>
          <w:rPr>
            <w:noProof/>
            <w:webHidden/>
          </w:rPr>
        </w:r>
        <w:r>
          <w:rPr>
            <w:noProof/>
            <w:webHidden/>
          </w:rPr>
          <w:fldChar w:fldCharType="separate"/>
        </w:r>
        <w:r>
          <w:rPr>
            <w:noProof/>
            <w:webHidden/>
          </w:rPr>
          <w:t>12</w:t>
        </w:r>
        <w:r>
          <w:rPr>
            <w:noProof/>
            <w:webHidden/>
          </w:rPr>
          <w:fldChar w:fldCharType="end"/>
        </w:r>
      </w:hyperlink>
    </w:p>
    <w:p w14:paraId="133938F6" w14:textId="3F75E037" w:rsidR="000A3CE1" w:rsidRDefault="000A3CE1" w:rsidP="00121AF7">
      <w:pPr>
        <w:rPr>
          <w:rFonts w:cs="Calibri"/>
          <w:color w:val="244061"/>
          <w:szCs w:val="24"/>
        </w:rPr>
      </w:pPr>
      <w:r>
        <w:rPr>
          <w:rFonts w:cs="Calibri"/>
          <w:color w:val="244061"/>
          <w:szCs w:val="24"/>
        </w:rPr>
        <w:fldChar w:fldCharType="end"/>
      </w:r>
    </w:p>
    <w:p w14:paraId="154AF6B5" w14:textId="1BFEDCE0" w:rsidR="008A4BD2" w:rsidRPr="00D56C48" w:rsidRDefault="000A3CE1" w:rsidP="00CC005F">
      <w:pPr>
        <w:pStyle w:val="Titre1"/>
      </w:pPr>
      <w:r>
        <w:rPr>
          <w:rFonts w:cs="Calibri"/>
          <w:color w:val="244061"/>
          <w:szCs w:val="24"/>
        </w:rPr>
        <w:br w:type="page"/>
      </w:r>
      <w:bookmarkStart w:id="3" w:name="_Toc208480475"/>
      <w:r w:rsidR="008A4BD2" w:rsidRPr="00D56C48">
        <w:lastRenderedPageBreak/>
        <w:t xml:space="preserve">Objet de la </w:t>
      </w:r>
      <w:r w:rsidR="008A4BD2" w:rsidRPr="00CC005F">
        <w:t>consultation</w:t>
      </w:r>
      <w:bookmarkEnd w:id="0"/>
      <w:bookmarkEnd w:id="2"/>
      <w:bookmarkEnd w:id="3"/>
    </w:p>
    <w:p w14:paraId="77E74036" w14:textId="77777777" w:rsidR="00D37B68" w:rsidRPr="00587227" w:rsidRDefault="00276A69" w:rsidP="00FC7F6E">
      <w:r>
        <w:t>La présente</w:t>
      </w:r>
      <w:r w:rsidR="009322C9">
        <w:t xml:space="preserve"> consultation</w:t>
      </w:r>
      <w:r w:rsidR="00910C3B">
        <w:t xml:space="preserve"> </w:t>
      </w:r>
      <w:r w:rsidR="00935692">
        <w:t>concerne la mise e</w:t>
      </w:r>
      <w:r w:rsidR="005124A0">
        <w:t>n place d’un</w:t>
      </w:r>
      <w:r w:rsidR="00D37B68">
        <w:t xml:space="preserve"> </w:t>
      </w:r>
      <w:r w:rsidR="00D37B68" w:rsidRPr="00587227">
        <w:t xml:space="preserve">contrat de services ayant pour objet </w:t>
      </w:r>
      <w:r w:rsidR="00F55F9D" w:rsidRPr="00587227">
        <w:t xml:space="preserve">des </w:t>
      </w:r>
      <w:r w:rsidR="00587227" w:rsidRPr="00587227">
        <w:t>prestations de conseil et de mise en œuvre des relations presse</w:t>
      </w:r>
      <w:r w:rsidR="00F55F9D" w:rsidRPr="00587227">
        <w:t>.</w:t>
      </w:r>
    </w:p>
    <w:p w14:paraId="7D975C3D" w14:textId="77777777" w:rsidR="00D37B68" w:rsidRDefault="00D37B68" w:rsidP="00D37B68">
      <w:pPr>
        <w:suppressAutoHyphens w:val="0"/>
        <w:spacing w:after="200" w:line="276" w:lineRule="auto"/>
        <w:contextualSpacing/>
      </w:pPr>
      <w:r w:rsidRPr="00587227">
        <w:t xml:space="preserve">Le détail des </w:t>
      </w:r>
      <w:r w:rsidR="00587227" w:rsidRPr="00587227">
        <w:t xml:space="preserve">prestations </w:t>
      </w:r>
      <w:r w:rsidRPr="00587227">
        <w:t>attendue</w:t>
      </w:r>
      <w:r w:rsidR="00F55F9D" w:rsidRPr="00587227">
        <w:t>s figure</w:t>
      </w:r>
      <w:r w:rsidRPr="00587227">
        <w:t xml:space="preserve"> dans les documents techniques (CCTP).</w:t>
      </w:r>
    </w:p>
    <w:p w14:paraId="32BA7D7B" w14:textId="77777777" w:rsidR="00587227" w:rsidRDefault="00587227" w:rsidP="00D37B68">
      <w:pPr>
        <w:suppressAutoHyphens w:val="0"/>
        <w:spacing w:after="200" w:line="276" w:lineRule="auto"/>
        <w:contextualSpacing/>
      </w:pPr>
    </w:p>
    <w:p w14:paraId="376CB21F" w14:textId="77B9BA25" w:rsidR="00587227" w:rsidRPr="00252A40" w:rsidRDefault="00587227" w:rsidP="00587227">
      <w:pPr>
        <w:suppressAutoHyphens w:val="0"/>
        <w:spacing w:after="200" w:line="276" w:lineRule="auto"/>
        <w:contextualSpacing/>
        <w:rPr>
          <w:b/>
        </w:rPr>
      </w:pPr>
      <w:r w:rsidRPr="000F58F8">
        <w:t xml:space="preserve">La </w:t>
      </w:r>
      <w:r w:rsidRPr="000F58F8">
        <w:rPr>
          <w:b/>
        </w:rPr>
        <w:t>classification CPV</w:t>
      </w:r>
      <w:r w:rsidRPr="000F58F8">
        <w:t xml:space="preserve"> </w:t>
      </w:r>
      <w:r w:rsidR="00CC005F">
        <w:t xml:space="preserve">des </w:t>
      </w:r>
      <w:r w:rsidRPr="000F58F8">
        <w:t xml:space="preserve">prestations est la suivante : </w:t>
      </w:r>
      <w:r w:rsidRPr="00252A40">
        <w:rPr>
          <w:b/>
        </w:rPr>
        <w:t>92400000-5 : Service d’agences de presse</w:t>
      </w:r>
    </w:p>
    <w:p w14:paraId="5FFA3251" w14:textId="77777777" w:rsidR="00587227" w:rsidRDefault="00587227" w:rsidP="00E51E48"/>
    <w:p w14:paraId="1C692C36" w14:textId="2AA17508" w:rsidR="00E51E48" w:rsidRDefault="00E51E48" w:rsidP="00E51E48">
      <w:r w:rsidRPr="00587227">
        <w:t>Les prestations</w:t>
      </w:r>
      <w:r w:rsidR="00587227" w:rsidRPr="00587227">
        <w:t xml:space="preserve"> </w:t>
      </w:r>
      <w:r w:rsidRPr="00587227">
        <w:t xml:space="preserve">ne sont pas divisées en lots. Par conséquent, l’offre présentée par chaque candidat devra porter sur l’ensemble des </w:t>
      </w:r>
      <w:r w:rsidR="00587227" w:rsidRPr="00587227">
        <w:t xml:space="preserve">services </w:t>
      </w:r>
      <w:r w:rsidRPr="00587227">
        <w:t>objet de la consultation.</w:t>
      </w:r>
    </w:p>
    <w:p w14:paraId="7ADB9972" w14:textId="77777777" w:rsidR="00CC005F" w:rsidRPr="00CC005F" w:rsidRDefault="00CC005F" w:rsidP="00CC005F">
      <w:pPr>
        <w:rPr>
          <w:u w:val="single"/>
        </w:rPr>
      </w:pPr>
      <w:r w:rsidRPr="00CC005F">
        <w:rPr>
          <w:u w:val="single"/>
        </w:rPr>
        <w:t xml:space="preserve">Justification du non allotissement : </w:t>
      </w:r>
    </w:p>
    <w:p w14:paraId="37F48377" w14:textId="77777777" w:rsidR="00CC005F" w:rsidRPr="00CC005F" w:rsidRDefault="00CC005F" w:rsidP="00CC005F">
      <w:r w:rsidRPr="00CC005F">
        <w:t>Les prestations ne sont pas alloties car l’allotissement risquerait de rendre techniquement difficile l’exécution des prestations.</w:t>
      </w:r>
    </w:p>
    <w:p w14:paraId="0F1384D5" w14:textId="77777777" w:rsidR="00CC005F" w:rsidRDefault="00CC005F" w:rsidP="00E51E48"/>
    <w:p w14:paraId="09D1E4D8" w14:textId="77777777" w:rsidR="00276A69" w:rsidRDefault="007B01FD" w:rsidP="00276A69">
      <w:r>
        <w:t>La</w:t>
      </w:r>
      <w:r w:rsidR="00276A69" w:rsidRPr="00AA7F2B">
        <w:t xml:space="preserve"> présente consultation pourra être déclarée</w:t>
      </w:r>
      <w:r w:rsidR="00276A69">
        <w:t xml:space="preserve"> infructueu</w:t>
      </w:r>
      <w:r w:rsidR="00276A69" w:rsidRPr="00AA7F2B">
        <w:t>se</w:t>
      </w:r>
      <w:r w:rsidR="00276A69" w:rsidRPr="00167218">
        <w:t xml:space="preserve"> ou sans suite sans que les candidats puissent prétendre à une indemnité.</w:t>
      </w:r>
    </w:p>
    <w:p w14:paraId="5444E20C" w14:textId="77777777" w:rsidR="000432EA" w:rsidRDefault="000432EA" w:rsidP="00CC005F">
      <w:pPr>
        <w:pStyle w:val="Titre1"/>
      </w:pPr>
      <w:bookmarkStart w:id="4" w:name="_Toc295049599"/>
      <w:bookmarkStart w:id="5" w:name="_Toc295308292"/>
      <w:bookmarkStart w:id="6" w:name="_Toc208480476"/>
      <w:r>
        <w:t>Caractéristiques principales du futur contrat</w:t>
      </w:r>
      <w:bookmarkEnd w:id="6"/>
    </w:p>
    <w:p w14:paraId="71A0CD4F" w14:textId="6C8A342C" w:rsidR="00B27F7C" w:rsidRDefault="00B27F7C" w:rsidP="0030087C">
      <w:pPr>
        <w:pStyle w:val="Titre2"/>
      </w:pPr>
      <w:bookmarkStart w:id="7" w:name="_Toc208480477"/>
      <w:r>
        <w:t>Forme du contrat</w:t>
      </w:r>
      <w:r w:rsidR="00B941C9">
        <w:t xml:space="preserve"> – minimum </w:t>
      </w:r>
      <w:r w:rsidR="00D954D3">
        <w:t>–</w:t>
      </w:r>
      <w:r w:rsidR="00B941C9">
        <w:t xml:space="preserve"> maximum</w:t>
      </w:r>
      <w:r w:rsidR="00D954D3">
        <w:t xml:space="preserve"> – prix unitaires plafond</w:t>
      </w:r>
      <w:bookmarkEnd w:id="7"/>
    </w:p>
    <w:p w14:paraId="40F13F91" w14:textId="77777777" w:rsidR="00276A69" w:rsidRPr="00CC005F" w:rsidRDefault="00276A69" w:rsidP="00276A69">
      <w:r w:rsidRPr="00587227">
        <w:t>Le contrat est un</w:t>
      </w:r>
      <w:r w:rsidR="006E62FC">
        <w:t xml:space="preserve"> accord-cadre mono-attributaire impliquant </w:t>
      </w:r>
      <w:r w:rsidR="006E62FC" w:rsidRPr="00CC005F">
        <w:t>l’émission de bons de commandes</w:t>
      </w:r>
    </w:p>
    <w:p w14:paraId="02207EDD" w14:textId="3A36AA7B" w:rsidR="00B941C9" w:rsidRDefault="006E62FC" w:rsidP="00B941C9">
      <w:r w:rsidRPr="00CC005F">
        <w:t xml:space="preserve">L’accord-cadre ne comporte pas de minimum. A titre indicatif, le nombre de </w:t>
      </w:r>
      <w:r w:rsidR="00CC005F">
        <w:t>missions</w:t>
      </w:r>
      <w:r w:rsidR="0074441C">
        <w:t xml:space="preserve"> listé</w:t>
      </w:r>
      <w:r w:rsidR="00073060">
        <w:t>es au BPU,</w:t>
      </w:r>
      <w:r w:rsidRPr="00CC005F">
        <w:t xml:space="preserve"> prévues par le Mucem est de 10 à 16 par année civile.</w:t>
      </w:r>
    </w:p>
    <w:p w14:paraId="12D0DB16" w14:textId="351CDED7" w:rsidR="00D954D3" w:rsidRDefault="00D954D3" w:rsidP="00B941C9">
      <w:pPr>
        <w:rPr>
          <w:highlight w:val="yellow"/>
        </w:rPr>
      </w:pPr>
      <w:r>
        <w:t xml:space="preserve">Le montant maximum du contrat sur la totalité de sa durée est </w:t>
      </w:r>
      <w:r w:rsidRPr="00677B6C">
        <w:rPr>
          <w:b/>
        </w:rPr>
        <w:t>de</w:t>
      </w:r>
      <w:r w:rsidR="00C90AA4" w:rsidRPr="00677B6C">
        <w:rPr>
          <w:b/>
        </w:rPr>
        <w:t xml:space="preserve"> </w:t>
      </w:r>
      <w:r w:rsidR="00B05085" w:rsidRPr="00677B6C">
        <w:rPr>
          <w:b/>
        </w:rPr>
        <w:t>432 000</w:t>
      </w:r>
      <w:r w:rsidRPr="00677B6C">
        <w:rPr>
          <w:b/>
        </w:rPr>
        <w:t xml:space="preserve"> €TTC</w:t>
      </w:r>
      <w:r w:rsidRPr="004A12C8">
        <w:t>.</w:t>
      </w:r>
    </w:p>
    <w:p w14:paraId="33AF87F4" w14:textId="77777777" w:rsidR="000432EA" w:rsidRDefault="000432EA" w:rsidP="0030087C">
      <w:pPr>
        <w:pStyle w:val="Titre2"/>
      </w:pPr>
      <w:bookmarkStart w:id="8" w:name="_Toc208480478"/>
      <w:r>
        <w:t>Durée</w:t>
      </w:r>
      <w:bookmarkEnd w:id="4"/>
      <w:bookmarkEnd w:id="5"/>
      <w:bookmarkEnd w:id="8"/>
    </w:p>
    <w:p w14:paraId="33317C0E" w14:textId="6E991AA7" w:rsidR="00B941C9" w:rsidRDefault="00B941C9" w:rsidP="001C4C9F">
      <w:r w:rsidRPr="00EE2B75">
        <w:t>Le contrat</w:t>
      </w:r>
      <w:r w:rsidR="000432EA" w:rsidRPr="00EE2B75">
        <w:t xml:space="preserve"> sera conclu pour une durée ferme de </w:t>
      </w:r>
      <w:r w:rsidR="00587227" w:rsidRPr="0074441C">
        <w:rPr>
          <w:b/>
        </w:rPr>
        <w:t>12</w:t>
      </w:r>
      <w:r w:rsidR="000432EA" w:rsidRPr="0074441C">
        <w:rPr>
          <w:b/>
        </w:rPr>
        <w:t xml:space="preserve"> mois à compter </w:t>
      </w:r>
      <w:r w:rsidR="00E5464A" w:rsidRPr="0074441C">
        <w:rPr>
          <w:b/>
        </w:rPr>
        <w:t>de l’entrée en vigueur du contrat</w:t>
      </w:r>
      <w:r w:rsidR="00E5464A">
        <w:t xml:space="preserve"> prévue le </w:t>
      </w:r>
      <w:r w:rsidR="00444B84">
        <w:t xml:space="preserve">5 janvier </w:t>
      </w:r>
      <w:r w:rsidR="0074441C">
        <w:t>202</w:t>
      </w:r>
      <w:r w:rsidR="005F551A">
        <w:t>6</w:t>
      </w:r>
      <w:r w:rsidR="00073060">
        <w:t xml:space="preserve">, </w:t>
      </w:r>
      <w:r w:rsidR="0074441C" w:rsidRPr="0074441C">
        <w:rPr>
          <w:b/>
        </w:rPr>
        <w:t xml:space="preserve">reconductible </w:t>
      </w:r>
      <w:r w:rsidR="00587227" w:rsidRPr="0074441C">
        <w:rPr>
          <w:b/>
        </w:rPr>
        <w:t>3</w:t>
      </w:r>
      <w:r w:rsidRPr="0074441C">
        <w:rPr>
          <w:b/>
        </w:rPr>
        <w:t xml:space="preserve"> fois pour la même durée</w:t>
      </w:r>
      <w:r w:rsidR="00E5464A">
        <w:t>,</w:t>
      </w:r>
      <w:r w:rsidRPr="00EE2B75">
        <w:t xml:space="preserve"> </w:t>
      </w:r>
      <w:r w:rsidR="00EE2B75" w:rsidRPr="00EE2B75">
        <w:t>sauf dénonciation expresse de la part du Mucem notifiée par lettre ou courriel au titulaire trois mois avant la fin de l’année d’exécution en cours, sans que la durée totale ne puisse excéder quarante-huit (48) mois</w:t>
      </w:r>
      <w:r w:rsidRPr="00EE2B75">
        <w:t>.</w:t>
      </w:r>
    </w:p>
    <w:p w14:paraId="0C70E800" w14:textId="77777777" w:rsidR="000432EA" w:rsidRDefault="000432EA" w:rsidP="0030087C">
      <w:pPr>
        <w:pStyle w:val="Titre2"/>
      </w:pPr>
      <w:bookmarkStart w:id="9" w:name="_Toc136660926"/>
      <w:bookmarkStart w:id="10" w:name="_Toc216620937"/>
      <w:bookmarkStart w:id="11" w:name="_Toc295049603"/>
      <w:bookmarkStart w:id="12" w:name="_Toc295308296"/>
      <w:bookmarkStart w:id="13" w:name="_Toc208480479"/>
      <w:r>
        <w:t>Modalités essentielles de paiement et de financement</w:t>
      </w:r>
      <w:bookmarkEnd w:id="9"/>
      <w:bookmarkEnd w:id="10"/>
      <w:bookmarkEnd w:id="13"/>
    </w:p>
    <w:p w14:paraId="62810357" w14:textId="77777777" w:rsidR="000432EA" w:rsidRDefault="006E62FC" w:rsidP="00B63254">
      <w:bookmarkStart w:id="14" w:name="_Toc136660927"/>
      <w:r>
        <w:t>L’accord-cadre</w:t>
      </w:r>
      <w:r w:rsidR="000432EA">
        <w:t xml:space="preserve"> sera financé par mobilisation des ressources propres du </w:t>
      </w:r>
      <w:r w:rsidR="00E77E6C">
        <w:t>Mucem</w:t>
      </w:r>
      <w:r w:rsidR="000432EA">
        <w:t>.</w:t>
      </w:r>
    </w:p>
    <w:p w14:paraId="0A6A1B6B" w14:textId="77777777" w:rsidR="000432EA" w:rsidRDefault="000432EA" w:rsidP="00B63254">
      <w:r>
        <w:t xml:space="preserve">Le délai de paiement </w:t>
      </w:r>
      <w:r w:rsidR="00425A07">
        <w:t xml:space="preserve">du titulaire et des éventuels sous-traitants de premier rang </w:t>
      </w:r>
      <w:r>
        <w:t xml:space="preserve">est fixé à 30 jours à compter de la réception de la facture conforme, par le </w:t>
      </w:r>
      <w:r w:rsidR="00E77E6C">
        <w:t>Mucem</w:t>
      </w:r>
      <w:r>
        <w:t>.</w:t>
      </w:r>
    </w:p>
    <w:p w14:paraId="23AA802F" w14:textId="7F114E7C" w:rsidR="00803202" w:rsidRDefault="000432EA" w:rsidP="006E62FC">
      <w:r>
        <w:t>Les prix sont</w:t>
      </w:r>
      <w:r w:rsidR="006E62FC">
        <w:t xml:space="preserve"> unitaires</w:t>
      </w:r>
      <w:r w:rsidR="0074441C">
        <w:t>, fermes et définitifs pendant toute la durée du marché</w:t>
      </w:r>
      <w:r w:rsidR="00171BBF">
        <w:t>.</w:t>
      </w:r>
    </w:p>
    <w:p w14:paraId="5F045A46" w14:textId="77777777" w:rsidR="008A4BD2" w:rsidRDefault="00823C6A" w:rsidP="00CC005F">
      <w:pPr>
        <w:pStyle w:val="Titre1"/>
      </w:pPr>
      <w:bookmarkStart w:id="15" w:name="_Toc208480480"/>
      <w:bookmarkEnd w:id="11"/>
      <w:bookmarkEnd w:id="12"/>
      <w:bookmarkEnd w:id="14"/>
      <w:r>
        <w:t>Dossier</w:t>
      </w:r>
      <w:r w:rsidR="00F83791">
        <w:t xml:space="preserve"> de consultation</w:t>
      </w:r>
      <w:r>
        <w:t xml:space="preserve"> </w:t>
      </w:r>
      <w:r w:rsidR="006F5E72">
        <w:t xml:space="preserve">des entreprises </w:t>
      </w:r>
      <w:r>
        <w:t>(DCE)</w:t>
      </w:r>
      <w:bookmarkEnd w:id="15"/>
    </w:p>
    <w:p w14:paraId="4508090B" w14:textId="467164B2" w:rsidR="00823C6A" w:rsidRDefault="000D5746" w:rsidP="0030087C">
      <w:pPr>
        <w:pStyle w:val="Titre2"/>
      </w:pPr>
      <w:bookmarkStart w:id="16" w:name="_Ref303669526"/>
      <w:bookmarkStart w:id="17" w:name="_Ref303669584"/>
      <w:bookmarkStart w:id="18" w:name="_Toc208480481"/>
      <w:r>
        <w:t>Retrait des documents</w:t>
      </w:r>
      <w:r w:rsidR="00823C6A">
        <w:t xml:space="preserve"> de consultation</w:t>
      </w:r>
      <w:bookmarkEnd w:id="16"/>
      <w:bookmarkEnd w:id="17"/>
      <w:bookmarkEnd w:id="18"/>
    </w:p>
    <w:p w14:paraId="70A38760" w14:textId="217D0991" w:rsidR="002D7218" w:rsidRDefault="002D7218" w:rsidP="002D7218">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w:t>
      </w:r>
      <w:r w:rsidRPr="008C5668">
        <w:t xml:space="preserve">libre, direct et complet, à l’adresse suivante : </w:t>
      </w:r>
      <w:hyperlink r:id="rId9" w:history="1">
        <w:r w:rsidR="00073060" w:rsidRPr="00073060">
          <w:rPr>
            <w:rStyle w:val="Lienhypertexte"/>
          </w:rPr>
          <w:t>https://www.marches-publics.gouv.fr</w:t>
        </w:r>
      </w:hyperlink>
      <w:r w:rsidR="00D052E6" w:rsidRPr="008C5668">
        <w:t>,</w:t>
      </w:r>
      <w:r w:rsidR="007F315E" w:rsidRPr="008C5668">
        <w:t xml:space="preserve"> sous la référence </w:t>
      </w:r>
      <w:r w:rsidR="00EE2B75" w:rsidRPr="00073060">
        <w:t>C202</w:t>
      </w:r>
      <w:r w:rsidR="006E62FC" w:rsidRPr="00073060">
        <w:t>5</w:t>
      </w:r>
      <w:r w:rsidR="007F315E" w:rsidRPr="00073060">
        <w:t>_</w:t>
      </w:r>
      <w:r w:rsidR="00EE2B75" w:rsidRPr="00073060">
        <w:t>COM02</w:t>
      </w:r>
      <w:r w:rsidR="007F315E" w:rsidRPr="00073060">
        <w:t>.</w:t>
      </w:r>
    </w:p>
    <w:p w14:paraId="4C8D6157" w14:textId="77777777" w:rsidR="00823C6A" w:rsidRDefault="00823C6A" w:rsidP="0030087C">
      <w:pPr>
        <w:pStyle w:val="Titre2"/>
      </w:pPr>
      <w:bookmarkStart w:id="19" w:name="_Toc208480482"/>
      <w:r>
        <w:t>Composition du DCE</w:t>
      </w:r>
      <w:bookmarkEnd w:id="19"/>
    </w:p>
    <w:p w14:paraId="66DC1CFF"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45C51E79" w14:textId="77777777" w:rsidTr="009342DA">
        <w:tc>
          <w:tcPr>
            <w:tcW w:w="9628" w:type="dxa"/>
          </w:tcPr>
          <w:p w14:paraId="25514D09" w14:textId="57868BEE" w:rsidR="00F0351B" w:rsidRDefault="00F0351B" w:rsidP="003C4398">
            <w:pPr>
              <w:pStyle w:val="Listepuces"/>
            </w:pPr>
            <w:r>
              <w:t xml:space="preserve">le présent </w:t>
            </w:r>
            <w:r w:rsidRPr="007F315E">
              <w:rPr>
                <w:b/>
              </w:rPr>
              <w:t>règlement de la consultation</w:t>
            </w:r>
            <w:r>
              <w:t xml:space="preserve"> (RC)</w:t>
            </w:r>
            <w:r w:rsidR="00605512">
              <w:t xml:space="preserve"> </w:t>
            </w:r>
            <w:r w:rsidR="00605512" w:rsidRPr="00EE2B75">
              <w:t>et s</w:t>
            </w:r>
            <w:r w:rsidR="00073060">
              <w:t>es</w:t>
            </w:r>
            <w:r w:rsidR="00605512" w:rsidRPr="00EE2B75">
              <w:t xml:space="preserve"> annexe</w:t>
            </w:r>
            <w:r w:rsidR="00073060">
              <w:t>s</w:t>
            </w:r>
            <w:r w:rsidR="00605512" w:rsidRPr="00EE2B75">
              <w:t> :</w:t>
            </w:r>
          </w:p>
          <w:p w14:paraId="3B052969" w14:textId="091F9E9A" w:rsidR="00D052E6" w:rsidRPr="00073060" w:rsidRDefault="00D052E6" w:rsidP="00073060">
            <w:pPr>
              <w:pStyle w:val="Listepuces2"/>
            </w:pPr>
            <w:r w:rsidRPr="004E7FC3">
              <w:t>annexe 1 : présentation de candidature sous forme de DUME</w:t>
            </w:r>
            <w:r w:rsidR="004E7FC3" w:rsidRPr="004E7FC3">
              <w:t xml:space="preserve"> (</w:t>
            </w:r>
            <w:r w:rsidR="004E7FC3" w:rsidRPr="004E7FC3">
              <w:rPr>
                <w:i/>
              </w:rPr>
              <w:t xml:space="preserve">Document Unique de </w:t>
            </w:r>
            <w:r w:rsidR="004E7FC3" w:rsidRPr="00EE2B75">
              <w:rPr>
                <w:i/>
              </w:rPr>
              <w:t>Marché Européen)</w:t>
            </w:r>
          </w:p>
          <w:p w14:paraId="1D1439F0" w14:textId="2B802384" w:rsidR="00073060" w:rsidRPr="00EE2B75" w:rsidRDefault="00073060" w:rsidP="00073060">
            <w:pPr>
              <w:pStyle w:val="Listepuces2"/>
            </w:pPr>
            <w:r>
              <w:t>annexe 2 : cadre de réponse technique</w:t>
            </w:r>
          </w:p>
          <w:p w14:paraId="50128480" w14:textId="77777777" w:rsidR="00DF3F27" w:rsidRDefault="00F0351B" w:rsidP="003C4398">
            <w:pPr>
              <w:pStyle w:val="Listepuces"/>
            </w:pPr>
            <w:r w:rsidRPr="00EE2B75">
              <w:t xml:space="preserve">le </w:t>
            </w:r>
            <w:r w:rsidR="00DF3F27" w:rsidRPr="00EE2B75">
              <w:t>CC</w:t>
            </w:r>
            <w:r w:rsidR="00AA7F2B" w:rsidRPr="00EE2B75">
              <w:t>A</w:t>
            </w:r>
            <w:r w:rsidR="00DF3F27" w:rsidRPr="00EE2B75">
              <w:t xml:space="preserve">P valant acte d’engagement </w:t>
            </w:r>
            <w:r w:rsidRPr="00EE2B75">
              <w:t xml:space="preserve">et </w:t>
            </w:r>
            <w:r w:rsidR="00C64E31" w:rsidRPr="00EE2B75">
              <w:t>s</w:t>
            </w:r>
            <w:r w:rsidR="00DF3F27" w:rsidRPr="00EE2B75">
              <w:t>es annexes</w:t>
            </w:r>
            <w:r w:rsidR="007F315E" w:rsidRPr="00EE2B75">
              <w:t> :</w:t>
            </w:r>
          </w:p>
          <w:p w14:paraId="7171F6CB" w14:textId="0BB45751" w:rsidR="003C4398" w:rsidRPr="00171BBF" w:rsidRDefault="003C4398" w:rsidP="00073060">
            <w:pPr>
              <w:pStyle w:val="Listepuces2"/>
            </w:pPr>
            <w:r w:rsidRPr="00171BBF">
              <w:lastRenderedPageBreak/>
              <w:t>Annexe 1 : annexe financière (bordereau des prix unitaires</w:t>
            </w:r>
            <w:r w:rsidR="0074441C" w:rsidRPr="00171BBF">
              <w:t>,</w:t>
            </w:r>
            <w:r w:rsidRPr="00171BBF">
              <w:t xml:space="preserve"> désigné sous le terme « BPU »)</w:t>
            </w:r>
          </w:p>
          <w:p w14:paraId="3630F24C" w14:textId="31154186" w:rsidR="003C4398" w:rsidRPr="00935F87" w:rsidRDefault="003C4398" w:rsidP="00073060">
            <w:pPr>
              <w:pStyle w:val="Listepuces2"/>
            </w:pPr>
            <w:r>
              <w:t xml:space="preserve">Annexe </w:t>
            </w:r>
            <w:r w:rsidR="00171BBF">
              <w:t>2</w:t>
            </w:r>
            <w:r>
              <w:t> : éventuelle demande d’acceptation</w:t>
            </w:r>
            <w:r w:rsidRPr="009D179F">
              <w:t xml:space="preserve"> de sous-traitant</w:t>
            </w:r>
            <w:r>
              <w:t xml:space="preserve"> avant notification du contrat </w:t>
            </w:r>
            <w:r>
              <w:rPr>
                <w:i/>
              </w:rPr>
              <w:t>le cas échéant (</w:t>
            </w:r>
            <w:r w:rsidRPr="00FD1597">
              <w:rPr>
                <w:i/>
                <w:color w:val="00B0F0"/>
              </w:rPr>
              <w:t>voir le modèle de DC4 fourni par le Mucem</w:t>
            </w:r>
            <w:r>
              <w:rPr>
                <w:i/>
              </w:rPr>
              <w:t>)</w:t>
            </w:r>
          </w:p>
          <w:p w14:paraId="3BD193DF" w14:textId="5FB31FEC" w:rsidR="00935F87" w:rsidRDefault="00935F87" w:rsidP="00935F87">
            <w:pPr>
              <w:pStyle w:val="Listepuces"/>
            </w:pPr>
            <w:r w:rsidRPr="00EA54AC">
              <w:rPr>
                <w:b/>
              </w:rPr>
              <w:t>le</w:t>
            </w:r>
            <w:r w:rsidRPr="003C6290">
              <w:t xml:space="preserve"> </w:t>
            </w:r>
            <w:r>
              <w:rPr>
                <w:b/>
              </w:rPr>
              <w:t>C</w:t>
            </w:r>
            <w:r w:rsidRPr="003C6290">
              <w:rPr>
                <w:b/>
              </w:rPr>
              <w:t xml:space="preserve">ahier des </w:t>
            </w:r>
            <w:r>
              <w:rPr>
                <w:b/>
              </w:rPr>
              <w:t>C</w:t>
            </w:r>
            <w:r w:rsidRPr="003C6290">
              <w:rPr>
                <w:b/>
              </w:rPr>
              <w:t xml:space="preserve">lauses </w:t>
            </w:r>
            <w:r>
              <w:rPr>
                <w:b/>
              </w:rPr>
              <w:t>T</w:t>
            </w:r>
            <w:r w:rsidRPr="003C6290">
              <w:rPr>
                <w:b/>
              </w:rPr>
              <w:t xml:space="preserve">echniques </w:t>
            </w:r>
            <w:r>
              <w:rPr>
                <w:b/>
              </w:rPr>
              <w:t>P</w:t>
            </w:r>
            <w:r w:rsidRPr="003C6290">
              <w:rPr>
                <w:b/>
              </w:rPr>
              <w:t>articulières</w:t>
            </w:r>
            <w:r w:rsidRPr="003C6290">
              <w:t xml:space="preserve"> (CCTP) et s</w:t>
            </w:r>
            <w:r>
              <w:t>on</w:t>
            </w:r>
            <w:r w:rsidRPr="003C6290">
              <w:t xml:space="preserve"> annexe</w:t>
            </w:r>
            <w:r>
              <w:t> :</w:t>
            </w:r>
          </w:p>
          <w:p w14:paraId="0ECC116C" w14:textId="1153B0A9" w:rsidR="00F0351B" w:rsidRPr="003C4398" w:rsidRDefault="003C4398" w:rsidP="00073060">
            <w:pPr>
              <w:pStyle w:val="Listepuces2"/>
            </w:pPr>
            <w:r>
              <w:t xml:space="preserve">Annexe </w:t>
            </w:r>
            <w:r w:rsidR="00935F87">
              <w:t>1</w:t>
            </w:r>
            <w:r>
              <w:t> : Programmation des expositions 2026</w:t>
            </w:r>
          </w:p>
        </w:tc>
      </w:tr>
    </w:tbl>
    <w:p w14:paraId="01043BD4" w14:textId="77777777" w:rsidR="009342DA" w:rsidRDefault="009342DA" w:rsidP="009342DA">
      <w:pPr>
        <w:rPr>
          <w:b/>
          <w:u w:val="single"/>
        </w:rPr>
      </w:pPr>
      <w:bookmarkStart w:id="20" w:name="_Toc295049606"/>
      <w:bookmarkStart w:id="21" w:name="_Toc295308299"/>
      <w:r>
        <w:rPr>
          <w:b/>
          <w:u w:val="single"/>
        </w:rPr>
        <w:lastRenderedPageBreak/>
        <w:t xml:space="preserve">Note : </w:t>
      </w:r>
    </w:p>
    <w:p w14:paraId="1A77D86F" w14:textId="77777777" w:rsidR="009342DA" w:rsidRDefault="009342DA" w:rsidP="009342DA">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02B6D872" w14:textId="77777777" w:rsidR="009342DA" w:rsidRDefault="009342DA" w:rsidP="009342DA">
      <w:r>
        <w:t>C’est dans ce cadre qu’a été pris</w:t>
      </w:r>
      <w:hyperlink r:id="rId10"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30720F94" w14:textId="37890F22" w:rsidR="009342DA" w:rsidRPr="009342DA" w:rsidRDefault="009342DA" w:rsidP="006811F9">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1771B60A" w14:textId="77777777" w:rsidR="009342DA" w:rsidRDefault="009342DA" w:rsidP="006811F9">
      <w:pPr>
        <w:rPr>
          <w:b/>
          <w:u w:val="single"/>
        </w:rPr>
      </w:pPr>
    </w:p>
    <w:p w14:paraId="362ED150" w14:textId="22CC6CAC" w:rsidR="006811F9" w:rsidRPr="009046B6" w:rsidRDefault="006811F9" w:rsidP="006811F9">
      <w:pPr>
        <w:rPr>
          <w:b/>
        </w:rPr>
      </w:pPr>
      <w:r w:rsidRPr="009359CC">
        <w:rPr>
          <w:b/>
          <w:u w:val="single"/>
        </w:rPr>
        <w:t>IMPORTANT</w:t>
      </w:r>
      <w:r w:rsidRPr="009046B6">
        <w:rPr>
          <w:b/>
        </w:rPr>
        <w:t> :</w:t>
      </w:r>
    </w:p>
    <w:p w14:paraId="3D20BD3C"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2C08721A" w14:textId="77777777" w:rsidR="00823C6A" w:rsidRPr="00EE2B75" w:rsidRDefault="00823C6A" w:rsidP="0030087C">
      <w:pPr>
        <w:pStyle w:val="Titre2"/>
      </w:pPr>
      <w:bookmarkStart w:id="22" w:name="_Toc208480483"/>
      <w:r w:rsidRPr="00EE2B75">
        <w:t>Modifications de détail au dossier de consultation</w:t>
      </w:r>
      <w:bookmarkEnd w:id="20"/>
      <w:bookmarkEnd w:id="21"/>
      <w:bookmarkEnd w:id="22"/>
    </w:p>
    <w:p w14:paraId="5B0E17F9" w14:textId="77777777" w:rsidR="00823C6A" w:rsidRDefault="00823C6A" w:rsidP="00823C6A">
      <w:r w:rsidRPr="00EE2B75">
        <w:t xml:space="preserve">Le </w:t>
      </w:r>
      <w:r w:rsidR="00E77E6C" w:rsidRPr="00EE2B75">
        <w:t>Mucem</w:t>
      </w:r>
      <w:r w:rsidRPr="00EE2B75">
        <w:t xml:space="preserve"> se réserve le droit d’apporter, au plus tard </w:t>
      </w:r>
      <w:r w:rsidR="006811F9" w:rsidRPr="00EE2B75">
        <w:rPr>
          <w:b/>
          <w:bCs/>
        </w:rPr>
        <w:t>6</w:t>
      </w:r>
      <w:r w:rsidRPr="00EE2B75">
        <w:rPr>
          <w:b/>
          <w:bCs/>
        </w:rPr>
        <w:t xml:space="preserve"> jours</w:t>
      </w:r>
      <w:r w:rsidR="00724B1B" w:rsidRPr="00EE2B75">
        <w:rPr>
          <w:b/>
          <w:bCs/>
        </w:rPr>
        <w:t xml:space="preserve"> francs</w:t>
      </w:r>
      <w:r w:rsidRPr="00EE2B75">
        <w:t xml:space="preserve"> avant la date limite fixée pour la réception des offres, des modifications de détail au </w:t>
      </w:r>
      <w:r w:rsidR="00724B1B" w:rsidRPr="00EE2B75">
        <w:t>DCE</w:t>
      </w:r>
      <w:r w:rsidRPr="00EE2B75">
        <w:t>. Le candidat devra alors répondre sur la base du dossier modifié sans pouvoir élever une quelconque réclamation à ce sujet.</w:t>
      </w:r>
    </w:p>
    <w:p w14:paraId="46BAA511" w14:textId="0C12987A" w:rsidR="00823C6A" w:rsidRDefault="00823C6A" w:rsidP="00823C6A">
      <w:r>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9624B7">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015B4F74" w14:textId="77777777" w:rsidR="008A4BD2" w:rsidRPr="00F27BAF" w:rsidRDefault="00666CD8" w:rsidP="00CC005F">
      <w:pPr>
        <w:pStyle w:val="Titre1"/>
      </w:pPr>
      <w:bookmarkStart w:id="23" w:name="_Toc295049608"/>
      <w:bookmarkStart w:id="24" w:name="_Toc295308301"/>
      <w:bookmarkStart w:id="25" w:name="_Toc208480484"/>
      <w:r w:rsidRPr="00F27BAF">
        <w:t xml:space="preserve">Modalités de réponse à </w:t>
      </w:r>
      <w:bookmarkEnd w:id="23"/>
      <w:bookmarkEnd w:id="24"/>
      <w:r w:rsidR="00DF3F27" w:rsidRPr="00F27BAF">
        <w:t>la consultation</w:t>
      </w:r>
      <w:bookmarkEnd w:id="25"/>
    </w:p>
    <w:p w14:paraId="2703B330" w14:textId="7F5FB1E2" w:rsidR="000432EA" w:rsidRDefault="000432EA" w:rsidP="0030087C">
      <w:pPr>
        <w:pStyle w:val="Titre2"/>
      </w:pPr>
      <w:bookmarkStart w:id="26" w:name="_Toc208480485"/>
      <w:r>
        <w:t>Echanges de questions-réponses</w:t>
      </w:r>
      <w:bookmarkEnd w:id="26"/>
    </w:p>
    <w:p w14:paraId="53FE0C0F" w14:textId="7777777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1" w:history="1">
        <w:r w:rsidRPr="000A5CDE">
          <w:rPr>
            <w:rStyle w:val="Lienhypertexte"/>
          </w:rPr>
          <w:t>http://www.marches-publics.gouv.fr</w:t>
        </w:r>
      </w:hyperlink>
      <w:r w:rsidRPr="000A5CDE">
        <w:t>)</w:t>
      </w:r>
      <w:r>
        <w:t>.</w:t>
      </w:r>
    </w:p>
    <w:p w14:paraId="542175B3"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22AD38E2" w14:textId="3C4CF1A5" w:rsidR="000432EA" w:rsidRDefault="000432EA" w:rsidP="000432EA">
      <w:r>
        <w:t>Il est précisé ici que</w:t>
      </w:r>
      <w:r w:rsidR="00073060">
        <w:t>,</w:t>
      </w:r>
      <w:r>
        <w:t xml:space="preserve"> pour le calcul du délai de 10 jours, c’est la date de réception de la demande de renseignements par le </w:t>
      </w:r>
      <w:r w:rsidR="00E77E6C">
        <w:t>Mucem</w:t>
      </w:r>
      <w:r>
        <w:t xml:space="preserve"> qui sera prise en compte et non la date d’envoi du courrier par le candidat.</w:t>
      </w:r>
    </w:p>
    <w:p w14:paraId="6A6BFC4F"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4BBB441B" w14:textId="77777777" w:rsidR="00666CD8" w:rsidRDefault="00666CD8" w:rsidP="0030087C">
      <w:pPr>
        <w:pStyle w:val="Titre2"/>
      </w:pPr>
      <w:bookmarkStart w:id="27" w:name="_Toc208480486"/>
      <w:r>
        <w:t>Forme juridique des candidats</w:t>
      </w:r>
      <w:bookmarkEnd w:id="27"/>
    </w:p>
    <w:p w14:paraId="6A309EBE" w14:textId="77777777" w:rsidR="00993D3B" w:rsidRPr="00EE2B75" w:rsidRDefault="00E77E6C" w:rsidP="00993D3B">
      <w:r w:rsidRPr="00EE2B75">
        <w:t>La forme juridique du groupement choisie pourra être le groupement d’entreprises solidaire ou conjoint. En cas de groupement conjoint, le mandataire du groupement conjoint est solidaire de chacun des membres du groupement pour ses obligations contractuelles à l’égard du Mucem.</w:t>
      </w:r>
    </w:p>
    <w:p w14:paraId="6646BE2E" w14:textId="77777777" w:rsidR="00E77E6C" w:rsidRPr="00703C1E" w:rsidRDefault="00E77E6C" w:rsidP="00993D3B">
      <w:pPr>
        <w:rPr>
          <w:highlight w:val="yellow"/>
        </w:rPr>
      </w:pPr>
    </w:p>
    <w:p w14:paraId="42FADEC6" w14:textId="77777777" w:rsidR="00523767" w:rsidRDefault="00523767" w:rsidP="00666CD8">
      <w:r>
        <w:t>Le</w:t>
      </w:r>
      <w:r w:rsidR="00666CD8">
        <w:t>s</w:t>
      </w:r>
      <w:r>
        <w:t xml:space="preserve"> candidat</w:t>
      </w:r>
      <w:r w:rsidR="00666CD8">
        <w:t>s</w:t>
      </w:r>
      <w:r>
        <w:t xml:space="preserve"> n’</w:t>
      </w:r>
      <w:r w:rsidR="00666CD8">
        <w:t>ont</w:t>
      </w:r>
      <w:r>
        <w:t xml:space="preserve"> pas la possibilité de présenter plusieurs offres en agissant à la fois :</w:t>
      </w:r>
    </w:p>
    <w:p w14:paraId="2D4139A2" w14:textId="77777777" w:rsidR="00523767" w:rsidRDefault="00523767" w:rsidP="00AB490A">
      <w:pPr>
        <w:pStyle w:val="Listepuces"/>
      </w:pPr>
      <w:r>
        <w:t>en qualité de candidat individuel et de membre d’un ou plusieurs groupements,</w:t>
      </w:r>
    </w:p>
    <w:p w14:paraId="3A4CBE50" w14:textId="6EDF16AA" w:rsidR="00523767" w:rsidRDefault="00523767" w:rsidP="00AB490A">
      <w:pPr>
        <w:pStyle w:val="Listepuces"/>
      </w:pPr>
      <w:r>
        <w:t>en qualité de membre de plusieurs groupements</w:t>
      </w:r>
    </w:p>
    <w:p w14:paraId="7F755BC9" w14:textId="77777777" w:rsidR="00073060" w:rsidRDefault="00073060" w:rsidP="00073060">
      <w:pPr>
        <w:pStyle w:val="Listepuces"/>
        <w:numPr>
          <w:ilvl w:val="0"/>
          <w:numId w:val="0"/>
        </w:num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7651B" w14:paraId="5429F3F5" w14:textId="77777777" w:rsidTr="0047651B">
        <w:trPr>
          <w:trHeight w:val="400"/>
        </w:trPr>
        <w:tc>
          <w:tcPr>
            <w:tcW w:w="9778" w:type="dxa"/>
            <w:shd w:val="clear" w:color="auto" w:fill="D9D9D9"/>
          </w:tcPr>
          <w:p w14:paraId="2D2DE153" w14:textId="77777777" w:rsidR="0047651B" w:rsidRPr="007F315E" w:rsidRDefault="0047651B" w:rsidP="0047651B">
            <w:pPr>
              <w:jc w:val="center"/>
              <w:rPr>
                <w:rFonts w:cs="Arial"/>
                <w:b/>
              </w:rPr>
            </w:pPr>
            <w:r w:rsidRPr="007F315E">
              <w:rPr>
                <w:rFonts w:cs="Arial"/>
                <w:b/>
              </w:rPr>
              <w:t>NOTE</w:t>
            </w:r>
          </w:p>
        </w:tc>
      </w:tr>
      <w:tr w:rsidR="0047651B" w14:paraId="35A28013" w14:textId="77777777" w:rsidTr="0047651B">
        <w:tc>
          <w:tcPr>
            <w:tcW w:w="9778" w:type="dxa"/>
          </w:tcPr>
          <w:p w14:paraId="6880F0CB"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36183B0F" w14:textId="77777777" w:rsidR="00A700A4" w:rsidRDefault="00A700A4" w:rsidP="0030087C">
      <w:pPr>
        <w:pStyle w:val="Titre2"/>
      </w:pPr>
      <w:bookmarkStart w:id="28" w:name="_Ref311635810"/>
      <w:bookmarkStart w:id="29" w:name="_Toc311619536"/>
      <w:bookmarkStart w:id="30" w:name="_Ref311635747"/>
      <w:bookmarkStart w:id="31" w:name="_Toc330298463"/>
      <w:bookmarkStart w:id="32" w:name="_Toc336358677"/>
      <w:bookmarkStart w:id="33" w:name="_Ref303155782"/>
      <w:bookmarkStart w:id="34" w:name="_Toc295049609"/>
      <w:bookmarkStart w:id="35" w:name="_Toc295308302"/>
      <w:bookmarkStart w:id="36" w:name="_Toc208480487"/>
      <w:r>
        <w:t>Date</w:t>
      </w:r>
      <w:r w:rsidR="00F27BAF">
        <w:t>s</w:t>
      </w:r>
      <w:r>
        <w:t xml:space="preserve"> </w:t>
      </w:r>
      <w:r w:rsidR="00F27BAF">
        <w:t>principales</w:t>
      </w:r>
      <w:r>
        <w:t xml:space="preserve"> de la procédure</w:t>
      </w:r>
      <w:bookmarkEnd w:id="28"/>
      <w:bookmarkEnd w:id="29"/>
      <w:bookmarkEnd w:id="30"/>
      <w:bookmarkEnd w:id="31"/>
      <w:bookmarkEnd w:id="32"/>
      <w:r w:rsidR="003401ED">
        <w:t xml:space="preserve"> – date de réception des réponses</w:t>
      </w:r>
      <w:bookmarkEnd w:id="36"/>
    </w:p>
    <w:p w14:paraId="5A9E8657" w14:textId="77EB23B1" w:rsidR="00236F05" w:rsidRPr="008C5668" w:rsidRDefault="00236F05" w:rsidP="00AB490A">
      <w:r w:rsidRPr="005445BF">
        <w:rPr>
          <w:b/>
        </w:rPr>
        <w:t xml:space="preserve">Les réponses devront être transmises au plus tard </w:t>
      </w:r>
      <w:r w:rsidRPr="008C5668">
        <w:rPr>
          <w:b/>
        </w:rPr>
        <w:t>le</w:t>
      </w:r>
      <w:r w:rsidRPr="008C5668">
        <w:t xml:space="preserve"> </w:t>
      </w:r>
      <w:r w:rsidR="005F7780">
        <w:rPr>
          <w:b/>
          <w:color w:val="FF0000"/>
        </w:rPr>
        <w:t>9</w:t>
      </w:r>
      <w:r w:rsidR="00073060">
        <w:rPr>
          <w:b/>
          <w:color w:val="FF0000"/>
        </w:rPr>
        <w:t>/10</w:t>
      </w:r>
      <w:r w:rsidR="00434A49">
        <w:rPr>
          <w:b/>
          <w:color w:val="FF0000"/>
        </w:rPr>
        <w:t>/2025</w:t>
      </w:r>
      <w:r w:rsidR="00B631F9" w:rsidRPr="008C5668">
        <w:rPr>
          <w:b/>
          <w:color w:val="FF0000"/>
        </w:rPr>
        <w:t xml:space="preserve"> à 1</w:t>
      </w:r>
      <w:r w:rsidR="008C5668">
        <w:rPr>
          <w:b/>
          <w:color w:val="FF0000"/>
        </w:rPr>
        <w:t>7</w:t>
      </w:r>
      <w:r w:rsidR="00896D04" w:rsidRPr="008C5668">
        <w:rPr>
          <w:b/>
          <w:color w:val="FF0000"/>
        </w:rPr>
        <w:t>h</w:t>
      </w:r>
      <w:r w:rsidR="00B631F9" w:rsidRPr="008C5668">
        <w:rPr>
          <w:b/>
          <w:color w:val="FF0000"/>
        </w:rPr>
        <w:t>00</w:t>
      </w:r>
      <w:r w:rsidR="00896D04" w:rsidRPr="008C5668">
        <w:t xml:space="preserve">. </w:t>
      </w:r>
      <w:r w:rsidRPr="008C5668">
        <w:t>Les réponses parvenues après ce délai seront rejetées.</w:t>
      </w:r>
    </w:p>
    <w:p w14:paraId="0E9493EC" w14:textId="4F9721A3" w:rsidR="00896D04" w:rsidRDefault="00896D04" w:rsidP="00896D04">
      <w:pPr>
        <w:rPr>
          <w:rFonts w:cs="Calibri"/>
          <w:b/>
          <w:bCs/>
          <w:szCs w:val="22"/>
          <w:lang w:eastAsia="fr-FR"/>
        </w:rPr>
      </w:pPr>
      <w:bookmarkStart w:id="37" w:name="_Toc295049602"/>
      <w:bookmarkStart w:id="38" w:name="_Toc295308295"/>
      <w:bookmarkStart w:id="39" w:name="_Ref303669012"/>
      <w:r w:rsidRPr="008C5668">
        <w:t xml:space="preserve">La notification </w:t>
      </w:r>
      <w:r w:rsidR="00434A49">
        <w:t>de l’accord-cadre</w:t>
      </w:r>
      <w:r w:rsidRPr="008C5668">
        <w:t xml:space="preserve"> devrait intervenir </w:t>
      </w:r>
      <w:r w:rsidR="005F7780">
        <w:t>fin décembre 2025</w:t>
      </w:r>
      <w:r w:rsidR="007F315E" w:rsidRPr="008C5668">
        <w:t>, pour un</w:t>
      </w:r>
      <w:r w:rsidR="005F7780">
        <w:t>e entrée en vigueur début janvier 2026</w:t>
      </w:r>
      <w:r w:rsidR="007F315E" w:rsidRPr="008C5668">
        <w:t>(dates prévisionnelles).</w:t>
      </w:r>
    </w:p>
    <w:p w14:paraId="74FB6FD1" w14:textId="77777777" w:rsidR="0065687C" w:rsidRDefault="0065687C" w:rsidP="0030087C">
      <w:pPr>
        <w:pStyle w:val="Titre2"/>
      </w:pPr>
      <w:bookmarkStart w:id="40" w:name="_Ref336416948"/>
      <w:bookmarkStart w:id="41" w:name="_Toc208480488"/>
      <w:bookmarkEnd w:id="37"/>
      <w:bookmarkEnd w:id="38"/>
      <w:r w:rsidRPr="00685126">
        <w:t>Mod</w:t>
      </w:r>
      <w:bookmarkEnd w:id="33"/>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39"/>
      <w:bookmarkEnd w:id="40"/>
      <w:r w:rsidR="003401ED" w:rsidRPr="00685126">
        <w:t>remise des offres</w:t>
      </w:r>
      <w:bookmarkEnd w:id="41"/>
    </w:p>
    <w:p w14:paraId="6CFD8FC5" w14:textId="040EF424" w:rsidR="00685126" w:rsidRPr="00685126" w:rsidRDefault="00685126" w:rsidP="00073060">
      <w:pPr>
        <w:pStyle w:val="Titre3"/>
      </w:pPr>
      <w:r>
        <w:t>Remise dématérialisée obligatoire</w:t>
      </w:r>
    </w:p>
    <w:p w14:paraId="568179AB" w14:textId="605BF6CF"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2" w:history="1">
        <w:r w:rsidR="0030087C" w:rsidRPr="003A38F7">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84BA5" w:rsidRPr="000D3F67" w14:paraId="76F0A71B" w14:textId="77777777" w:rsidTr="000D3F67">
        <w:tc>
          <w:tcPr>
            <w:tcW w:w="9778" w:type="dxa"/>
            <w:shd w:val="clear" w:color="auto" w:fill="D9D9D9"/>
          </w:tcPr>
          <w:p w14:paraId="40256DC3" w14:textId="77777777" w:rsidR="00B84BA5" w:rsidRPr="000D3F67" w:rsidRDefault="00B84BA5" w:rsidP="000D3F67">
            <w:pPr>
              <w:jc w:val="center"/>
              <w:rPr>
                <w:b/>
                <w:sz w:val="22"/>
              </w:rPr>
            </w:pPr>
            <w:r w:rsidRPr="000D3F67">
              <w:rPr>
                <w:b/>
                <w:sz w:val="22"/>
              </w:rPr>
              <w:t>Note – conseils aux candidats</w:t>
            </w:r>
          </w:p>
        </w:tc>
      </w:tr>
      <w:tr w:rsidR="005626FC" w:rsidRPr="005626FC" w14:paraId="0E3E4981" w14:textId="77777777" w:rsidTr="000D3F67">
        <w:tc>
          <w:tcPr>
            <w:tcW w:w="9778" w:type="dxa"/>
            <w:shd w:val="clear" w:color="auto" w:fill="auto"/>
          </w:tcPr>
          <w:p w14:paraId="0947ABC6" w14:textId="2E68694A"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5626FC" w:rsidRPr="000D3F67">
              <w:rPr>
                <w:b/>
                <w:i/>
              </w:rPr>
              <w:t xml:space="preserve">voir article </w:t>
            </w:r>
            <w:r w:rsidR="00010310">
              <w:rPr>
                <w:b/>
                <w:i/>
              </w:rPr>
              <w:fldChar w:fldCharType="begin"/>
            </w:r>
            <w:r w:rsidR="00010310">
              <w:rPr>
                <w:b/>
                <w:i/>
              </w:rPr>
              <w:instrText xml:space="preserve"> REF _Ref18509480 \r \h </w:instrText>
            </w:r>
            <w:r w:rsidR="00010310">
              <w:rPr>
                <w:b/>
                <w:i/>
              </w:rPr>
            </w:r>
            <w:r w:rsidR="00010310">
              <w:rPr>
                <w:b/>
                <w:i/>
              </w:rPr>
              <w:fldChar w:fldCharType="separate"/>
            </w:r>
            <w:r w:rsidR="009624B7">
              <w:rPr>
                <w:b/>
                <w:i/>
              </w:rPr>
              <w:t>4.4.4</w:t>
            </w:r>
            <w:r w:rsidR="00010310">
              <w:rPr>
                <w:b/>
                <w:i/>
              </w:rPr>
              <w:fldChar w:fldCharType="end"/>
            </w:r>
            <w:r w:rsidR="005626FC" w:rsidRPr="000D3F67">
              <w:rPr>
                <w:b/>
                <w:i/>
              </w:rPr>
              <w:t xml:space="preserve"> ci-après</w:t>
            </w:r>
            <w:r w:rsidR="005626FC" w:rsidRPr="000D3F67">
              <w:rPr>
                <w:b/>
              </w:rPr>
              <w:t>)</w:t>
            </w:r>
            <w:r w:rsidRPr="000D3F67">
              <w:rPr>
                <w:b/>
              </w:rPr>
              <w:t>.</w:t>
            </w:r>
          </w:p>
          <w:p w14:paraId="1D95933D"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06969223" w14:textId="77777777" w:rsidR="008A4BD2" w:rsidRPr="005626FC" w:rsidRDefault="008A4BD2" w:rsidP="00073060">
      <w:pPr>
        <w:pStyle w:val="Titre3"/>
      </w:pPr>
      <w:proofErr w:type="spellStart"/>
      <w:r w:rsidRPr="005626FC">
        <w:t>Pré-requis</w:t>
      </w:r>
      <w:proofErr w:type="spellEnd"/>
      <w:r w:rsidRPr="005626FC">
        <w:t xml:space="preserve"> techniques </w:t>
      </w:r>
      <w:bookmarkEnd w:id="34"/>
      <w:bookmarkEnd w:id="35"/>
      <w:r w:rsidR="00666CD8" w:rsidRPr="005626FC">
        <w:t>de transmission par voie</w:t>
      </w:r>
      <w:r w:rsidR="00685126" w:rsidRPr="005626FC">
        <w:t xml:space="preserve"> dématérialisée</w:t>
      </w:r>
    </w:p>
    <w:p w14:paraId="59710C00"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60E63A2F" w14:textId="77777777" w:rsidR="009D0A5C" w:rsidRDefault="009D0A5C" w:rsidP="00073060">
      <w:pPr>
        <w:pStyle w:val="Titre3"/>
      </w:pPr>
      <w:bookmarkStart w:id="42" w:name="_Toc295049619"/>
      <w:bookmarkStart w:id="43" w:name="_Toc295308312"/>
      <w:bookmarkStart w:id="44" w:name="_Ref320806321"/>
      <w:bookmarkStart w:id="45" w:name="_Ref331579615"/>
      <w:bookmarkStart w:id="46" w:name="_Toc295049610"/>
      <w:bookmarkStart w:id="47" w:name="_Toc295308303"/>
      <w:r>
        <w:t xml:space="preserve">Formats de documents recommandés par le </w:t>
      </w:r>
      <w:r w:rsidR="00E77E6C">
        <w:t>Mucem</w:t>
      </w:r>
      <w:bookmarkEnd w:id="42"/>
      <w:bookmarkEnd w:id="43"/>
      <w:bookmarkEnd w:id="44"/>
      <w:bookmarkEnd w:id="45"/>
    </w:p>
    <w:p w14:paraId="7B530346" w14:textId="77777777" w:rsidR="009D0A5C" w:rsidRDefault="009D0A5C" w:rsidP="009D0A5C">
      <w:r>
        <w:t>L’attention du candidat est attirée sur le fait que les fichiers transmis ayant pour extension « .exe » ne seront pas acceptés dans le cadre de la présente consultation.</w:t>
      </w:r>
    </w:p>
    <w:p w14:paraId="3AB18B57"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.pdf » sont recommandés.</w:t>
      </w:r>
    </w:p>
    <w:p w14:paraId="483B6CA2" w14:textId="77777777" w:rsidR="009D0A5C" w:rsidRDefault="009D0A5C" w:rsidP="009D0A5C">
      <w:r>
        <w:t>Les fichiers ayant l’extension « .zip » sont acceptés.</w:t>
      </w:r>
    </w:p>
    <w:p w14:paraId="2AC36F80" w14:textId="5B86FA62" w:rsidR="00685126" w:rsidRDefault="00685126" w:rsidP="00073060">
      <w:pPr>
        <w:pStyle w:val="Titre3"/>
      </w:pPr>
      <w:bookmarkStart w:id="48" w:name="_Ref525806923"/>
      <w:bookmarkStart w:id="49" w:name="_Ref18509480"/>
      <w:r>
        <w:t>Copie de sauvegarde</w:t>
      </w:r>
      <w:bookmarkEnd w:id="48"/>
      <w:bookmarkEnd w:id="49"/>
    </w:p>
    <w:p w14:paraId="0DC98A48" w14:textId="77777777" w:rsidR="00935F87" w:rsidRDefault="00935F87" w:rsidP="00935F87">
      <w:pPr>
        <w:pStyle w:val="Standard"/>
        <w:rPr>
          <w:b/>
          <w:u w:val="single"/>
        </w:rPr>
      </w:pPr>
      <w:bookmarkStart w:id="50" w:name="_Hlk157158955"/>
      <w:bookmarkStart w:id="51" w:name="_Hlk152676855"/>
      <w:r>
        <w:t xml:space="preserve">Le candidat peut faire parvenir une copie de sauvegarde dans les délais impartis pour la remise des candidatures </w:t>
      </w:r>
      <w:r w:rsidRPr="002A4022">
        <w:t>ou</w:t>
      </w:r>
      <w:r>
        <w:t xml:space="preserve"> des offres.</w:t>
      </w:r>
    </w:p>
    <w:p w14:paraId="07CA943F" w14:textId="77777777" w:rsidR="00935F87" w:rsidRDefault="00935F87" w:rsidP="00935F87">
      <w:pPr>
        <w:pStyle w:val="Standard"/>
        <w:rPr>
          <w:b/>
          <w:u w:val="single"/>
        </w:rPr>
      </w:pPr>
    </w:p>
    <w:p w14:paraId="01A5EF2F" w14:textId="77777777" w:rsidR="00935F87" w:rsidRDefault="00935F87" w:rsidP="00935F87">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55D59DB0" w14:textId="77777777" w:rsidR="00935F87" w:rsidRDefault="00935F87" w:rsidP="00935F87">
      <w:pPr>
        <w:pStyle w:val="Listepuces"/>
        <w:rPr>
          <w:b/>
          <w:u w:val="single"/>
        </w:rPr>
      </w:pPr>
      <w:r>
        <w:t>« Copie de sauvegarde »</w:t>
      </w:r>
    </w:p>
    <w:p w14:paraId="7F0F4AF1" w14:textId="77777777" w:rsidR="00935F87" w:rsidRDefault="00935F87" w:rsidP="00935F87">
      <w:pPr>
        <w:pStyle w:val="Listepuces"/>
        <w:rPr>
          <w:b/>
          <w:u w:val="single"/>
        </w:rPr>
      </w:pPr>
      <w:r>
        <w:t>Intitulé de la consultation</w:t>
      </w:r>
    </w:p>
    <w:p w14:paraId="08BAFB56" w14:textId="77777777" w:rsidR="00935F87" w:rsidRDefault="00935F87" w:rsidP="00935F87">
      <w:pPr>
        <w:pStyle w:val="Listepuces"/>
        <w:rPr>
          <w:b/>
          <w:u w:val="single"/>
        </w:rPr>
      </w:pPr>
      <w:r>
        <w:t>Nom ou dénomination du candidat.</w:t>
      </w:r>
    </w:p>
    <w:p w14:paraId="0848C86B" w14:textId="77777777" w:rsidR="00935F87" w:rsidRDefault="00935F87" w:rsidP="00935F87">
      <w:pPr>
        <w:pStyle w:val="Standard"/>
        <w:rPr>
          <w:b/>
          <w:u w:val="single"/>
        </w:rPr>
      </w:pPr>
    </w:p>
    <w:p w14:paraId="6B3D70DC" w14:textId="77777777" w:rsidR="00935F87" w:rsidRDefault="00935F87" w:rsidP="00935F87">
      <w:pPr>
        <w:pStyle w:val="Standard"/>
        <w:rPr>
          <w:b/>
          <w:u w:val="single"/>
        </w:rPr>
      </w:pPr>
      <w:r>
        <w:t>La copie de sauvegarde ne peut être ouverte que dans les deux cas suivants :</w:t>
      </w:r>
    </w:p>
    <w:p w14:paraId="2F1F8668" w14:textId="77777777" w:rsidR="00935F87" w:rsidRDefault="00935F87" w:rsidP="00935F87">
      <w:pPr>
        <w:pStyle w:val="Listepuces"/>
        <w:rPr>
          <w:b/>
          <w:u w:val="single"/>
        </w:rPr>
      </w:pPr>
      <w:r>
        <w:t>en cas de détection d'un programme informatique malveillant dans les candidatures ou les offres transmises par voie électronique ;</w:t>
      </w:r>
    </w:p>
    <w:p w14:paraId="67741F91" w14:textId="77777777" w:rsidR="00935F87" w:rsidRDefault="00935F87" w:rsidP="00935F87">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6CEBEB12" w14:textId="77777777" w:rsidR="00935F87" w:rsidRDefault="00935F87" w:rsidP="00935F87">
      <w:pPr>
        <w:pStyle w:val="Standard"/>
        <w:rPr>
          <w:b/>
          <w:u w:val="single"/>
        </w:rPr>
      </w:pPr>
    </w:p>
    <w:p w14:paraId="31A5F2DF" w14:textId="77777777" w:rsidR="00935F87" w:rsidRDefault="00935F87" w:rsidP="00935F87">
      <w:pPr>
        <w:pStyle w:val="Standard"/>
        <w:rPr>
          <w:b/>
          <w:u w:val="single"/>
        </w:rPr>
      </w:pPr>
      <w:r>
        <w:t>Si un programme informatique malveillant est détecté, la copie de sauvegarde est écartée par l'acheteur.</w:t>
      </w:r>
    </w:p>
    <w:p w14:paraId="46632D0D" w14:textId="77777777" w:rsidR="00935F87" w:rsidRDefault="00935F87" w:rsidP="00935F87">
      <w:pPr>
        <w:pStyle w:val="Standard"/>
        <w:rPr>
          <w:b/>
          <w:u w:val="single"/>
        </w:rPr>
      </w:pPr>
    </w:p>
    <w:p w14:paraId="65C435F8" w14:textId="77777777" w:rsidR="00935F87" w:rsidRDefault="00935F87" w:rsidP="00935F87">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33575AAA" w14:textId="77777777" w:rsidR="00935F87" w:rsidRDefault="00935F87" w:rsidP="00935F87">
      <w:pPr>
        <w:pStyle w:val="Standard"/>
        <w:rPr>
          <w:b/>
          <w:u w:val="single"/>
        </w:rPr>
      </w:pPr>
      <w:r w:rsidRPr="006C13E7">
        <w:rPr>
          <w:b/>
          <w:u w:val="single"/>
        </w:rPr>
        <w:t>Le candidat envoie ou dépose sa copie de sauvegarde</w:t>
      </w:r>
      <w:r>
        <w:rPr>
          <w:b/>
          <w:u w:val="single"/>
        </w:rPr>
        <w:t> :</w:t>
      </w:r>
    </w:p>
    <w:p w14:paraId="393DF0FE" w14:textId="77777777" w:rsidR="00935F87" w:rsidRPr="008070A9" w:rsidRDefault="00935F87" w:rsidP="00935F87">
      <w:pPr>
        <w:pStyle w:val="Listepuces"/>
      </w:pPr>
      <w:r w:rsidRPr="00BD2F9F">
        <w:rPr>
          <w:u w:val="single"/>
        </w:rPr>
        <w:t>par courrier ou en main propre contre récépissé</w:t>
      </w:r>
      <w:r w:rsidRPr="008070A9">
        <w:t>, à l'adresse suivante :</w:t>
      </w:r>
    </w:p>
    <w:p w14:paraId="185313D2" w14:textId="77777777" w:rsidR="00935F87" w:rsidRPr="00C64E31" w:rsidRDefault="00935F87" w:rsidP="00935F87">
      <w:pPr>
        <w:jc w:val="center"/>
        <w:rPr>
          <w:b/>
        </w:rPr>
      </w:pPr>
      <w:r>
        <w:rPr>
          <w:b/>
        </w:rPr>
        <w:t>Mucem</w:t>
      </w:r>
    </w:p>
    <w:p w14:paraId="462C2712" w14:textId="77777777" w:rsidR="00935F87" w:rsidRPr="00C64E31" w:rsidRDefault="00935F87" w:rsidP="00935F87">
      <w:pPr>
        <w:jc w:val="center"/>
        <w:rPr>
          <w:b/>
          <w:highlight w:val="yellow"/>
        </w:rPr>
      </w:pPr>
      <w:r>
        <w:rPr>
          <w:b/>
        </w:rPr>
        <w:t>Service des</w:t>
      </w:r>
      <w:r w:rsidRPr="00C64E31">
        <w:rPr>
          <w:b/>
        </w:rPr>
        <w:t xml:space="preserve"> achats</w:t>
      </w:r>
    </w:p>
    <w:p w14:paraId="26E3B7D4" w14:textId="77777777" w:rsidR="00935F87" w:rsidRDefault="00935F87" w:rsidP="00935F87">
      <w:pPr>
        <w:jc w:val="center"/>
      </w:pPr>
      <w:r>
        <w:t>Esplanade du J4 - CS 10351</w:t>
      </w:r>
    </w:p>
    <w:p w14:paraId="09101523" w14:textId="77777777" w:rsidR="00935F87" w:rsidRDefault="00935F87" w:rsidP="00935F87">
      <w:pPr>
        <w:jc w:val="center"/>
        <w:rPr>
          <w:b/>
          <w:u w:val="single"/>
        </w:rPr>
      </w:pPr>
      <w:r>
        <w:t>13002 Marseille</w:t>
      </w:r>
    </w:p>
    <w:p w14:paraId="4907A061" w14:textId="77777777" w:rsidR="00935F87" w:rsidRPr="00BD2F9F" w:rsidRDefault="00935F87" w:rsidP="00935F87">
      <w:pPr>
        <w:pStyle w:val="Listepuces"/>
        <w:rPr>
          <w:b/>
          <w:i/>
          <w:u w:val="single"/>
        </w:rPr>
      </w:pPr>
      <w:r w:rsidRPr="00BD2F9F">
        <w:rPr>
          <w:u w:val="single"/>
        </w:rPr>
        <w:t>par voie électronique</w:t>
      </w:r>
      <w:r w:rsidRPr="00BD2F9F">
        <w:t> : l</w:t>
      </w:r>
      <w:r>
        <w:t xml:space="preserve">e dépôt de la copie de sauvegarde électronique doit s'effectuer dans le respect des exigences de </w:t>
      </w:r>
      <w:r w:rsidRPr="00BD2F9F">
        <w:rPr>
          <w:i/>
        </w:rPr>
        <w:t>l'arrêté du 22 mars 2019</w:t>
      </w:r>
      <w:r>
        <w:t xml:space="preserve"> </w:t>
      </w:r>
      <w:r w:rsidRPr="00BD2F9F">
        <w:rPr>
          <w:i/>
        </w:rPr>
        <w:t>relatif aux exigences minimales des moyens de communication électronique utilisés dans la commande publique (annexe 8 du Code de la commande publique).</w:t>
      </w:r>
    </w:p>
    <w:p w14:paraId="44A079B6" w14:textId="77777777" w:rsidR="00935F87" w:rsidRDefault="00935F87" w:rsidP="00935F87">
      <w:pPr>
        <w:pStyle w:val="Standard"/>
        <w:rPr>
          <w:b/>
          <w:u w:val="single"/>
        </w:rPr>
      </w:pPr>
      <w:r>
        <w:t>A cet égard, le candidat peut recourir :</w:t>
      </w:r>
    </w:p>
    <w:p w14:paraId="5B6A181A" w14:textId="77777777" w:rsidR="00935F87" w:rsidRDefault="00935F87" w:rsidP="00935F87">
      <w:pPr>
        <w:pStyle w:val="Listepuces"/>
        <w:rPr>
          <w:b/>
          <w:u w:val="single"/>
        </w:rPr>
      </w:pPr>
      <w:r>
        <w:t>soit à une solution intégrée satisfaisant l'ensemble des exigences précitées,</w:t>
      </w:r>
    </w:p>
    <w:p w14:paraId="102B873F" w14:textId="77777777" w:rsidR="00935F87" w:rsidRDefault="00935F87" w:rsidP="00935F87">
      <w:pPr>
        <w:pStyle w:val="Listepuces"/>
        <w:rPr>
          <w:b/>
          <w:u w:val="single"/>
        </w:rPr>
      </w:pPr>
      <w:r>
        <w:t>soit à plusieurs solutions dont la combinaison permet de satisfaire l'ensemble de ces exigences.</w:t>
      </w:r>
    </w:p>
    <w:p w14:paraId="70F041A4" w14:textId="77777777" w:rsidR="00935F87" w:rsidRDefault="00935F87" w:rsidP="00935F87">
      <w:pPr>
        <w:pStyle w:val="Standard"/>
        <w:rPr>
          <w:b/>
          <w:u w:val="single"/>
        </w:rPr>
      </w:pPr>
      <w:r>
        <w:t>Il peut ainsi recourir à une solution lui permettant de s'identifier, d'indiquer le destinataire de son dépôt, d'horodater son pli puis de le mettre en ligne sur une plateforme de stockage sécurisée.</w:t>
      </w:r>
    </w:p>
    <w:p w14:paraId="4C1334E7" w14:textId="77777777" w:rsidR="00935F87" w:rsidRDefault="00935F87" w:rsidP="00935F87">
      <w:pPr>
        <w:pStyle w:val="Standard"/>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17E1535E" w14:textId="77777777" w:rsidR="00935F87" w:rsidRDefault="00935F87" w:rsidP="00935F87">
      <w:pPr>
        <w:pStyle w:val="Standard"/>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3A4801A2" w14:textId="77777777" w:rsidR="00935F87" w:rsidRDefault="00935F87" w:rsidP="00935F87">
      <w:pPr>
        <w:pStyle w:val="Standard"/>
        <w:rPr>
          <w:b/>
          <w:u w:val="single"/>
        </w:rPr>
      </w:pPr>
      <w:r>
        <w:t>En tout état de cause, la solution retenue par l'opérateur garantit la suppression des données dans un délai n'excédant pas celui de la durée de validité des offres de la présente consultation.</w:t>
      </w:r>
    </w:p>
    <w:p w14:paraId="77737E70" w14:textId="77777777" w:rsidR="00935F87" w:rsidRDefault="00935F87" w:rsidP="00935F87">
      <w:pPr>
        <w:pStyle w:val="Standard"/>
        <w:rPr>
          <w:b/>
          <w:u w:val="single"/>
        </w:rPr>
      </w:pPr>
    </w:p>
    <w:p w14:paraId="24C67FAE" w14:textId="77777777" w:rsidR="00935F87" w:rsidRDefault="00935F87" w:rsidP="00935F87">
      <w:pPr>
        <w:pStyle w:val="Standard"/>
        <w:rPr>
          <w:b/>
          <w:u w:val="single"/>
        </w:rPr>
      </w:pPr>
      <w:r>
        <w:t>Le candidat doit s'assurer que les fichiers transmis ne comportent pas de virus.</w:t>
      </w:r>
    </w:p>
    <w:p w14:paraId="6440669A" w14:textId="6B7F1A15" w:rsidR="00935F87" w:rsidRPr="00935F87" w:rsidRDefault="00935F87" w:rsidP="00935F87">
      <w:pPr>
        <w:pStyle w:val="Standard"/>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50"/>
      <w:bookmarkEnd w:id="51"/>
    </w:p>
    <w:p w14:paraId="530C6A4B" w14:textId="77777777" w:rsidR="009D0A5C" w:rsidRDefault="009D0A5C" w:rsidP="00073060">
      <w:pPr>
        <w:pStyle w:val="Titre3"/>
      </w:pPr>
      <w:bookmarkStart w:id="52" w:name="_Toc295049604"/>
      <w:bookmarkStart w:id="53" w:name="_Toc295308297"/>
      <w:bookmarkStart w:id="54" w:name="_Ref303093074"/>
      <w:bookmarkStart w:id="55" w:name="_Toc295049618"/>
      <w:bookmarkStart w:id="56" w:name="_Toc295308311"/>
      <w:bookmarkStart w:id="57" w:name="_Ref303089319"/>
      <w:r>
        <w:t>Langue et unité monétaire</w:t>
      </w:r>
    </w:p>
    <w:p w14:paraId="1E56B03E"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7EB3EAB3" w14:textId="77777777" w:rsidR="009D0A5C" w:rsidRPr="00D52E2E" w:rsidRDefault="009D0A5C" w:rsidP="009D0A5C">
      <w:r>
        <w:t>L’unité monétaire est l’Euro.</w:t>
      </w:r>
    </w:p>
    <w:p w14:paraId="573FCD5C" w14:textId="77777777" w:rsidR="009D0A5C" w:rsidRDefault="009D0A5C" w:rsidP="0030087C">
      <w:pPr>
        <w:pStyle w:val="Titre2"/>
      </w:pPr>
      <w:bookmarkStart w:id="58" w:name="_Toc208480489"/>
      <w:r>
        <w:t>Délai de validité des offres</w:t>
      </w:r>
      <w:bookmarkEnd w:id="52"/>
      <w:bookmarkEnd w:id="53"/>
      <w:bookmarkEnd w:id="58"/>
    </w:p>
    <w:p w14:paraId="45B637D6" w14:textId="7B83C99F" w:rsidR="009D0A5C" w:rsidRDefault="009D0A5C" w:rsidP="009D0A5C">
      <w:r>
        <w:t xml:space="preserve">Le délai de validité des offres est fixé à </w:t>
      </w:r>
      <w:r w:rsidR="00935F87">
        <w:rPr>
          <w:b/>
        </w:rPr>
        <w:t>6 mois</w:t>
      </w:r>
      <w:r w:rsidRPr="008C5668">
        <w:t xml:space="preserve"> à</w:t>
      </w:r>
      <w:r>
        <w:t xml:space="preserve"> compter de la date limite de réception des offres.</w:t>
      </w:r>
    </w:p>
    <w:p w14:paraId="7A88D86B" w14:textId="77777777" w:rsidR="00EB17C6" w:rsidRDefault="008A4BD2" w:rsidP="0030087C">
      <w:pPr>
        <w:pStyle w:val="Titre2"/>
      </w:pPr>
      <w:bookmarkStart w:id="59" w:name="_Toc295049611"/>
      <w:bookmarkStart w:id="60" w:name="_Toc295308304"/>
      <w:bookmarkStart w:id="61" w:name="_Ref303093115"/>
      <w:bookmarkStart w:id="62" w:name="_Ref303156965"/>
      <w:bookmarkStart w:id="63" w:name="_Ref207352817"/>
      <w:bookmarkStart w:id="64" w:name="_Toc208480490"/>
      <w:bookmarkEnd w:id="46"/>
      <w:bookmarkEnd w:id="47"/>
      <w:bookmarkEnd w:id="54"/>
      <w:bookmarkEnd w:id="55"/>
      <w:bookmarkEnd w:id="56"/>
      <w:bookmarkEnd w:id="57"/>
      <w:r>
        <w:lastRenderedPageBreak/>
        <w:t xml:space="preserve">Documents </w:t>
      </w:r>
      <w:r w:rsidR="00EB17C6">
        <w:t xml:space="preserve">à produire </w:t>
      </w:r>
      <w:r>
        <w:t xml:space="preserve">relatifs à la </w:t>
      </w:r>
      <w:bookmarkEnd w:id="59"/>
      <w:bookmarkEnd w:id="60"/>
      <w:r w:rsidR="006A3B39">
        <w:t>CANDIDATURE</w:t>
      </w:r>
      <w:bookmarkEnd w:id="61"/>
      <w:bookmarkEnd w:id="62"/>
      <w:r w:rsidR="00DF52E8">
        <w:t xml:space="preserve"> </w:t>
      </w:r>
      <w:r w:rsidR="00DF52E8" w:rsidRPr="00DF52E8">
        <w:t>(signature des documents non obligatoire au stade de la remise des plis)</w:t>
      </w:r>
      <w:bookmarkEnd w:id="63"/>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65309" w14:paraId="2AC2AEF2" w14:textId="77777777" w:rsidTr="00465309">
        <w:tc>
          <w:tcPr>
            <w:tcW w:w="9778" w:type="dxa"/>
          </w:tcPr>
          <w:p w14:paraId="6EE36C3E" w14:textId="77777777" w:rsidR="00465309" w:rsidRPr="0051147B" w:rsidRDefault="00465309" w:rsidP="00465309">
            <w:pPr>
              <w:rPr>
                <w:u w:val="single"/>
              </w:rPr>
            </w:pPr>
            <w:bookmarkStart w:id="65" w:name="_Toc295049612"/>
            <w:bookmarkStart w:id="66" w:name="_Toc295308305"/>
            <w:r w:rsidRPr="0051147B">
              <w:rPr>
                <w:u w:val="single"/>
              </w:rPr>
              <w:t>DOCUMENTS ATTESTANT DE LA QUALITE DES CANDIDATS A PRESENTER UNE OFFRE</w:t>
            </w:r>
          </w:p>
          <w:p w14:paraId="25BC6B9B" w14:textId="77777777" w:rsidR="00465309" w:rsidRDefault="00465309" w:rsidP="002F3797">
            <w:pPr>
              <w:pStyle w:val="Listepuces"/>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4878CE22" w14:textId="77777777" w:rsidR="003C7F8A" w:rsidRDefault="003C7F8A" w:rsidP="002F3797">
            <w:pPr>
              <w:pStyle w:val="Listepuces"/>
            </w:pPr>
            <w:r>
              <w:t>Un extrait du registre du commerce (</w:t>
            </w:r>
            <w:proofErr w:type="spellStart"/>
            <w:r>
              <w:t>KBis</w:t>
            </w:r>
            <w:proofErr w:type="spellEnd"/>
            <w:r>
              <w:t>) ou documents équivalents indiquant les personnes habilitées à engager la société</w:t>
            </w:r>
          </w:p>
          <w:p w14:paraId="5D88CA5D" w14:textId="77777777" w:rsidR="00465309" w:rsidRDefault="00465309" w:rsidP="002F3797">
            <w:pPr>
              <w:pStyle w:val="Listepuces"/>
            </w:pPr>
            <w:r w:rsidRPr="0051147B">
              <w:rPr>
                <w:u w:val="single"/>
              </w:rPr>
              <w:t>Si candidat en redressement judiciaire</w:t>
            </w:r>
            <w:r w:rsidR="00AF5BE6">
              <w:t> </w:t>
            </w:r>
            <w:r w:rsidRPr="00AB490A">
              <w:t>: copie du (ou des) jugement(s) prononcé(s) (candidat ou chaque membre du groupement)</w:t>
            </w:r>
          </w:p>
          <w:p w14:paraId="63C82DB8" w14:textId="77777777" w:rsidR="00465309" w:rsidRDefault="00465309" w:rsidP="00465309"/>
          <w:p w14:paraId="118EE72E"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32478270" w14:textId="77777777" w:rsidR="00465309" w:rsidRDefault="00465309" w:rsidP="002F3797">
            <w:pPr>
              <w:pStyle w:val="Listepuces"/>
            </w:pPr>
            <w:r w:rsidRPr="00DC22A7">
              <w:rPr>
                <w:i/>
              </w:rPr>
              <w:t>DC2 ou équivalent</w:t>
            </w:r>
            <w:r w:rsidR="003C7F8A" w:rsidRPr="00DC22A7">
              <w:rPr>
                <w:i/>
              </w:rPr>
              <w:t xml:space="preserve"> OU DUME</w:t>
            </w:r>
            <w:r w:rsidR="00AF5BE6">
              <w:t> </w:t>
            </w:r>
            <w:r w:rsidRPr="00396FB2">
              <w:t xml:space="preserve">: </w:t>
            </w:r>
            <w:r w:rsidR="00A76983" w:rsidRPr="003C7F8A">
              <w:rPr>
                <w:b/>
              </w:rPr>
              <w:t>d</w:t>
            </w:r>
            <w:r w:rsidRPr="003C7F8A">
              <w:rPr>
                <w:b/>
              </w:rPr>
              <w:t>éclaration du candidat individuel ou du membre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7C63DB66" w14:textId="75E7D74F" w:rsidR="00465309" w:rsidRDefault="00465309" w:rsidP="0030087C">
            <w:pPr>
              <w:pStyle w:val="Listepuces2"/>
              <w:spacing w:line="360" w:lineRule="auto"/>
            </w:pPr>
            <w:r>
              <w:t xml:space="preserve">le </w:t>
            </w:r>
            <w:r w:rsidR="0030087C">
              <w:t xml:space="preserve">CHIFFRE D’AFFAIRES GLOBAL DES TROIS DERNIERES </w:t>
            </w:r>
            <w:r>
              <w:t>années</w:t>
            </w:r>
            <w:r w:rsidR="003C7F8A">
              <w:t xml:space="preserve"> et </w:t>
            </w:r>
            <w:r>
              <w:t xml:space="preserve">le </w:t>
            </w:r>
            <w:r w:rsidR="0030087C">
              <w:t>CHIFFRE D’AFFAIRES CONCERNANT LES PRESTATIONS OBJET DU CONTRAT</w:t>
            </w:r>
            <w:r>
              <w:t>, réalisés au cours de trois derniers exercices disponibles</w:t>
            </w:r>
          </w:p>
          <w:p w14:paraId="3CA70C23" w14:textId="167C3B17" w:rsidR="0030087C" w:rsidRDefault="005F551A" w:rsidP="0030087C">
            <w:pPr>
              <w:pStyle w:val="Listepuces2"/>
              <w:spacing w:line="360" w:lineRule="auto"/>
            </w:pPr>
            <w:r>
              <w:t>La l</w:t>
            </w:r>
            <w:r w:rsidR="0030087C">
              <w:t xml:space="preserve">iste des </w:t>
            </w:r>
            <w:r w:rsidR="0030087C" w:rsidRPr="0030087C">
              <w:t>PRINCIPAUX SERVICES</w:t>
            </w:r>
            <w:r w:rsidR="0030087C">
              <w:t xml:space="preserve"> effectués au cours des trois dernières années indiquant le montant, la date et le destinataire public ou privé + attestations des destinataires concernés ou déclaration du candidat</w:t>
            </w:r>
          </w:p>
          <w:p w14:paraId="7759BBAC" w14:textId="7EB838AB" w:rsidR="0030087C" w:rsidRPr="005F551A" w:rsidRDefault="005F551A" w:rsidP="0030087C">
            <w:pPr>
              <w:pStyle w:val="Listepuces2"/>
              <w:spacing w:line="360" w:lineRule="auto"/>
            </w:pPr>
            <w:r w:rsidRPr="005F551A">
              <w:t xml:space="preserve">Les </w:t>
            </w:r>
            <w:r w:rsidR="0030087C" w:rsidRPr="005F551A">
              <w:t>MOYENS HUMAINS du candidat : effectifs moyens annuels et importance du personnel d’encadrement pour chacune des trois dernières années</w:t>
            </w:r>
          </w:p>
          <w:p w14:paraId="2E392F11" w14:textId="77777777" w:rsidR="00465309" w:rsidRPr="00403CE8" w:rsidRDefault="00465309" w:rsidP="00465309">
            <w:pPr>
              <w:pStyle w:val="Listepuces3"/>
              <w:numPr>
                <w:ilvl w:val="0"/>
                <w:numId w:val="0"/>
              </w:numPr>
              <w:ind w:left="992"/>
              <w:rPr>
                <w:i/>
              </w:rPr>
            </w:pPr>
            <w:r w:rsidRPr="00403CE8">
              <w:rPr>
                <w:i/>
              </w:rPr>
              <w:t>Dans ce cas précis, la preuve de la capacité du candidat peut être apportée par tout moyen, notamment par des certificats d</w:t>
            </w:r>
            <w:r w:rsidR="00AF5BE6">
              <w:rPr>
                <w:i/>
              </w:rPr>
              <w:t>’</w:t>
            </w:r>
            <w:r w:rsidRPr="00403CE8">
              <w:rPr>
                <w:i/>
              </w:rPr>
              <w:t>identité professionnelle ou des références de travaux attestant de la compétence de l</w:t>
            </w:r>
            <w:r w:rsidR="00AF5BE6">
              <w:rPr>
                <w:i/>
              </w:rPr>
              <w:t>’</w:t>
            </w:r>
            <w:r w:rsidRPr="00403CE8">
              <w:rPr>
                <w:i/>
              </w:rPr>
              <w:t>opérateur économique à réaliser la prestation pour laquelle il se porte candidat</w:t>
            </w:r>
            <w:r>
              <w:rPr>
                <w:i/>
              </w:rPr>
              <w:t>.</w:t>
            </w:r>
          </w:p>
          <w:p w14:paraId="62CF756B" w14:textId="77777777" w:rsidR="00AF5BE6" w:rsidRDefault="00465309" w:rsidP="002F3797">
            <w:pPr>
              <w:pStyle w:val="Listepuces"/>
            </w:pPr>
            <w:r>
              <w:t xml:space="preserve">Si le candidat souhaite la prise en compte, pour l’appréciation de sa candidature, des </w:t>
            </w:r>
            <w:r w:rsidR="00AF5BE6">
              <w:t>capacités</w:t>
            </w:r>
            <w:r>
              <w:t xml:space="preserve"> professionnelles, techniques et financières d’autres opérateurs économiques, il fournit dans son dossier de candidature au titre de ces opérateurs</w:t>
            </w:r>
            <w:r w:rsidR="00AF5BE6">
              <w:t> :</w:t>
            </w:r>
          </w:p>
          <w:p w14:paraId="4BD86655" w14:textId="77777777" w:rsidR="00AF5BE6" w:rsidRDefault="00465309" w:rsidP="002F3797">
            <w:pPr>
              <w:pStyle w:val="Listepuces2"/>
            </w:pPr>
            <w:r>
              <w:t xml:space="preserve">les mêmes renseignements que ceux demandés au </w:t>
            </w:r>
            <w:r w:rsidR="00AF5BE6">
              <w:t>titre de sa candidature propre.</w:t>
            </w:r>
          </w:p>
          <w:p w14:paraId="47DAAA43" w14:textId="77777777" w:rsidR="00465309" w:rsidRDefault="00465309" w:rsidP="002F3797">
            <w:pPr>
              <w:pStyle w:val="Listepuces2"/>
            </w:pPr>
            <w:r>
              <w:t>soit le contrat de sous-traitance, soit un engagement écrit du ou des sous-traitants.</w:t>
            </w:r>
          </w:p>
        </w:tc>
      </w:tr>
    </w:tbl>
    <w:p w14:paraId="09BE5541" w14:textId="79276083" w:rsidR="00EB17C6" w:rsidRDefault="00FD3D7E" w:rsidP="00465309">
      <w:r>
        <w:t>Les modèles de DC1, DC2</w:t>
      </w:r>
      <w:r w:rsidR="006260B9">
        <w:t xml:space="preserve"> </w:t>
      </w:r>
      <w:r>
        <w:t>sont disponible</w:t>
      </w:r>
      <w:r w:rsidR="00465309">
        <w:t>s</w:t>
      </w:r>
      <w:r>
        <w:t xml:space="preserve"> sur le site</w:t>
      </w:r>
      <w:r w:rsidR="00AF5BE6">
        <w:t> </w:t>
      </w:r>
      <w:r>
        <w:t xml:space="preserve">: </w:t>
      </w:r>
      <w:hyperlink r:id="rId13" w:history="1">
        <w:r w:rsidR="0030087C" w:rsidRPr="00097986">
          <w:rPr>
            <w:rStyle w:val="Lienhypertexte"/>
            <w:b/>
          </w:rPr>
          <w:t>https://www.economie.gouv.fr/daj/formulaires-declaration-du-candidat</w:t>
        </w:r>
      </w:hyperlink>
    </w:p>
    <w:p w14:paraId="65D96232" w14:textId="77777777" w:rsidR="00C64E31" w:rsidRDefault="00C64E31" w:rsidP="004653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64E31" w14:paraId="0E5CEA6E" w14:textId="77777777" w:rsidTr="00402BFA">
        <w:trPr>
          <w:trHeight w:val="400"/>
        </w:trPr>
        <w:tc>
          <w:tcPr>
            <w:tcW w:w="9778" w:type="dxa"/>
            <w:shd w:val="clear" w:color="auto" w:fill="D9D9D9"/>
          </w:tcPr>
          <w:p w14:paraId="5F991238" w14:textId="77777777" w:rsidR="00C64E31" w:rsidRPr="00057A18" w:rsidRDefault="00C64E31" w:rsidP="00402BFA">
            <w:pPr>
              <w:jc w:val="center"/>
              <w:rPr>
                <w:b/>
              </w:rPr>
            </w:pPr>
            <w:r>
              <w:br w:type="page"/>
            </w:r>
            <w:r w:rsidRPr="00057A18">
              <w:rPr>
                <w:b/>
              </w:rPr>
              <w:t>NOTE</w:t>
            </w:r>
          </w:p>
        </w:tc>
      </w:tr>
      <w:tr w:rsidR="00C64E31" w14:paraId="3E3C74CF" w14:textId="77777777" w:rsidTr="00402BFA">
        <w:tc>
          <w:tcPr>
            <w:tcW w:w="9778" w:type="dxa"/>
          </w:tcPr>
          <w:p w14:paraId="1D9A29A6"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DC22A7">
              <w:rPr>
                <w:b/>
                <w:color w:val="FF0000"/>
                <w:u w:val="single"/>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305A092F" w14:textId="77777777" w:rsidR="00E77E6C" w:rsidRDefault="00E77E6C" w:rsidP="0030087C">
      <w:pPr>
        <w:pStyle w:val="Titre2"/>
      </w:pPr>
      <w:bookmarkStart w:id="67" w:name="_Ref405282373"/>
      <w:bookmarkStart w:id="68" w:name="_Toc208480491"/>
      <w:r>
        <w:t>Diversité – égalité dans les marchés publics</w:t>
      </w:r>
      <w:bookmarkEnd w:id="68"/>
    </w:p>
    <w:p w14:paraId="091F1DB4" w14:textId="77777777" w:rsidR="0079167C" w:rsidRDefault="0079167C" w:rsidP="0079167C">
      <w:r>
        <w:t xml:space="preserve">Le Ministère de la Culture et de la Communication a obtenu la double labellisation « diversité » et « égalité ». A cet égard, il souhaite sensibiliser et mobiliser les entreprises dans le cadre de sa politique d’achats </w:t>
      </w:r>
      <w:r>
        <w:lastRenderedPageBreak/>
        <w:t>responsables, en leur rappelant les interdictions de soumissionner relatives au non-respect des politiques d’égalité entre les femmes et les hommes et aux discriminations.</w:t>
      </w:r>
    </w:p>
    <w:p w14:paraId="09C33CC3" w14:textId="77777777" w:rsidR="0079167C" w:rsidRDefault="0079167C" w:rsidP="0079167C">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21FECB6D" w14:textId="77777777" w:rsidR="0079167C" w:rsidRDefault="0079167C" w:rsidP="0079167C">
      <w:r>
        <w:t>Par ailleurs, la loi n°2014-873, en vigueur depuis le 1</w:t>
      </w:r>
      <w:r w:rsidRPr="00904214">
        <w:rPr>
          <w:vertAlign w:val="superscript"/>
        </w:rPr>
        <w:t>er</w:t>
      </w:r>
      <w:r>
        <w:t xml:space="preserve"> décembre 2014, pour l’égalité réelle entre les femmes et les hommes dispose que :</w:t>
      </w:r>
    </w:p>
    <w:p w14:paraId="46CECC1F" w14:textId="77777777" w:rsidR="0079167C" w:rsidRDefault="0079167C" w:rsidP="0079167C">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06798B98" w14:textId="77777777" w:rsidR="0079167C" w:rsidRPr="00E77E6C" w:rsidRDefault="0079167C" w:rsidP="0079167C">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7FED00E2" w14:textId="08502BF3" w:rsidR="008A4BD2" w:rsidRPr="0030087C" w:rsidRDefault="009048CE" w:rsidP="0030087C">
      <w:pPr>
        <w:pStyle w:val="Titre2"/>
      </w:pPr>
      <w:bookmarkStart w:id="69" w:name="_Ref207352825"/>
      <w:bookmarkStart w:id="70" w:name="_Toc208480492"/>
      <w:r w:rsidRPr="0030087C">
        <w:t>D</w:t>
      </w:r>
      <w:r w:rsidR="008A4BD2" w:rsidRPr="0030087C">
        <w:t xml:space="preserve">ocuments </w:t>
      </w:r>
      <w:r w:rsidR="009F3186" w:rsidRPr="0030087C">
        <w:t xml:space="preserve">à produire </w:t>
      </w:r>
      <w:r w:rsidR="008A4BD2" w:rsidRPr="0030087C">
        <w:t>relatifs à l’</w:t>
      </w:r>
      <w:bookmarkEnd w:id="65"/>
      <w:bookmarkEnd w:id="66"/>
      <w:r w:rsidR="006A3B39" w:rsidRPr="0030087C">
        <w:t>OFFRE</w:t>
      </w:r>
      <w:bookmarkEnd w:id="67"/>
      <w:bookmarkEnd w:id="69"/>
      <w:bookmarkEnd w:id="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5B72B949" w14:textId="77777777" w:rsidTr="00E117A7">
        <w:tc>
          <w:tcPr>
            <w:tcW w:w="9778" w:type="dxa"/>
          </w:tcPr>
          <w:p w14:paraId="4247E6EC" w14:textId="1BD5E712" w:rsidR="00216291" w:rsidRPr="00896671" w:rsidRDefault="00896671" w:rsidP="00896671">
            <w:pPr>
              <w:rPr>
                <w:b/>
                <w:i/>
              </w:rPr>
            </w:pPr>
            <w:bookmarkStart w:id="71" w:name="_Toc295049621"/>
            <w:bookmarkStart w:id="72" w:name="_Toc295308314"/>
            <w:r w:rsidRPr="00896671">
              <w:rPr>
                <w:b/>
              </w:rPr>
              <w:t>L’</w:t>
            </w:r>
            <w:r w:rsidR="007D1852" w:rsidRPr="00896671">
              <w:rPr>
                <w:b/>
              </w:rPr>
              <w:t xml:space="preserve">annexe financière comportant le BPU </w:t>
            </w:r>
            <w:r w:rsidR="0030087C" w:rsidRPr="00896671">
              <w:rPr>
                <w:b/>
              </w:rPr>
              <w:t xml:space="preserve">et le DQE </w:t>
            </w:r>
            <w:r w:rsidR="007D1852" w:rsidRPr="00896671">
              <w:rPr>
                <w:b/>
              </w:rPr>
              <w:t>complété</w:t>
            </w:r>
            <w:r w:rsidRPr="00896671">
              <w:rPr>
                <w:b/>
              </w:rPr>
              <w:t>e</w:t>
            </w:r>
            <w:r w:rsidR="007D1852" w:rsidRPr="00896671">
              <w:rPr>
                <w:b/>
              </w:rPr>
              <w:t xml:space="preserve"> en version Excel</w:t>
            </w:r>
          </w:p>
        </w:tc>
      </w:tr>
      <w:tr w:rsidR="00216291" w14:paraId="01605E3A" w14:textId="77777777" w:rsidTr="00E117A7">
        <w:tc>
          <w:tcPr>
            <w:tcW w:w="9778" w:type="dxa"/>
          </w:tcPr>
          <w:p w14:paraId="5B3AFF48" w14:textId="073605F1" w:rsidR="00216291" w:rsidRPr="00216291" w:rsidRDefault="00216291" w:rsidP="00896671">
            <w:r>
              <w:t xml:space="preserve">Le(s) </w:t>
            </w:r>
            <w:r w:rsidR="00896671">
              <w:t xml:space="preserve">éventuel(s) </w:t>
            </w:r>
            <w:r w:rsidRPr="00622558">
              <w:rPr>
                <w:b/>
              </w:rPr>
              <w:t>DC4 en cas de sous-traitance</w:t>
            </w:r>
            <w:r>
              <w:t xml:space="preserve"> complétés en cas de déclaration de sous-traitance avant </w:t>
            </w:r>
            <w:r w:rsidR="00524001">
              <w:t xml:space="preserve">la </w:t>
            </w:r>
            <w:r>
              <w:t>conclusion du contrat</w:t>
            </w:r>
            <w:r w:rsidR="006260B9">
              <w:t xml:space="preserve"> </w:t>
            </w:r>
            <w:r w:rsidR="006260B9" w:rsidRPr="00835D36">
              <w:t>(voir le modèle fourni par le Mucem)</w:t>
            </w:r>
          </w:p>
        </w:tc>
      </w:tr>
      <w:tr w:rsidR="00F0351B" w14:paraId="33DA3B05" w14:textId="77777777" w:rsidTr="00CF7D82">
        <w:trPr>
          <w:trHeight w:val="3534"/>
        </w:trPr>
        <w:tc>
          <w:tcPr>
            <w:tcW w:w="9778" w:type="dxa"/>
          </w:tcPr>
          <w:p w14:paraId="690B8E37" w14:textId="75F4B705" w:rsidR="004C595F" w:rsidRPr="00835D36" w:rsidRDefault="00F0351B" w:rsidP="00896671">
            <w:r w:rsidRPr="00835D36">
              <w:rPr>
                <w:b/>
              </w:rPr>
              <w:t xml:space="preserve">L’offre technique </w:t>
            </w:r>
            <w:r w:rsidR="00171BBF">
              <w:rPr>
                <w:b/>
              </w:rPr>
              <w:t>(à présenter dans le cadre de réponse technique joint au présent RC</w:t>
            </w:r>
            <w:r w:rsidR="007318E4">
              <w:rPr>
                <w:b/>
              </w:rPr>
              <w:t> : « </w:t>
            </w:r>
            <w:r w:rsidR="00171BBF">
              <w:rPr>
                <w:b/>
              </w:rPr>
              <w:t xml:space="preserve">), </w:t>
            </w:r>
            <w:r w:rsidR="002E38FB" w:rsidRPr="00835D36">
              <w:t>qui</w:t>
            </w:r>
            <w:r w:rsidR="002E38FB" w:rsidRPr="00835D36">
              <w:rPr>
                <w:b/>
              </w:rPr>
              <w:t xml:space="preserve"> </w:t>
            </w:r>
            <w:r w:rsidR="002E38FB" w:rsidRPr="00835D36">
              <w:t>devra présenter a minima les éléments suivants :</w:t>
            </w:r>
          </w:p>
          <w:p w14:paraId="3F2238C5" w14:textId="0227D828" w:rsidR="00A95EE1" w:rsidRDefault="00AC5E1D" w:rsidP="00896671">
            <w:pPr>
              <w:pStyle w:val="Listepuces"/>
            </w:pPr>
            <w:r w:rsidRPr="00AC5E1D">
              <w:rPr>
                <w:b/>
              </w:rPr>
              <w:t>1.</w:t>
            </w:r>
            <w:r>
              <w:t xml:space="preserve"> </w:t>
            </w:r>
            <w:r w:rsidR="002944DE" w:rsidRPr="00835D36">
              <w:t>Un</w:t>
            </w:r>
            <w:r w:rsidR="00C64DFC">
              <w:t xml:space="preserve">e </w:t>
            </w:r>
            <w:r w:rsidR="00C64DFC" w:rsidRPr="00A978A7">
              <w:t xml:space="preserve">présentation </w:t>
            </w:r>
            <w:bookmarkStart w:id="73" w:name="_Hlk207352402"/>
            <w:r w:rsidR="00C64DFC" w:rsidRPr="00A978A7">
              <w:t>d’</w:t>
            </w:r>
            <w:r w:rsidR="00C64DFC" w:rsidRPr="00DF7BD0">
              <w:rPr>
                <w:b/>
              </w:rPr>
              <w:t>exemples de prestations similaires réalisées</w:t>
            </w:r>
            <w:bookmarkEnd w:id="73"/>
            <w:r w:rsidR="00C64DFC" w:rsidRPr="00C64DFC">
              <w:t xml:space="preserve">, démontrant la capacité </w:t>
            </w:r>
            <w:r w:rsidR="00AD50F5">
              <w:t xml:space="preserve">du candidat </w:t>
            </w:r>
            <w:r w:rsidR="00C64DFC" w:rsidRPr="00C64DFC">
              <w:t>à répondre efficacement aux objectifs du marché</w:t>
            </w:r>
            <w:r w:rsidR="002944DE" w:rsidRPr="00835D36">
              <w:t xml:space="preserve"> </w:t>
            </w:r>
          </w:p>
          <w:p w14:paraId="7B5BC831" w14:textId="58BB300E" w:rsidR="002944DE" w:rsidRPr="00AC5E1D" w:rsidRDefault="00A95EE1" w:rsidP="00A95EE1">
            <w:pPr>
              <w:pStyle w:val="Listepuces"/>
              <w:numPr>
                <w:ilvl w:val="0"/>
                <w:numId w:val="0"/>
              </w:numPr>
              <w:ind w:left="1276"/>
              <w:rPr>
                <w:i/>
              </w:rPr>
            </w:pPr>
            <w:bookmarkStart w:id="74" w:name="_Hlk207352513"/>
            <w:r w:rsidRPr="00AC5E1D">
              <w:rPr>
                <w:i/>
              </w:rPr>
              <w:t>Le ca</w:t>
            </w:r>
            <w:r w:rsidR="00AD50F5" w:rsidRPr="00AC5E1D">
              <w:rPr>
                <w:i/>
              </w:rPr>
              <w:t>ndidat</w:t>
            </w:r>
            <w:r w:rsidRPr="00AC5E1D">
              <w:rPr>
                <w:i/>
              </w:rPr>
              <w:t xml:space="preserve"> </w:t>
            </w:r>
            <w:r w:rsidR="00AC5E1D">
              <w:rPr>
                <w:i/>
              </w:rPr>
              <w:t>est invité à présenter notamment</w:t>
            </w:r>
            <w:r w:rsidR="00AD50F5" w:rsidRPr="00AC5E1D">
              <w:rPr>
                <w:i/>
              </w:rPr>
              <w:t>, outre les noms des clients et contextes des prestations réalisées</w:t>
            </w:r>
            <w:r w:rsidR="005D0242" w:rsidRPr="00AC5E1D">
              <w:rPr>
                <w:i/>
              </w:rPr>
              <w:t xml:space="preserve"> (secteur, objectifs, cibles)</w:t>
            </w:r>
            <w:r w:rsidR="00AD50F5" w:rsidRPr="00AC5E1D">
              <w:rPr>
                <w:i/>
              </w:rPr>
              <w:t xml:space="preserve">, </w:t>
            </w:r>
            <w:r w:rsidR="00C64DFC" w:rsidRPr="00AC5E1D">
              <w:rPr>
                <w:i/>
              </w:rPr>
              <w:t>des exemples con</w:t>
            </w:r>
            <w:r w:rsidR="00AD50F5" w:rsidRPr="00AC5E1D">
              <w:rPr>
                <w:i/>
              </w:rPr>
              <w:t>c</w:t>
            </w:r>
            <w:r w:rsidR="00C64DFC" w:rsidRPr="00AC5E1D">
              <w:rPr>
                <w:i/>
              </w:rPr>
              <w:t>r</w:t>
            </w:r>
            <w:r w:rsidR="00AD50F5" w:rsidRPr="00AC5E1D">
              <w:rPr>
                <w:i/>
              </w:rPr>
              <w:t>e</w:t>
            </w:r>
            <w:r w:rsidR="00C64DFC" w:rsidRPr="00AC5E1D">
              <w:rPr>
                <w:i/>
              </w:rPr>
              <w:t xml:space="preserve">ts de campagnes réussies, </w:t>
            </w:r>
            <w:r w:rsidRPr="00AC5E1D">
              <w:rPr>
                <w:i/>
              </w:rPr>
              <w:t>le niveau de satisfaction des clients, les résultats obtenus (retombées presse, visibilité)</w:t>
            </w:r>
          </w:p>
          <w:bookmarkEnd w:id="74"/>
          <w:p w14:paraId="0C5A98A5" w14:textId="3E8E1E14" w:rsidR="003466B8" w:rsidRDefault="00AC5E1D" w:rsidP="00896671">
            <w:pPr>
              <w:pStyle w:val="Listepuces"/>
            </w:pPr>
            <w:r w:rsidRPr="00AC5E1D">
              <w:rPr>
                <w:b/>
              </w:rPr>
              <w:t>2.</w:t>
            </w:r>
            <w:r>
              <w:t xml:space="preserve"> </w:t>
            </w:r>
            <w:r w:rsidR="00A95EE1">
              <w:t xml:space="preserve">Une </w:t>
            </w:r>
            <w:r w:rsidR="000E1150">
              <w:t>p</w:t>
            </w:r>
            <w:r w:rsidR="00536889">
              <w:t>résentation</w:t>
            </w:r>
            <w:r w:rsidR="000E1150">
              <w:t xml:space="preserve"> </w:t>
            </w:r>
            <w:r w:rsidR="00455D9F">
              <w:t xml:space="preserve">des </w:t>
            </w:r>
            <w:r w:rsidR="002944DE" w:rsidRPr="003A38F7">
              <w:rPr>
                <w:b/>
              </w:rPr>
              <w:t xml:space="preserve">grandes lignes de la stratégie des actions presse </w:t>
            </w:r>
            <w:r w:rsidR="003466B8">
              <w:rPr>
                <w:b/>
              </w:rPr>
              <w:t xml:space="preserve">préconisées </w:t>
            </w:r>
            <w:r w:rsidR="002944DE" w:rsidRPr="003A38F7">
              <w:rPr>
                <w:b/>
              </w:rPr>
              <w:t>pour l’année 202</w:t>
            </w:r>
            <w:r w:rsidR="00C57C0B" w:rsidRPr="003A38F7">
              <w:rPr>
                <w:b/>
              </w:rPr>
              <w:t>6</w:t>
            </w:r>
            <w:r w:rsidR="00A978A7">
              <w:rPr>
                <w:b/>
              </w:rPr>
              <w:t xml:space="preserve"> comportant :</w:t>
            </w:r>
            <w:r w:rsidR="002944DE" w:rsidRPr="00835D36">
              <w:t xml:space="preserve"> </w:t>
            </w:r>
          </w:p>
          <w:p w14:paraId="00325499" w14:textId="31B7D8B2" w:rsidR="00455D9F" w:rsidRPr="00A978A7" w:rsidRDefault="00A978A7" w:rsidP="00896671">
            <w:pPr>
              <w:pStyle w:val="Listepuces2"/>
            </w:pPr>
            <w:r w:rsidRPr="00A978A7">
              <w:t>u</w:t>
            </w:r>
            <w:r w:rsidR="00455D9F" w:rsidRPr="00A978A7">
              <w:t>ne analyse du contexte et des enjeux des relations presse au Mucem</w:t>
            </w:r>
          </w:p>
          <w:p w14:paraId="77FB7E32" w14:textId="77777777" w:rsidR="00C61AC0" w:rsidRPr="00A978A7" w:rsidRDefault="00C61AC0" w:rsidP="00C61AC0">
            <w:pPr>
              <w:pStyle w:val="Listepuces2"/>
            </w:pPr>
            <w:r w:rsidRPr="00A978A7">
              <w:t>des préconisations de partenariats médias</w:t>
            </w:r>
          </w:p>
          <w:p w14:paraId="661DE6D8" w14:textId="77777777" w:rsidR="00C61AC0" w:rsidRPr="00A978A7" w:rsidRDefault="00C61AC0" w:rsidP="00C61AC0">
            <w:pPr>
              <w:pStyle w:val="Listepuces2"/>
            </w:pPr>
            <w:r w:rsidRPr="00A978A7">
              <w:t>les médias, journalistes et décideurs médias visés (le Mucem pourra suggérer tout contact approprié)</w:t>
            </w:r>
          </w:p>
          <w:p w14:paraId="1EBC354F" w14:textId="77777777" w:rsidR="00C61AC0" w:rsidRPr="00A978A7" w:rsidRDefault="00C61AC0" w:rsidP="00C61AC0">
            <w:pPr>
              <w:pStyle w:val="Listepuces2"/>
            </w:pPr>
            <w:r w:rsidRPr="00A978A7">
              <w:t>des préconisations de Réseaux Sociaux Numériques (RSN) et d’influenceurs à cibler</w:t>
            </w:r>
          </w:p>
          <w:p w14:paraId="4C5B768F" w14:textId="7EB37588" w:rsidR="0058354B" w:rsidRPr="00A978A7" w:rsidRDefault="0058354B" w:rsidP="00896671">
            <w:pPr>
              <w:pStyle w:val="Listepuces2"/>
            </w:pPr>
            <w:r w:rsidRPr="00A978A7">
              <w:t>les périodes de prise de parole,</w:t>
            </w:r>
          </w:p>
          <w:p w14:paraId="6BE02137" w14:textId="77777777" w:rsidR="0058354B" w:rsidRPr="00A978A7" w:rsidRDefault="0058354B" w:rsidP="00896671">
            <w:pPr>
              <w:pStyle w:val="Listepuces2"/>
            </w:pPr>
            <w:r w:rsidRPr="00A978A7">
              <w:t>les types de messages à mettre en avant,</w:t>
            </w:r>
          </w:p>
          <w:p w14:paraId="10672FF2" w14:textId="4A1B064B" w:rsidR="0058354B" w:rsidRPr="00A978A7" w:rsidRDefault="0058354B" w:rsidP="00896671">
            <w:pPr>
              <w:pStyle w:val="Listepuces2"/>
            </w:pPr>
            <w:r w:rsidRPr="00A978A7">
              <w:t>la définition des types de supports et formes d’échanges nécessaires avec les journalistes (entretiens, conférences, visites, mailings,</w:t>
            </w:r>
            <w:r w:rsidR="00CF7D82">
              <w:t xml:space="preserve"> </w:t>
            </w:r>
            <w:r w:rsidRPr="00A978A7">
              <w:t>…),</w:t>
            </w:r>
          </w:p>
          <w:p w14:paraId="13D9A7ED" w14:textId="77777777" w:rsidR="006F21E8" w:rsidRPr="00A978A7" w:rsidRDefault="00B01DF4" w:rsidP="00896671">
            <w:pPr>
              <w:pStyle w:val="Listepuces2"/>
            </w:pPr>
            <w:r w:rsidRPr="00A978A7">
              <w:t>les moyens budgétaires et logistiques à prévoir</w:t>
            </w:r>
          </w:p>
          <w:p w14:paraId="200BE6EC" w14:textId="77777777" w:rsidR="002944DE" w:rsidRPr="00A978A7" w:rsidRDefault="006F21E8" w:rsidP="00896671">
            <w:pPr>
              <w:pStyle w:val="Listepuces2"/>
            </w:pPr>
            <w:r w:rsidRPr="00A978A7">
              <w:t>le planning indiquant les délais d’exécution des prestations</w:t>
            </w:r>
          </w:p>
          <w:p w14:paraId="569ABC99" w14:textId="0094D888" w:rsidR="00D71C6E" w:rsidRDefault="00AC5E1D" w:rsidP="00896671">
            <w:pPr>
              <w:pStyle w:val="Listepuces"/>
            </w:pPr>
            <w:r w:rsidRPr="00AC5E1D">
              <w:rPr>
                <w:b/>
              </w:rPr>
              <w:t xml:space="preserve">3. </w:t>
            </w:r>
            <w:r w:rsidR="00D71C6E">
              <w:t>Une présenta</w:t>
            </w:r>
            <w:r w:rsidR="00536889">
              <w:t>tion de</w:t>
            </w:r>
            <w:r w:rsidR="00D71C6E">
              <w:t xml:space="preserve"> la </w:t>
            </w:r>
            <w:bookmarkStart w:id="75" w:name="_Hlk207701435"/>
            <w:r w:rsidR="00D71C6E" w:rsidRPr="00536889">
              <w:rPr>
                <w:b/>
              </w:rPr>
              <w:t xml:space="preserve">méthodologie </w:t>
            </w:r>
            <w:r w:rsidR="00054D02">
              <w:rPr>
                <w:b/>
              </w:rPr>
              <w:t xml:space="preserve">et de l’organisation </w:t>
            </w:r>
            <w:r w:rsidR="00D71C6E" w:rsidRPr="00536889">
              <w:rPr>
                <w:b/>
              </w:rPr>
              <w:t>employée</w:t>
            </w:r>
            <w:r w:rsidR="00054D02">
              <w:rPr>
                <w:b/>
              </w:rPr>
              <w:t>s</w:t>
            </w:r>
            <w:r w:rsidR="00D71C6E" w:rsidRPr="00536889">
              <w:rPr>
                <w:b/>
              </w:rPr>
              <w:t xml:space="preserve"> pour assurer les différentes composantes des prestations</w:t>
            </w:r>
            <w:r w:rsidR="00D71C6E">
              <w:t xml:space="preserve"> </w:t>
            </w:r>
            <w:r w:rsidR="00E00257">
              <w:t>par typologie d’événement (</w:t>
            </w:r>
            <w:r w:rsidR="00E00257" w:rsidRPr="00054D02">
              <w:rPr>
                <w:i/>
              </w:rPr>
              <w:t>temps fort, actions ciblés, diffusion simple</w:t>
            </w:r>
            <w:r w:rsidR="00E00257">
              <w:t xml:space="preserve">) et par étape </w:t>
            </w:r>
            <w:r w:rsidR="00D71C6E">
              <w:t>(</w:t>
            </w:r>
            <w:r w:rsidR="00D71C6E" w:rsidRPr="00054D02">
              <w:rPr>
                <w:i/>
              </w:rPr>
              <w:t>conseil et assistance à l’élaboration de la stratégie, prospection média</w:t>
            </w:r>
            <w:r w:rsidR="0059520D" w:rsidRPr="00054D02">
              <w:rPr>
                <w:i/>
              </w:rPr>
              <w:t>, préparation et organisation des événements presse,</w:t>
            </w:r>
            <w:r w:rsidR="00536889" w:rsidRPr="00054D02">
              <w:rPr>
                <w:i/>
              </w:rPr>
              <w:t xml:space="preserve"> diffusion des communiqués de presse,</w:t>
            </w:r>
            <w:r>
              <w:rPr>
                <w:i/>
              </w:rPr>
              <w:t xml:space="preserve"> </w:t>
            </w:r>
            <w:r w:rsidR="0059520D" w:rsidRPr="00054D02">
              <w:rPr>
                <w:i/>
              </w:rPr>
              <w:t>…</w:t>
            </w:r>
            <w:r w:rsidR="0059520D">
              <w:t>)</w:t>
            </w:r>
          </w:p>
          <w:p w14:paraId="306C9593" w14:textId="1FC857CD" w:rsidR="00A95EE1" w:rsidRPr="00A978A7" w:rsidRDefault="00A95EE1" w:rsidP="00A95EE1">
            <w:pPr>
              <w:pStyle w:val="Listepuces"/>
              <w:numPr>
                <w:ilvl w:val="0"/>
                <w:numId w:val="0"/>
              </w:numPr>
              <w:ind w:left="851"/>
            </w:pPr>
            <w:r w:rsidRPr="0009487E">
              <w:rPr>
                <w:u w:val="single"/>
              </w:rPr>
              <w:t xml:space="preserve">Cette présentation devra permettre notamment de démontrer la capacité du candidat à mobiliser les médias </w:t>
            </w:r>
            <w:r w:rsidRPr="00A978A7">
              <w:rPr>
                <w:u w:val="single"/>
              </w:rPr>
              <w:t>nationaux et internationaux</w:t>
            </w:r>
            <w:r w:rsidR="005D0242" w:rsidRPr="00A978A7">
              <w:rPr>
                <w:u w:val="single"/>
              </w:rPr>
              <w:t xml:space="preserve"> et son éventuelle innovation dans les approches</w:t>
            </w:r>
            <w:r w:rsidR="00961B95" w:rsidRPr="00A978A7">
              <w:t>.</w:t>
            </w:r>
          </w:p>
          <w:bookmarkEnd w:id="75"/>
          <w:p w14:paraId="05A935D4" w14:textId="7A8AB064" w:rsidR="00887E83" w:rsidRPr="00A978A7" w:rsidRDefault="00896671" w:rsidP="00896671">
            <w:pPr>
              <w:pStyle w:val="Listepuces"/>
              <w:numPr>
                <w:ilvl w:val="0"/>
                <w:numId w:val="0"/>
              </w:numPr>
              <w:ind w:left="1276" w:hanging="425"/>
            </w:pPr>
            <w:r w:rsidRPr="00A978A7">
              <w:t>La</w:t>
            </w:r>
            <w:r w:rsidR="00E00257" w:rsidRPr="00A978A7">
              <w:t xml:space="preserve"> présentation inclura notamment</w:t>
            </w:r>
            <w:r w:rsidR="00887E83" w:rsidRPr="00A978A7">
              <w:t> :</w:t>
            </w:r>
          </w:p>
          <w:p w14:paraId="02F2F856" w14:textId="714A93A9" w:rsidR="00896671" w:rsidRPr="00A978A7" w:rsidRDefault="00E00257" w:rsidP="00896671">
            <w:pPr>
              <w:pStyle w:val="Listepuces2"/>
            </w:pPr>
            <w:r w:rsidRPr="00A978A7">
              <w:t xml:space="preserve">un </w:t>
            </w:r>
            <w:r w:rsidR="00455D9F" w:rsidRPr="00CF7D82">
              <w:t>organigramme nominatif,</w:t>
            </w:r>
          </w:p>
          <w:p w14:paraId="0FEF9B40" w14:textId="2090094F" w:rsidR="00C61AC0" w:rsidRPr="00A978A7" w:rsidRDefault="00C61AC0" w:rsidP="00C61AC0">
            <w:pPr>
              <w:pStyle w:val="Listepuces2"/>
            </w:pPr>
            <w:r w:rsidRPr="00A978A7">
              <w:t xml:space="preserve">la </w:t>
            </w:r>
            <w:bookmarkStart w:id="76" w:name="_Hlk207701615"/>
            <w:r w:rsidRPr="00A978A7">
              <w:t>répartition des rôles entre les différents intervenants</w:t>
            </w:r>
            <w:bookmarkEnd w:id="76"/>
            <w:r w:rsidRPr="00A978A7">
              <w:t>,</w:t>
            </w:r>
          </w:p>
          <w:p w14:paraId="44DA7B75" w14:textId="50C1D3AC" w:rsidR="00C61AC0" w:rsidRPr="00A978A7" w:rsidRDefault="00C61AC0" w:rsidP="00C61AC0">
            <w:pPr>
              <w:pStyle w:val="Listepuces2"/>
            </w:pPr>
            <w:r w:rsidRPr="00A978A7">
              <w:t>la coordination avec le Mucem,</w:t>
            </w:r>
          </w:p>
          <w:p w14:paraId="7B0D2993" w14:textId="69462F0F" w:rsidR="00896671" w:rsidRPr="00A978A7" w:rsidRDefault="00455D9F" w:rsidP="00896671">
            <w:pPr>
              <w:pStyle w:val="Listepuces2"/>
            </w:pPr>
            <w:r w:rsidRPr="00A978A7">
              <w:t xml:space="preserve">le </w:t>
            </w:r>
            <w:bookmarkStart w:id="77" w:name="_Hlk207701536"/>
            <w:r w:rsidRPr="00A978A7">
              <w:t xml:space="preserve">détail des actions </w:t>
            </w:r>
            <w:r w:rsidR="00887E83" w:rsidRPr="00A978A7">
              <w:t xml:space="preserve">et </w:t>
            </w:r>
            <w:r w:rsidR="005D0242" w:rsidRPr="00A978A7">
              <w:t xml:space="preserve">des </w:t>
            </w:r>
            <w:r w:rsidR="00887E83" w:rsidRPr="00A978A7">
              <w:t xml:space="preserve">modes opératoires </w:t>
            </w:r>
            <w:r w:rsidR="00810F65" w:rsidRPr="00A978A7">
              <w:t>prévus</w:t>
            </w:r>
            <w:r w:rsidRPr="00A978A7">
              <w:t xml:space="preserve"> par phase</w:t>
            </w:r>
            <w:bookmarkEnd w:id="77"/>
            <w:r w:rsidRPr="00A978A7">
              <w:t>,</w:t>
            </w:r>
          </w:p>
          <w:p w14:paraId="22E2DB13" w14:textId="77777777" w:rsidR="00896671" w:rsidRPr="00A978A7" w:rsidRDefault="00455D9F" w:rsidP="00896671">
            <w:pPr>
              <w:pStyle w:val="Listepuces2"/>
            </w:pPr>
            <w:r w:rsidRPr="00A978A7">
              <w:lastRenderedPageBreak/>
              <w:t xml:space="preserve">un </w:t>
            </w:r>
            <w:r w:rsidR="00E00257" w:rsidRPr="00A978A7">
              <w:t>rétroplanning par type d’événement</w:t>
            </w:r>
            <w:r w:rsidR="00887E83" w:rsidRPr="00A978A7">
              <w:t xml:space="preserve">, </w:t>
            </w:r>
          </w:p>
          <w:p w14:paraId="1C34CFAC" w14:textId="33A382EF" w:rsidR="00E00257" w:rsidRPr="00A978A7" w:rsidRDefault="00887E83" w:rsidP="00896671">
            <w:pPr>
              <w:pStyle w:val="Listepuces2"/>
            </w:pPr>
            <w:r w:rsidRPr="00A978A7">
              <w:t>les outils à mobiliser</w:t>
            </w:r>
          </w:p>
          <w:p w14:paraId="03A6AB94" w14:textId="303F32B1" w:rsidR="002E38FB" w:rsidRPr="00835D36" w:rsidRDefault="00AC5E1D" w:rsidP="00896671">
            <w:pPr>
              <w:pStyle w:val="Listepuces"/>
            </w:pPr>
            <w:r w:rsidRPr="00AC5E1D">
              <w:rPr>
                <w:b/>
              </w:rPr>
              <w:t xml:space="preserve">4. </w:t>
            </w:r>
            <w:r w:rsidR="002944DE" w:rsidRPr="00835D36">
              <w:t xml:space="preserve">Un </w:t>
            </w:r>
            <w:r w:rsidR="002944DE" w:rsidRPr="00887E83">
              <w:t>descriptif des</w:t>
            </w:r>
            <w:r w:rsidR="002944DE" w:rsidRPr="00D71C6E">
              <w:rPr>
                <w:b/>
              </w:rPr>
              <w:t xml:space="preserve"> moyens humains</w:t>
            </w:r>
            <w:r w:rsidR="002944DE" w:rsidRPr="00835D36">
              <w:t xml:space="preserve"> affectés à la réalisation de</w:t>
            </w:r>
            <w:r w:rsidR="00D71C6E">
              <w:t>s</w:t>
            </w:r>
            <w:r w:rsidR="002944DE" w:rsidRPr="00835D36">
              <w:t xml:space="preserve"> prestation</w:t>
            </w:r>
            <w:r w:rsidR="00D71C6E">
              <w:t>s</w:t>
            </w:r>
            <w:r w:rsidR="002944DE" w:rsidRPr="00835D36">
              <w:t xml:space="preserve"> </w:t>
            </w:r>
            <w:r w:rsidR="00E00257">
              <w:t>par éta</w:t>
            </w:r>
            <w:r w:rsidR="00455D9F">
              <w:t>p</w:t>
            </w:r>
            <w:r w:rsidR="00E00257">
              <w:t>e</w:t>
            </w:r>
            <w:r w:rsidR="00455D9F">
              <w:t xml:space="preserve"> et typologie d’événement</w:t>
            </w:r>
            <w:r w:rsidR="00E00257">
              <w:t xml:space="preserve"> </w:t>
            </w:r>
            <w:r w:rsidR="002944DE" w:rsidRPr="00835D36">
              <w:t>(</w:t>
            </w:r>
            <w:r w:rsidR="00E5464A" w:rsidRPr="00887E83">
              <w:rPr>
                <w:i/>
              </w:rPr>
              <w:t xml:space="preserve">nombre de personnes dédiées, </w:t>
            </w:r>
            <w:r w:rsidR="0030087C" w:rsidRPr="00887E83">
              <w:rPr>
                <w:i/>
              </w:rPr>
              <w:t>profils</w:t>
            </w:r>
            <w:r w:rsidR="00536889" w:rsidRPr="00887E83">
              <w:rPr>
                <w:i/>
              </w:rPr>
              <w:t>, expérience</w:t>
            </w:r>
            <w:r w:rsidR="00E00257" w:rsidRPr="00887E83">
              <w:rPr>
                <w:i/>
              </w:rPr>
              <w:t>s</w:t>
            </w:r>
            <w:r w:rsidR="00536889" w:rsidRPr="00887E83">
              <w:rPr>
                <w:i/>
              </w:rPr>
              <w:t xml:space="preserve"> (particulièrement dans le domaine de la culture) et formation</w:t>
            </w:r>
            <w:r w:rsidR="00455D9F" w:rsidRPr="00887E83">
              <w:rPr>
                <w:i/>
              </w:rPr>
              <w:t>s</w:t>
            </w:r>
            <w:r w:rsidR="00455D9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2"/>
            </w:tblGrid>
            <w:tr w:rsidR="006326B9" w14:paraId="21DEAC3C" w14:textId="77777777" w:rsidTr="002E38FB">
              <w:trPr>
                <w:trHeight w:val="400"/>
              </w:trPr>
              <w:tc>
                <w:tcPr>
                  <w:tcW w:w="9552" w:type="dxa"/>
                  <w:shd w:val="clear" w:color="auto" w:fill="D9D9D9"/>
                </w:tcPr>
                <w:p w14:paraId="2C10F6F4" w14:textId="77777777" w:rsidR="006326B9" w:rsidRPr="00057A18" w:rsidRDefault="006326B9" w:rsidP="00216291">
                  <w:pPr>
                    <w:jc w:val="center"/>
                    <w:rPr>
                      <w:b/>
                    </w:rPr>
                  </w:pPr>
                  <w:r>
                    <w:rPr>
                      <w:b/>
                    </w:rPr>
                    <w:t>IMPORTANT</w:t>
                  </w:r>
                </w:p>
              </w:tc>
            </w:tr>
            <w:tr w:rsidR="006326B9" w14:paraId="32262190" w14:textId="77777777" w:rsidTr="00252A40">
              <w:trPr>
                <w:trHeight w:val="1123"/>
              </w:trPr>
              <w:tc>
                <w:tcPr>
                  <w:tcW w:w="9552" w:type="dxa"/>
                </w:tcPr>
                <w:p w14:paraId="7682391C" w14:textId="6DA538F1" w:rsidR="006326B9" w:rsidRDefault="006326B9" w:rsidP="00216291">
                  <w:pPr>
                    <w:rPr>
                      <w:b/>
                      <w:color w:val="FF0000"/>
                    </w:rPr>
                  </w:pPr>
                  <w:r w:rsidRPr="00517A02">
                    <w:rPr>
                      <w:b/>
                      <w:color w:val="FF0000"/>
                    </w:rPr>
                    <w:t>La fourniture d</w:t>
                  </w:r>
                  <w:r w:rsidR="00AC5E1D">
                    <w:rPr>
                      <w:b/>
                      <w:color w:val="FF0000"/>
                    </w:rPr>
                    <w:t>u cadre de réponse est obligatoire</w:t>
                  </w:r>
                </w:p>
                <w:p w14:paraId="7CD5D3AA" w14:textId="0CFC6700" w:rsidR="006326B9" w:rsidRPr="004D1AB6" w:rsidRDefault="006326B9" w:rsidP="006A720A">
                  <w:r w:rsidRPr="004D1AB6">
                    <w:t>Le</w:t>
                  </w:r>
                  <w:r w:rsidR="00AC5E1D">
                    <w:t>s développements attendus cons</w:t>
                  </w:r>
                  <w:r w:rsidRPr="004D1AB6">
                    <w:t>titue</w:t>
                  </w:r>
                  <w:r w:rsidR="00AC5E1D">
                    <w:t>nt</w:t>
                  </w:r>
                  <w:r w:rsidRPr="004D1AB6">
                    <w:t xml:space="preserve"> un élément clé dans l’évaluation de la valeur technique de l’offre </w:t>
                  </w:r>
                  <w:r w:rsidRPr="004D1AB6">
                    <w:rPr>
                      <w:color w:val="000000"/>
                    </w:rPr>
                    <w:t xml:space="preserve">et </w:t>
                  </w:r>
                  <w:r w:rsidRPr="004D1AB6">
                    <w:rPr>
                      <w:b/>
                      <w:color w:val="000000"/>
                    </w:rPr>
                    <w:t>ser</w:t>
                  </w:r>
                  <w:r w:rsidR="00AC5E1D">
                    <w:rPr>
                      <w:b/>
                      <w:color w:val="000000"/>
                    </w:rPr>
                    <w:t>ont</w:t>
                  </w:r>
                  <w:r w:rsidRPr="004D1AB6">
                    <w:rPr>
                      <w:b/>
                      <w:color w:val="000000"/>
                    </w:rPr>
                    <w:t xml:space="preserve"> rendu</w:t>
                  </w:r>
                  <w:r w:rsidR="00AC5E1D">
                    <w:rPr>
                      <w:b/>
                      <w:color w:val="000000"/>
                    </w:rPr>
                    <w:t>s</w:t>
                  </w:r>
                  <w:r w:rsidRPr="004D1AB6">
                    <w:rPr>
                      <w:b/>
                      <w:color w:val="000000"/>
                    </w:rPr>
                    <w:t xml:space="preserve"> contractuel</w:t>
                  </w:r>
                  <w:r w:rsidR="00AC5E1D">
                    <w:rPr>
                      <w:b/>
                      <w:color w:val="000000"/>
                    </w:rPr>
                    <w:t>s</w:t>
                  </w:r>
                  <w:r w:rsidRPr="004D1AB6">
                    <w:rPr>
                      <w:b/>
                      <w:color w:val="000000"/>
                    </w:rPr>
                    <w:t xml:space="preserve"> lors de la notification du contrat</w:t>
                  </w:r>
                  <w:r w:rsidRPr="004D1AB6">
                    <w:rPr>
                      <w:color w:val="000000"/>
                    </w:rPr>
                    <w:t>.</w:t>
                  </w:r>
                </w:p>
              </w:tc>
            </w:tr>
          </w:tbl>
          <w:p w14:paraId="7BE24E13" w14:textId="77777777" w:rsidR="006326B9" w:rsidRPr="00C85829" w:rsidRDefault="006326B9" w:rsidP="006326B9">
            <w:pPr>
              <w:pStyle w:val="Listepuces2"/>
              <w:numPr>
                <w:ilvl w:val="0"/>
                <w:numId w:val="0"/>
              </w:numPr>
              <w:ind w:left="1701"/>
              <w:rPr>
                <w:highlight w:val="yellow"/>
              </w:rPr>
            </w:pPr>
          </w:p>
        </w:tc>
      </w:tr>
    </w:tbl>
    <w:p w14:paraId="5616FC11"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24001" w14:paraId="4E70E326" w14:textId="77777777" w:rsidTr="00402BFA">
        <w:trPr>
          <w:trHeight w:val="400"/>
        </w:trPr>
        <w:tc>
          <w:tcPr>
            <w:tcW w:w="9778" w:type="dxa"/>
            <w:shd w:val="clear" w:color="auto" w:fill="D9D9D9"/>
          </w:tcPr>
          <w:p w14:paraId="4AD0FC6E" w14:textId="2A934DAF" w:rsidR="00524001" w:rsidRPr="007F315E" w:rsidRDefault="00524001" w:rsidP="00402BFA">
            <w:pPr>
              <w:jc w:val="center"/>
              <w:rPr>
                <w:rFonts w:cs="Arial"/>
                <w:b/>
              </w:rPr>
            </w:pPr>
            <w:r w:rsidRPr="007F315E">
              <w:rPr>
                <w:rFonts w:cs="Arial"/>
                <w:b/>
              </w:rPr>
              <w:t>NOTE</w:t>
            </w:r>
            <w:r w:rsidR="008D3365">
              <w:rPr>
                <w:rFonts w:cs="Arial"/>
                <w:b/>
              </w:rPr>
              <w:t xml:space="preserve"> CONCERNANT LE CCAP</w:t>
            </w:r>
          </w:p>
        </w:tc>
      </w:tr>
      <w:tr w:rsidR="00524001" w14:paraId="64C546DA" w14:textId="77777777" w:rsidTr="00402BFA">
        <w:tc>
          <w:tcPr>
            <w:tcW w:w="9778" w:type="dxa"/>
          </w:tcPr>
          <w:p w14:paraId="5BC704D1" w14:textId="77777777" w:rsidR="00524001" w:rsidRPr="002944DE" w:rsidRDefault="00524001" w:rsidP="00524001">
            <w:pPr>
              <w:rPr>
                <w:color w:val="FF0000"/>
              </w:rPr>
            </w:pPr>
            <w:r w:rsidRPr="0008431E">
              <w:rPr>
                <w:color w:val="FF0000"/>
              </w:rPr>
              <w:t>Il n’est pas nécessaire de produire le C</w:t>
            </w:r>
            <w:r w:rsidRPr="002944DE">
              <w:rPr>
                <w:color w:val="FF0000"/>
              </w:rPr>
              <w:t xml:space="preserve">CAP valant acte d’engagement signé au stade de la remise de l’offre. </w:t>
            </w:r>
          </w:p>
          <w:p w14:paraId="7D10A1DC" w14:textId="77777777" w:rsidR="00524001" w:rsidRPr="002944DE" w:rsidRDefault="00524001" w:rsidP="00524001">
            <w:pPr>
              <w:rPr>
                <w:color w:val="FF0000"/>
              </w:rPr>
            </w:pPr>
            <w:r w:rsidRPr="002944DE">
              <w:rPr>
                <w:color w:val="FF0000"/>
              </w:rPr>
              <w:t xml:space="preserve">Ce document est uniquement fourni </w:t>
            </w:r>
            <w:r w:rsidR="00721975" w:rsidRPr="002944DE">
              <w:rPr>
                <w:color w:val="FF0000"/>
              </w:rPr>
              <w:t xml:space="preserve">par le Mucem </w:t>
            </w:r>
            <w:r w:rsidRPr="002944DE">
              <w:rPr>
                <w:color w:val="FF0000"/>
              </w:rPr>
              <w:t>dans le DCE pour que les candidats prennent connaissance des conditions de la relation contractuelle définies par le Mucem, dont les candidats doivent tenir compte pour l’élaboration de leur</w:t>
            </w:r>
            <w:r w:rsidR="007B01FD" w:rsidRPr="002944DE">
              <w:rPr>
                <w:color w:val="FF0000"/>
              </w:rPr>
              <w:t>s</w:t>
            </w:r>
            <w:r w:rsidRPr="002944DE">
              <w:rPr>
                <w:color w:val="FF0000"/>
              </w:rPr>
              <w:t xml:space="preserve"> offre</w:t>
            </w:r>
            <w:r w:rsidR="007B01FD" w:rsidRPr="002944DE">
              <w:rPr>
                <w:color w:val="FF0000"/>
              </w:rPr>
              <w:t>s</w:t>
            </w:r>
            <w:r w:rsidRPr="002944DE">
              <w:rPr>
                <w:color w:val="FF0000"/>
              </w:rPr>
              <w:t>.</w:t>
            </w:r>
          </w:p>
          <w:p w14:paraId="021E7042" w14:textId="77777777" w:rsidR="00524001" w:rsidRPr="003C1E79" w:rsidRDefault="00524001" w:rsidP="00524001">
            <w:pPr>
              <w:rPr>
                <w:rFonts w:cs="Arial"/>
                <w:b/>
                <w:i/>
                <w:color w:val="FF0000"/>
              </w:rPr>
            </w:pPr>
            <w:r w:rsidRPr="002944DE">
              <w:rPr>
                <w:b/>
                <w:color w:val="FF0000"/>
              </w:rPr>
              <w:t>Le CCAP sera signé seulement avec le candidat désigné comme attributaire à l’issue de la procédure.</w:t>
            </w:r>
          </w:p>
        </w:tc>
      </w:tr>
    </w:tbl>
    <w:p w14:paraId="7F3BFFD9" w14:textId="77777777" w:rsidR="008A4BD2" w:rsidRDefault="0065687C" w:rsidP="00CC005F">
      <w:pPr>
        <w:pStyle w:val="Titre1"/>
      </w:pPr>
      <w:bookmarkStart w:id="78" w:name="_Toc208480493"/>
      <w:r>
        <w:t>Conditions de j</w:t>
      </w:r>
      <w:r w:rsidR="008A4BD2">
        <w:t xml:space="preserve">ugement des </w:t>
      </w:r>
      <w:r w:rsidR="00404142">
        <w:t xml:space="preserve">candidatures et </w:t>
      </w:r>
      <w:r w:rsidR="008A4BD2">
        <w:t>offres</w:t>
      </w:r>
      <w:bookmarkEnd w:id="71"/>
      <w:bookmarkEnd w:id="72"/>
      <w:bookmarkEnd w:id="78"/>
    </w:p>
    <w:p w14:paraId="3BD312D5" w14:textId="6824DAED" w:rsidR="008A4BD2" w:rsidRDefault="008A4BD2" w:rsidP="0030087C">
      <w:pPr>
        <w:pStyle w:val="Titre2"/>
      </w:pPr>
      <w:bookmarkStart w:id="79" w:name="_Toc295049622"/>
      <w:bookmarkStart w:id="80" w:name="_Toc295308315"/>
      <w:bookmarkStart w:id="81" w:name="_Toc208480494"/>
      <w:r>
        <w:t xml:space="preserve">Analyse de la conformité des </w:t>
      </w:r>
      <w:r w:rsidR="00404142">
        <w:t>candidatures</w:t>
      </w:r>
      <w:bookmarkEnd w:id="79"/>
      <w:bookmarkEnd w:id="80"/>
      <w:r w:rsidR="00404142">
        <w:t xml:space="preserve"> et offres</w:t>
      </w:r>
      <w:bookmarkEnd w:id="81"/>
    </w:p>
    <w:p w14:paraId="2B86378B" w14:textId="77777777" w:rsidR="00636638" w:rsidRDefault="00636638" w:rsidP="00636638">
      <w:r>
        <w:t>Il sera procédé aux examens suivants :</w:t>
      </w:r>
    </w:p>
    <w:p w14:paraId="570D91E2" w14:textId="77777777" w:rsidR="00636638" w:rsidRDefault="00463B05" w:rsidP="00AB490A">
      <w:pPr>
        <w:pStyle w:val="Listepuces"/>
      </w:pPr>
      <w:r>
        <w:t>v</w:t>
      </w:r>
      <w:r w:rsidR="00636638">
        <w:t>érification de la remise dans les formes et délais imposés par le RC</w:t>
      </w:r>
    </w:p>
    <w:p w14:paraId="3EA26265" w14:textId="77777777" w:rsidR="00636638" w:rsidRDefault="00463B05" w:rsidP="00AB490A">
      <w:pPr>
        <w:pStyle w:val="Listepuces"/>
      </w:pPr>
      <w:r>
        <w:t>v</w:t>
      </w:r>
      <w:r w:rsidR="00636638">
        <w:t>érification que le candidat n’est pas soumis à une interdiction de soumissionner (présence de déclarations sur l’honneur adéquates)</w:t>
      </w:r>
    </w:p>
    <w:p w14:paraId="76A5879E" w14:textId="04FAFA43" w:rsidR="00636638" w:rsidRDefault="00463B05" w:rsidP="00AB490A">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8D3365">
        <w:rPr>
          <w:b/>
          <w:i/>
          <w:color w:val="595959"/>
        </w:rPr>
        <w:fldChar w:fldCharType="begin"/>
      </w:r>
      <w:r w:rsidR="008D3365">
        <w:rPr>
          <w:b/>
          <w:i/>
          <w:color w:val="595959"/>
        </w:rPr>
        <w:instrText xml:space="preserve"> REF _Ref207352817 \r \h </w:instrText>
      </w:r>
      <w:r w:rsidR="008D3365">
        <w:rPr>
          <w:b/>
          <w:i/>
          <w:color w:val="595959"/>
        </w:rPr>
      </w:r>
      <w:r w:rsidR="008D3365">
        <w:rPr>
          <w:b/>
          <w:i/>
          <w:color w:val="595959"/>
        </w:rPr>
        <w:fldChar w:fldCharType="separate"/>
      </w:r>
      <w:r w:rsidR="009624B7">
        <w:rPr>
          <w:b/>
          <w:i/>
          <w:color w:val="595959"/>
        </w:rPr>
        <w:t>4.6</w:t>
      </w:r>
      <w:r w:rsidR="008D3365">
        <w:rPr>
          <w:b/>
          <w:i/>
          <w:color w:val="595959"/>
        </w:rPr>
        <w:fldChar w:fldCharType="end"/>
      </w:r>
      <w:r w:rsidR="00333682">
        <w:rPr>
          <w:b/>
          <w:i/>
          <w:color w:val="595959"/>
        </w:rPr>
        <w:t xml:space="preserve"> et </w:t>
      </w:r>
      <w:r w:rsidR="008D3365">
        <w:rPr>
          <w:b/>
          <w:i/>
          <w:color w:val="595959"/>
        </w:rPr>
        <w:fldChar w:fldCharType="begin"/>
      </w:r>
      <w:r w:rsidR="008D3365">
        <w:rPr>
          <w:b/>
          <w:i/>
          <w:color w:val="595959"/>
        </w:rPr>
        <w:instrText xml:space="preserve"> REF _Ref207352825 \r \h </w:instrText>
      </w:r>
      <w:r w:rsidR="008D3365">
        <w:rPr>
          <w:b/>
          <w:i/>
          <w:color w:val="595959"/>
        </w:rPr>
      </w:r>
      <w:r w:rsidR="008D3365">
        <w:rPr>
          <w:b/>
          <w:i/>
          <w:color w:val="595959"/>
        </w:rPr>
        <w:fldChar w:fldCharType="separate"/>
      </w:r>
      <w:r w:rsidR="009624B7">
        <w:rPr>
          <w:b/>
          <w:i/>
          <w:color w:val="595959"/>
        </w:rPr>
        <w:t>4.8</w:t>
      </w:r>
      <w:r w:rsidR="008D3365">
        <w:rPr>
          <w:b/>
          <w:i/>
          <w:color w:val="595959"/>
        </w:rPr>
        <w:fldChar w:fldCharType="end"/>
      </w:r>
      <w:r w:rsidR="00333682">
        <w:rPr>
          <w:b/>
          <w:i/>
          <w:color w:val="595959"/>
        </w:rPr>
        <w:t xml:space="preserve"> </w:t>
      </w:r>
      <w:r w:rsidR="006A1CF5">
        <w:rPr>
          <w:b/>
          <w:i/>
          <w:color w:val="595959"/>
        </w:rPr>
        <w:t>d</w:t>
      </w:r>
      <w:r w:rsidR="00636638" w:rsidRPr="00E06C8B">
        <w:rPr>
          <w:b/>
          <w:i/>
          <w:color w:val="595959"/>
        </w:rPr>
        <w:t xml:space="preserve">u </w:t>
      </w:r>
      <w:r w:rsidR="008D3365">
        <w:rPr>
          <w:b/>
          <w:i/>
          <w:color w:val="595959"/>
        </w:rPr>
        <w:t xml:space="preserve">présent </w:t>
      </w:r>
      <w:r w:rsidR="00636638" w:rsidRPr="00E06C8B">
        <w:rPr>
          <w:b/>
          <w:i/>
          <w:color w:val="595959"/>
        </w:rPr>
        <w:t>RC</w:t>
      </w:r>
    </w:p>
    <w:p w14:paraId="4750AAD0" w14:textId="77777777" w:rsidR="00532815" w:rsidRDefault="00532815" w:rsidP="0030087C">
      <w:pPr>
        <w:pStyle w:val="Titre2"/>
      </w:pPr>
      <w:bookmarkStart w:id="82" w:name="_Toc310411266"/>
      <w:bookmarkStart w:id="83" w:name="_Toc208480495"/>
      <w:r>
        <w:t>Sélection des candidatures</w:t>
      </w:r>
      <w:bookmarkEnd w:id="82"/>
      <w:bookmarkEnd w:id="83"/>
    </w:p>
    <w:p w14:paraId="7CB5D57C" w14:textId="694463A3" w:rsidR="00123C0A" w:rsidRPr="00463B05" w:rsidRDefault="00532815" w:rsidP="002944DE">
      <w:r>
        <w:t>La vérification de l’aptitude des candidats non exclus au titre des précédents points sera effectuée après e</w:t>
      </w:r>
      <w:r w:rsidR="00123C0A">
        <w:t>x</w:t>
      </w:r>
      <w:r>
        <w:t xml:space="preserve">amen des </w:t>
      </w:r>
      <w:r w:rsidR="00C85829">
        <w:t>document</w:t>
      </w:r>
      <w:r>
        <w:t xml:space="preserve">s exigés, conformément aux </w:t>
      </w:r>
      <w:r w:rsidRPr="00C31D42">
        <w:t>critères relatifs</w:t>
      </w:r>
      <w:r w:rsidR="00123C0A">
        <w:t xml:space="preserve">  </w:t>
      </w:r>
      <w:r w:rsidRPr="00463B05">
        <w:t xml:space="preserve">à </w:t>
      </w:r>
      <w:r w:rsidRPr="005E07DF">
        <w:t>leurs capacités économiques et financières</w:t>
      </w:r>
      <w:r w:rsidR="00123C0A">
        <w:t xml:space="preserve"> et à leurs capacités professionnelles et techniques eu égard à l’objet du contrat.</w:t>
      </w:r>
    </w:p>
    <w:p w14:paraId="66CBF3C6" w14:textId="77777777" w:rsidR="00DC5368" w:rsidRDefault="00DC5368" w:rsidP="0030087C">
      <w:pPr>
        <w:pStyle w:val="Titre2"/>
      </w:pPr>
      <w:bookmarkStart w:id="84" w:name="_Toc295049624"/>
      <w:bookmarkStart w:id="85" w:name="_Toc295308317"/>
      <w:bookmarkStart w:id="86" w:name="_Toc208480496"/>
      <w:r w:rsidRPr="004B2F6B">
        <w:t>Disposition pour la vérification des offres</w:t>
      </w:r>
      <w:bookmarkEnd w:id="86"/>
    </w:p>
    <w:p w14:paraId="3953EB57"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63783E79" w14:textId="77777777" w:rsidR="008A4BD2" w:rsidRDefault="00733E3E" w:rsidP="0030087C">
      <w:pPr>
        <w:pStyle w:val="Titre2"/>
      </w:pPr>
      <w:bookmarkStart w:id="87" w:name="_Ref404590117"/>
      <w:bookmarkStart w:id="88" w:name="_Ref422816786"/>
      <w:bookmarkStart w:id="89" w:name="_Toc208480497"/>
      <w:r>
        <w:t>Choix</w:t>
      </w:r>
      <w:r w:rsidR="008A4BD2">
        <w:t xml:space="preserve"> </w:t>
      </w:r>
      <w:bookmarkEnd w:id="84"/>
      <w:bookmarkEnd w:id="85"/>
      <w:r w:rsidR="001973E5">
        <w:t>de l’offre attributaire</w:t>
      </w:r>
      <w:bookmarkEnd w:id="87"/>
      <w:r w:rsidR="00C7317C">
        <w:t xml:space="preserve"> – critères d’évaluation des offres</w:t>
      </w:r>
      <w:bookmarkEnd w:id="88"/>
      <w:bookmarkEnd w:id="89"/>
    </w:p>
    <w:p w14:paraId="170187F1" w14:textId="7FAF561A" w:rsidR="00733E3E" w:rsidRDefault="00733E3E" w:rsidP="005B586D">
      <w:bookmarkStart w:id="90"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p w14:paraId="04872740" w14:textId="4FF962D8" w:rsidR="008D3365" w:rsidRDefault="008D3365" w:rsidP="005B586D"/>
    <w:p w14:paraId="2D51D2D5" w14:textId="4A69CD04" w:rsidR="008D3365" w:rsidRDefault="008D3365" w:rsidP="005B586D"/>
    <w:p w14:paraId="57EAED31" w14:textId="6A9A605E" w:rsidR="00CF7D82" w:rsidRDefault="00CF7D82" w:rsidP="005B586D"/>
    <w:p w14:paraId="3F6FE1BF" w14:textId="77777777" w:rsidR="00CF7D82" w:rsidRDefault="00CF7D82" w:rsidP="005B586D"/>
    <w:tbl>
      <w:tblPr>
        <w:tblW w:w="5000" w:type="pct"/>
        <w:tblLayout w:type="fixed"/>
        <w:tblCellMar>
          <w:left w:w="70" w:type="dxa"/>
          <w:right w:w="70" w:type="dxa"/>
        </w:tblCellMar>
        <w:tblLook w:val="04A0" w:firstRow="1" w:lastRow="0" w:firstColumn="1" w:lastColumn="0" w:noHBand="0" w:noVBand="1"/>
      </w:tblPr>
      <w:tblGrid>
        <w:gridCol w:w="3676"/>
        <w:gridCol w:w="4961"/>
        <w:gridCol w:w="981"/>
      </w:tblGrid>
      <w:tr w:rsidR="00D73E19" w:rsidRPr="00D73E19" w14:paraId="0E196653" w14:textId="77777777" w:rsidTr="00D73E19">
        <w:trPr>
          <w:trHeight w:val="600"/>
        </w:trPr>
        <w:tc>
          <w:tcPr>
            <w:tcW w:w="1911" w:type="pct"/>
            <w:vMerge w:val="restart"/>
            <w:tcBorders>
              <w:top w:val="single" w:sz="8" w:space="0" w:color="595959"/>
              <w:left w:val="single" w:sz="8" w:space="0" w:color="595959"/>
              <w:bottom w:val="single" w:sz="8" w:space="0" w:color="595959"/>
              <w:right w:val="single" w:sz="4" w:space="0" w:color="595959"/>
            </w:tcBorders>
            <w:shd w:val="clear" w:color="000000" w:fill="DCE6F1"/>
            <w:vAlign w:val="center"/>
            <w:hideMark/>
          </w:tcPr>
          <w:p w14:paraId="5796AE1B"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lastRenderedPageBreak/>
              <w:t>CRITERE</w:t>
            </w:r>
          </w:p>
        </w:tc>
        <w:tc>
          <w:tcPr>
            <w:tcW w:w="2579" w:type="pct"/>
            <w:vMerge w:val="restart"/>
            <w:tcBorders>
              <w:top w:val="single" w:sz="8" w:space="0" w:color="595959"/>
              <w:left w:val="single" w:sz="4" w:space="0" w:color="595959"/>
              <w:bottom w:val="single" w:sz="8" w:space="0" w:color="595959"/>
              <w:right w:val="single" w:sz="4" w:space="0" w:color="595959"/>
            </w:tcBorders>
            <w:shd w:val="clear" w:color="000000" w:fill="DCE6F1"/>
            <w:vAlign w:val="center"/>
            <w:hideMark/>
          </w:tcPr>
          <w:p w14:paraId="4AA21B93"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BASE D'EVALUATION OU SOUS-CRITERES</w:t>
            </w:r>
          </w:p>
        </w:tc>
        <w:tc>
          <w:tcPr>
            <w:tcW w:w="510" w:type="pct"/>
            <w:vMerge w:val="restart"/>
            <w:tcBorders>
              <w:top w:val="single" w:sz="8" w:space="0" w:color="595959"/>
              <w:left w:val="single" w:sz="4" w:space="0" w:color="595959"/>
              <w:bottom w:val="single" w:sz="8" w:space="0" w:color="595959"/>
              <w:right w:val="single" w:sz="8" w:space="0" w:color="595959"/>
            </w:tcBorders>
            <w:shd w:val="clear" w:color="000000" w:fill="DCE6F1"/>
            <w:vAlign w:val="center"/>
            <w:hideMark/>
          </w:tcPr>
          <w:p w14:paraId="4808A11B"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Note max</w:t>
            </w:r>
          </w:p>
        </w:tc>
      </w:tr>
      <w:tr w:rsidR="00D73E19" w:rsidRPr="00D73E19" w14:paraId="564D9B0B" w14:textId="77777777" w:rsidTr="00D73E19">
        <w:trPr>
          <w:trHeight w:val="270"/>
        </w:trPr>
        <w:tc>
          <w:tcPr>
            <w:tcW w:w="1911" w:type="pct"/>
            <w:vMerge/>
            <w:tcBorders>
              <w:top w:val="single" w:sz="8" w:space="0" w:color="595959"/>
              <w:left w:val="single" w:sz="8" w:space="0" w:color="595959"/>
              <w:bottom w:val="single" w:sz="8" w:space="0" w:color="595959"/>
              <w:right w:val="single" w:sz="4" w:space="0" w:color="595959"/>
            </w:tcBorders>
            <w:vAlign w:val="center"/>
            <w:hideMark/>
          </w:tcPr>
          <w:p w14:paraId="7F7725A3" w14:textId="77777777" w:rsidR="00D73E19" w:rsidRPr="00D73E19" w:rsidRDefault="00D73E19" w:rsidP="00D73E19">
            <w:pPr>
              <w:suppressAutoHyphens w:val="0"/>
              <w:spacing w:before="0" w:after="0"/>
              <w:jc w:val="left"/>
              <w:rPr>
                <w:rFonts w:cs="Arial"/>
                <w:b/>
                <w:bCs/>
                <w:color w:val="000000"/>
                <w:lang w:eastAsia="fr-FR"/>
              </w:rPr>
            </w:pPr>
          </w:p>
        </w:tc>
        <w:tc>
          <w:tcPr>
            <w:tcW w:w="2579" w:type="pct"/>
            <w:vMerge/>
            <w:tcBorders>
              <w:top w:val="single" w:sz="8" w:space="0" w:color="595959"/>
              <w:left w:val="single" w:sz="4" w:space="0" w:color="595959"/>
              <w:bottom w:val="single" w:sz="8" w:space="0" w:color="595959"/>
              <w:right w:val="single" w:sz="4" w:space="0" w:color="595959"/>
            </w:tcBorders>
            <w:vAlign w:val="center"/>
            <w:hideMark/>
          </w:tcPr>
          <w:p w14:paraId="18EBD3DB" w14:textId="77777777" w:rsidR="00D73E19" w:rsidRPr="00D73E19" w:rsidRDefault="00D73E19" w:rsidP="00D73E19">
            <w:pPr>
              <w:suppressAutoHyphens w:val="0"/>
              <w:spacing w:before="0" w:after="0"/>
              <w:jc w:val="left"/>
              <w:rPr>
                <w:rFonts w:cs="Arial"/>
                <w:b/>
                <w:bCs/>
                <w:color w:val="000000"/>
                <w:lang w:eastAsia="fr-FR"/>
              </w:rPr>
            </w:pPr>
          </w:p>
        </w:tc>
        <w:tc>
          <w:tcPr>
            <w:tcW w:w="510" w:type="pct"/>
            <w:vMerge/>
            <w:tcBorders>
              <w:top w:val="single" w:sz="8" w:space="0" w:color="595959"/>
              <w:left w:val="single" w:sz="4" w:space="0" w:color="595959"/>
              <w:bottom w:val="single" w:sz="8" w:space="0" w:color="595959"/>
              <w:right w:val="single" w:sz="8" w:space="0" w:color="595959"/>
            </w:tcBorders>
            <w:vAlign w:val="center"/>
            <w:hideMark/>
          </w:tcPr>
          <w:p w14:paraId="2A2B32EE" w14:textId="77777777" w:rsidR="00D73E19" w:rsidRPr="00D73E19" w:rsidRDefault="00D73E19" w:rsidP="00D73E19">
            <w:pPr>
              <w:suppressAutoHyphens w:val="0"/>
              <w:spacing w:before="0" w:after="0"/>
              <w:jc w:val="left"/>
              <w:rPr>
                <w:rFonts w:cs="Arial"/>
                <w:b/>
                <w:bCs/>
                <w:color w:val="000000"/>
                <w:lang w:eastAsia="fr-FR"/>
              </w:rPr>
            </w:pPr>
          </w:p>
        </w:tc>
      </w:tr>
      <w:tr w:rsidR="00D73E19" w:rsidRPr="00D73E19" w14:paraId="578860BA" w14:textId="77777777" w:rsidTr="00D73E19">
        <w:trPr>
          <w:trHeight w:val="290"/>
        </w:trPr>
        <w:tc>
          <w:tcPr>
            <w:tcW w:w="1911" w:type="pct"/>
            <w:tcBorders>
              <w:top w:val="nil"/>
              <w:left w:val="single" w:sz="8" w:space="0" w:color="595959"/>
              <w:bottom w:val="single" w:sz="4" w:space="0" w:color="595959"/>
              <w:right w:val="single" w:sz="4" w:space="0" w:color="595959"/>
            </w:tcBorders>
            <w:shd w:val="clear" w:color="000000" w:fill="95B3D7"/>
            <w:vAlign w:val="center"/>
            <w:hideMark/>
          </w:tcPr>
          <w:p w14:paraId="7A41D2E1" w14:textId="77777777" w:rsidR="00D73E19" w:rsidRPr="00D73E19" w:rsidRDefault="00D73E19" w:rsidP="00D73E19">
            <w:pPr>
              <w:suppressAutoHyphens w:val="0"/>
              <w:spacing w:before="0" w:after="0"/>
              <w:jc w:val="left"/>
              <w:rPr>
                <w:rFonts w:cs="Arial"/>
                <w:b/>
                <w:bCs/>
                <w:color w:val="000000"/>
                <w:lang w:eastAsia="fr-FR"/>
              </w:rPr>
            </w:pPr>
            <w:r w:rsidRPr="00D73E19">
              <w:rPr>
                <w:rFonts w:cs="Arial"/>
                <w:b/>
                <w:bCs/>
                <w:color w:val="000000"/>
                <w:lang w:eastAsia="fr-FR"/>
              </w:rPr>
              <w:t>QUALITE</w:t>
            </w:r>
          </w:p>
        </w:tc>
        <w:tc>
          <w:tcPr>
            <w:tcW w:w="2579" w:type="pct"/>
            <w:tcBorders>
              <w:top w:val="nil"/>
              <w:left w:val="nil"/>
              <w:bottom w:val="single" w:sz="4" w:space="0" w:color="595959"/>
              <w:right w:val="single" w:sz="4" w:space="0" w:color="595959"/>
            </w:tcBorders>
            <w:shd w:val="clear" w:color="000000" w:fill="95B3D7"/>
            <w:vAlign w:val="center"/>
            <w:hideMark/>
          </w:tcPr>
          <w:p w14:paraId="4A43F26E" w14:textId="77777777" w:rsidR="00D73E19" w:rsidRPr="00D73E19" w:rsidRDefault="00D73E19" w:rsidP="00D73E19">
            <w:pPr>
              <w:suppressAutoHyphens w:val="0"/>
              <w:spacing w:before="0" w:after="0"/>
              <w:rPr>
                <w:rFonts w:cs="Arial"/>
                <w:color w:val="000000"/>
                <w:lang w:eastAsia="fr-FR"/>
              </w:rPr>
            </w:pPr>
            <w:r w:rsidRPr="00D73E19">
              <w:rPr>
                <w:rFonts w:cs="Arial"/>
                <w:color w:val="000000"/>
                <w:lang w:eastAsia="fr-FR"/>
              </w:rPr>
              <w:t> </w:t>
            </w:r>
          </w:p>
        </w:tc>
        <w:tc>
          <w:tcPr>
            <w:tcW w:w="510" w:type="pct"/>
            <w:tcBorders>
              <w:top w:val="nil"/>
              <w:left w:val="nil"/>
              <w:bottom w:val="single" w:sz="4" w:space="0" w:color="595959"/>
              <w:right w:val="single" w:sz="8" w:space="0" w:color="595959"/>
            </w:tcBorders>
            <w:shd w:val="clear" w:color="000000" w:fill="95B3D7"/>
            <w:vAlign w:val="center"/>
            <w:hideMark/>
          </w:tcPr>
          <w:p w14:paraId="2BB846FF" w14:textId="77777777" w:rsidR="00D73E19" w:rsidRPr="00D73E19" w:rsidRDefault="00D73E19" w:rsidP="00D73E19">
            <w:pPr>
              <w:suppressAutoHyphens w:val="0"/>
              <w:spacing w:before="0" w:after="0"/>
              <w:jc w:val="center"/>
              <w:rPr>
                <w:rFonts w:cs="Arial"/>
                <w:color w:val="000000"/>
                <w:lang w:eastAsia="fr-FR"/>
              </w:rPr>
            </w:pPr>
            <w:r w:rsidRPr="00D73E19">
              <w:rPr>
                <w:rFonts w:cs="Arial"/>
                <w:color w:val="000000"/>
                <w:lang w:eastAsia="fr-FR"/>
              </w:rPr>
              <w:t> </w:t>
            </w:r>
          </w:p>
        </w:tc>
      </w:tr>
      <w:tr w:rsidR="00D73E19" w:rsidRPr="00D73E19" w14:paraId="3678A8CF" w14:textId="77777777" w:rsidTr="00D73E19">
        <w:trPr>
          <w:trHeight w:val="1460"/>
        </w:trPr>
        <w:tc>
          <w:tcPr>
            <w:tcW w:w="1911" w:type="pct"/>
            <w:tcBorders>
              <w:top w:val="nil"/>
              <w:left w:val="single" w:sz="8" w:space="0" w:color="595959"/>
              <w:bottom w:val="double" w:sz="6" w:space="0" w:color="auto"/>
              <w:right w:val="single" w:sz="4" w:space="0" w:color="595959"/>
            </w:tcBorders>
            <w:shd w:val="clear" w:color="auto" w:fill="auto"/>
            <w:vAlign w:val="center"/>
            <w:hideMark/>
          </w:tcPr>
          <w:p w14:paraId="25F3B356" w14:textId="77777777" w:rsidR="00D73E19" w:rsidRPr="00D73E19" w:rsidRDefault="00D73E19" w:rsidP="00D73E19">
            <w:pPr>
              <w:suppressAutoHyphens w:val="0"/>
              <w:spacing w:before="0" w:after="0"/>
              <w:jc w:val="left"/>
              <w:rPr>
                <w:rFonts w:cs="Arial"/>
                <w:b/>
                <w:bCs/>
                <w:color w:val="000000"/>
                <w:lang w:eastAsia="fr-FR"/>
              </w:rPr>
            </w:pPr>
            <w:r w:rsidRPr="00D73E19">
              <w:rPr>
                <w:rFonts w:cs="Arial"/>
                <w:b/>
                <w:bCs/>
                <w:color w:val="000000"/>
                <w:lang w:eastAsia="fr-FR"/>
              </w:rPr>
              <w:t xml:space="preserve">1. Pertinence et qualité des exemples de prestations similaires, </w:t>
            </w:r>
            <w:r w:rsidRPr="00D73E19">
              <w:rPr>
                <w:rFonts w:cs="Arial"/>
                <w:color w:val="000000"/>
                <w:lang w:eastAsia="fr-FR"/>
              </w:rPr>
              <w:t>démontrant la capacité à répondre efficacement aux objectifs du marché</w:t>
            </w:r>
          </w:p>
        </w:tc>
        <w:tc>
          <w:tcPr>
            <w:tcW w:w="2579" w:type="pct"/>
            <w:tcBorders>
              <w:top w:val="nil"/>
              <w:left w:val="nil"/>
              <w:bottom w:val="double" w:sz="6" w:space="0" w:color="auto"/>
              <w:right w:val="single" w:sz="4" w:space="0" w:color="595959"/>
            </w:tcBorders>
            <w:shd w:val="clear" w:color="auto" w:fill="auto"/>
            <w:vAlign w:val="center"/>
            <w:hideMark/>
          </w:tcPr>
          <w:p w14:paraId="1133B613" w14:textId="4617C437" w:rsidR="00D73E19" w:rsidRPr="00D73E19" w:rsidRDefault="00D73E19" w:rsidP="00D73E19">
            <w:pPr>
              <w:suppressAutoHyphens w:val="0"/>
              <w:spacing w:before="0" w:after="0"/>
              <w:rPr>
                <w:rFonts w:cs="Arial"/>
                <w:color w:val="000000"/>
                <w:lang w:eastAsia="fr-FR"/>
              </w:rPr>
            </w:pPr>
            <w:bookmarkStart w:id="91" w:name="_GoBack"/>
            <w:bookmarkEnd w:id="91"/>
            <w:r w:rsidRPr="00D73E19">
              <w:rPr>
                <w:rFonts w:cs="Arial"/>
                <w:i/>
                <w:iCs/>
                <w:color w:val="000000"/>
                <w:lang w:eastAsia="fr-FR"/>
              </w:rPr>
              <w:t>Le candidat est invité à présenter notamment, outre les noms des clients et contextes des prestations réalisées (secteur, objectifs, cibles), des exemples concrets de campagnes réussies, le niveau de satisfaction des clients, les résultats obtenus (retombées presse, visibilité)</w:t>
            </w:r>
          </w:p>
        </w:tc>
        <w:tc>
          <w:tcPr>
            <w:tcW w:w="510" w:type="pct"/>
            <w:tcBorders>
              <w:top w:val="nil"/>
              <w:left w:val="nil"/>
              <w:bottom w:val="double" w:sz="6" w:space="0" w:color="auto"/>
              <w:right w:val="single" w:sz="8" w:space="0" w:color="595959"/>
            </w:tcBorders>
            <w:shd w:val="clear" w:color="auto" w:fill="auto"/>
            <w:vAlign w:val="center"/>
            <w:hideMark/>
          </w:tcPr>
          <w:p w14:paraId="07DCA37D"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20</w:t>
            </w:r>
          </w:p>
        </w:tc>
      </w:tr>
      <w:tr w:rsidR="00252A40" w:rsidRPr="00D73E19" w14:paraId="1BF2E16A" w14:textId="77777777" w:rsidTr="00CB6C55">
        <w:trPr>
          <w:trHeight w:val="790"/>
        </w:trPr>
        <w:tc>
          <w:tcPr>
            <w:tcW w:w="1911" w:type="pct"/>
            <w:vMerge w:val="restart"/>
            <w:tcBorders>
              <w:top w:val="nil"/>
              <w:left w:val="single" w:sz="8" w:space="0" w:color="595959"/>
              <w:bottom w:val="double" w:sz="6" w:space="0" w:color="000000"/>
              <w:right w:val="nil"/>
            </w:tcBorders>
            <w:shd w:val="clear" w:color="auto" w:fill="auto"/>
            <w:vAlign w:val="center"/>
            <w:hideMark/>
          </w:tcPr>
          <w:p w14:paraId="4DF0E218" w14:textId="77777777" w:rsidR="00252A40" w:rsidRPr="00D73E19" w:rsidRDefault="00252A40" w:rsidP="00252A40">
            <w:pPr>
              <w:suppressAutoHyphens w:val="0"/>
              <w:spacing w:before="0" w:after="0"/>
              <w:jc w:val="center"/>
              <w:rPr>
                <w:rFonts w:cs="Arial"/>
                <w:b/>
                <w:bCs/>
                <w:color w:val="000000"/>
                <w:lang w:eastAsia="fr-FR"/>
              </w:rPr>
            </w:pPr>
            <w:r w:rsidRPr="00D73E19">
              <w:rPr>
                <w:rFonts w:cs="Arial"/>
                <w:b/>
                <w:bCs/>
                <w:color w:val="000000"/>
                <w:lang w:eastAsia="fr-FR"/>
              </w:rPr>
              <w:t xml:space="preserve">2. Qualité des pistes de préconisations de stratégie 2026 </w:t>
            </w:r>
          </w:p>
        </w:tc>
        <w:tc>
          <w:tcPr>
            <w:tcW w:w="2579" w:type="pct"/>
            <w:tcBorders>
              <w:top w:val="nil"/>
              <w:left w:val="single" w:sz="4" w:space="0" w:color="auto"/>
              <w:bottom w:val="single" w:sz="4" w:space="0" w:color="auto"/>
              <w:right w:val="single" w:sz="4" w:space="0" w:color="auto"/>
            </w:tcBorders>
            <w:shd w:val="clear" w:color="auto" w:fill="auto"/>
            <w:noWrap/>
            <w:hideMark/>
          </w:tcPr>
          <w:p w14:paraId="2D1E84D7" w14:textId="40AFF18A" w:rsidR="00252A40" w:rsidRPr="00D73E19" w:rsidRDefault="00252A40" w:rsidP="00252A40">
            <w:pPr>
              <w:suppressAutoHyphens w:val="0"/>
              <w:spacing w:before="0" w:after="0"/>
              <w:rPr>
                <w:rFonts w:cs="Arial"/>
                <w:color w:val="000000"/>
                <w:lang w:eastAsia="fr-FR"/>
              </w:rPr>
            </w:pPr>
            <w:r w:rsidRPr="00621A1E">
              <w:t>2.1 - Pertinence de l'analyse du contexte et des enjeux des relations presse du Mucem</w:t>
            </w:r>
          </w:p>
        </w:tc>
        <w:tc>
          <w:tcPr>
            <w:tcW w:w="510" w:type="pct"/>
            <w:tcBorders>
              <w:top w:val="nil"/>
              <w:left w:val="nil"/>
              <w:bottom w:val="single" w:sz="4" w:space="0" w:color="595959"/>
              <w:right w:val="single" w:sz="8" w:space="0" w:color="595959"/>
            </w:tcBorders>
            <w:shd w:val="clear" w:color="auto" w:fill="auto"/>
            <w:vAlign w:val="center"/>
            <w:hideMark/>
          </w:tcPr>
          <w:p w14:paraId="06DB08F2" w14:textId="5CAB676C" w:rsidR="00252A40" w:rsidRPr="00D73E19" w:rsidRDefault="00252A40" w:rsidP="00252A40">
            <w:pPr>
              <w:suppressAutoHyphens w:val="0"/>
              <w:spacing w:before="0" w:after="0"/>
              <w:jc w:val="center"/>
              <w:rPr>
                <w:rFonts w:cs="Arial"/>
                <w:b/>
                <w:bCs/>
                <w:color w:val="000000"/>
                <w:lang w:eastAsia="fr-FR"/>
              </w:rPr>
            </w:pPr>
            <w:r>
              <w:rPr>
                <w:rFonts w:cs="Arial"/>
                <w:b/>
                <w:bCs/>
                <w:color w:val="000000"/>
                <w:lang w:eastAsia="fr-FR"/>
              </w:rPr>
              <w:t>3</w:t>
            </w:r>
          </w:p>
        </w:tc>
      </w:tr>
      <w:tr w:rsidR="00252A40" w:rsidRPr="00D73E19" w14:paraId="5AF4A24D" w14:textId="77777777" w:rsidTr="00CB6C55">
        <w:trPr>
          <w:trHeight w:val="430"/>
        </w:trPr>
        <w:tc>
          <w:tcPr>
            <w:tcW w:w="1911" w:type="pct"/>
            <w:vMerge/>
            <w:tcBorders>
              <w:top w:val="nil"/>
              <w:left w:val="single" w:sz="8" w:space="0" w:color="595959"/>
              <w:bottom w:val="double" w:sz="6" w:space="0" w:color="000000"/>
              <w:right w:val="nil"/>
            </w:tcBorders>
            <w:vAlign w:val="center"/>
            <w:hideMark/>
          </w:tcPr>
          <w:p w14:paraId="4FBE6D82" w14:textId="77777777" w:rsidR="00252A40" w:rsidRPr="00D73E19" w:rsidRDefault="00252A40" w:rsidP="00252A40">
            <w:pPr>
              <w:suppressAutoHyphens w:val="0"/>
              <w:spacing w:before="0" w:after="0"/>
              <w:jc w:val="left"/>
              <w:rPr>
                <w:rFonts w:cs="Arial"/>
                <w:b/>
                <w:bCs/>
                <w:color w:val="000000"/>
                <w:lang w:eastAsia="fr-FR"/>
              </w:rPr>
            </w:pPr>
          </w:p>
        </w:tc>
        <w:tc>
          <w:tcPr>
            <w:tcW w:w="2579" w:type="pct"/>
            <w:tcBorders>
              <w:top w:val="nil"/>
              <w:left w:val="single" w:sz="4" w:space="0" w:color="auto"/>
              <w:bottom w:val="single" w:sz="4" w:space="0" w:color="auto"/>
              <w:right w:val="single" w:sz="4" w:space="0" w:color="auto"/>
            </w:tcBorders>
            <w:shd w:val="clear" w:color="auto" w:fill="auto"/>
            <w:noWrap/>
            <w:hideMark/>
          </w:tcPr>
          <w:p w14:paraId="577BF170" w14:textId="2EE48BBF" w:rsidR="00252A40" w:rsidRPr="00D73E19" w:rsidRDefault="00252A40" w:rsidP="00252A40">
            <w:pPr>
              <w:suppressAutoHyphens w:val="0"/>
              <w:spacing w:before="0" w:after="0"/>
              <w:rPr>
                <w:rFonts w:cs="Arial"/>
                <w:color w:val="000000"/>
                <w:lang w:eastAsia="fr-FR"/>
              </w:rPr>
            </w:pPr>
            <w:r w:rsidRPr="00621A1E">
              <w:t>2.2 - Variété et pertinence des préconisations de partenariats médias et des préconisations de RSN / influenceurs à cibler</w:t>
            </w:r>
          </w:p>
        </w:tc>
        <w:tc>
          <w:tcPr>
            <w:tcW w:w="510" w:type="pct"/>
            <w:tcBorders>
              <w:top w:val="nil"/>
              <w:left w:val="nil"/>
              <w:bottom w:val="single" w:sz="4" w:space="0" w:color="595959"/>
              <w:right w:val="single" w:sz="8" w:space="0" w:color="595959"/>
            </w:tcBorders>
            <w:shd w:val="clear" w:color="auto" w:fill="auto"/>
            <w:vAlign w:val="center"/>
            <w:hideMark/>
          </w:tcPr>
          <w:p w14:paraId="48EA2E07" w14:textId="6A433210" w:rsidR="00252A40" w:rsidRPr="00D73E19" w:rsidRDefault="00252A40" w:rsidP="00252A40">
            <w:pPr>
              <w:suppressAutoHyphens w:val="0"/>
              <w:spacing w:before="0" w:after="0"/>
              <w:jc w:val="center"/>
              <w:rPr>
                <w:rFonts w:cs="Arial"/>
                <w:b/>
                <w:bCs/>
                <w:color w:val="000000"/>
                <w:lang w:eastAsia="fr-FR"/>
              </w:rPr>
            </w:pPr>
            <w:r>
              <w:rPr>
                <w:rFonts w:cs="Arial"/>
                <w:b/>
                <w:bCs/>
                <w:color w:val="000000"/>
                <w:lang w:eastAsia="fr-FR"/>
              </w:rPr>
              <w:t>7</w:t>
            </w:r>
          </w:p>
        </w:tc>
      </w:tr>
      <w:tr w:rsidR="00252A40" w:rsidRPr="00D73E19" w14:paraId="45D5DEEE" w14:textId="77777777" w:rsidTr="00CB6C55">
        <w:trPr>
          <w:trHeight w:val="520"/>
        </w:trPr>
        <w:tc>
          <w:tcPr>
            <w:tcW w:w="1911" w:type="pct"/>
            <w:vMerge/>
            <w:tcBorders>
              <w:top w:val="nil"/>
              <w:left w:val="single" w:sz="8" w:space="0" w:color="595959"/>
              <w:bottom w:val="double" w:sz="6" w:space="0" w:color="000000"/>
              <w:right w:val="nil"/>
            </w:tcBorders>
            <w:vAlign w:val="center"/>
            <w:hideMark/>
          </w:tcPr>
          <w:p w14:paraId="7603430E" w14:textId="77777777" w:rsidR="00252A40" w:rsidRPr="00D73E19" w:rsidRDefault="00252A40" w:rsidP="00252A40">
            <w:pPr>
              <w:suppressAutoHyphens w:val="0"/>
              <w:spacing w:before="0" w:after="0"/>
              <w:jc w:val="left"/>
              <w:rPr>
                <w:rFonts w:cs="Arial"/>
                <w:b/>
                <w:bCs/>
                <w:color w:val="000000"/>
                <w:lang w:eastAsia="fr-FR"/>
              </w:rPr>
            </w:pPr>
          </w:p>
        </w:tc>
        <w:tc>
          <w:tcPr>
            <w:tcW w:w="2579" w:type="pct"/>
            <w:tcBorders>
              <w:top w:val="nil"/>
              <w:left w:val="single" w:sz="4" w:space="0" w:color="auto"/>
              <w:bottom w:val="single" w:sz="4" w:space="0" w:color="auto"/>
              <w:right w:val="single" w:sz="4" w:space="0" w:color="auto"/>
            </w:tcBorders>
            <w:shd w:val="clear" w:color="auto" w:fill="auto"/>
            <w:noWrap/>
            <w:hideMark/>
          </w:tcPr>
          <w:p w14:paraId="76305D2E" w14:textId="1C7A7E41" w:rsidR="00252A40" w:rsidRPr="00D73E19" w:rsidRDefault="00252A40" w:rsidP="00252A40">
            <w:pPr>
              <w:suppressAutoHyphens w:val="0"/>
              <w:spacing w:before="0" w:after="0"/>
              <w:rPr>
                <w:rFonts w:cs="Arial"/>
                <w:color w:val="000000"/>
                <w:lang w:eastAsia="fr-FR"/>
              </w:rPr>
            </w:pPr>
            <w:r w:rsidRPr="00621A1E">
              <w:t>Pertinence des médias, journalistes visés"</w:t>
            </w:r>
          </w:p>
        </w:tc>
        <w:tc>
          <w:tcPr>
            <w:tcW w:w="510" w:type="pct"/>
            <w:tcBorders>
              <w:top w:val="nil"/>
              <w:left w:val="nil"/>
              <w:bottom w:val="single" w:sz="4" w:space="0" w:color="595959"/>
              <w:right w:val="single" w:sz="8" w:space="0" w:color="595959"/>
            </w:tcBorders>
            <w:shd w:val="clear" w:color="auto" w:fill="auto"/>
            <w:vAlign w:val="center"/>
            <w:hideMark/>
          </w:tcPr>
          <w:p w14:paraId="38739989" w14:textId="77777777" w:rsidR="00252A40" w:rsidRPr="00D73E19" w:rsidRDefault="00252A40" w:rsidP="00252A40">
            <w:pPr>
              <w:suppressAutoHyphens w:val="0"/>
              <w:spacing w:before="0" w:after="0"/>
              <w:jc w:val="center"/>
              <w:rPr>
                <w:rFonts w:cs="Arial"/>
                <w:b/>
                <w:bCs/>
                <w:color w:val="000000"/>
                <w:lang w:eastAsia="fr-FR"/>
              </w:rPr>
            </w:pPr>
            <w:r w:rsidRPr="00D73E19">
              <w:rPr>
                <w:rFonts w:cs="Arial"/>
                <w:b/>
                <w:bCs/>
                <w:color w:val="000000"/>
                <w:lang w:eastAsia="fr-FR"/>
              </w:rPr>
              <w:t>5</w:t>
            </w:r>
          </w:p>
        </w:tc>
      </w:tr>
      <w:tr w:rsidR="00252A40" w:rsidRPr="00D73E19" w14:paraId="4D318F74" w14:textId="77777777" w:rsidTr="00CB6C55">
        <w:trPr>
          <w:trHeight w:val="780"/>
        </w:trPr>
        <w:tc>
          <w:tcPr>
            <w:tcW w:w="1911" w:type="pct"/>
            <w:vMerge/>
            <w:tcBorders>
              <w:top w:val="nil"/>
              <w:left w:val="single" w:sz="8" w:space="0" w:color="595959"/>
              <w:bottom w:val="double" w:sz="6" w:space="0" w:color="000000"/>
              <w:right w:val="nil"/>
            </w:tcBorders>
            <w:vAlign w:val="center"/>
            <w:hideMark/>
          </w:tcPr>
          <w:p w14:paraId="38D63936" w14:textId="77777777" w:rsidR="00252A40" w:rsidRPr="00D73E19" w:rsidRDefault="00252A40" w:rsidP="00252A40">
            <w:pPr>
              <w:suppressAutoHyphens w:val="0"/>
              <w:spacing w:before="0" w:after="0"/>
              <w:jc w:val="left"/>
              <w:rPr>
                <w:rFonts w:cs="Arial"/>
                <w:b/>
                <w:bCs/>
                <w:color w:val="000000"/>
                <w:lang w:eastAsia="fr-FR"/>
              </w:rPr>
            </w:pPr>
          </w:p>
        </w:tc>
        <w:tc>
          <w:tcPr>
            <w:tcW w:w="2579" w:type="pct"/>
            <w:tcBorders>
              <w:top w:val="nil"/>
              <w:left w:val="single" w:sz="4" w:space="0" w:color="auto"/>
              <w:bottom w:val="single" w:sz="4" w:space="0" w:color="auto"/>
              <w:right w:val="single" w:sz="4" w:space="0" w:color="auto"/>
            </w:tcBorders>
            <w:shd w:val="clear" w:color="auto" w:fill="auto"/>
            <w:noWrap/>
            <w:hideMark/>
          </w:tcPr>
          <w:p w14:paraId="0D5DA3E9" w14:textId="15F94A78" w:rsidR="00252A40" w:rsidRPr="00D73E19" w:rsidRDefault="00252A40" w:rsidP="00252A40">
            <w:pPr>
              <w:suppressAutoHyphens w:val="0"/>
              <w:spacing w:before="0" w:after="0"/>
              <w:rPr>
                <w:rFonts w:cs="Arial"/>
                <w:color w:val="000000"/>
                <w:lang w:eastAsia="fr-FR"/>
              </w:rPr>
            </w:pPr>
            <w:r w:rsidRPr="00621A1E">
              <w:t>2. 3 - Qualité de la proposition des types de messages à mettre en avant et des périodes de prise de parole</w:t>
            </w:r>
          </w:p>
        </w:tc>
        <w:tc>
          <w:tcPr>
            <w:tcW w:w="510" w:type="pct"/>
            <w:tcBorders>
              <w:top w:val="nil"/>
              <w:left w:val="nil"/>
              <w:bottom w:val="single" w:sz="4" w:space="0" w:color="595959"/>
              <w:right w:val="single" w:sz="8" w:space="0" w:color="595959"/>
            </w:tcBorders>
            <w:shd w:val="clear" w:color="auto" w:fill="auto"/>
            <w:vAlign w:val="center"/>
            <w:hideMark/>
          </w:tcPr>
          <w:p w14:paraId="5C65EC92" w14:textId="77777777" w:rsidR="00252A40" w:rsidRPr="00D73E19" w:rsidRDefault="00252A40" w:rsidP="00252A40">
            <w:pPr>
              <w:suppressAutoHyphens w:val="0"/>
              <w:spacing w:before="0" w:after="0"/>
              <w:jc w:val="center"/>
              <w:rPr>
                <w:rFonts w:cs="Arial"/>
                <w:b/>
                <w:bCs/>
                <w:color w:val="000000"/>
                <w:lang w:eastAsia="fr-FR"/>
              </w:rPr>
            </w:pPr>
            <w:r w:rsidRPr="00D73E19">
              <w:rPr>
                <w:rFonts w:cs="Arial"/>
                <w:b/>
                <w:bCs/>
                <w:color w:val="000000"/>
                <w:lang w:eastAsia="fr-FR"/>
              </w:rPr>
              <w:t>3</w:t>
            </w:r>
          </w:p>
        </w:tc>
      </w:tr>
      <w:tr w:rsidR="00252A40" w:rsidRPr="00D73E19" w14:paraId="6F3EDFE2" w14:textId="77777777" w:rsidTr="00CB6C55">
        <w:trPr>
          <w:trHeight w:val="300"/>
        </w:trPr>
        <w:tc>
          <w:tcPr>
            <w:tcW w:w="1911" w:type="pct"/>
            <w:vMerge/>
            <w:tcBorders>
              <w:top w:val="nil"/>
              <w:left w:val="single" w:sz="8" w:space="0" w:color="595959"/>
              <w:bottom w:val="double" w:sz="6" w:space="0" w:color="000000"/>
              <w:right w:val="nil"/>
            </w:tcBorders>
            <w:vAlign w:val="center"/>
            <w:hideMark/>
          </w:tcPr>
          <w:p w14:paraId="01593CFF" w14:textId="77777777" w:rsidR="00252A40" w:rsidRPr="00D73E19" w:rsidRDefault="00252A40" w:rsidP="00252A40">
            <w:pPr>
              <w:suppressAutoHyphens w:val="0"/>
              <w:spacing w:before="0" w:after="0"/>
              <w:jc w:val="left"/>
              <w:rPr>
                <w:rFonts w:cs="Arial"/>
                <w:b/>
                <w:bCs/>
                <w:color w:val="000000"/>
                <w:lang w:eastAsia="fr-FR"/>
              </w:rPr>
            </w:pPr>
          </w:p>
        </w:tc>
        <w:tc>
          <w:tcPr>
            <w:tcW w:w="2579" w:type="pct"/>
            <w:tcBorders>
              <w:top w:val="nil"/>
              <w:left w:val="single" w:sz="4" w:space="0" w:color="auto"/>
              <w:bottom w:val="double" w:sz="6" w:space="0" w:color="auto"/>
              <w:right w:val="single" w:sz="4" w:space="0" w:color="auto"/>
            </w:tcBorders>
            <w:shd w:val="clear" w:color="auto" w:fill="auto"/>
            <w:noWrap/>
            <w:hideMark/>
          </w:tcPr>
          <w:p w14:paraId="5785ACAC" w14:textId="0505174B" w:rsidR="00252A40" w:rsidRPr="00D73E19" w:rsidRDefault="00252A40" w:rsidP="00252A40">
            <w:pPr>
              <w:suppressAutoHyphens w:val="0"/>
              <w:spacing w:before="0" w:after="0"/>
              <w:rPr>
                <w:rFonts w:cs="Arial"/>
                <w:color w:val="000000"/>
                <w:lang w:eastAsia="fr-FR"/>
              </w:rPr>
            </w:pPr>
            <w:r w:rsidRPr="00621A1E">
              <w:t>2.4 - Clarté et pertinence de la définition des types de supports et formes d’échanges nécessaires (entretiens, conférences, visites, mailings)</w:t>
            </w:r>
          </w:p>
        </w:tc>
        <w:tc>
          <w:tcPr>
            <w:tcW w:w="510" w:type="pct"/>
            <w:tcBorders>
              <w:top w:val="nil"/>
              <w:left w:val="nil"/>
              <w:bottom w:val="double" w:sz="6" w:space="0" w:color="auto"/>
              <w:right w:val="single" w:sz="8" w:space="0" w:color="595959"/>
            </w:tcBorders>
            <w:shd w:val="clear" w:color="auto" w:fill="auto"/>
            <w:vAlign w:val="center"/>
            <w:hideMark/>
          </w:tcPr>
          <w:p w14:paraId="3E3E1881" w14:textId="77777777" w:rsidR="00252A40" w:rsidRPr="00D73E19" w:rsidRDefault="00252A40" w:rsidP="00252A40">
            <w:pPr>
              <w:suppressAutoHyphens w:val="0"/>
              <w:spacing w:before="0" w:after="0"/>
              <w:jc w:val="center"/>
              <w:rPr>
                <w:rFonts w:cs="Arial"/>
                <w:b/>
                <w:bCs/>
                <w:color w:val="000000"/>
                <w:lang w:eastAsia="fr-FR"/>
              </w:rPr>
            </w:pPr>
            <w:r w:rsidRPr="00D73E19">
              <w:rPr>
                <w:rFonts w:cs="Arial"/>
                <w:b/>
                <w:bCs/>
                <w:color w:val="000000"/>
                <w:lang w:eastAsia="fr-FR"/>
              </w:rPr>
              <w:t>2</w:t>
            </w:r>
          </w:p>
        </w:tc>
      </w:tr>
      <w:tr w:rsidR="00D73E19" w:rsidRPr="00D73E19" w14:paraId="651AEEF6" w14:textId="77777777" w:rsidTr="00D73E19">
        <w:trPr>
          <w:trHeight w:val="1018"/>
        </w:trPr>
        <w:tc>
          <w:tcPr>
            <w:tcW w:w="1911" w:type="pct"/>
            <w:vMerge w:val="restart"/>
            <w:tcBorders>
              <w:top w:val="nil"/>
              <w:left w:val="single" w:sz="8" w:space="0" w:color="595959"/>
              <w:bottom w:val="double" w:sz="6" w:space="0" w:color="000000"/>
              <w:right w:val="single" w:sz="4" w:space="0" w:color="595959"/>
            </w:tcBorders>
            <w:shd w:val="clear" w:color="auto" w:fill="auto"/>
            <w:vAlign w:val="center"/>
            <w:hideMark/>
          </w:tcPr>
          <w:p w14:paraId="5A1FC4D4"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3. Pertinence de l'organisation prévue démontrant la capacité du candidat à mobilier les médias et son éventuelle innovation dans les approches</w:t>
            </w:r>
          </w:p>
        </w:tc>
        <w:tc>
          <w:tcPr>
            <w:tcW w:w="2579" w:type="pct"/>
            <w:tcBorders>
              <w:top w:val="nil"/>
              <w:left w:val="nil"/>
              <w:bottom w:val="single" w:sz="4" w:space="0" w:color="auto"/>
              <w:right w:val="single" w:sz="4" w:space="0" w:color="595959"/>
            </w:tcBorders>
            <w:shd w:val="clear" w:color="auto" w:fill="auto"/>
            <w:vAlign w:val="center"/>
            <w:hideMark/>
          </w:tcPr>
          <w:p w14:paraId="49C071D4" w14:textId="3769C341" w:rsidR="00252A40" w:rsidRDefault="00252A40" w:rsidP="00D73E19">
            <w:pPr>
              <w:suppressAutoHyphens w:val="0"/>
              <w:spacing w:before="0" w:after="0"/>
              <w:jc w:val="left"/>
              <w:rPr>
                <w:rFonts w:cs="Arial"/>
                <w:color w:val="000000"/>
                <w:lang w:eastAsia="fr-FR"/>
              </w:rPr>
            </w:pPr>
            <w:r>
              <w:rPr>
                <w:rFonts w:cs="Arial"/>
                <w:color w:val="000000"/>
                <w:lang w:eastAsia="fr-FR"/>
              </w:rPr>
              <w:t>- Organisation :</w:t>
            </w:r>
          </w:p>
          <w:p w14:paraId="0FCEF03B" w14:textId="14D4FB7C" w:rsidR="00D73E19" w:rsidRPr="00D73E19" w:rsidRDefault="00D73E19" w:rsidP="00D73E19">
            <w:pPr>
              <w:suppressAutoHyphens w:val="0"/>
              <w:spacing w:before="0" w:after="0"/>
              <w:jc w:val="left"/>
              <w:rPr>
                <w:rFonts w:cs="Arial"/>
                <w:color w:val="000000"/>
                <w:lang w:eastAsia="fr-FR"/>
              </w:rPr>
            </w:pPr>
            <w:r w:rsidRPr="00D73E19">
              <w:rPr>
                <w:rFonts w:cs="Arial"/>
                <w:color w:val="000000"/>
                <w:lang w:eastAsia="fr-FR"/>
              </w:rPr>
              <w:t>- Organigramme nominatif,</w:t>
            </w:r>
            <w:r w:rsidRPr="00D73E19">
              <w:rPr>
                <w:rFonts w:cs="Arial"/>
                <w:color w:val="000000"/>
                <w:lang w:eastAsia="fr-FR"/>
              </w:rPr>
              <w:br/>
              <w:t xml:space="preserve">- Répartition des rôles entre les différents intervenants, </w:t>
            </w:r>
            <w:r w:rsidRPr="00D73E19">
              <w:rPr>
                <w:rFonts w:cs="Arial"/>
                <w:color w:val="000000"/>
                <w:lang w:eastAsia="fr-FR"/>
              </w:rPr>
              <w:br/>
              <w:t>- Coordination avec le Mucem</w:t>
            </w:r>
          </w:p>
        </w:tc>
        <w:tc>
          <w:tcPr>
            <w:tcW w:w="510" w:type="pct"/>
            <w:tcBorders>
              <w:top w:val="nil"/>
              <w:left w:val="nil"/>
              <w:bottom w:val="single" w:sz="4" w:space="0" w:color="auto"/>
              <w:right w:val="single" w:sz="8" w:space="0" w:color="595959"/>
            </w:tcBorders>
            <w:shd w:val="clear" w:color="auto" w:fill="auto"/>
            <w:vAlign w:val="center"/>
            <w:hideMark/>
          </w:tcPr>
          <w:p w14:paraId="10E2BA8A"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8</w:t>
            </w:r>
          </w:p>
        </w:tc>
      </w:tr>
      <w:tr w:rsidR="00D73E19" w:rsidRPr="00D73E19" w14:paraId="49E4CC2E" w14:textId="77777777" w:rsidTr="00D73E19">
        <w:trPr>
          <w:trHeight w:val="1065"/>
        </w:trPr>
        <w:tc>
          <w:tcPr>
            <w:tcW w:w="1911" w:type="pct"/>
            <w:vMerge/>
            <w:tcBorders>
              <w:top w:val="nil"/>
              <w:left w:val="single" w:sz="8" w:space="0" w:color="595959"/>
              <w:bottom w:val="double" w:sz="6" w:space="0" w:color="000000"/>
              <w:right w:val="single" w:sz="4" w:space="0" w:color="595959"/>
            </w:tcBorders>
            <w:vAlign w:val="center"/>
            <w:hideMark/>
          </w:tcPr>
          <w:p w14:paraId="554E415C" w14:textId="77777777" w:rsidR="00D73E19" w:rsidRPr="00D73E19" w:rsidRDefault="00D73E19" w:rsidP="00D73E19">
            <w:pPr>
              <w:suppressAutoHyphens w:val="0"/>
              <w:spacing w:before="0" w:after="0"/>
              <w:jc w:val="left"/>
              <w:rPr>
                <w:rFonts w:cs="Arial"/>
                <w:b/>
                <w:bCs/>
                <w:color w:val="000000"/>
                <w:lang w:eastAsia="fr-FR"/>
              </w:rPr>
            </w:pPr>
          </w:p>
        </w:tc>
        <w:tc>
          <w:tcPr>
            <w:tcW w:w="2579" w:type="pct"/>
            <w:tcBorders>
              <w:top w:val="nil"/>
              <w:left w:val="nil"/>
              <w:bottom w:val="double" w:sz="6" w:space="0" w:color="auto"/>
              <w:right w:val="single" w:sz="4" w:space="0" w:color="595959"/>
            </w:tcBorders>
            <w:shd w:val="clear" w:color="auto" w:fill="auto"/>
            <w:vAlign w:val="center"/>
            <w:hideMark/>
          </w:tcPr>
          <w:p w14:paraId="362E5923" w14:textId="77777777" w:rsidR="00D73E19" w:rsidRPr="00D73E19" w:rsidRDefault="00D73E19" w:rsidP="00D73E19">
            <w:pPr>
              <w:suppressAutoHyphens w:val="0"/>
              <w:spacing w:before="0" w:after="0"/>
              <w:jc w:val="left"/>
              <w:rPr>
                <w:rFonts w:cs="Arial"/>
                <w:color w:val="000000"/>
                <w:lang w:eastAsia="fr-FR"/>
              </w:rPr>
            </w:pPr>
            <w:r w:rsidRPr="00D73E19">
              <w:rPr>
                <w:rFonts w:cs="Arial"/>
                <w:color w:val="000000"/>
                <w:lang w:eastAsia="fr-FR"/>
              </w:rPr>
              <w:t>- Détail des actions et des modes opératoires prévus par phase,</w:t>
            </w:r>
            <w:r w:rsidRPr="00D73E19">
              <w:rPr>
                <w:rFonts w:cs="Arial"/>
                <w:color w:val="000000"/>
                <w:lang w:eastAsia="fr-FR"/>
              </w:rPr>
              <w:br/>
              <w:t xml:space="preserve">- Rétroplanning par type d’événement, </w:t>
            </w:r>
            <w:r w:rsidRPr="00D73E19">
              <w:rPr>
                <w:rFonts w:cs="Arial"/>
                <w:color w:val="000000"/>
                <w:lang w:eastAsia="fr-FR"/>
              </w:rPr>
              <w:br/>
              <w:t>- Outils à mobiliser</w:t>
            </w:r>
          </w:p>
        </w:tc>
        <w:tc>
          <w:tcPr>
            <w:tcW w:w="510" w:type="pct"/>
            <w:tcBorders>
              <w:top w:val="nil"/>
              <w:left w:val="nil"/>
              <w:bottom w:val="double" w:sz="6" w:space="0" w:color="auto"/>
              <w:right w:val="single" w:sz="8" w:space="0" w:color="595959"/>
            </w:tcBorders>
            <w:shd w:val="clear" w:color="auto" w:fill="auto"/>
            <w:vAlign w:val="center"/>
            <w:hideMark/>
          </w:tcPr>
          <w:p w14:paraId="2B1E7114"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7</w:t>
            </w:r>
          </w:p>
        </w:tc>
      </w:tr>
      <w:tr w:rsidR="00D73E19" w:rsidRPr="00D73E19" w14:paraId="7045F211" w14:textId="77777777" w:rsidTr="00D73E19">
        <w:trPr>
          <w:trHeight w:val="1470"/>
        </w:trPr>
        <w:tc>
          <w:tcPr>
            <w:tcW w:w="1911" w:type="pct"/>
            <w:tcBorders>
              <w:top w:val="nil"/>
              <w:left w:val="single" w:sz="8" w:space="0" w:color="595959"/>
              <w:bottom w:val="single" w:sz="4" w:space="0" w:color="595959"/>
              <w:right w:val="single" w:sz="4" w:space="0" w:color="595959"/>
            </w:tcBorders>
            <w:shd w:val="clear" w:color="auto" w:fill="auto"/>
            <w:vAlign w:val="center"/>
            <w:hideMark/>
          </w:tcPr>
          <w:p w14:paraId="6979D83A" w14:textId="77777777" w:rsidR="00D73E19" w:rsidRPr="00D73E19" w:rsidRDefault="00D73E19" w:rsidP="00D73E19">
            <w:pPr>
              <w:suppressAutoHyphens w:val="0"/>
              <w:spacing w:before="0" w:after="0"/>
              <w:jc w:val="left"/>
              <w:rPr>
                <w:rFonts w:cs="Arial"/>
                <w:b/>
                <w:bCs/>
                <w:color w:val="000000"/>
                <w:lang w:eastAsia="fr-FR"/>
              </w:rPr>
            </w:pPr>
            <w:r w:rsidRPr="00D73E19">
              <w:rPr>
                <w:rFonts w:cs="Arial"/>
                <w:b/>
                <w:bCs/>
                <w:color w:val="000000"/>
                <w:lang w:eastAsia="fr-FR"/>
              </w:rPr>
              <w:t xml:space="preserve">4. Qualité </w:t>
            </w:r>
            <w:r w:rsidRPr="00D73E19">
              <w:rPr>
                <w:rFonts w:cs="Arial"/>
                <w:color w:val="000000"/>
                <w:lang w:eastAsia="fr-FR"/>
              </w:rPr>
              <w:t xml:space="preserve">(adéquation des compétences, expériences et formations) </w:t>
            </w:r>
            <w:r w:rsidRPr="00D73E19">
              <w:rPr>
                <w:rFonts w:cs="Arial"/>
                <w:b/>
                <w:bCs/>
                <w:color w:val="000000"/>
                <w:lang w:eastAsia="fr-FR"/>
              </w:rPr>
              <w:t>et quantité des profils dédiés à la réalisation des prestations par typologie d'événement / exposition et par étape</w:t>
            </w:r>
          </w:p>
        </w:tc>
        <w:tc>
          <w:tcPr>
            <w:tcW w:w="2579" w:type="pct"/>
            <w:tcBorders>
              <w:top w:val="nil"/>
              <w:left w:val="nil"/>
              <w:bottom w:val="single" w:sz="4" w:space="0" w:color="595959"/>
              <w:right w:val="single" w:sz="4" w:space="0" w:color="595959"/>
            </w:tcBorders>
            <w:shd w:val="clear" w:color="auto" w:fill="auto"/>
            <w:vAlign w:val="center"/>
            <w:hideMark/>
          </w:tcPr>
          <w:p w14:paraId="026908E8" w14:textId="77777777" w:rsidR="00D73E19" w:rsidRPr="00D73E19" w:rsidRDefault="00D73E19" w:rsidP="00D73E19">
            <w:pPr>
              <w:suppressAutoHyphens w:val="0"/>
              <w:spacing w:before="0" w:after="0"/>
              <w:rPr>
                <w:rFonts w:cs="Arial"/>
                <w:color w:val="000000"/>
                <w:lang w:eastAsia="fr-FR"/>
              </w:rPr>
            </w:pPr>
            <w:r w:rsidRPr="00D73E19">
              <w:rPr>
                <w:rFonts w:cs="Arial"/>
                <w:color w:val="000000"/>
                <w:lang w:eastAsia="fr-FR"/>
              </w:rPr>
              <w:t>Présentation des intervenants dédiés par typologie d’événement et par étape (nombre de personnes, compétences, expériences, formations)</w:t>
            </w:r>
          </w:p>
        </w:tc>
        <w:tc>
          <w:tcPr>
            <w:tcW w:w="510" w:type="pct"/>
            <w:tcBorders>
              <w:top w:val="nil"/>
              <w:left w:val="nil"/>
              <w:bottom w:val="single" w:sz="4" w:space="0" w:color="595959"/>
              <w:right w:val="single" w:sz="8" w:space="0" w:color="595959"/>
            </w:tcBorders>
            <w:shd w:val="clear" w:color="auto" w:fill="auto"/>
            <w:vAlign w:val="center"/>
            <w:hideMark/>
          </w:tcPr>
          <w:p w14:paraId="12876BF9"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15</w:t>
            </w:r>
          </w:p>
        </w:tc>
      </w:tr>
      <w:tr w:rsidR="00D73E19" w:rsidRPr="00D73E19" w14:paraId="3CD6146F" w14:textId="77777777" w:rsidTr="00D73E19">
        <w:trPr>
          <w:trHeight w:val="495"/>
        </w:trPr>
        <w:tc>
          <w:tcPr>
            <w:tcW w:w="4490" w:type="pct"/>
            <w:gridSpan w:val="2"/>
            <w:tcBorders>
              <w:top w:val="single" w:sz="8" w:space="0" w:color="595959"/>
              <w:left w:val="single" w:sz="8" w:space="0" w:color="595959"/>
              <w:bottom w:val="single" w:sz="8" w:space="0" w:color="595959"/>
              <w:right w:val="single" w:sz="4" w:space="0" w:color="595959"/>
            </w:tcBorders>
            <w:shd w:val="clear" w:color="000000" w:fill="B8CCE4"/>
            <w:vAlign w:val="center"/>
            <w:hideMark/>
          </w:tcPr>
          <w:p w14:paraId="42C5457F" w14:textId="77777777" w:rsidR="00D73E19" w:rsidRPr="00D73E19" w:rsidRDefault="00D73E19" w:rsidP="00D73E19">
            <w:pPr>
              <w:suppressAutoHyphens w:val="0"/>
              <w:spacing w:before="0" w:after="0"/>
              <w:jc w:val="right"/>
              <w:rPr>
                <w:rFonts w:cs="Arial"/>
                <w:b/>
                <w:bCs/>
                <w:color w:val="000000"/>
                <w:lang w:eastAsia="fr-FR"/>
              </w:rPr>
            </w:pPr>
            <w:r w:rsidRPr="00D73E19">
              <w:rPr>
                <w:rFonts w:cs="Arial"/>
                <w:b/>
                <w:bCs/>
                <w:color w:val="000000"/>
                <w:lang w:eastAsia="fr-FR"/>
              </w:rPr>
              <w:t>TOTAL NOTE TECHNIQUE FINALE PROPORTIONNELLE</w:t>
            </w:r>
          </w:p>
        </w:tc>
        <w:tc>
          <w:tcPr>
            <w:tcW w:w="510" w:type="pct"/>
            <w:tcBorders>
              <w:top w:val="nil"/>
              <w:left w:val="nil"/>
              <w:bottom w:val="single" w:sz="8" w:space="0" w:color="595959"/>
              <w:right w:val="single" w:sz="8" w:space="0" w:color="595959"/>
            </w:tcBorders>
            <w:shd w:val="clear" w:color="000000" w:fill="B8CCE4"/>
            <w:vAlign w:val="center"/>
            <w:hideMark/>
          </w:tcPr>
          <w:p w14:paraId="2507F1DB"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70</w:t>
            </w:r>
          </w:p>
        </w:tc>
      </w:tr>
      <w:tr w:rsidR="00D73E19" w:rsidRPr="00D73E19" w14:paraId="7BF37044" w14:textId="77777777" w:rsidTr="00D73E19">
        <w:trPr>
          <w:trHeight w:val="290"/>
        </w:trPr>
        <w:tc>
          <w:tcPr>
            <w:tcW w:w="1911" w:type="pct"/>
            <w:tcBorders>
              <w:top w:val="nil"/>
              <w:left w:val="single" w:sz="8" w:space="0" w:color="595959"/>
              <w:bottom w:val="single" w:sz="4" w:space="0" w:color="595959"/>
              <w:right w:val="single" w:sz="4" w:space="0" w:color="595959"/>
            </w:tcBorders>
            <w:shd w:val="clear" w:color="000000" w:fill="95B3D7"/>
            <w:vAlign w:val="center"/>
            <w:hideMark/>
          </w:tcPr>
          <w:p w14:paraId="7767A456" w14:textId="77777777" w:rsidR="00D73E19" w:rsidRPr="00D73E19" w:rsidRDefault="00D73E19" w:rsidP="00D73E19">
            <w:pPr>
              <w:suppressAutoHyphens w:val="0"/>
              <w:spacing w:before="0" w:after="0"/>
              <w:jc w:val="left"/>
              <w:rPr>
                <w:rFonts w:cs="Arial"/>
                <w:b/>
                <w:bCs/>
                <w:color w:val="000000"/>
                <w:lang w:eastAsia="fr-FR"/>
              </w:rPr>
            </w:pPr>
            <w:r w:rsidRPr="00D73E19">
              <w:rPr>
                <w:rFonts w:cs="Arial"/>
                <w:b/>
                <w:bCs/>
                <w:color w:val="000000"/>
                <w:lang w:eastAsia="fr-FR"/>
              </w:rPr>
              <w:t>CRITERE FINANCIER</w:t>
            </w:r>
          </w:p>
        </w:tc>
        <w:tc>
          <w:tcPr>
            <w:tcW w:w="2579" w:type="pct"/>
            <w:tcBorders>
              <w:top w:val="nil"/>
              <w:left w:val="nil"/>
              <w:bottom w:val="single" w:sz="4" w:space="0" w:color="595959"/>
              <w:right w:val="single" w:sz="4" w:space="0" w:color="595959"/>
            </w:tcBorders>
            <w:shd w:val="clear" w:color="000000" w:fill="95B3D7"/>
            <w:vAlign w:val="center"/>
            <w:hideMark/>
          </w:tcPr>
          <w:p w14:paraId="5E1872B9" w14:textId="77777777" w:rsidR="00D73E19" w:rsidRPr="00D73E19" w:rsidRDefault="00D73E19" w:rsidP="00D73E19">
            <w:pPr>
              <w:suppressAutoHyphens w:val="0"/>
              <w:spacing w:before="0" w:after="0"/>
              <w:rPr>
                <w:rFonts w:cs="Arial"/>
                <w:color w:val="000000"/>
                <w:lang w:eastAsia="fr-FR"/>
              </w:rPr>
            </w:pPr>
            <w:r w:rsidRPr="00D73E19">
              <w:rPr>
                <w:rFonts w:cs="Arial"/>
                <w:color w:val="000000"/>
                <w:lang w:eastAsia="fr-FR"/>
              </w:rPr>
              <w:t> </w:t>
            </w:r>
          </w:p>
        </w:tc>
        <w:tc>
          <w:tcPr>
            <w:tcW w:w="510" w:type="pct"/>
            <w:tcBorders>
              <w:top w:val="nil"/>
              <w:left w:val="nil"/>
              <w:bottom w:val="single" w:sz="4" w:space="0" w:color="595959"/>
              <w:right w:val="single" w:sz="8" w:space="0" w:color="595959"/>
            </w:tcBorders>
            <w:shd w:val="clear" w:color="000000" w:fill="95B3D7"/>
            <w:vAlign w:val="center"/>
            <w:hideMark/>
          </w:tcPr>
          <w:p w14:paraId="6AF60A3B" w14:textId="77777777" w:rsidR="00D73E19" w:rsidRPr="00D73E19" w:rsidRDefault="00D73E19" w:rsidP="00D73E19">
            <w:pPr>
              <w:suppressAutoHyphens w:val="0"/>
              <w:spacing w:before="0" w:after="0"/>
              <w:rPr>
                <w:rFonts w:cs="Arial"/>
                <w:color w:val="000000"/>
                <w:lang w:eastAsia="fr-FR"/>
              </w:rPr>
            </w:pPr>
            <w:r w:rsidRPr="00D73E19">
              <w:rPr>
                <w:rFonts w:cs="Arial"/>
                <w:color w:val="000000"/>
                <w:lang w:eastAsia="fr-FR"/>
              </w:rPr>
              <w:t> </w:t>
            </w:r>
          </w:p>
        </w:tc>
      </w:tr>
      <w:tr w:rsidR="00D73E19" w:rsidRPr="00D73E19" w14:paraId="2F740B81" w14:textId="77777777" w:rsidTr="00D73E19">
        <w:trPr>
          <w:trHeight w:val="310"/>
        </w:trPr>
        <w:tc>
          <w:tcPr>
            <w:tcW w:w="4490" w:type="pct"/>
            <w:gridSpan w:val="2"/>
            <w:tcBorders>
              <w:top w:val="single" w:sz="4" w:space="0" w:color="595959"/>
              <w:left w:val="single" w:sz="8" w:space="0" w:color="595959"/>
              <w:bottom w:val="nil"/>
              <w:right w:val="single" w:sz="4" w:space="0" w:color="595959"/>
            </w:tcBorders>
            <w:shd w:val="clear" w:color="000000" w:fill="FFFFFF"/>
            <w:vAlign w:val="center"/>
            <w:hideMark/>
          </w:tcPr>
          <w:p w14:paraId="4E4112F2" w14:textId="77777777" w:rsidR="00D73E19" w:rsidRPr="00D73E19" w:rsidRDefault="00D73E19" w:rsidP="00D73E19">
            <w:pPr>
              <w:suppressAutoHyphens w:val="0"/>
              <w:spacing w:before="0" w:after="0"/>
              <w:jc w:val="left"/>
              <w:rPr>
                <w:rFonts w:cs="Arial"/>
                <w:b/>
                <w:bCs/>
                <w:color w:val="000000"/>
                <w:lang w:eastAsia="fr-FR"/>
              </w:rPr>
            </w:pPr>
            <w:r w:rsidRPr="00D73E19">
              <w:rPr>
                <w:rFonts w:cs="Arial"/>
                <w:b/>
                <w:bCs/>
                <w:color w:val="000000"/>
                <w:lang w:eastAsia="fr-FR"/>
              </w:rPr>
              <w:t xml:space="preserve">Montant total du DQE en €HT </w:t>
            </w:r>
            <w:r w:rsidRPr="00D73E19">
              <w:rPr>
                <w:rFonts w:cs="Arial"/>
                <w:color w:val="000000"/>
                <w:lang w:eastAsia="fr-FR"/>
              </w:rPr>
              <w:t>(prestations de la part à commande)</w:t>
            </w:r>
          </w:p>
        </w:tc>
        <w:tc>
          <w:tcPr>
            <w:tcW w:w="510" w:type="pct"/>
            <w:tcBorders>
              <w:top w:val="nil"/>
              <w:left w:val="single" w:sz="4" w:space="0" w:color="595959"/>
              <w:bottom w:val="single" w:sz="4" w:space="0" w:color="595959"/>
              <w:right w:val="single" w:sz="8" w:space="0" w:color="595959"/>
            </w:tcBorders>
            <w:vAlign w:val="center"/>
            <w:hideMark/>
          </w:tcPr>
          <w:p w14:paraId="3180A62E" w14:textId="572CF30E" w:rsidR="00D73E19" w:rsidRPr="00D73E19" w:rsidRDefault="00D73E19" w:rsidP="00D73E19">
            <w:pPr>
              <w:suppressAutoHyphens w:val="0"/>
              <w:spacing w:before="0" w:after="0"/>
              <w:jc w:val="center"/>
              <w:rPr>
                <w:rFonts w:cs="Arial"/>
                <w:color w:val="000000"/>
                <w:lang w:eastAsia="fr-FR"/>
              </w:rPr>
            </w:pPr>
            <w:r>
              <w:rPr>
                <w:rFonts w:cs="Arial"/>
                <w:color w:val="000000"/>
                <w:lang w:eastAsia="fr-FR"/>
              </w:rPr>
              <w:t>30</w:t>
            </w:r>
          </w:p>
        </w:tc>
      </w:tr>
      <w:tr w:rsidR="00D73E19" w:rsidRPr="00D73E19" w14:paraId="0B52584B" w14:textId="77777777" w:rsidTr="00D73E19">
        <w:trPr>
          <w:trHeight w:val="330"/>
        </w:trPr>
        <w:tc>
          <w:tcPr>
            <w:tcW w:w="4490" w:type="pct"/>
            <w:gridSpan w:val="2"/>
            <w:tcBorders>
              <w:top w:val="single" w:sz="8" w:space="0" w:color="595959"/>
              <w:left w:val="single" w:sz="8" w:space="0" w:color="595959"/>
              <w:bottom w:val="single" w:sz="8" w:space="0" w:color="595959"/>
              <w:right w:val="single" w:sz="4" w:space="0" w:color="595959"/>
            </w:tcBorders>
            <w:shd w:val="clear" w:color="000000" w:fill="B8CCE4"/>
            <w:vAlign w:val="center"/>
            <w:hideMark/>
          </w:tcPr>
          <w:p w14:paraId="2405FEDF" w14:textId="77777777" w:rsidR="00D73E19" w:rsidRPr="00D73E19" w:rsidRDefault="00D73E19" w:rsidP="00D73E19">
            <w:pPr>
              <w:suppressAutoHyphens w:val="0"/>
              <w:spacing w:before="0" w:after="0"/>
              <w:jc w:val="right"/>
              <w:rPr>
                <w:rFonts w:cs="Arial"/>
                <w:b/>
                <w:bCs/>
                <w:color w:val="000000"/>
                <w:lang w:eastAsia="fr-FR"/>
              </w:rPr>
            </w:pPr>
            <w:r w:rsidRPr="00D73E19">
              <w:rPr>
                <w:rFonts w:cs="Arial"/>
                <w:b/>
                <w:bCs/>
                <w:color w:val="000000"/>
                <w:lang w:eastAsia="fr-FR"/>
              </w:rPr>
              <w:t>TOTAL NOTE FINANCIERE</w:t>
            </w:r>
          </w:p>
        </w:tc>
        <w:tc>
          <w:tcPr>
            <w:tcW w:w="510" w:type="pct"/>
            <w:tcBorders>
              <w:top w:val="single" w:sz="8" w:space="0" w:color="595959"/>
              <w:left w:val="nil"/>
              <w:bottom w:val="single" w:sz="8" w:space="0" w:color="595959"/>
              <w:right w:val="single" w:sz="8" w:space="0" w:color="595959"/>
            </w:tcBorders>
            <w:shd w:val="clear" w:color="000000" w:fill="B8CCE4"/>
            <w:vAlign w:val="center"/>
            <w:hideMark/>
          </w:tcPr>
          <w:p w14:paraId="150F6996" w14:textId="77777777" w:rsidR="00D73E19" w:rsidRPr="00D73E19" w:rsidRDefault="00D73E19" w:rsidP="00D73E19">
            <w:pPr>
              <w:suppressAutoHyphens w:val="0"/>
              <w:spacing w:before="0" w:after="0"/>
              <w:jc w:val="center"/>
              <w:rPr>
                <w:rFonts w:cs="Arial"/>
                <w:b/>
                <w:bCs/>
                <w:color w:val="000000"/>
                <w:lang w:eastAsia="fr-FR"/>
              </w:rPr>
            </w:pPr>
            <w:r w:rsidRPr="00D73E19">
              <w:rPr>
                <w:rFonts w:cs="Arial"/>
                <w:b/>
                <w:bCs/>
                <w:color w:val="000000"/>
                <w:lang w:eastAsia="fr-FR"/>
              </w:rPr>
              <w:t>30</w:t>
            </w:r>
          </w:p>
        </w:tc>
      </w:tr>
      <w:tr w:rsidR="00D73E19" w:rsidRPr="00D73E19" w14:paraId="0E7E1DBB" w14:textId="77777777" w:rsidTr="00D73E19">
        <w:trPr>
          <w:trHeight w:val="370"/>
        </w:trPr>
        <w:tc>
          <w:tcPr>
            <w:tcW w:w="4490" w:type="pct"/>
            <w:gridSpan w:val="2"/>
            <w:tcBorders>
              <w:top w:val="single" w:sz="8" w:space="0" w:color="595959"/>
              <w:left w:val="single" w:sz="8" w:space="0" w:color="595959"/>
              <w:bottom w:val="single" w:sz="4" w:space="0" w:color="595959"/>
              <w:right w:val="single" w:sz="4" w:space="0" w:color="595959"/>
            </w:tcBorders>
            <w:shd w:val="clear" w:color="000000" w:fill="B8CCE4"/>
            <w:vAlign w:val="center"/>
            <w:hideMark/>
          </w:tcPr>
          <w:p w14:paraId="34A75929" w14:textId="77777777" w:rsidR="00D73E19" w:rsidRPr="00D73E19" w:rsidRDefault="00D73E19" w:rsidP="00D73E19">
            <w:pPr>
              <w:suppressAutoHyphens w:val="0"/>
              <w:spacing w:before="0" w:after="0"/>
              <w:jc w:val="center"/>
              <w:rPr>
                <w:rFonts w:cs="Arial"/>
                <w:b/>
                <w:bCs/>
                <w:lang w:eastAsia="fr-FR"/>
              </w:rPr>
            </w:pPr>
            <w:r w:rsidRPr="00D73E19">
              <w:rPr>
                <w:rFonts w:cs="Arial"/>
                <w:b/>
                <w:bCs/>
                <w:lang w:eastAsia="fr-FR"/>
              </w:rPr>
              <w:t>NOTE TOTALE</w:t>
            </w:r>
          </w:p>
        </w:tc>
        <w:tc>
          <w:tcPr>
            <w:tcW w:w="510" w:type="pct"/>
            <w:tcBorders>
              <w:top w:val="single" w:sz="8" w:space="0" w:color="595959"/>
              <w:left w:val="nil"/>
              <w:bottom w:val="single" w:sz="4" w:space="0" w:color="595959"/>
              <w:right w:val="single" w:sz="8" w:space="0" w:color="595959"/>
            </w:tcBorders>
            <w:shd w:val="clear" w:color="000000" w:fill="B8CCE4"/>
            <w:vAlign w:val="center"/>
            <w:hideMark/>
          </w:tcPr>
          <w:p w14:paraId="131457EF" w14:textId="77777777" w:rsidR="00D73E19" w:rsidRPr="00D73E19" w:rsidRDefault="00D73E19" w:rsidP="00D73E19">
            <w:pPr>
              <w:suppressAutoHyphens w:val="0"/>
              <w:spacing w:before="0" w:after="0"/>
              <w:jc w:val="center"/>
              <w:rPr>
                <w:rFonts w:cs="Arial"/>
                <w:b/>
                <w:bCs/>
                <w:lang w:eastAsia="fr-FR"/>
              </w:rPr>
            </w:pPr>
            <w:r w:rsidRPr="00D73E19">
              <w:rPr>
                <w:rFonts w:cs="Arial"/>
                <w:b/>
                <w:bCs/>
                <w:lang w:eastAsia="fr-FR"/>
              </w:rPr>
              <w:t>100</w:t>
            </w:r>
          </w:p>
        </w:tc>
      </w:tr>
    </w:tbl>
    <w:p w14:paraId="35D65A11" w14:textId="77777777" w:rsidR="008D3365" w:rsidRPr="00AE2367" w:rsidRDefault="008D3365" w:rsidP="00AE2367"/>
    <w:p w14:paraId="7921403E" w14:textId="77777777" w:rsidR="00325D51" w:rsidRDefault="00325D51" w:rsidP="00325D51">
      <w:r w:rsidRPr="00E117A7">
        <w:rPr>
          <w:b/>
          <w:u w:val="single"/>
        </w:rPr>
        <w:t>Méthode</w:t>
      </w:r>
      <w:r>
        <w:rPr>
          <w:b/>
          <w:u w:val="single"/>
        </w:rPr>
        <w:t>s</w:t>
      </w:r>
      <w:r w:rsidRPr="00E117A7">
        <w:rPr>
          <w:b/>
          <w:u w:val="single"/>
        </w:rPr>
        <w:t xml:space="preserve"> de notation</w:t>
      </w:r>
      <w:r>
        <w:t xml:space="preserve"> : </w:t>
      </w:r>
    </w:p>
    <w:p w14:paraId="0BAA7201" w14:textId="77777777" w:rsidR="00480E5F" w:rsidRPr="002944DE" w:rsidRDefault="00480E5F" w:rsidP="00480E5F">
      <w:pPr>
        <w:numPr>
          <w:ilvl w:val="0"/>
          <w:numId w:val="32"/>
        </w:numPr>
      </w:pPr>
      <w:r w:rsidRPr="002944DE">
        <w:t xml:space="preserve">La </w:t>
      </w:r>
      <w:r w:rsidRPr="002944DE">
        <w:rPr>
          <w:b/>
        </w:rPr>
        <w:t>valeur technique</w:t>
      </w:r>
      <w:r w:rsidRPr="002944DE">
        <w:t xml:space="preserve"> de l’offre est jugée notamment sur la base du mémoire technique et des cadres de réponses produits par le candidat.</w:t>
      </w:r>
    </w:p>
    <w:p w14:paraId="24E43DFF" w14:textId="3680ED13" w:rsidR="00480E5F" w:rsidRPr="002944DE" w:rsidRDefault="00480E5F" w:rsidP="00480E5F">
      <w:pPr>
        <w:pStyle w:val="Listepuces2"/>
        <w:ind w:left="1440" w:hanging="360"/>
      </w:pPr>
      <w:r w:rsidRPr="002944DE">
        <w:t xml:space="preserve">Chaque sous-critère est noté de </w:t>
      </w:r>
      <w:r w:rsidR="00887E83">
        <w:t>0</w:t>
      </w:r>
      <w:r w:rsidRPr="002944DE">
        <w:t xml:space="preserve"> à 5, puis les notes sont pondérées selon les coefficients de pondération mentionnés dans le tableau ci-dessus (« note max pondérée »).</w:t>
      </w:r>
    </w:p>
    <w:p w14:paraId="632B2ADD" w14:textId="77777777" w:rsidR="00480E5F" w:rsidRPr="002944DE" w:rsidRDefault="00480E5F" w:rsidP="00480E5F">
      <w:pPr>
        <w:pStyle w:val="Listepuces2"/>
        <w:ind w:left="1440" w:hanging="360"/>
      </w:pPr>
      <w:r w:rsidRPr="002944DE">
        <w:t>Les notes techniques obtenues pour chaque sous critère sont additionnées (il s’agit de la note technique dite « initiale »)</w:t>
      </w:r>
    </w:p>
    <w:p w14:paraId="0A184837" w14:textId="77777777" w:rsidR="00480E5F" w:rsidRPr="002944DE" w:rsidRDefault="00480E5F" w:rsidP="00480E5F">
      <w:pPr>
        <w:pStyle w:val="Listepuces2"/>
        <w:ind w:left="1440" w:hanging="360"/>
      </w:pPr>
      <w:r w:rsidRPr="002944DE">
        <w:t>Pour obtenir la note technique « finale » de chaque candidat, la règle suivante est appliquée :</w:t>
      </w:r>
    </w:p>
    <w:p w14:paraId="609716FB" w14:textId="0B13CF57" w:rsidR="00480E5F" w:rsidRPr="002944DE" w:rsidRDefault="00887E83" w:rsidP="00480E5F">
      <w:pPr>
        <w:pStyle w:val="Listepuces"/>
        <w:numPr>
          <w:ilvl w:val="0"/>
          <w:numId w:val="0"/>
        </w:numPr>
        <w:ind w:left="1276"/>
      </w:pPr>
      <w:r>
        <w:lastRenderedPageBreak/>
        <w:t>7</w:t>
      </w:r>
      <w:r w:rsidR="00480E5F" w:rsidRPr="002944DE">
        <w:t>0 points seront attribués au candidat dont la note technique initiale est la meilleure.</w:t>
      </w:r>
    </w:p>
    <w:p w14:paraId="1F599372" w14:textId="77777777" w:rsidR="00480E5F" w:rsidRPr="002944DE" w:rsidRDefault="00480E5F" w:rsidP="00480E5F">
      <w:pPr>
        <w:pStyle w:val="Listepuces"/>
        <w:numPr>
          <w:ilvl w:val="0"/>
          <w:numId w:val="0"/>
        </w:numPr>
        <w:ind w:left="1276"/>
      </w:pPr>
      <w:r w:rsidRPr="002944DE">
        <w:t>La note technique finale pour les autres offres est calculée ainsi :</w:t>
      </w:r>
    </w:p>
    <w:p w14:paraId="4A7A4458" w14:textId="6C48343F" w:rsidR="00480E5F" w:rsidRDefault="00AE2367" w:rsidP="00480E5F">
      <w:pPr>
        <w:jc w:val="center"/>
      </w:pPr>
      <w:r w:rsidRPr="002944DE">
        <w:rPr>
          <w:rFonts w:cs="Arial"/>
          <w:noProof/>
          <w:lang w:eastAsia="fr-FR"/>
        </w:rPr>
        <mc:AlternateContent>
          <mc:Choice Requires="wps">
            <w:drawing>
              <wp:anchor distT="0" distB="0" distL="114300" distR="114300" simplePos="0" relativeHeight="251657728" behindDoc="0" locked="0" layoutInCell="1" allowOverlap="1" wp14:anchorId="6F0556BF" wp14:editId="6CB9CF8D">
                <wp:simplePos x="0" y="0"/>
                <wp:positionH relativeFrom="column">
                  <wp:posOffset>1323975</wp:posOffset>
                </wp:positionH>
                <wp:positionV relativeFrom="paragraph">
                  <wp:posOffset>186055</wp:posOffset>
                </wp:positionV>
                <wp:extent cx="3768090" cy="7620"/>
                <wp:effectExtent l="5715" t="5080" r="7620" b="63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80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4ECF84" id="_x0000_t32" coordsize="21600,21600" o:spt="32" o:oned="t" path="m,l21600,21600e" filled="f">
                <v:path arrowok="t" fillok="f" o:connecttype="none"/>
                <o:lock v:ext="edit" shapetype="t"/>
              </v:shapetype>
              <v:shape id="AutoShape 2" o:spid="_x0000_s1026" type="#_x0000_t32" style="position:absolute;margin-left:104.25pt;margin-top:14.65pt;width:296.7pt;height:.6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"/>
            </w:pict>
          </mc:Fallback>
        </mc:AlternateContent>
      </w:r>
      <w:r w:rsidR="00CE24E0">
        <w:t>7</w:t>
      </w:r>
      <w:r w:rsidR="00480E5F" w:rsidRPr="002944DE">
        <w:t>0 X Note technique initiale de l’offre du candidat concerné</w:t>
      </w:r>
    </w:p>
    <w:p w14:paraId="4F9CCC32" w14:textId="77777777" w:rsidR="00480E5F" w:rsidRDefault="00480E5F" w:rsidP="00480E5F">
      <w:pPr>
        <w:jc w:val="center"/>
      </w:pPr>
      <w:r>
        <w:t>Note technique initiale de l’offre la mieux classée</w:t>
      </w:r>
    </w:p>
    <w:p w14:paraId="4D52670A" w14:textId="77777777" w:rsidR="00325D51" w:rsidRDefault="00325D51" w:rsidP="00C7317C">
      <w:pPr>
        <w:numPr>
          <w:ilvl w:val="0"/>
          <w:numId w:val="32"/>
        </w:numPr>
      </w:pPr>
      <w:r>
        <w:t xml:space="preserve">La </w:t>
      </w:r>
      <w:r w:rsidRPr="0068784D">
        <w:rPr>
          <w:b/>
        </w:rPr>
        <w:t>note financière</w:t>
      </w:r>
      <w:r>
        <w:t xml:space="preserve"> sera attribuée par application de la formule suivante :</w:t>
      </w:r>
    </w:p>
    <w:p w14:paraId="6D47D268" w14:textId="77777777" w:rsidR="00576513" w:rsidRPr="00576513" w:rsidRDefault="00576513" w:rsidP="00A95C6C">
      <w:pPr>
        <w:jc w:val="center"/>
        <w:rPr>
          <w:rFonts w:cs="Arial"/>
          <w:highlight w:val="yellow"/>
        </w:rPr>
      </w:pPr>
    </w:p>
    <w:tbl>
      <w:tblPr>
        <w:tblW w:w="0" w:type="auto"/>
        <w:tblInd w:w="675" w:type="dxa"/>
        <w:tblLook w:val="04A0" w:firstRow="1" w:lastRow="0" w:firstColumn="1" w:lastColumn="0" w:noHBand="0" w:noVBand="1"/>
      </w:tblPr>
      <w:tblGrid>
        <w:gridCol w:w="4153"/>
        <w:gridCol w:w="4810"/>
      </w:tblGrid>
      <w:tr w:rsidR="00A95C6C" w:rsidRPr="00C20B31" w14:paraId="0B3FDFC2" w14:textId="77777777" w:rsidTr="004E25F4">
        <w:tc>
          <w:tcPr>
            <w:tcW w:w="4153" w:type="dxa"/>
            <w:tcBorders>
              <w:bottom w:val="single" w:sz="4" w:space="0" w:color="auto"/>
            </w:tcBorders>
            <w:shd w:val="clear" w:color="auto" w:fill="auto"/>
            <w:vAlign w:val="center"/>
          </w:tcPr>
          <w:p w14:paraId="775FCF92" w14:textId="77777777" w:rsidR="00A95C6C" w:rsidRPr="00C20B31" w:rsidRDefault="00A95C6C" w:rsidP="00C20B31">
            <w:pPr>
              <w:jc w:val="center"/>
              <w:rPr>
                <w:b/>
              </w:rPr>
            </w:pPr>
            <w:r w:rsidRPr="00C20B31">
              <w:rPr>
                <w:rFonts w:cs="Arial"/>
              </w:rPr>
              <w:t>Prix le plus bas parmi les offres acceptables</w:t>
            </w:r>
          </w:p>
        </w:tc>
        <w:tc>
          <w:tcPr>
            <w:tcW w:w="4810" w:type="dxa"/>
            <w:vMerge w:val="restart"/>
            <w:shd w:val="clear" w:color="auto" w:fill="auto"/>
            <w:vAlign w:val="center"/>
          </w:tcPr>
          <w:p w14:paraId="31AB148B" w14:textId="77777777" w:rsidR="00A95C6C" w:rsidRPr="00C20B31" w:rsidRDefault="00A95C6C" w:rsidP="00A95C6C">
            <w:pPr>
              <w:rPr>
                <w:b/>
              </w:rPr>
            </w:pPr>
            <w:r w:rsidRPr="00C20B31">
              <w:rPr>
                <w:rFonts w:cs="Arial"/>
              </w:rPr>
              <w:t xml:space="preserve">X note max pondérée </w:t>
            </w:r>
            <w:r w:rsidRPr="002944DE">
              <w:rPr>
                <w:rFonts w:cs="Arial"/>
              </w:rPr>
              <w:t>du critère financier</w:t>
            </w:r>
          </w:p>
        </w:tc>
      </w:tr>
      <w:tr w:rsidR="00A95C6C" w:rsidRPr="00C20B31" w14:paraId="16B474FF" w14:textId="77777777" w:rsidTr="004E25F4">
        <w:tc>
          <w:tcPr>
            <w:tcW w:w="4153" w:type="dxa"/>
            <w:tcBorders>
              <w:top w:val="single" w:sz="4" w:space="0" w:color="auto"/>
            </w:tcBorders>
            <w:shd w:val="clear" w:color="auto" w:fill="auto"/>
            <w:vAlign w:val="center"/>
          </w:tcPr>
          <w:p w14:paraId="2C77BEFD" w14:textId="77777777" w:rsidR="00A95C6C" w:rsidRPr="00C20B31" w:rsidRDefault="00A95C6C" w:rsidP="00C20B31">
            <w:pPr>
              <w:jc w:val="center"/>
              <w:rPr>
                <w:b/>
              </w:rPr>
            </w:pPr>
            <w:r w:rsidRPr="00C20B31">
              <w:rPr>
                <w:rFonts w:cs="Arial"/>
              </w:rPr>
              <w:t>Prix proposé</w:t>
            </w:r>
          </w:p>
        </w:tc>
        <w:tc>
          <w:tcPr>
            <w:tcW w:w="4810" w:type="dxa"/>
            <w:vMerge/>
            <w:shd w:val="clear" w:color="auto" w:fill="auto"/>
          </w:tcPr>
          <w:p w14:paraId="08E6BB84" w14:textId="77777777" w:rsidR="00A95C6C" w:rsidRPr="00C20B31" w:rsidRDefault="00A95C6C" w:rsidP="00C20B31">
            <w:pPr>
              <w:jc w:val="left"/>
              <w:rPr>
                <w:b/>
              </w:rPr>
            </w:pPr>
          </w:p>
        </w:tc>
      </w:tr>
    </w:tbl>
    <w:p w14:paraId="6203D642" w14:textId="77777777" w:rsidR="004E25F4" w:rsidRDefault="004E25F4" w:rsidP="004E25F4">
      <w:r>
        <w:t xml:space="preserve">Exemple de notation de 0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E25F4" w:rsidRPr="004C6D92" w14:paraId="1D489C24"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3F9870" w14:textId="77777777" w:rsidR="004E25F4" w:rsidRPr="004C6D92" w:rsidRDefault="004E25F4" w:rsidP="00516D65">
            <w:pPr>
              <w:pStyle w:val="Standard"/>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7E132" w14:textId="77777777" w:rsidR="004E25F4" w:rsidRPr="004C6D92" w:rsidRDefault="004E25F4" w:rsidP="00516D65">
            <w:pPr>
              <w:pStyle w:val="Standard"/>
            </w:pPr>
            <w:r w:rsidRPr="004C6D92">
              <w:t>Excellent niveau de satisfaction de la demande et/ou des besoins</w:t>
            </w:r>
          </w:p>
          <w:p w14:paraId="71171334" w14:textId="77777777" w:rsidR="004E25F4" w:rsidRPr="004C6D92" w:rsidRDefault="004E25F4" w:rsidP="00516D65">
            <w:pPr>
              <w:pStyle w:val="Standard"/>
            </w:pPr>
            <w:r w:rsidRPr="004C6D92">
              <w:t>L’information fournie pour le sous-critère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4E25F4" w:rsidRPr="004C6D92" w14:paraId="47D77D95"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9ADA70" w14:textId="77777777" w:rsidR="004E25F4" w:rsidRPr="004C6D92" w:rsidRDefault="004E25F4" w:rsidP="00516D65">
            <w:pPr>
              <w:pStyle w:val="Standard"/>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AA77F" w14:textId="77777777" w:rsidR="004E25F4" w:rsidRPr="004C6D92" w:rsidRDefault="004E25F4" w:rsidP="00516D65">
            <w:pPr>
              <w:pStyle w:val="Standard"/>
            </w:pPr>
            <w:r w:rsidRPr="004C6D92">
              <w:t>Très bon niveau de satisfaction de la demande et/ou des besoins</w:t>
            </w:r>
          </w:p>
          <w:p w14:paraId="33B87E71" w14:textId="77777777" w:rsidR="004E25F4" w:rsidRPr="004C6D92" w:rsidRDefault="004E25F4" w:rsidP="00516D65">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E25F4" w:rsidRPr="004C6D92" w14:paraId="352B5CAD"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0F99060" w14:textId="77777777" w:rsidR="004E25F4" w:rsidRPr="004C6D92" w:rsidRDefault="004E25F4" w:rsidP="00516D65">
            <w:pPr>
              <w:pStyle w:val="Standard"/>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48525" w14:textId="77777777" w:rsidR="004E25F4" w:rsidRPr="004C6D92" w:rsidRDefault="004E25F4" w:rsidP="00516D65">
            <w:pPr>
              <w:pStyle w:val="Standard"/>
            </w:pPr>
            <w:r w:rsidRPr="004C6D92">
              <w:t>Bon niveau de satisfaction de la demande et/ou des besoins</w:t>
            </w:r>
          </w:p>
          <w:p w14:paraId="2114C737" w14:textId="77777777" w:rsidR="004E25F4" w:rsidRPr="004C6D92" w:rsidRDefault="004E25F4" w:rsidP="00516D65">
            <w:pPr>
              <w:pStyle w:val="Standard"/>
            </w:pPr>
            <w:r w:rsidRPr="004C6D92">
              <w:t xml:space="preserve">L’information fournie pour le sous-critère répond correctement à la demande en présentant au moins un avantage particulier. </w:t>
            </w:r>
          </w:p>
        </w:tc>
      </w:tr>
      <w:tr w:rsidR="004E25F4" w:rsidRPr="004C6D92" w14:paraId="513D7DE2"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B8F2E90" w14:textId="77777777" w:rsidR="004E25F4" w:rsidRPr="004C6D92" w:rsidRDefault="004E25F4" w:rsidP="00516D65">
            <w:pPr>
              <w:pStyle w:val="Standard"/>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A42B9" w14:textId="77777777" w:rsidR="004E25F4" w:rsidRPr="004C6D92" w:rsidRDefault="004E25F4" w:rsidP="00516D65">
            <w:pPr>
              <w:pStyle w:val="Standard"/>
            </w:pPr>
            <w:r w:rsidRPr="004C6D92">
              <w:t>Niveau de satisfaction de la demande et/ou des besoins : incertain</w:t>
            </w:r>
          </w:p>
          <w:p w14:paraId="01DE8914" w14:textId="77777777" w:rsidR="004E25F4" w:rsidRPr="004C6D92" w:rsidRDefault="004E25F4" w:rsidP="00516D65">
            <w:pPr>
              <w:pStyle w:val="Standard"/>
            </w:pPr>
            <w:r w:rsidRPr="004C6D92">
              <w:t>L’information fournie pour le sous-critère semble répondre a minima à la demande mais ne présente aucun avantage particulier.</w:t>
            </w:r>
          </w:p>
        </w:tc>
      </w:tr>
      <w:tr w:rsidR="004E25F4" w:rsidRPr="007705C4" w14:paraId="7D9CF47A"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133B18" w14:textId="77777777" w:rsidR="004E25F4" w:rsidRPr="004C6D92" w:rsidRDefault="004E25F4" w:rsidP="00516D65">
            <w:pPr>
              <w:pStyle w:val="Standard"/>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ED917" w14:textId="77777777" w:rsidR="004E25F4" w:rsidRPr="004E25F4" w:rsidRDefault="004E25F4" w:rsidP="00516D65">
            <w:pPr>
              <w:pStyle w:val="Standard"/>
            </w:pPr>
            <w:r w:rsidRPr="004E25F4">
              <w:t>Niveau de satisfaction de la demande et/ou des besoins : manifestement insuffisant</w:t>
            </w:r>
          </w:p>
          <w:p w14:paraId="1D6B2B3D" w14:textId="77777777" w:rsidR="004E25F4" w:rsidRPr="00C64DFC" w:rsidRDefault="004E25F4" w:rsidP="00516D65">
            <w:pPr>
              <w:pStyle w:val="Standard"/>
            </w:pPr>
            <w:r w:rsidRPr="00C64DFC">
              <w:t>- L’information fournie pour le critère est insuffisante, trop lacunaire et/ou se limite à la fourniture de brochures commerciales ou d’engagements génériques sans apporter une réponse claire et suffisamment précise à la demande</w:t>
            </w:r>
          </w:p>
          <w:p w14:paraId="33667B82" w14:textId="77777777" w:rsidR="004E25F4" w:rsidRPr="00C64DFC" w:rsidRDefault="004E25F4" w:rsidP="00516D65">
            <w:pPr>
              <w:pStyle w:val="Standard"/>
            </w:pPr>
            <w:r w:rsidRPr="00C64DFC">
              <w:t>- Ou, l’information fournie traduit un sous-dimensionnement ou une sous-qualité manifeste de la réponse par rapport au besoin</w:t>
            </w:r>
          </w:p>
        </w:tc>
      </w:tr>
      <w:tr w:rsidR="004E25F4" w:rsidRPr="007705C4" w14:paraId="6D732D7F" w14:textId="77777777" w:rsidTr="00516D65">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95BECC0" w14:textId="77777777" w:rsidR="004E25F4" w:rsidRPr="00151F66" w:rsidRDefault="004E25F4" w:rsidP="00516D65">
            <w:pPr>
              <w:pStyle w:val="Standard"/>
              <w:rPr>
                <w:highlight w:val="cyan"/>
              </w:rPr>
            </w:pPr>
            <w:r w:rsidRPr="00D73E19">
              <w:t>0</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6421E" w14:textId="77777777" w:rsidR="004E25F4" w:rsidRPr="004E25F4" w:rsidRDefault="004E25F4" w:rsidP="00516D65">
            <w:pPr>
              <w:suppressAutoHyphens w:val="0"/>
              <w:spacing w:before="0" w:after="0"/>
              <w:rPr>
                <w:rFonts w:ascii="Times New Roman" w:hAnsi="Times New Roman"/>
                <w:lang w:eastAsia="fr-FR"/>
              </w:rPr>
            </w:pPr>
            <w:r w:rsidRPr="004E25F4">
              <w:rPr>
                <w:rStyle w:val="fontstyle01"/>
              </w:rPr>
              <w:t>Absence d’information ou informations sans rapport avec la demande</w:t>
            </w:r>
          </w:p>
        </w:tc>
      </w:tr>
    </w:tbl>
    <w:p w14:paraId="23F91D66" w14:textId="488E1F7B" w:rsidR="00E117A7" w:rsidRDefault="00E117A7" w:rsidP="00E117A7">
      <w:pPr>
        <w:rPr>
          <w:i/>
        </w:rPr>
      </w:pPr>
      <w:r w:rsidRPr="00D2023B">
        <w:rPr>
          <w:i/>
        </w:rPr>
        <w:t>En cas d’égalité des notes totales du classement final, celui-ci se fera en tenant compte de la meilleure note obtenue au 1er critère</w:t>
      </w:r>
      <w:r w:rsidR="003206DC">
        <w:rPr>
          <w:i/>
        </w:rPr>
        <w:t xml:space="preserve"> technique dont la valeur est la plus importante</w:t>
      </w:r>
      <w:r w:rsidRPr="00D2023B">
        <w:rPr>
          <w:i/>
        </w:rPr>
        <w:t>. En cas de</w:t>
      </w:r>
      <w:r w:rsidR="003206DC">
        <w:rPr>
          <w:i/>
        </w:rPr>
        <w:t xml:space="preserve"> note identique, le classement </w:t>
      </w:r>
      <w:r w:rsidRPr="00D2023B">
        <w:rPr>
          <w:i/>
        </w:rPr>
        <w:t>se fera en tenant compte de la meilleure note obtenue au 2</w:t>
      </w:r>
      <w:r w:rsidRPr="00D2023B">
        <w:rPr>
          <w:i/>
          <w:vertAlign w:val="superscript"/>
        </w:rPr>
        <w:t>ème</w:t>
      </w:r>
      <w:r w:rsidRPr="00D2023B">
        <w:rPr>
          <w:i/>
        </w:rPr>
        <w:t xml:space="preserve"> critère </w:t>
      </w:r>
      <w:r w:rsidR="004E25F4">
        <w:rPr>
          <w:i/>
        </w:rPr>
        <w:t xml:space="preserve">dont la valeur est la plus importante </w:t>
      </w:r>
      <w:r w:rsidRPr="00D2023B">
        <w:rPr>
          <w:i/>
        </w:rPr>
        <w:t>et ainsi de suite jusqu’au dernier 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16D65" w14:paraId="32BCE873" w14:textId="77777777" w:rsidTr="00516D65">
        <w:tc>
          <w:tcPr>
            <w:tcW w:w="9778" w:type="dxa"/>
            <w:shd w:val="clear" w:color="auto" w:fill="auto"/>
          </w:tcPr>
          <w:p w14:paraId="744C6B4A" w14:textId="0250F75E" w:rsidR="00516D65" w:rsidRPr="00447C9E" w:rsidRDefault="00516D65" w:rsidP="00516D65">
            <w:pPr>
              <w:rPr>
                <w:rStyle w:val="fontstyle01"/>
                <w:b/>
                <w:i/>
                <w:color w:val="auto"/>
              </w:rPr>
            </w:pPr>
            <w:bookmarkStart w:id="92" w:name="_Hlk161395389"/>
            <w:r w:rsidRPr="00447C9E">
              <w:rPr>
                <w:rStyle w:val="fontstyle01"/>
                <w:b/>
                <w:color w:val="auto"/>
              </w:rPr>
              <w:t xml:space="preserve">En cas de note inférieure ou égale à </w:t>
            </w:r>
            <w:r w:rsidRPr="00516D65">
              <w:rPr>
                <w:rStyle w:val="fontstyle01"/>
                <w:b/>
                <w:color w:val="auto"/>
              </w:rPr>
              <w:t>35 points sur 70 (note</w:t>
            </w:r>
            <w:r w:rsidRPr="00447C9E">
              <w:rPr>
                <w:rStyle w:val="fontstyle01"/>
                <w:b/>
                <w:color w:val="auto"/>
              </w:rPr>
              <w:t xml:space="preserve"> éliminatoire) sur le critère de la valeur technique et avant </w:t>
            </w:r>
            <w:r w:rsidRPr="00ED5C61">
              <w:rPr>
                <w:rStyle w:val="fontstyle01"/>
                <w:b/>
                <w:color w:val="auto"/>
              </w:rPr>
              <w:t>application de la formule d’ajustement de la note définitive (note proportionnelle) et d’une éventuelle négociation (si autorisée), l’offre du candidat sera éliminée et ne sera pas classée</w:t>
            </w:r>
          </w:p>
        </w:tc>
      </w:tr>
    </w:tbl>
    <w:p w14:paraId="26E9A5D4" w14:textId="77777777" w:rsidR="006072DB" w:rsidRPr="00467810" w:rsidRDefault="006072DB" w:rsidP="00CC005F">
      <w:pPr>
        <w:pStyle w:val="Titre1"/>
      </w:pPr>
      <w:bookmarkStart w:id="93" w:name="_Toc330298480"/>
      <w:bookmarkStart w:id="94" w:name="_Toc336358691"/>
      <w:bookmarkStart w:id="95" w:name="_Toc335387146"/>
      <w:bookmarkStart w:id="96" w:name="_Toc208480498"/>
      <w:bookmarkEnd w:id="92"/>
      <w:bookmarkEnd w:id="90"/>
      <w:r>
        <w:t>N</w:t>
      </w:r>
      <w:r w:rsidRPr="00467810">
        <w:t>égociation</w:t>
      </w:r>
      <w:bookmarkEnd w:id="93"/>
      <w:bookmarkEnd w:id="94"/>
      <w:bookmarkEnd w:id="96"/>
    </w:p>
    <w:p w14:paraId="6C8B6C56" w14:textId="2B9F289C" w:rsidR="006A720A" w:rsidRPr="00BA28A8" w:rsidRDefault="006A720A" w:rsidP="006A720A">
      <w:pPr>
        <w:rPr>
          <w:b/>
          <w:color w:val="FF0000"/>
        </w:rPr>
      </w:pPr>
      <w:r w:rsidRPr="00BA28A8">
        <w:rPr>
          <w:b/>
          <w:color w:val="FF0000"/>
        </w:rPr>
        <w:t xml:space="preserve">Le </w:t>
      </w:r>
      <w:r w:rsidR="00E77E6C" w:rsidRPr="00BA28A8">
        <w:rPr>
          <w:b/>
          <w:color w:val="FF0000"/>
        </w:rPr>
        <w:t>Mucem</w:t>
      </w:r>
      <w:r w:rsidRPr="00BA28A8">
        <w:rPr>
          <w:b/>
          <w:color w:val="FF0000"/>
        </w:rPr>
        <w:t xml:space="preserve"> se réserve le droit de négocier avec</w:t>
      </w:r>
      <w:r w:rsidR="00C253ED" w:rsidRPr="00BA28A8">
        <w:rPr>
          <w:b/>
          <w:color w:val="FF0000"/>
        </w:rPr>
        <w:t>, au maximum,</w:t>
      </w:r>
      <w:r w:rsidRPr="00BA28A8">
        <w:rPr>
          <w:b/>
          <w:color w:val="FF0000"/>
        </w:rPr>
        <w:t xml:space="preserve"> les trois premiers candidats du classement</w:t>
      </w:r>
      <w:r w:rsidR="00040359" w:rsidRPr="00BA28A8">
        <w:rPr>
          <w:b/>
          <w:color w:val="FF0000"/>
        </w:rPr>
        <w:t>,</w:t>
      </w:r>
      <w:r w:rsidRPr="00BA28A8">
        <w:rPr>
          <w:b/>
          <w:color w:val="FF0000"/>
        </w:rPr>
        <w:t xml:space="preserve"> </w:t>
      </w:r>
      <w:r w:rsidR="003560A3" w:rsidRPr="00BA28A8">
        <w:rPr>
          <w:b/>
          <w:color w:val="FF0000"/>
        </w:rPr>
        <w:t xml:space="preserve">après application des règles figurant à </w:t>
      </w:r>
      <w:r w:rsidR="003560A3" w:rsidRPr="00BA28A8">
        <w:rPr>
          <w:b/>
          <w:i/>
          <w:color w:val="595959"/>
        </w:rPr>
        <w:t xml:space="preserve">l’article </w:t>
      </w:r>
      <w:r w:rsidR="00040359" w:rsidRPr="00BA28A8">
        <w:rPr>
          <w:b/>
          <w:i/>
          <w:color w:val="595959"/>
        </w:rPr>
        <w:fldChar w:fldCharType="begin"/>
      </w:r>
      <w:r w:rsidR="00040359" w:rsidRPr="00BA28A8">
        <w:rPr>
          <w:b/>
          <w:i/>
          <w:color w:val="595959"/>
        </w:rPr>
        <w:instrText xml:space="preserve"> REF _Ref404590117 \r \h  \* MERGEFORMAT </w:instrText>
      </w:r>
      <w:r w:rsidR="00040359" w:rsidRPr="00BA28A8">
        <w:rPr>
          <w:b/>
          <w:i/>
          <w:color w:val="595959"/>
        </w:rPr>
      </w:r>
      <w:r w:rsidR="00040359" w:rsidRPr="00BA28A8">
        <w:rPr>
          <w:b/>
          <w:i/>
          <w:color w:val="595959"/>
        </w:rPr>
        <w:fldChar w:fldCharType="separate"/>
      </w:r>
      <w:r w:rsidR="00A6535E">
        <w:rPr>
          <w:b/>
          <w:i/>
          <w:color w:val="595959"/>
        </w:rPr>
        <w:t>5.4</w:t>
      </w:r>
      <w:r w:rsidR="00040359" w:rsidRPr="00BA28A8">
        <w:rPr>
          <w:b/>
          <w:i/>
          <w:color w:val="595959"/>
        </w:rPr>
        <w:fldChar w:fldCharType="end"/>
      </w:r>
      <w:r w:rsidR="00040359" w:rsidRPr="00BA28A8">
        <w:rPr>
          <w:b/>
          <w:i/>
          <w:color w:val="595959"/>
        </w:rPr>
        <w:t xml:space="preserve"> </w:t>
      </w:r>
      <w:r w:rsidR="003560A3" w:rsidRPr="00BA28A8">
        <w:rPr>
          <w:b/>
          <w:i/>
          <w:color w:val="595959"/>
        </w:rPr>
        <w:t>du présent RC</w:t>
      </w:r>
      <w:r w:rsidRPr="00BA28A8">
        <w:rPr>
          <w:b/>
          <w:color w:val="FF0000"/>
        </w:rPr>
        <w:t>.</w:t>
      </w:r>
    </w:p>
    <w:p w14:paraId="3BC81388" w14:textId="77777777" w:rsidR="006A720A" w:rsidRPr="009754D1" w:rsidRDefault="006A720A" w:rsidP="006A720A">
      <w:r w:rsidRPr="00BA28A8">
        <w:t>Si une offre apparaît c</w:t>
      </w:r>
      <w:r w:rsidR="0037575C" w:rsidRPr="00BA28A8">
        <w:t>omme économiquement avantageuse</w:t>
      </w:r>
      <w:r w:rsidRPr="00BA28A8">
        <w:t xml:space="preserve"> et ne nécessite pas de discussion financière ou technique particulière, le </w:t>
      </w:r>
      <w:r w:rsidR="00E77E6C" w:rsidRPr="00BA28A8">
        <w:t>Mucem</w:t>
      </w:r>
      <w:r w:rsidRPr="00BA28A8">
        <w:t xml:space="preserve"> peut décider qu’il est inutile d’engager des négociations.</w:t>
      </w:r>
    </w:p>
    <w:p w14:paraId="05A21EA7" w14:textId="77777777" w:rsidR="006072DB" w:rsidRDefault="006072DB" w:rsidP="00166611"/>
    <w:p w14:paraId="377EA2C4" w14:textId="3C5121AB" w:rsidR="006072DB" w:rsidRPr="00C253ED" w:rsidRDefault="006072DB" w:rsidP="00166611">
      <w:r w:rsidRPr="00C253ED">
        <w:t xml:space="preserve">Les candidats seront informés de leur sélection en vue des négociations par email ou via la plate-forme de publication mentionnée à </w:t>
      </w:r>
      <w:r w:rsidRPr="00C253ED">
        <w:rPr>
          <w:b/>
          <w:i/>
          <w:color w:val="595959"/>
        </w:rPr>
        <w:t xml:space="preserve">l’article </w:t>
      </w:r>
      <w:r w:rsidR="00CE24E0">
        <w:rPr>
          <w:b/>
          <w:i/>
          <w:color w:val="595959"/>
        </w:rPr>
        <w:t>4.4</w:t>
      </w:r>
      <w:r w:rsidRPr="00C253ED">
        <w:rPr>
          <w:b/>
          <w:i/>
          <w:color w:val="595959"/>
        </w:rPr>
        <w:t xml:space="preserve"> du RC</w:t>
      </w:r>
      <w:r w:rsidRPr="00C253ED">
        <w:t xml:space="preserve">. A cette fin, </w:t>
      </w:r>
      <w:r w:rsidRPr="00C253ED">
        <w:rPr>
          <w:b/>
        </w:rPr>
        <w:t xml:space="preserve">les candidats mentionneront une adresse email valide pour permettre au </w:t>
      </w:r>
      <w:r w:rsidR="00E77E6C" w:rsidRPr="00C253ED">
        <w:rPr>
          <w:b/>
        </w:rPr>
        <w:t>Mucem</w:t>
      </w:r>
      <w:r w:rsidRPr="00C253ED">
        <w:rPr>
          <w:b/>
        </w:rPr>
        <w:t xml:space="preserve"> de les contacter</w:t>
      </w:r>
      <w:r w:rsidRPr="00C253ED">
        <w:t xml:space="preserve"> (cette adresse peut-être celle renseignée lors du téléchargement du DCE sur la plate-forme de publication de la consultation ou une adresse mentionnée en page de garde du mémoire de réponse).</w:t>
      </w:r>
    </w:p>
    <w:p w14:paraId="10371897" w14:textId="77777777" w:rsidR="006A720A" w:rsidRPr="00C253ED" w:rsidRDefault="006A720A" w:rsidP="006A720A">
      <w:bookmarkStart w:id="97" w:name="_Toc330298481"/>
      <w:r w:rsidRPr="00C253ED">
        <w:lastRenderedPageBreak/>
        <w:t>Les négociations se dérouleront dans les conditions ci-dessous soit par écrit uniquement, soit oralement et par écrit.</w:t>
      </w:r>
    </w:p>
    <w:p w14:paraId="2CB71519" w14:textId="77777777" w:rsidR="006072DB" w:rsidRPr="00C253ED" w:rsidRDefault="006072DB" w:rsidP="0030087C">
      <w:pPr>
        <w:pStyle w:val="Titre2"/>
      </w:pPr>
      <w:bookmarkStart w:id="98" w:name="_Hlk205306681"/>
      <w:bookmarkStart w:id="99" w:name="_Toc208480499"/>
      <w:r w:rsidRPr="00C253ED">
        <w:t>Négociation écrite</w:t>
      </w:r>
      <w:bookmarkEnd w:id="97"/>
      <w:bookmarkEnd w:id="99"/>
    </w:p>
    <w:p w14:paraId="06B13B6C" w14:textId="77777777" w:rsidR="006072DB" w:rsidRPr="00C253ED" w:rsidRDefault="006072DB" w:rsidP="00166611">
      <w:r w:rsidRPr="00C253ED">
        <w:t xml:space="preserve">Les candidats </w:t>
      </w:r>
      <w:r w:rsidR="00CE29EE" w:rsidRPr="00C253ED">
        <w:t xml:space="preserve">éventuellement sélectionnés </w:t>
      </w:r>
      <w:r w:rsidRPr="00C253ED">
        <w:t xml:space="preserve">recevront une proposition de négociation dans laquelle figureront </w:t>
      </w:r>
      <w:r w:rsidR="00CE29EE" w:rsidRPr="00C253ED">
        <w:t xml:space="preserve">notamment </w:t>
      </w:r>
      <w:r w:rsidRPr="00C253ED">
        <w:t>les éléments suivants :</w:t>
      </w:r>
    </w:p>
    <w:p w14:paraId="584161D2" w14:textId="77777777" w:rsidR="006072DB" w:rsidRPr="00C253ED" w:rsidRDefault="006072DB" w:rsidP="0020181F">
      <w:pPr>
        <w:pStyle w:val="Listepuces"/>
      </w:pPr>
      <w:r w:rsidRPr="00C253ED">
        <w:t>Intitulé de la consultation ;</w:t>
      </w:r>
    </w:p>
    <w:p w14:paraId="5F5288FB" w14:textId="77777777" w:rsidR="006072DB" w:rsidRPr="00C253ED" w:rsidRDefault="006072DB" w:rsidP="0020181F">
      <w:pPr>
        <w:pStyle w:val="Listepuces"/>
      </w:pPr>
      <w:r w:rsidRPr="00C253ED">
        <w:t>Objet de la négociation ;</w:t>
      </w:r>
    </w:p>
    <w:p w14:paraId="7C5E0143" w14:textId="77777777" w:rsidR="006072DB" w:rsidRPr="00C253ED" w:rsidRDefault="006072DB" w:rsidP="0020181F">
      <w:pPr>
        <w:pStyle w:val="Listepuces"/>
      </w:pPr>
      <w:r w:rsidRPr="00C253ED">
        <w:t>Date et heure limites à laquelle le candidat devra proposer sa nouvelle offre, étant précisé qu'en l'absence de nouvelle proposition, le candidat sera réputé maintenir son offre initiale.</w:t>
      </w:r>
    </w:p>
    <w:p w14:paraId="3D635FC0" w14:textId="77777777" w:rsidR="00C253ED" w:rsidRPr="00C253ED" w:rsidRDefault="00C253ED" w:rsidP="00C253ED">
      <w:pPr>
        <w:pStyle w:val="Listepuces"/>
        <w:numPr>
          <w:ilvl w:val="0"/>
          <w:numId w:val="0"/>
        </w:numPr>
        <w:ind w:left="1276" w:hanging="425"/>
      </w:pPr>
    </w:p>
    <w:p w14:paraId="285D1EB2" w14:textId="77777777" w:rsidR="00C253ED" w:rsidRPr="00C253ED" w:rsidRDefault="00C253ED" w:rsidP="0030087C">
      <w:pPr>
        <w:pStyle w:val="Titre2"/>
      </w:pPr>
      <w:bookmarkStart w:id="100" w:name="_Toc330298482"/>
      <w:bookmarkStart w:id="101" w:name="_Toc493682374"/>
      <w:bookmarkStart w:id="102" w:name="_Toc208480500"/>
      <w:r w:rsidRPr="00C253ED">
        <w:t>Négociation orale</w:t>
      </w:r>
      <w:bookmarkEnd w:id="100"/>
      <w:bookmarkEnd w:id="101"/>
      <w:bookmarkEnd w:id="102"/>
    </w:p>
    <w:p w14:paraId="176F5341" w14:textId="77777777" w:rsidR="00C253ED" w:rsidRPr="00C253ED" w:rsidRDefault="00C253ED" w:rsidP="00C253ED">
      <w:r w:rsidRPr="00C253ED">
        <w:t>Lorsque le pouvoir adjudicateur considère qu'une négociation orale avec les candidats ayant remis une offre conforme est nécessaire, il en informe ceux-ci par écrit (courriel), et en précise les caractéristiques (date et lieu de la négociation, objet et durée de celle-ci, etc.).</w:t>
      </w:r>
    </w:p>
    <w:p w14:paraId="4DF99601" w14:textId="77777777" w:rsidR="006072DB" w:rsidRPr="00C253ED" w:rsidRDefault="004D339D" w:rsidP="0030087C">
      <w:pPr>
        <w:pStyle w:val="Titre2"/>
      </w:pPr>
      <w:bookmarkStart w:id="103" w:name="_Toc330298483"/>
      <w:bookmarkStart w:id="104" w:name="_Toc208480501"/>
      <w:bookmarkEnd w:id="98"/>
      <w:r w:rsidRPr="00C253ED">
        <w:t>Issue des négociations - m</w:t>
      </w:r>
      <w:r w:rsidR="006072DB" w:rsidRPr="00C253ED">
        <w:t xml:space="preserve">ise au point du </w:t>
      </w:r>
      <w:r w:rsidR="002A3D6C" w:rsidRPr="00C253ED">
        <w:t>contrat</w:t>
      </w:r>
      <w:bookmarkEnd w:id="103"/>
      <w:r w:rsidR="00DF52E8" w:rsidRPr="00C253ED">
        <w:t xml:space="preserve"> – documents à fournir avant notification</w:t>
      </w:r>
      <w:bookmarkEnd w:id="104"/>
    </w:p>
    <w:p w14:paraId="7AFC8DC9" w14:textId="77777777" w:rsidR="00437C20" w:rsidRPr="00C253ED" w:rsidRDefault="00437C20" w:rsidP="00437C20">
      <w:r w:rsidRPr="00C253ED">
        <w:t>Lors de négociations, les candidats transmettront leur(s</w:t>
      </w:r>
      <w:r w:rsidR="00DF52E8" w:rsidRPr="00C253ED">
        <w:t>) nouvelle(s) offre(s) par mail ou via la PLACE.</w:t>
      </w:r>
    </w:p>
    <w:p w14:paraId="45D847AA" w14:textId="6D8A5F95" w:rsidR="004E7FC3" w:rsidRDefault="004D339D" w:rsidP="00166611">
      <w:r w:rsidRPr="00C253ED">
        <w:t xml:space="preserve">Au terme de la négociation, les offres sont à nouveau classées sur la base des mêmes critères que ceux énoncés à </w:t>
      </w:r>
      <w:r w:rsidRPr="00C253ED">
        <w:rPr>
          <w:b/>
          <w:i/>
          <w:color w:val="595959"/>
        </w:rPr>
        <w:t xml:space="preserve">l’article </w:t>
      </w:r>
      <w:r w:rsidRPr="00C253ED">
        <w:rPr>
          <w:b/>
          <w:i/>
          <w:color w:val="595959"/>
        </w:rPr>
        <w:fldChar w:fldCharType="begin"/>
      </w:r>
      <w:r w:rsidRPr="00C253ED">
        <w:rPr>
          <w:b/>
          <w:i/>
          <w:color w:val="595959"/>
        </w:rPr>
        <w:instrText xml:space="preserve"> REF _Ref422816786 \r \h  \* MERGEFORMAT </w:instrText>
      </w:r>
      <w:r w:rsidRPr="00C253ED">
        <w:rPr>
          <w:b/>
          <w:i/>
          <w:color w:val="595959"/>
        </w:rPr>
      </w:r>
      <w:r w:rsidRPr="00C253ED">
        <w:rPr>
          <w:b/>
          <w:i/>
          <w:color w:val="595959"/>
        </w:rPr>
        <w:fldChar w:fldCharType="separate"/>
      </w:r>
      <w:r w:rsidR="009624B7">
        <w:rPr>
          <w:b/>
          <w:i/>
          <w:color w:val="595959"/>
        </w:rPr>
        <w:t>5.4</w:t>
      </w:r>
      <w:r w:rsidRPr="00C253ED">
        <w:rPr>
          <w:b/>
          <w:i/>
          <w:color w:val="595959"/>
        </w:rPr>
        <w:fldChar w:fldCharType="end"/>
      </w:r>
      <w:r w:rsidRPr="00C253ED">
        <w:t xml:space="preserve"> ou d’autres critères annoncés dans la lettre de négociation. </w:t>
      </w:r>
      <w:bookmarkEnd w:id="95"/>
    </w:p>
    <w:p w14:paraId="1542111D" w14:textId="77777777" w:rsidR="00DF52E8" w:rsidRDefault="00DF52E8" w:rsidP="00C60F63">
      <w:pPr>
        <w:rPr>
          <w:lang w:eastAsia="fr-FR"/>
        </w:rPr>
      </w:pPr>
      <w:r w:rsidRPr="00AA75C0">
        <w:rPr>
          <w:lang w:eastAsia="fr-FR"/>
        </w:rPr>
        <w:t xml:space="preserve">L'offre la mieux classée sera retenue à titre provisoire en attendant que le </w:t>
      </w:r>
      <w:r w:rsidR="0058774A">
        <w:rPr>
          <w:lang w:eastAsia="fr-FR"/>
        </w:rPr>
        <w:t xml:space="preserve">candidat </w:t>
      </w:r>
      <w:r>
        <w:rPr>
          <w:lang w:eastAsia="fr-FR"/>
        </w:rPr>
        <w:t>produise</w:t>
      </w:r>
      <w:r w:rsidRPr="00AA75C0">
        <w:rPr>
          <w:lang w:eastAsia="fr-FR"/>
        </w:rPr>
        <w:t xml:space="preserve"> les éléments suivants : </w:t>
      </w:r>
    </w:p>
    <w:p w14:paraId="22973C89" w14:textId="77777777" w:rsidR="00DF52E8" w:rsidRDefault="00DF52E8" w:rsidP="00DF52E8">
      <w:pPr>
        <w:pStyle w:val="Listepuces"/>
      </w:pPr>
      <w:r>
        <w:t>CCAP complété et signé en version originale papier</w:t>
      </w:r>
    </w:p>
    <w:p w14:paraId="1EFA13B0" w14:textId="77777777" w:rsidR="00DF52E8" w:rsidRDefault="00DF52E8" w:rsidP="00DF52E8">
      <w:pPr>
        <w:pStyle w:val="Listepuces"/>
      </w:pPr>
      <w:r>
        <w:t>Le DC1 complété et signé en version originale papier</w:t>
      </w:r>
    </w:p>
    <w:p w14:paraId="7AD1F816" w14:textId="77777777" w:rsidR="00DF52E8" w:rsidRPr="00AA75C0" w:rsidRDefault="00DF52E8" w:rsidP="00DF52E8">
      <w:pPr>
        <w:pStyle w:val="Listepuces"/>
      </w:pPr>
      <w:r w:rsidRPr="00AA75C0">
        <w:rPr>
          <w:lang w:eastAsia="fr-FR"/>
        </w:rPr>
        <w:t xml:space="preserve">Les pièces visées </w:t>
      </w:r>
      <w:r w:rsidRPr="00AA75C0">
        <w:t>aux articles R2143-7, R2143-8 et R2143-9 du Code de la Commande Publique</w:t>
      </w:r>
      <w:r w:rsidRPr="00AA75C0">
        <w:rPr>
          <w:lang w:eastAsia="fr-FR"/>
        </w:rPr>
        <w:t xml:space="preserve"> à savoir notamment :</w:t>
      </w:r>
    </w:p>
    <w:p w14:paraId="64276A30" w14:textId="77777777" w:rsidR="00DF52E8" w:rsidRPr="00AA75C0" w:rsidRDefault="00DF52E8" w:rsidP="00DF52E8">
      <w:pPr>
        <w:pStyle w:val="Listepuces2"/>
      </w:pPr>
      <w:r w:rsidRPr="00AA75C0">
        <w:rPr>
          <w:lang w:eastAsia="fr-FR"/>
        </w:rPr>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57219990" w14:textId="77777777" w:rsidR="00DF52E8" w:rsidRPr="00AA75C0" w:rsidRDefault="00DF52E8" w:rsidP="00DF52E8">
      <w:pPr>
        <w:pStyle w:val="Listepuces2"/>
      </w:pPr>
      <w:r w:rsidRPr="00AA75C0">
        <w:rPr>
          <w:lang w:eastAsia="fr-FR"/>
        </w:rPr>
        <w:t>Les pièces prévues aux articles R.1263-12, D.8222-5 ou D.8222-7 et D.8254.2 à D.8254-5 du code du travail</w:t>
      </w:r>
    </w:p>
    <w:p w14:paraId="3F0D1941" w14:textId="77777777" w:rsidR="00DF52E8" w:rsidRPr="00AA75C0" w:rsidRDefault="00DF52E8" w:rsidP="00DF52E8">
      <w:pPr>
        <w:pStyle w:val="Listepuces2"/>
      </w:pPr>
      <w:r w:rsidRPr="00AA75C0">
        <w:rPr>
          <w:lang w:eastAsia="fr-FR"/>
        </w:rPr>
        <w:t>Un certificat attestant de la régularité de la situation de l’employeur au regard de l’obligation d’emploi des travailleurs handicapés, délivré par l’association de gestion du fonds de développement pour l’insertion professionnelle des handicapés</w:t>
      </w:r>
    </w:p>
    <w:p w14:paraId="748EBAB0" w14:textId="77777777" w:rsidR="00DF52E8" w:rsidRPr="00AA75C0" w:rsidRDefault="00DF52E8" w:rsidP="00DF52E8">
      <w:pPr>
        <w:pStyle w:val="Listepuces2"/>
      </w:pPr>
      <w:r w:rsidRPr="00AA75C0">
        <w:rPr>
          <w:lang w:eastAsia="fr-FR"/>
        </w:rPr>
        <w:t>Le jugement de redressement judiciaire le cas échéant.</w:t>
      </w:r>
    </w:p>
    <w:p w14:paraId="229CD73E" w14:textId="77777777" w:rsidR="00DF52E8" w:rsidRPr="00AA75C0" w:rsidRDefault="00DF52E8" w:rsidP="00AE3CFB">
      <w:pPr>
        <w:ind w:left="851"/>
      </w:pPr>
      <w:r w:rsidRPr="00AA75C0">
        <w:t>Selon les pièces déjà transmises par le candidat auquel il est envisagé d’attribuer le marché et toujours en cours de validité, l’acheteur ne sollicitera le candidat que pour les pièces manquantes.</w:t>
      </w:r>
    </w:p>
    <w:p w14:paraId="75FA2F2D" w14:textId="77777777" w:rsidR="0058774A" w:rsidRDefault="00DF52E8" w:rsidP="00AE3CFB">
      <w:pPr>
        <w:ind w:left="851"/>
      </w:pPr>
      <w:r w:rsidRPr="00AA75C0">
        <w:t xml:space="preserve">Si le candidat a présenté des sous-traitants dans son offre, il devra, dans le même délai, produire ces mêmes pièces </w:t>
      </w:r>
      <w:r w:rsidR="00AE3CFB">
        <w:t>pour</w:t>
      </w:r>
      <w:r w:rsidRPr="00AA75C0">
        <w:t xml:space="preserve"> chacun des sous-traitants.</w:t>
      </w:r>
    </w:p>
    <w:p w14:paraId="19F0C065" w14:textId="77777777" w:rsidR="00DF52E8" w:rsidRPr="00AA75C0" w:rsidRDefault="00DF52E8" w:rsidP="0058774A">
      <w:pPr>
        <w:pStyle w:val="Listepuces"/>
      </w:pPr>
      <w:r w:rsidRPr="00AA75C0">
        <w:rPr>
          <w:lang w:eastAsia="fr-FR"/>
        </w:rPr>
        <w:t>L’attestation d’assurance responsabilité civile et/ou décennale</w:t>
      </w:r>
    </w:p>
    <w:p w14:paraId="44119DA9" w14:textId="77777777" w:rsidR="00DF52E8" w:rsidRPr="00AA75C0" w:rsidRDefault="00DF52E8" w:rsidP="0058774A">
      <w:r w:rsidRPr="00AA75C0">
        <w:rPr>
          <w:lang w:eastAsia="fr-FR"/>
        </w:rPr>
        <w:t xml:space="preserve">L’attributaire déposera ses attestations sur la plateforme en ligne sécurisée mise à disposition gratuitement à l’adresse suivante : </w:t>
      </w:r>
      <w:hyperlink r:id="rId14" w:history="1">
        <w:r w:rsidRPr="00AA75C0">
          <w:rPr>
            <w:rStyle w:val="Lienhypertexte"/>
            <w:rFonts w:ascii="Franklin Gothic Book" w:hAnsi="Franklin Gothic Book"/>
          </w:rPr>
          <w:t>https://declarants.e-attestations.com</w:t>
        </w:r>
      </w:hyperlink>
    </w:p>
    <w:p w14:paraId="72DA345C" w14:textId="77777777" w:rsidR="0058774A" w:rsidRDefault="00DF52E8" w:rsidP="0058774A">
      <w:pPr>
        <w:rPr>
          <w:lang w:eastAsia="fr-FR"/>
        </w:rPr>
      </w:pPr>
      <w:r w:rsidRPr="00AA75C0">
        <w:rPr>
          <w:lang w:eastAsia="fr-FR"/>
        </w:rPr>
        <w:t>Il pourra toutefois, les adresser au pouvoir adjudicateur, mais il devra privilégier le dépôt sur la plateforme e-Attestations.</w:t>
      </w:r>
    </w:p>
    <w:p w14:paraId="381790B4" w14:textId="77777777" w:rsidR="00DF52E8" w:rsidRPr="00AA75C0" w:rsidRDefault="00DF52E8" w:rsidP="0058774A">
      <w:r w:rsidRPr="00AA75C0">
        <w:rPr>
          <w:lang w:eastAsia="fr-FR"/>
        </w:rPr>
        <w:t>Les documents visés ci-dessus établis par des organismes étrangers sont rédigés en langue française ou accompagnés d’une traduction en français.</w:t>
      </w:r>
    </w:p>
    <w:p w14:paraId="7B1716CA" w14:textId="77777777" w:rsidR="00DF52E8" w:rsidRDefault="00DF52E8" w:rsidP="0058774A">
      <w:pPr>
        <w:rPr>
          <w:lang w:eastAsia="fr-FR"/>
        </w:rPr>
      </w:pPr>
      <w:r w:rsidRPr="00AA75C0">
        <w:rPr>
          <w:lang w:eastAsia="fr-FR"/>
        </w:rPr>
        <w:t>Si l’attribution a lieu l’année suivant celle pendant laquelle le candidat attributaire a remis l’attestation d’assurance responsabilité civile professionnelle, celle-ci sera</w:t>
      </w:r>
      <w:r w:rsidR="0058774A">
        <w:rPr>
          <w:lang w:eastAsia="fr-FR"/>
        </w:rPr>
        <w:t xml:space="preserve"> à remettre dans le même délai.</w:t>
      </w:r>
    </w:p>
    <w:p w14:paraId="3FD23593" w14:textId="77777777" w:rsidR="00DD36C0" w:rsidRPr="00B96C99" w:rsidRDefault="00DD36C0" w:rsidP="00B96C99"/>
    <w:p w14:paraId="7E5E1B58" w14:textId="77777777" w:rsidR="004E7FC3" w:rsidRDefault="004E7FC3" w:rsidP="004E7FC3">
      <w:pPr>
        <w:pStyle w:val="TITRE"/>
      </w:pPr>
      <w:r>
        <w:lastRenderedPageBreak/>
        <w:t>DUME</w:t>
      </w:r>
    </w:p>
    <w:p w14:paraId="7B4C0217" w14:textId="77777777" w:rsidR="004E7FC3" w:rsidRDefault="004E7FC3" w:rsidP="004E7FC3"/>
    <w:p w14:paraId="2DF927C4" w14:textId="77777777" w:rsidR="0079167C" w:rsidRDefault="0079167C" w:rsidP="0079167C">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w:t>
      </w:r>
      <w:r w:rsidR="00DB174C" w:rsidRPr="00FF54E6">
        <w:rPr>
          <w:b/>
          <w:i/>
          <w:color w:val="595959"/>
        </w:rPr>
        <w:t xml:space="preserve"> de la commande publique</w:t>
      </w:r>
      <w:r>
        <w:t>, ce dispositif permet aux candidats de ne plus fournir les documents que l’acheteur peut obtenir lorsqu’un système électronique de mise à disposition des informations administré par un organisme officiel existe.</w:t>
      </w:r>
    </w:p>
    <w:p w14:paraId="4A7743F9" w14:textId="77777777" w:rsidR="004E7FC3" w:rsidRDefault="004E7FC3" w:rsidP="004E7FC3"/>
    <w:p w14:paraId="5C778305" w14:textId="77777777" w:rsidR="004E7FC3" w:rsidRDefault="004E7FC3" w:rsidP="004E7FC3">
      <w:r>
        <w:t>C’est dans ce cadre qu’a été pris</w:t>
      </w:r>
      <w:hyperlink r:id="rId15"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6FEA2F4E" w14:textId="77777777" w:rsidR="004E7FC3" w:rsidRDefault="004E7FC3" w:rsidP="004E7FC3"/>
    <w:p w14:paraId="0625B109" w14:textId="77777777" w:rsidR="004E7FC3" w:rsidRDefault="004E7FC3" w:rsidP="004E7FC3">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sectPr w:rsidR="004E7FC3" w:rsidSect="00252A40">
      <w:headerReference w:type="default" r:id="rId16"/>
      <w:footerReference w:type="default" r:id="rId17"/>
      <w:headerReference w:type="first" r:id="rId18"/>
      <w:footerReference w:type="first" r:id="rId19"/>
      <w:pgSz w:w="11906" w:h="16838" w:code="9"/>
      <w:pgMar w:top="993" w:right="1134" w:bottom="993" w:left="1134" w:header="425" w:footer="431"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69170" w14:textId="77777777" w:rsidR="00CB6C55" w:rsidRDefault="00CB6C55" w:rsidP="008A4BD2">
      <w:pPr>
        <w:spacing w:before="0" w:after="0"/>
      </w:pPr>
      <w:r>
        <w:separator/>
      </w:r>
    </w:p>
  </w:endnote>
  <w:endnote w:type="continuationSeparator" w:id="0">
    <w:p w14:paraId="7F9E5B12" w14:textId="77777777" w:rsidR="00CB6C55" w:rsidRDefault="00CB6C55" w:rsidP="008A4B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ndale Sans UI">
    <w:altName w:val="Calibri"/>
    <w:panose1 w:val="00000000000000000000"/>
    <w:charset w:val="00"/>
    <w:family w:val="roman"/>
    <w:notTrueType/>
    <w:pitch w:val="default"/>
  </w:font>
  <w:font w:name="ArialMT">
    <w:altName w:val="Arial"/>
    <w:panose1 w:val="00000000000000000000"/>
    <w:charset w:val="00"/>
    <w:family w:val="auto"/>
    <w:notTrueType/>
    <w:pitch w:val="default"/>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Franklin Gothic Book">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27694" w14:textId="77777777" w:rsidR="00CB6C55" w:rsidRPr="00CD3F97" w:rsidRDefault="00CB6C55">
    <w:pPr>
      <w:pStyle w:val="Pieddepage"/>
      <w:rPr>
        <w:rFonts w:ascii="Arial" w:hAnsi="Arial" w:cs="Arial"/>
      </w:rPr>
    </w:pPr>
    <w:r w:rsidRPr="00CC005F">
      <w:rPr>
        <w:rFonts w:ascii="Arial" w:hAnsi="Arial" w:cs="Arial"/>
        <w:lang w:val="fr-FR"/>
      </w:rPr>
      <w:t xml:space="preserve">Consultation </w:t>
    </w:r>
    <w:proofErr w:type="spellStart"/>
    <w:r w:rsidRPr="00CC005F">
      <w:rPr>
        <w:rFonts w:ascii="Arial" w:hAnsi="Arial" w:cs="Arial"/>
        <w:lang w:val="fr-FR"/>
      </w:rPr>
      <w:t>ref</w:t>
    </w:r>
    <w:proofErr w:type="spellEnd"/>
    <w:r w:rsidRPr="00CC005F">
      <w:rPr>
        <w:rFonts w:ascii="Arial" w:hAnsi="Arial" w:cs="Arial"/>
        <w:lang w:val="fr-FR"/>
      </w:rPr>
      <w:t> :C2025_COM02</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10</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12</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F80E5" w14:textId="77777777" w:rsidR="00CB6C55" w:rsidRDefault="00CB6C55"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4EADB" w14:textId="77777777" w:rsidR="00CB6C55" w:rsidRDefault="00CB6C55" w:rsidP="008A4BD2">
      <w:pPr>
        <w:spacing w:before="0" w:after="0"/>
      </w:pPr>
      <w:r>
        <w:separator/>
      </w:r>
    </w:p>
  </w:footnote>
  <w:footnote w:type="continuationSeparator" w:id="0">
    <w:p w14:paraId="18E0EBA9" w14:textId="77777777" w:rsidR="00CB6C55" w:rsidRDefault="00CB6C55" w:rsidP="008A4B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F7451" w14:textId="3D63E2BD" w:rsidR="00CB6C55" w:rsidRPr="003B3649" w:rsidRDefault="00CB6C55" w:rsidP="000A5589">
    <w:pPr>
      <w:pStyle w:val="En-tte"/>
      <w:jc w:val="left"/>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252A40">
      <w:rPr>
        <w:rFonts w:ascii="Arial" w:hAnsi="Arial" w:cs="Arial"/>
        <w:b/>
        <w:lang w:val="fr-FR"/>
      </w:rPr>
      <w:t>Règlement de consultation</w:t>
    </w:r>
    <w:r w:rsidRPr="003B3649">
      <w:rPr>
        <w:rFonts w:ascii="Arial" w:hAnsi="Arial" w:cs="Arial"/>
        <w:lang w:val="fr-FR"/>
      </w:rPr>
      <w:t xml:space="preserve"> - </w:t>
    </w:r>
    <w:r w:rsidRPr="00252A40">
      <w:rPr>
        <w:rFonts w:ascii="Arial" w:hAnsi="Arial" w:cs="Arial"/>
        <w:lang w:val="fr-FR"/>
      </w:rPr>
      <w:t>Conseils en stratégie médias et mise en œuvre des relations presse pour les expositions, la programmation associée et l’actualité culturelle du 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80F88" w14:textId="77777777" w:rsidR="00CB6C55" w:rsidRDefault="00CB6C55"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645D66"/>
    <w:lvl w:ilvl="0">
      <w:numFmt w:val="bullet"/>
      <w:pStyle w:val="Listepuces2"/>
      <w:lvlText w:val="-"/>
      <w:lvlJc w:val="left"/>
      <w:pPr>
        <w:ind w:left="1440" w:hanging="360"/>
      </w:pPr>
      <w:rPr>
        <w:rFonts w:ascii="Calibri" w:eastAsia="Times New Roman" w:hAnsi="Calibri" w:cs="Courier New"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A04B3C"/>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FB58F49A"/>
    <w:lvl w:ilvl="0">
      <w:start w:val="1"/>
      <w:numFmt w:val="decimal"/>
      <w:pStyle w:val="Titre1"/>
      <w:lvlText w:val="ARTICLE %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none"/>
      <w:pStyle w:val="Titre5"/>
      <w:suff w:val="nothing"/>
      <w:lvlText w:val=""/>
      <w:lvlJc w:val="left"/>
      <w:pPr>
        <w:tabs>
          <w:tab w:val="num" w:pos="1150"/>
        </w:tabs>
        <w:ind w:left="1150" w:hanging="1008"/>
      </w:pPr>
    </w:lvl>
    <w:lvl w:ilvl="5">
      <w:start w:val="1"/>
      <w:numFmt w:val="none"/>
      <w:pStyle w:val="Titre6"/>
      <w:suff w:val="nothing"/>
      <w:lvlText w:val=""/>
      <w:lvlJc w:val="left"/>
      <w:pPr>
        <w:tabs>
          <w:tab w:val="num" w:pos="1294"/>
        </w:tabs>
        <w:ind w:left="1294" w:hanging="1152"/>
      </w:pPr>
    </w:lvl>
    <w:lvl w:ilvl="6">
      <w:start w:val="1"/>
      <w:numFmt w:val="none"/>
      <w:pStyle w:val="Titre7"/>
      <w:suff w:val="nothing"/>
      <w:lvlText w:val=""/>
      <w:lvlJc w:val="left"/>
      <w:pPr>
        <w:tabs>
          <w:tab w:val="num" w:pos="1438"/>
        </w:tabs>
        <w:ind w:left="1438" w:hanging="1296"/>
      </w:pPr>
    </w:lvl>
    <w:lvl w:ilvl="7">
      <w:start w:val="1"/>
      <w:numFmt w:val="none"/>
      <w:pStyle w:val="Titre8"/>
      <w:suff w:val="nothing"/>
      <w:lvlText w:val=""/>
      <w:lvlJc w:val="left"/>
      <w:pPr>
        <w:tabs>
          <w:tab w:val="num" w:pos="1582"/>
        </w:tabs>
        <w:ind w:left="1582" w:hanging="1440"/>
      </w:pPr>
    </w:lvl>
    <w:lvl w:ilvl="8">
      <w:start w:val="1"/>
      <w:numFmt w:val="none"/>
      <w:pStyle w:val="Titre9"/>
      <w:suff w:val="nothing"/>
      <w:lvlText w:val=""/>
      <w:lvlJc w:val="left"/>
      <w:pPr>
        <w:tabs>
          <w:tab w:val="num" w:pos="1726"/>
        </w:tabs>
        <w:ind w:left="1726" w:hanging="1584"/>
      </w:p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1B362D2"/>
    <w:multiLevelType w:val="hybridMultilevel"/>
    <w:tmpl w:val="B6C2DEC8"/>
    <w:lvl w:ilvl="0" w:tplc="8F041840">
      <w:start w:val="1"/>
      <w:numFmt w:val="bullet"/>
      <w:lvlText w:val=""/>
      <w:lvlJc w:val="left"/>
      <w:pPr>
        <w:ind w:left="720" w:hanging="360"/>
      </w:pPr>
      <w:rPr>
        <w:rFonts w:ascii="Symbol" w:hAnsi="Symbol" w:hint="default"/>
        <w:b/>
      </w:rPr>
    </w:lvl>
    <w:lvl w:ilvl="1" w:tplc="DFE297C0">
      <w:numFmt w:val="bullet"/>
      <w:lvlText w:val="-"/>
      <w:lvlJc w:val="left"/>
      <w:pPr>
        <w:ind w:left="1440" w:hanging="360"/>
      </w:pPr>
      <w:rPr>
        <w:rFonts w:ascii="Calibri" w:eastAsia="Times New Roman" w:hAnsi="Calibri" w:cs="Courier New" w:hint="default"/>
      </w:rPr>
    </w:lvl>
    <w:lvl w:ilvl="2" w:tplc="040C0005">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5" w15:restartNumberingAfterBreak="0">
    <w:nsid w:val="1A4322AD"/>
    <w:multiLevelType w:val="hybridMultilevel"/>
    <w:tmpl w:val="8618B000"/>
    <w:lvl w:ilvl="0" w:tplc="8F041840">
      <w:start w:val="1"/>
      <w:numFmt w:val="bullet"/>
      <w:lvlText w:val=""/>
      <w:lvlJc w:val="left"/>
      <w:pPr>
        <w:ind w:left="720" w:hanging="360"/>
      </w:pPr>
      <w:rPr>
        <w:rFonts w:ascii="Symbol" w:hAnsi="Symbol" w:hint="default"/>
        <w:b/>
      </w:rPr>
    </w:lvl>
    <w:lvl w:ilvl="1" w:tplc="DFE297C0">
      <w:numFmt w:val="bullet"/>
      <w:lvlText w:val="-"/>
      <w:lvlJc w:val="left"/>
      <w:pPr>
        <w:ind w:left="1440" w:hanging="360"/>
      </w:pPr>
      <w:rPr>
        <w:rFonts w:ascii="Calibri" w:eastAsia="Times New Roman" w:hAnsi="Calibri"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2"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3" w15:restartNumberingAfterBreak="0">
    <w:nsid w:val="52AC51DF"/>
    <w:multiLevelType w:val="hybridMultilevel"/>
    <w:tmpl w:val="DDC0B04E"/>
    <w:lvl w:ilvl="0" w:tplc="0B448E92">
      <w:start w:val="11"/>
      <w:numFmt w:val="bullet"/>
      <w:lvlText w:val="-"/>
      <w:lvlJc w:val="left"/>
      <w:pPr>
        <w:ind w:left="1636" w:hanging="360"/>
      </w:pPr>
      <w:rPr>
        <w:rFonts w:ascii="Arial" w:eastAsia="Times New Roman" w:hAnsi="Aria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24"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27"/>
  </w:num>
  <w:num w:numId="4">
    <w:abstractNumId w:val="17"/>
  </w:num>
  <w:num w:numId="5">
    <w:abstractNumId w:val="19"/>
  </w:num>
  <w:num w:numId="6">
    <w:abstractNumId w:val="21"/>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4"/>
  </w:num>
  <w:num w:numId="17">
    <w:abstractNumId w:val="12"/>
  </w:num>
  <w:num w:numId="18">
    <w:abstractNumId w:val="25"/>
  </w:num>
  <w:num w:numId="19">
    <w:abstractNumId w:val="4"/>
  </w:num>
  <w:num w:numId="20">
    <w:abstractNumId w:val="22"/>
  </w:num>
  <w:num w:numId="21">
    <w:abstractNumId w:val="22"/>
  </w:num>
  <w:num w:numId="22">
    <w:abstractNumId w:val="2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6"/>
  </w:num>
  <w:num w:numId="26">
    <w:abstractNumId w:val="16"/>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26"/>
  </w:num>
  <w:num w:numId="33">
    <w:abstractNumId w:val="20"/>
  </w:num>
  <w:num w:numId="34">
    <w:abstractNumId w:val="14"/>
  </w:num>
  <w:num w:numId="35">
    <w:abstractNumId w:val="15"/>
  </w:num>
  <w:num w:numId="36">
    <w:abstractNumId w:val="23"/>
  </w:num>
  <w:num w:numId="37">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191"/>
    <w:rsid w:val="00006406"/>
    <w:rsid w:val="00006B5F"/>
    <w:rsid w:val="00010310"/>
    <w:rsid w:val="0001080C"/>
    <w:rsid w:val="00021162"/>
    <w:rsid w:val="000218AB"/>
    <w:rsid w:val="00027273"/>
    <w:rsid w:val="0003127E"/>
    <w:rsid w:val="0003247A"/>
    <w:rsid w:val="0003471B"/>
    <w:rsid w:val="00040090"/>
    <w:rsid w:val="00040359"/>
    <w:rsid w:val="000432EA"/>
    <w:rsid w:val="00043AEE"/>
    <w:rsid w:val="00043C7C"/>
    <w:rsid w:val="000508D6"/>
    <w:rsid w:val="0005168E"/>
    <w:rsid w:val="00051CAC"/>
    <w:rsid w:val="00052DA8"/>
    <w:rsid w:val="00052EFB"/>
    <w:rsid w:val="00054D02"/>
    <w:rsid w:val="00057A18"/>
    <w:rsid w:val="00061DD5"/>
    <w:rsid w:val="000654F9"/>
    <w:rsid w:val="00066ED6"/>
    <w:rsid w:val="00067A66"/>
    <w:rsid w:val="00067F40"/>
    <w:rsid w:val="00073060"/>
    <w:rsid w:val="00075AF8"/>
    <w:rsid w:val="000833E8"/>
    <w:rsid w:val="00084051"/>
    <w:rsid w:val="00084C19"/>
    <w:rsid w:val="00087C32"/>
    <w:rsid w:val="00090F4D"/>
    <w:rsid w:val="000938CD"/>
    <w:rsid w:val="0009487E"/>
    <w:rsid w:val="000A3CE1"/>
    <w:rsid w:val="000A5589"/>
    <w:rsid w:val="000A67EA"/>
    <w:rsid w:val="000A6C16"/>
    <w:rsid w:val="000B144E"/>
    <w:rsid w:val="000B519B"/>
    <w:rsid w:val="000B6EB8"/>
    <w:rsid w:val="000B7BBA"/>
    <w:rsid w:val="000C38BA"/>
    <w:rsid w:val="000C751D"/>
    <w:rsid w:val="000D0F7F"/>
    <w:rsid w:val="000D3F67"/>
    <w:rsid w:val="000D5746"/>
    <w:rsid w:val="000D674C"/>
    <w:rsid w:val="000E1150"/>
    <w:rsid w:val="000E1CA7"/>
    <w:rsid w:val="000F4256"/>
    <w:rsid w:val="000F5EEC"/>
    <w:rsid w:val="000F7964"/>
    <w:rsid w:val="00104F48"/>
    <w:rsid w:val="001059E4"/>
    <w:rsid w:val="00107CE6"/>
    <w:rsid w:val="001107BD"/>
    <w:rsid w:val="0011170F"/>
    <w:rsid w:val="00115651"/>
    <w:rsid w:val="00115AB2"/>
    <w:rsid w:val="00121AF7"/>
    <w:rsid w:val="00123C0A"/>
    <w:rsid w:val="00124A25"/>
    <w:rsid w:val="001258B0"/>
    <w:rsid w:val="00131AF9"/>
    <w:rsid w:val="0014314F"/>
    <w:rsid w:val="00143CBA"/>
    <w:rsid w:val="0014638A"/>
    <w:rsid w:val="00146C9E"/>
    <w:rsid w:val="00152E07"/>
    <w:rsid w:val="001545AC"/>
    <w:rsid w:val="00162460"/>
    <w:rsid w:val="001631B4"/>
    <w:rsid w:val="00163267"/>
    <w:rsid w:val="00165C70"/>
    <w:rsid w:val="00166611"/>
    <w:rsid w:val="00167218"/>
    <w:rsid w:val="00171BBF"/>
    <w:rsid w:val="00177D31"/>
    <w:rsid w:val="001823C1"/>
    <w:rsid w:val="001827EE"/>
    <w:rsid w:val="00183820"/>
    <w:rsid w:val="00186A97"/>
    <w:rsid w:val="001870CD"/>
    <w:rsid w:val="001973E5"/>
    <w:rsid w:val="001A4923"/>
    <w:rsid w:val="001A7BC8"/>
    <w:rsid w:val="001B2286"/>
    <w:rsid w:val="001B581A"/>
    <w:rsid w:val="001C0C2F"/>
    <w:rsid w:val="001C194A"/>
    <w:rsid w:val="001C3AF7"/>
    <w:rsid w:val="001C4C9F"/>
    <w:rsid w:val="001C50DB"/>
    <w:rsid w:val="001C583C"/>
    <w:rsid w:val="001D2D6C"/>
    <w:rsid w:val="001D5AD2"/>
    <w:rsid w:val="001D7829"/>
    <w:rsid w:val="001E00F6"/>
    <w:rsid w:val="001E059A"/>
    <w:rsid w:val="001E1906"/>
    <w:rsid w:val="001E34D2"/>
    <w:rsid w:val="001E5A00"/>
    <w:rsid w:val="001E699B"/>
    <w:rsid w:val="001F1D2C"/>
    <w:rsid w:val="001F3C46"/>
    <w:rsid w:val="001F43BE"/>
    <w:rsid w:val="001F5900"/>
    <w:rsid w:val="001F6D2A"/>
    <w:rsid w:val="00200B9D"/>
    <w:rsid w:val="0020181F"/>
    <w:rsid w:val="00204C94"/>
    <w:rsid w:val="00205F70"/>
    <w:rsid w:val="002075BD"/>
    <w:rsid w:val="00212EC7"/>
    <w:rsid w:val="0021447D"/>
    <w:rsid w:val="00216291"/>
    <w:rsid w:val="00216450"/>
    <w:rsid w:val="00217C1E"/>
    <w:rsid w:val="00221392"/>
    <w:rsid w:val="002303C3"/>
    <w:rsid w:val="00231DC8"/>
    <w:rsid w:val="00236F05"/>
    <w:rsid w:val="00237EB2"/>
    <w:rsid w:val="002451C1"/>
    <w:rsid w:val="002475C6"/>
    <w:rsid w:val="00251E8F"/>
    <w:rsid w:val="00252A40"/>
    <w:rsid w:val="00254E7F"/>
    <w:rsid w:val="002577B3"/>
    <w:rsid w:val="00263463"/>
    <w:rsid w:val="0026406A"/>
    <w:rsid w:val="00265CF9"/>
    <w:rsid w:val="002671A7"/>
    <w:rsid w:val="00273A15"/>
    <w:rsid w:val="00276A69"/>
    <w:rsid w:val="00280460"/>
    <w:rsid w:val="00285051"/>
    <w:rsid w:val="00291A3E"/>
    <w:rsid w:val="00293675"/>
    <w:rsid w:val="00293F00"/>
    <w:rsid w:val="002940BD"/>
    <w:rsid w:val="002944DE"/>
    <w:rsid w:val="002961E9"/>
    <w:rsid w:val="00296943"/>
    <w:rsid w:val="00296E21"/>
    <w:rsid w:val="002A115D"/>
    <w:rsid w:val="002A3A0C"/>
    <w:rsid w:val="002A3D6C"/>
    <w:rsid w:val="002A59FD"/>
    <w:rsid w:val="002A79E8"/>
    <w:rsid w:val="002B329F"/>
    <w:rsid w:val="002C1EE5"/>
    <w:rsid w:val="002D0BBD"/>
    <w:rsid w:val="002D6D4D"/>
    <w:rsid w:val="002D7218"/>
    <w:rsid w:val="002E04A6"/>
    <w:rsid w:val="002E38FB"/>
    <w:rsid w:val="002E3E01"/>
    <w:rsid w:val="002E3ED1"/>
    <w:rsid w:val="002E5B1F"/>
    <w:rsid w:val="002F3797"/>
    <w:rsid w:val="0030087C"/>
    <w:rsid w:val="00300E28"/>
    <w:rsid w:val="0030374C"/>
    <w:rsid w:val="00304DF2"/>
    <w:rsid w:val="00307B6E"/>
    <w:rsid w:val="0031119B"/>
    <w:rsid w:val="003206DC"/>
    <w:rsid w:val="00320ED1"/>
    <w:rsid w:val="00323AE1"/>
    <w:rsid w:val="00324799"/>
    <w:rsid w:val="00325D51"/>
    <w:rsid w:val="00332DFF"/>
    <w:rsid w:val="00333682"/>
    <w:rsid w:val="00335CB6"/>
    <w:rsid w:val="003365B7"/>
    <w:rsid w:val="0034010A"/>
    <w:rsid w:val="003401ED"/>
    <w:rsid w:val="003424CC"/>
    <w:rsid w:val="003466B8"/>
    <w:rsid w:val="0034771C"/>
    <w:rsid w:val="0035153F"/>
    <w:rsid w:val="0035171A"/>
    <w:rsid w:val="003560A3"/>
    <w:rsid w:val="00367E36"/>
    <w:rsid w:val="00374C0B"/>
    <w:rsid w:val="0037575C"/>
    <w:rsid w:val="00375A5D"/>
    <w:rsid w:val="0038001F"/>
    <w:rsid w:val="00380B88"/>
    <w:rsid w:val="0038645C"/>
    <w:rsid w:val="0039167F"/>
    <w:rsid w:val="003924F2"/>
    <w:rsid w:val="00396DE5"/>
    <w:rsid w:val="003A17D3"/>
    <w:rsid w:val="003A2070"/>
    <w:rsid w:val="003A38F7"/>
    <w:rsid w:val="003A66DD"/>
    <w:rsid w:val="003B1541"/>
    <w:rsid w:val="003B286F"/>
    <w:rsid w:val="003B3649"/>
    <w:rsid w:val="003B4271"/>
    <w:rsid w:val="003B5164"/>
    <w:rsid w:val="003C1E79"/>
    <w:rsid w:val="003C358A"/>
    <w:rsid w:val="003C4398"/>
    <w:rsid w:val="003C6F8B"/>
    <w:rsid w:val="003C7EC3"/>
    <w:rsid w:val="003C7F8A"/>
    <w:rsid w:val="003D4A81"/>
    <w:rsid w:val="003E2259"/>
    <w:rsid w:val="003E34F7"/>
    <w:rsid w:val="003E5025"/>
    <w:rsid w:val="003F0FF4"/>
    <w:rsid w:val="003F22E6"/>
    <w:rsid w:val="003F5619"/>
    <w:rsid w:val="003F64B3"/>
    <w:rsid w:val="00402BFA"/>
    <w:rsid w:val="00404142"/>
    <w:rsid w:val="00404D6A"/>
    <w:rsid w:val="004106A7"/>
    <w:rsid w:val="00410F97"/>
    <w:rsid w:val="00425A07"/>
    <w:rsid w:val="00426FAE"/>
    <w:rsid w:val="00427390"/>
    <w:rsid w:val="004348C9"/>
    <w:rsid w:val="00434A49"/>
    <w:rsid w:val="00437150"/>
    <w:rsid w:val="00437725"/>
    <w:rsid w:val="00437890"/>
    <w:rsid w:val="00437C20"/>
    <w:rsid w:val="004405FB"/>
    <w:rsid w:val="00440B39"/>
    <w:rsid w:val="004410B4"/>
    <w:rsid w:val="004431EE"/>
    <w:rsid w:val="00444B84"/>
    <w:rsid w:val="00445ACA"/>
    <w:rsid w:val="00453D1F"/>
    <w:rsid w:val="0045568B"/>
    <w:rsid w:val="00455D9F"/>
    <w:rsid w:val="004578EF"/>
    <w:rsid w:val="00463B05"/>
    <w:rsid w:val="00464E4A"/>
    <w:rsid w:val="00465309"/>
    <w:rsid w:val="004679B9"/>
    <w:rsid w:val="00472738"/>
    <w:rsid w:val="00474AE0"/>
    <w:rsid w:val="0047651B"/>
    <w:rsid w:val="00480E5F"/>
    <w:rsid w:val="004816D7"/>
    <w:rsid w:val="004857EE"/>
    <w:rsid w:val="004917A7"/>
    <w:rsid w:val="004A12C8"/>
    <w:rsid w:val="004A4E37"/>
    <w:rsid w:val="004B3E8C"/>
    <w:rsid w:val="004B576E"/>
    <w:rsid w:val="004B5CDB"/>
    <w:rsid w:val="004B601C"/>
    <w:rsid w:val="004B6AFD"/>
    <w:rsid w:val="004B73CE"/>
    <w:rsid w:val="004C0CE6"/>
    <w:rsid w:val="004C40A3"/>
    <w:rsid w:val="004C595F"/>
    <w:rsid w:val="004D0287"/>
    <w:rsid w:val="004D1AB6"/>
    <w:rsid w:val="004D339D"/>
    <w:rsid w:val="004E12F7"/>
    <w:rsid w:val="004E25F4"/>
    <w:rsid w:val="004E7FC3"/>
    <w:rsid w:val="004F2A40"/>
    <w:rsid w:val="004F3836"/>
    <w:rsid w:val="004F65C7"/>
    <w:rsid w:val="004F74B5"/>
    <w:rsid w:val="004F7E60"/>
    <w:rsid w:val="0050136A"/>
    <w:rsid w:val="00501DB9"/>
    <w:rsid w:val="00505596"/>
    <w:rsid w:val="0051147B"/>
    <w:rsid w:val="005124A0"/>
    <w:rsid w:val="00516D65"/>
    <w:rsid w:val="00523767"/>
    <w:rsid w:val="00524001"/>
    <w:rsid w:val="00524D75"/>
    <w:rsid w:val="00525A39"/>
    <w:rsid w:val="00531124"/>
    <w:rsid w:val="00531247"/>
    <w:rsid w:val="00532815"/>
    <w:rsid w:val="00536889"/>
    <w:rsid w:val="0053779A"/>
    <w:rsid w:val="005428B0"/>
    <w:rsid w:val="00547AB7"/>
    <w:rsid w:val="005540BF"/>
    <w:rsid w:val="00556F35"/>
    <w:rsid w:val="005626FC"/>
    <w:rsid w:val="00565C17"/>
    <w:rsid w:val="00571B8A"/>
    <w:rsid w:val="00571BDD"/>
    <w:rsid w:val="00576513"/>
    <w:rsid w:val="00577ED9"/>
    <w:rsid w:val="005817F7"/>
    <w:rsid w:val="0058354B"/>
    <w:rsid w:val="00585694"/>
    <w:rsid w:val="00587227"/>
    <w:rsid w:val="0058774A"/>
    <w:rsid w:val="005943B9"/>
    <w:rsid w:val="0059520D"/>
    <w:rsid w:val="005A3EA8"/>
    <w:rsid w:val="005A7E69"/>
    <w:rsid w:val="005B586D"/>
    <w:rsid w:val="005B6A62"/>
    <w:rsid w:val="005C2A46"/>
    <w:rsid w:val="005C2DD2"/>
    <w:rsid w:val="005D0242"/>
    <w:rsid w:val="005D0563"/>
    <w:rsid w:val="005D1106"/>
    <w:rsid w:val="005D2715"/>
    <w:rsid w:val="005E07DF"/>
    <w:rsid w:val="005E5C9D"/>
    <w:rsid w:val="005E6DCA"/>
    <w:rsid w:val="005F0017"/>
    <w:rsid w:val="005F00D8"/>
    <w:rsid w:val="005F0668"/>
    <w:rsid w:val="005F19C1"/>
    <w:rsid w:val="005F3EE2"/>
    <w:rsid w:val="005F551A"/>
    <w:rsid w:val="005F5CDF"/>
    <w:rsid w:val="005F6D3C"/>
    <w:rsid w:val="005F7780"/>
    <w:rsid w:val="006029AE"/>
    <w:rsid w:val="00602EB8"/>
    <w:rsid w:val="00605512"/>
    <w:rsid w:val="006072DB"/>
    <w:rsid w:val="006100ED"/>
    <w:rsid w:val="00612BE6"/>
    <w:rsid w:val="00615E21"/>
    <w:rsid w:val="00620DE1"/>
    <w:rsid w:val="00625025"/>
    <w:rsid w:val="0062568E"/>
    <w:rsid w:val="006260B9"/>
    <w:rsid w:val="00627825"/>
    <w:rsid w:val="00631044"/>
    <w:rsid w:val="00631DE9"/>
    <w:rsid w:val="006326B9"/>
    <w:rsid w:val="00633653"/>
    <w:rsid w:val="00636638"/>
    <w:rsid w:val="00636642"/>
    <w:rsid w:val="00641DC0"/>
    <w:rsid w:val="00642C1F"/>
    <w:rsid w:val="006518EA"/>
    <w:rsid w:val="00652C4A"/>
    <w:rsid w:val="0065405A"/>
    <w:rsid w:val="0065687C"/>
    <w:rsid w:val="006621FF"/>
    <w:rsid w:val="00663877"/>
    <w:rsid w:val="00663A85"/>
    <w:rsid w:val="00664305"/>
    <w:rsid w:val="00666CD8"/>
    <w:rsid w:val="006708B4"/>
    <w:rsid w:val="00672983"/>
    <w:rsid w:val="00675863"/>
    <w:rsid w:val="00677B6C"/>
    <w:rsid w:val="006811F9"/>
    <w:rsid w:val="00682FBC"/>
    <w:rsid w:val="00685126"/>
    <w:rsid w:val="006854C4"/>
    <w:rsid w:val="00686563"/>
    <w:rsid w:val="0068784D"/>
    <w:rsid w:val="006878C6"/>
    <w:rsid w:val="00687A38"/>
    <w:rsid w:val="006A1CF5"/>
    <w:rsid w:val="006A3B39"/>
    <w:rsid w:val="006A4491"/>
    <w:rsid w:val="006A720A"/>
    <w:rsid w:val="006B3DA9"/>
    <w:rsid w:val="006B6B28"/>
    <w:rsid w:val="006C49FE"/>
    <w:rsid w:val="006C6C86"/>
    <w:rsid w:val="006D00E4"/>
    <w:rsid w:val="006D0874"/>
    <w:rsid w:val="006D62F4"/>
    <w:rsid w:val="006D736F"/>
    <w:rsid w:val="006E62FC"/>
    <w:rsid w:val="006F2181"/>
    <w:rsid w:val="006F21E8"/>
    <w:rsid w:val="006F5E72"/>
    <w:rsid w:val="0070004C"/>
    <w:rsid w:val="007013C8"/>
    <w:rsid w:val="007019A6"/>
    <w:rsid w:val="00703C1E"/>
    <w:rsid w:val="007061AA"/>
    <w:rsid w:val="00707A92"/>
    <w:rsid w:val="00712F7E"/>
    <w:rsid w:val="0071475B"/>
    <w:rsid w:val="00715B5C"/>
    <w:rsid w:val="0071632A"/>
    <w:rsid w:val="0071694D"/>
    <w:rsid w:val="00720F0A"/>
    <w:rsid w:val="00721975"/>
    <w:rsid w:val="00724B1B"/>
    <w:rsid w:val="007269FA"/>
    <w:rsid w:val="0073160F"/>
    <w:rsid w:val="007318E4"/>
    <w:rsid w:val="00733E3E"/>
    <w:rsid w:val="00735EA8"/>
    <w:rsid w:val="00740D35"/>
    <w:rsid w:val="00743BA9"/>
    <w:rsid w:val="0074441C"/>
    <w:rsid w:val="007451F5"/>
    <w:rsid w:val="00747869"/>
    <w:rsid w:val="00750450"/>
    <w:rsid w:val="00754101"/>
    <w:rsid w:val="00754DBF"/>
    <w:rsid w:val="00774792"/>
    <w:rsid w:val="00775543"/>
    <w:rsid w:val="00781884"/>
    <w:rsid w:val="0078541D"/>
    <w:rsid w:val="00790767"/>
    <w:rsid w:val="0079167C"/>
    <w:rsid w:val="007919C4"/>
    <w:rsid w:val="007939AE"/>
    <w:rsid w:val="007A398A"/>
    <w:rsid w:val="007A4DE3"/>
    <w:rsid w:val="007A7C8E"/>
    <w:rsid w:val="007A7EE1"/>
    <w:rsid w:val="007B01FD"/>
    <w:rsid w:val="007B348B"/>
    <w:rsid w:val="007B777D"/>
    <w:rsid w:val="007C0E60"/>
    <w:rsid w:val="007C1FCD"/>
    <w:rsid w:val="007C5EB1"/>
    <w:rsid w:val="007D04FF"/>
    <w:rsid w:val="007D103E"/>
    <w:rsid w:val="007D1852"/>
    <w:rsid w:val="007D1905"/>
    <w:rsid w:val="007E022C"/>
    <w:rsid w:val="007E5EB7"/>
    <w:rsid w:val="007E6CC8"/>
    <w:rsid w:val="007E7904"/>
    <w:rsid w:val="007F1900"/>
    <w:rsid w:val="007F315E"/>
    <w:rsid w:val="007F4A29"/>
    <w:rsid w:val="008006B4"/>
    <w:rsid w:val="0080222F"/>
    <w:rsid w:val="00803202"/>
    <w:rsid w:val="00810F65"/>
    <w:rsid w:val="00812CA5"/>
    <w:rsid w:val="008133A6"/>
    <w:rsid w:val="00815769"/>
    <w:rsid w:val="00816BB7"/>
    <w:rsid w:val="00817B20"/>
    <w:rsid w:val="00817D5B"/>
    <w:rsid w:val="008209B0"/>
    <w:rsid w:val="00822E71"/>
    <w:rsid w:val="00823C6A"/>
    <w:rsid w:val="00832FA1"/>
    <w:rsid w:val="00834E35"/>
    <w:rsid w:val="00835D36"/>
    <w:rsid w:val="00836A31"/>
    <w:rsid w:val="00840964"/>
    <w:rsid w:val="00846C04"/>
    <w:rsid w:val="00846F72"/>
    <w:rsid w:val="00847663"/>
    <w:rsid w:val="00850D08"/>
    <w:rsid w:val="00854107"/>
    <w:rsid w:val="008571B0"/>
    <w:rsid w:val="008600F0"/>
    <w:rsid w:val="00860FEA"/>
    <w:rsid w:val="00862513"/>
    <w:rsid w:val="00876972"/>
    <w:rsid w:val="00877478"/>
    <w:rsid w:val="00885BD9"/>
    <w:rsid w:val="00887E83"/>
    <w:rsid w:val="00892970"/>
    <w:rsid w:val="00896671"/>
    <w:rsid w:val="00896D04"/>
    <w:rsid w:val="008A4BD2"/>
    <w:rsid w:val="008A6955"/>
    <w:rsid w:val="008B0052"/>
    <w:rsid w:val="008B2D80"/>
    <w:rsid w:val="008B4D89"/>
    <w:rsid w:val="008C1D32"/>
    <w:rsid w:val="008C5668"/>
    <w:rsid w:val="008C65FC"/>
    <w:rsid w:val="008D3365"/>
    <w:rsid w:val="008D3FB3"/>
    <w:rsid w:val="008D50CE"/>
    <w:rsid w:val="008E0272"/>
    <w:rsid w:val="008E1A7D"/>
    <w:rsid w:val="008E5F3A"/>
    <w:rsid w:val="008F2EEC"/>
    <w:rsid w:val="008F4883"/>
    <w:rsid w:val="008F648C"/>
    <w:rsid w:val="00902961"/>
    <w:rsid w:val="00902BD2"/>
    <w:rsid w:val="00902F88"/>
    <w:rsid w:val="00904214"/>
    <w:rsid w:val="009046B6"/>
    <w:rsid w:val="009048CE"/>
    <w:rsid w:val="009054BB"/>
    <w:rsid w:val="00910C3B"/>
    <w:rsid w:val="00911F94"/>
    <w:rsid w:val="00913295"/>
    <w:rsid w:val="00915988"/>
    <w:rsid w:val="009164B4"/>
    <w:rsid w:val="0091751B"/>
    <w:rsid w:val="0092062B"/>
    <w:rsid w:val="009220D9"/>
    <w:rsid w:val="0092498D"/>
    <w:rsid w:val="00926EF9"/>
    <w:rsid w:val="009271E9"/>
    <w:rsid w:val="00930B0A"/>
    <w:rsid w:val="00931204"/>
    <w:rsid w:val="009322C9"/>
    <w:rsid w:val="00932A07"/>
    <w:rsid w:val="009342DA"/>
    <w:rsid w:val="00934B15"/>
    <w:rsid w:val="00935692"/>
    <w:rsid w:val="00935F87"/>
    <w:rsid w:val="00946091"/>
    <w:rsid w:val="009461C6"/>
    <w:rsid w:val="00953A8E"/>
    <w:rsid w:val="0095437D"/>
    <w:rsid w:val="009566F2"/>
    <w:rsid w:val="00961B95"/>
    <w:rsid w:val="009624B7"/>
    <w:rsid w:val="0097328D"/>
    <w:rsid w:val="00977924"/>
    <w:rsid w:val="00980978"/>
    <w:rsid w:val="00980D5A"/>
    <w:rsid w:val="00985EE4"/>
    <w:rsid w:val="009901D5"/>
    <w:rsid w:val="00993A7A"/>
    <w:rsid w:val="00993D3B"/>
    <w:rsid w:val="00994C54"/>
    <w:rsid w:val="00997A3D"/>
    <w:rsid w:val="009A5F8C"/>
    <w:rsid w:val="009A60C4"/>
    <w:rsid w:val="009A7983"/>
    <w:rsid w:val="009B49D5"/>
    <w:rsid w:val="009C14C7"/>
    <w:rsid w:val="009C1B77"/>
    <w:rsid w:val="009C633E"/>
    <w:rsid w:val="009C659C"/>
    <w:rsid w:val="009D093A"/>
    <w:rsid w:val="009D0A5C"/>
    <w:rsid w:val="009D5464"/>
    <w:rsid w:val="009D7B78"/>
    <w:rsid w:val="009E04A3"/>
    <w:rsid w:val="009E190C"/>
    <w:rsid w:val="009E2907"/>
    <w:rsid w:val="009E2E29"/>
    <w:rsid w:val="009E35F8"/>
    <w:rsid w:val="009E600A"/>
    <w:rsid w:val="009F3186"/>
    <w:rsid w:val="009F77AE"/>
    <w:rsid w:val="00A032A5"/>
    <w:rsid w:val="00A03D62"/>
    <w:rsid w:val="00A1346D"/>
    <w:rsid w:val="00A14C02"/>
    <w:rsid w:val="00A215A3"/>
    <w:rsid w:val="00A25D6C"/>
    <w:rsid w:val="00A25DF4"/>
    <w:rsid w:val="00A26D3B"/>
    <w:rsid w:val="00A3045B"/>
    <w:rsid w:val="00A330ED"/>
    <w:rsid w:val="00A33323"/>
    <w:rsid w:val="00A34A0B"/>
    <w:rsid w:val="00A37202"/>
    <w:rsid w:val="00A420BB"/>
    <w:rsid w:val="00A438EB"/>
    <w:rsid w:val="00A474E3"/>
    <w:rsid w:val="00A52963"/>
    <w:rsid w:val="00A53BC2"/>
    <w:rsid w:val="00A61EED"/>
    <w:rsid w:val="00A6535E"/>
    <w:rsid w:val="00A66E4B"/>
    <w:rsid w:val="00A67582"/>
    <w:rsid w:val="00A67807"/>
    <w:rsid w:val="00A700A4"/>
    <w:rsid w:val="00A71CE2"/>
    <w:rsid w:val="00A72949"/>
    <w:rsid w:val="00A763F3"/>
    <w:rsid w:val="00A76983"/>
    <w:rsid w:val="00A77C7E"/>
    <w:rsid w:val="00A8046E"/>
    <w:rsid w:val="00A81C45"/>
    <w:rsid w:val="00A8251C"/>
    <w:rsid w:val="00A8780A"/>
    <w:rsid w:val="00A87D0B"/>
    <w:rsid w:val="00A95C6C"/>
    <w:rsid w:val="00A95EE1"/>
    <w:rsid w:val="00A978A7"/>
    <w:rsid w:val="00AA01B8"/>
    <w:rsid w:val="00AA192C"/>
    <w:rsid w:val="00AA3AC7"/>
    <w:rsid w:val="00AA40BC"/>
    <w:rsid w:val="00AA7D4F"/>
    <w:rsid w:val="00AA7F2B"/>
    <w:rsid w:val="00AB3690"/>
    <w:rsid w:val="00AB490A"/>
    <w:rsid w:val="00AB6F09"/>
    <w:rsid w:val="00AC5E1D"/>
    <w:rsid w:val="00AD01CB"/>
    <w:rsid w:val="00AD2ABB"/>
    <w:rsid w:val="00AD50F5"/>
    <w:rsid w:val="00AD61B0"/>
    <w:rsid w:val="00AE22CA"/>
    <w:rsid w:val="00AE2367"/>
    <w:rsid w:val="00AE3CFB"/>
    <w:rsid w:val="00AE4C98"/>
    <w:rsid w:val="00AE4DCB"/>
    <w:rsid w:val="00AF590F"/>
    <w:rsid w:val="00AF5BE6"/>
    <w:rsid w:val="00B00816"/>
    <w:rsid w:val="00B01DF4"/>
    <w:rsid w:val="00B03BEF"/>
    <w:rsid w:val="00B05085"/>
    <w:rsid w:val="00B054DF"/>
    <w:rsid w:val="00B15FAF"/>
    <w:rsid w:val="00B20CDB"/>
    <w:rsid w:val="00B20F9E"/>
    <w:rsid w:val="00B2147A"/>
    <w:rsid w:val="00B2551C"/>
    <w:rsid w:val="00B259E5"/>
    <w:rsid w:val="00B26D26"/>
    <w:rsid w:val="00B27F7C"/>
    <w:rsid w:val="00B31F39"/>
    <w:rsid w:val="00B37F08"/>
    <w:rsid w:val="00B40E50"/>
    <w:rsid w:val="00B515EE"/>
    <w:rsid w:val="00B51B0D"/>
    <w:rsid w:val="00B56A75"/>
    <w:rsid w:val="00B631F9"/>
    <w:rsid w:val="00B63254"/>
    <w:rsid w:val="00B64EA6"/>
    <w:rsid w:val="00B70632"/>
    <w:rsid w:val="00B76730"/>
    <w:rsid w:val="00B77304"/>
    <w:rsid w:val="00B813B5"/>
    <w:rsid w:val="00B84BA5"/>
    <w:rsid w:val="00B91F24"/>
    <w:rsid w:val="00B92E61"/>
    <w:rsid w:val="00B93FD6"/>
    <w:rsid w:val="00B941C9"/>
    <w:rsid w:val="00B96C99"/>
    <w:rsid w:val="00B97C8D"/>
    <w:rsid w:val="00BA28A8"/>
    <w:rsid w:val="00BA4827"/>
    <w:rsid w:val="00BA51A9"/>
    <w:rsid w:val="00BB0EA4"/>
    <w:rsid w:val="00BB329D"/>
    <w:rsid w:val="00BB4D38"/>
    <w:rsid w:val="00BB50FC"/>
    <w:rsid w:val="00BB5EDD"/>
    <w:rsid w:val="00BC07E8"/>
    <w:rsid w:val="00BC5B88"/>
    <w:rsid w:val="00BC7A74"/>
    <w:rsid w:val="00BD60E3"/>
    <w:rsid w:val="00BD679F"/>
    <w:rsid w:val="00BE0FBF"/>
    <w:rsid w:val="00BE58B8"/>
    <w:rsid w:val="00BE63A7"/>
    <w:rsid w:val="00BF44A2"/>
    <w:rsid w:val="00BF5A56"/>
    <w:rsid w:val="00C05F30"/>
    <w:rsid w:val="00C12461"/>
    <w:rsid w:val="00C14F3B"/>
    <w:rsid w:val="00C15B86"/>
    <w:rsid w:val="00C2064D"/>
    <w:rsid w:val="00C20B31"/>
    <w:rsid w:val="00C21B27"/>
    <w:rsid w:val="00C24394"/>
    <w:rsid w:val="00C24F5D"/>
    <w:rsid w:val="00C253ED"/>
    <w:rsid w:val="00C31D42"/>
    <w:rsid w:val="00C31E68"/>
    <w:rsid w:val="00C33F22"/>
    <w:rsid w:val="00C3462E"/>
    <w:rsid w:val="00C361FE"/>
    <w:rsid w:val="00C36552"/>
    <w:rsid w:val="00C41606"/>
    <w:rsid w:val="00C41FFE"/>
    <w:rsid w:val="00C50213"/>
    <w:rsid w:val="00C50613"/>
    <w:rsid w:val="00C5107E"/>
    <w:rsid w:val="00C531F9"/>
    <w:rsid w:val="00C57C0B"/>
    <w:rsid w:val="00C60F63"/>
    <w:rsid w:val="00C61AC0"/>
    <w:rsid w:val="00C64DFC"/>
    <w:rsid w:val="00C64E31"/>
    <w:rsid w:val="00C70DAE"/>
    <w:rsid w:val="00C727E5"/>
    <w:rsid w:val="00C7317C"/>
    <w:rsid w:val="00C7366B"/>
    <w:rsid w:val="00C76BD4"/>
    <w:rsid w:val="00C82D43"/>
    <w:rsid w:val="00C850B8"/>
    <w:rsid w:val="00C85829"/>
    <w:rsid w:val="00C90AA4"/>
    <w:rsid w:val="00C92A2F"/>
    <w:rsid w:val="00C93AB5"/>
    <w:rsid w:val="00C966D8"/>
    <w:rsid w:val="00C97C68"/>
    <w:rsid w:val="00CA0EB1"/>
    <w:rsid w:val="00CA2519"/>
    <w:rsid w:val="00CB0C2C"/>
    <w:rsid w:val="00CB3506"/>
    <w:rsid w:val="00CB6C55"/>
    <w:rsid w:val="00CC005F"/>
    <w:rsid w:val="00CC07A3"/>
    <w:rsid w:val="00CC0D07"/>
    <w:rsid w:val="00CC65D3"/>
    <w:rsid w:val="00CD1CBC"/>
    <w:rsid w:val="00CD3D65"/>
    <w:rsid w:val="00CD3F97"/>
    <w:rsid w:val="00CE09E8"/>
    <w:rsid w:val="00CE24E0"/>
    <w:rsid w:val="00CE29EE"/>
    <w:rsid w:val="00CE3751"/>
    <w:rsid w:val="00CE538D"/>
    <w:rsid w:val="00CF16F5"/>
    <w:rsid w:val="00CF2808"/>
    <w:rsid w:val="00CF64A0"/>
    <w:rsid w:val="00CF7D82"/>
    <w:rsid w:val="00D04EEF"/>
    <w:rsid w:val="00D052E6"/>
    <w:rsid w:val="00D05AEC"/>
    <w:rsid w:val="00D11BE6"/>
    <w:rsid w:val="00D1496B"/>
    <w:rsid w:val="00D15BF2"/>
    <w:rsid w:val="00D16DDD"/>
    <w:rsid w:val="00D17C72"/>
    <w:rsid w:val="00D2023B"/>
    <w:rsid w:val="00D205D0"/>
    <w:rsid w:val="00D20BC5"/>
    <w:rsid w:val="00D278BF"/>
    <w:rsid w:val="00D30938"/>
    <w:rsid w:val="00D30B25"/>
    <w:rsid w:val="00D3115B"/>
    <w:rsid w:val="00D319DF"/>
    <w:rsid w:val="00D357CC"/>
    <w:rsid w:val="00D36513"/>
    <w:rsid w:val="00D378E4"/>
    <w:rsid w:val="00D37B68"/>
    <w:rsid w:val="00D41853"/>
    <w:rsid w:val="00D43543"/>
    <w:rsid w:val="00D456D9"/>
    <w:rsid w:val="00D47BBD"/>
    <w:rsid w:val="00D52E2E"/>
    <w:rsid w:val="00D53A6E"/>
    <w:rsid w:val="00D56C48"/>
    <w:rsid w:val="00D577BF"/>
    <w:rsid w:val="00D62045"/>
    <w:rsid w:val="00D646BE"/>
    <w:rsid w:val="00D70C7C"/>
    <w:rsid w:val="00D71C6E"/>
    <w:rsid w:val="00D73E19"/>
    <w:rsid w:val="00D74748"/>
    <w:rsid w:val="00D753C7"/>
    <w:rsid w:val="00D76385"/>
    <w:rsid w:val="00D76523"/>
    <w:rsid w:val="00D81115"/>
    <w:rsid w:val="00D82F36"/>
    <w:rsid w:val="00D84A64"/>
    <w:rsid w:val="00D86335"/>
    <w:rsid w:val="00D90BA3"/>
    <w:rsid w:val="00D90EF8"/>
    <w:rsid w:val="00D954D3"/>
    <w:rsid w:val="00D97DD5"/>
    <w:rsid w:val="00DA2870"/>
    <w:rsid w:val="00DA3679"/>
    <w:rsid w:val="00DB1159"/>
    <w:rsid w:val="00DB174C"/>
    <w:rsid w:val="00DB3467"/>
    <w:rsid w:val="00DB5FE9"/>
    <w:rsid w:val="00DC22A7"/>
    <w:rsid w:val="00DC462B"/>
    <w:rsid w:val="00DC51D7"/>
    <w:rsid w:val="00DC5368"/>
    <w:rsid w:val="00DD2BCF"/>
    <w:rsid w:val="00DD36C0"/>
    <w:rsid w:val="00DE3F5F"/>
    <w:rsid w:val="00DE46C7"/>
    <w:rsid w:val="00DE76CB"/>
    <w:rsid w:val="00DF14E8"/>
    <w:rsid w:val="00DF1F6B"/>
    <w:rsid w:val="00DF2DB9"/>
    <w:rsid w:val="00DF3F27"/>
    <w:rsid w:val="00DF52E8"/>
    <w:rsid w:val="00DF56AC"/>
    <w:rsid w:val="00DF7BD0"/>
    <w:rsid w:val="00E00257"/>
    <w:rsid w:val="00E01B21"/>
    <w:rsid w:val="00E01C92"/>
    <w:rsid w:val="00E05541"/>
    <w:rsid w:val="00E06C8B"/>
    <w:rsid w:val="00E06EBD"/>
    <w:rsid w:val="00E071CD"/>
    <w:rsid w:val="00E0730E"/>
    <w:rsid w:val="00E117A7"/>
    <w:rsid w:val="00E11FB1"/>
    <w:rsid w:val="00E16EE6"/>
    <w:rsid w:val="00E21495"/>
    <w:rsid w:val="00E27EE5"/>
    <w:rsid w:val="00E34AAD"/>
    <w:rsid w:val="00E34C84"/>
    <w:rsid w:val="00E505E1"/>
    <w:rsid w:val="00E50DFA"/>
    <w:rsid w:val="00E51E48"/>
    <w:rsid w:val="00E53BC8"/>
    <w:rsid w:val="00E5464A"/>
    <w:rsid w:val="00E60BB7"/>
    <w:rsid w:val="00E66516"/>
    <w:rsid w:val="00E72627"/>
    <w:rsid w:val="00E73429"/>
    <w:rsid w:val="00E73A02"/>
    <w:rsid w:val="00E743E7"/>
    <w:rsid w:val="00E77405"/>
    <w:rsid w:val="00E77E6C"/>
    <w:rsid w:val="00E81CC6"/>
    <w:rsid w:val="00E84B0C"/>
    <w:rsid w:val="00E854EC"/>
    <w:rsid w:val="00E93785"/>
    <w:rsid w:val="00E943F7"/>
    <w:rsid w:val="00E94E1E"/>
    <w:rsid w:val="00E95A37"/>
    <w:rsid w:val="00E96519"/>
    <w:rsid w:val="00EA2327"/>
    <w:rsid w:val="00EA43B3"/>
    <w:rsid w:val="00EA6F8F"/>
    <w:rsid w:val="00EB17C6"/>
    <w:rsid w:val="00EB207D"/>
    <w:rsid w:val="00EB47E6"/>
    <w:rsid w:val="00EC0432"/>
    <w:rsid w:val="00EC1230"/>
    <w:rsid w:val="00EC18E0"/>
    <w:rsid w:val="00EC7FCE"/>
    <w:rsid w:val="00ED6B6A"/>
    <w:rsid w:val="00EE2B75"/>
    <w:rsid w:val="00EF19F9"/>
    <w:rsid w:val="00EF1F48"/>
    <w:rsid w:val="00EF346A"/>
    <w:rsid w:val="00F00C43"/>
    <w:rsid w:val="00F0351B"/>
    <w:rsid w:val="00F05786"/>
    <w:rsid w:val="00F063D1"/>
    <w:rsid w:val="00F22846"/>
    <w:rsid w:val="00F22EF7"/>
    <w:rsid w:val="00F25728"/>
    <w:rsid w:val="00F2628E"/>
    <w:rsid w:val="00F2734A"/>
    <w:rsid w:val="00F27BAF"/>
    <w:rsid w:val="00F339B7"/>
    <w:rsid w:val="00F37493"/>
    <w:rsid w:val="00F37812"/>
    <w:rsid w:val="00F37E07"/>
    <w:rsid w:val="00F4136E"/>
    <w:rsid w:val="00F519C5"/>
    <w:rsid w:val="00F51E4F"/>
    <w:rsid w:val="00F54DE5"/>
    <w:rsid w:val="00F55F9D"/>
    <w:rsid w:val="00F57B7E"/>
    <w:rsid w:val="00F60B1F"/>
    <w:rsid w:val="00F70E62"/>
    <w:rsid w:val="00F71A25"/>
    <w:rsid w:val="00F7204A"/>
    <w:rsid w:val="00F74E65"/>
    <w:rsid w:val="00F83791"/>
    <w:rsid w:val="00F902E9"/>
    <w:rsid w:val="00F92CD2"/>
    <w:rsid w:val="00F935E3"/>
    <w:rsid w:val="00FA28B3"/>
    <w:rsid w:val="00FA3609"/>
    <w:rsid w:val="00FA5B7A"/>
    <w:rsid w:val="00FB4C57"/>
    <w:rsid w:val="00FC09AB"/>
    <w:rsid w:val="00FC4552"/>
    <w:rsid w:val="00FC57CC"/>
    <w:rsid w:val="00FC686D"/>
    <w:rsid w:val="00FC7F6E"/>
    <w:rsid w:val="00FD3D7E"/>
    <w:rsid w:val="00FE1120"/>
    <w:rsid w:val="00FE2693"/>
    <w:rsid w:val="00FF0010"/>
    <w:rsid w:val="00FF1050"/>
    <w:rsid w:val="00FF110E"/>
    <w:rsid w:val="00FF2662"/>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4A34FC70"/>
  <w15:chartTrackingRefBased/>
  <w15:docId w15:val="{81983E61-1E3F-4EE3-B063-3E692ECAF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6C48"/>
    <w:pPr>
      <w:suppressAutoHyphens/>
      <w:spacing w:before="113" w:after="113"/>
      <w:jc w:val="both"/>
    </w:pPr>
    <w:rPr>
      <w:rFonts w:ascii="Arial" w:hAnsi="Arial"/>
      <w:lang w:eastAsia="ar-SA"/>
    </w:rPr>
  </w:style>
  <w:style w:type="paragraph" w:styleId="Titre1">
    <w:name w:val="heading 1"/>
    <w:basedOn w:val="Normal"/>
    <w:next w:val="Normal"/>
    <w:qFormat/>
    <w:rsid w:val="00CC005F"/>
    <w:pPr>
      <w:keepNext/>
      <w:numPr>
        <w:numId w:val="1"/>
      </w:numPr>
      <w:pBdr>
        <w:bottom w:val="single" w:sz="4" w:space="1" w:color="auto"/>
      </w:pBdr>
      <w:spacing w:before="240" w:after="120" w:line="276" w:lineRule="auto"/>
      <w:outlineLvl w:val="0"/>
    </w:pPr>
    <w:rPr>
      <w:b/>
      <w:color w:val="000000"/>
      <w:kern w:val="24"/>
      <w:sz w:val="22"/>
    </w:rPr>
  </w:style>
  <w:style w:type="paragraph" w:styleId="Titre2">
    <w:name w:val="heading 2"/>
    <w:basedOn w:val="Normal"/>
    <w:next w:val="Normal"/>
    <w:qFormat/>
    <w:rsid w:val="0030087C"/>
    <w:pPr>
      <w:keepNext/>
      <w:numPr>
        <w:ilvl w:val="1"/>
        <w:numId w:val="1"/>
      </w:numPr>
      <w:pBdr>
        <w:bottom w:val="single" w:sz="4" w:space="1" w:color="auto"/>
      </w:pBdr>
      <w:spacing w:before="240" w:after="60"/>
      <w:ind w:right="-1"/>
      <w:outlineLvl w:val="1"/>
    </w:pPr>
    <w:rPr>
      <w:b/>
    </w:rPr>
  </w:style>
  <w:style w:type="paragraph" w:styleId="Titre3">
    <w:name w:val="heading 3"/>
    <w:basedOn w:val="Normal"/>
    <w:next w:val="Normal"/>
    <w:qFormat/>
    <w:rsid w:val="00073060"/>
    <w:pPr>
      <w:keepNext/>
      <w:numPr>
        <w:ilvl w:val="2"/>
        <w:numId w:val="1"/>
      </w:numPr>
      <w:pBdr>
        <w:bottom w:val="single" w:sz="4" w:space="1" w:color="auto"/>
      </w:pBdr>
      <w:tabs>
        <w:tab w:val="num" w:pos="1134"/>
      </w:tabs>
      <w:spacing w:before="240" w:after="60"/>
      <w:ind w:left="709" w:firstLine="0"/>
      <w:outlineLvl w:val="2"/>
    </w:pPr>
  </w:style>
  <w:style w:type="paragraph" w:styleId="Titre4">
    <w:name w:val="heading 4"/>
    <w:basedOn w:val="Normal"/>
    <w:next w:val="Normal"/>
    <w:qFormat/>
    <w:rsid w:val="00F7204A"/>
    <w:pPr>
      <w:keepNext/>
      <w:numPr>
        <w:ilvl w:val="3"/>
        <w:numId w:val="1"/>
      </w:numPr>
      <w:spacing w:before="240" w:after="60"/>
      <w:outlineLvl w:val="3"/>
    </w:pPr>
    <w:rPr>
      <w:b/>
    </w:rPr>
  </w:style>
  <w:style w:type="paragraph" w:styleId="Titre5">
    <w:name w:val="heading 5"/>
    <w:basedOn w:val="Normal"/>
    <w:next w:val="Normal"/>
    <w:qFormat/>
    <w:rsid w:val="00F7204A"/>
    <w:pPr>
      <w:keepNext/>
      <w:numPr>
        <w:ilvl w:val="4"/>
        <w:numId w:val="1"/>
      </w:numPr>
      <w:outlineLvl w:val="4"/>
    </w:pPr>
    <w:rPr>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A700A4"/>
    <w:pPr>
      <w:numPr>
        <w:numId w:val="7"/>
      </w:numPr>
      <w:tabs>
        <w:tab w:val="clear" w:pos="360"/>
      </w:tabs>
      <w:spacing w:before="120" w:after="120" w:line="276" w:lineRule="auto"/>
      <w:ind w:left="1276" w:hanging="425"/>
      <w:contextualSpacing/>
    </w:pPr>
  </w:style>
  <w:style w:type="paragraph" w:styleId="Listepuces2">
    <w:name w:val="List Bullet 2"/>
    <w:basedOn w:val="Normal"/>
    <w:uiPriority w:val="99"/>
    <w:unhideWhenUsed/>
    <w:rsid w:val="004C595F"/>
    <w:pPr>
      <w:numPr>
        <w:numId w:val="8"/>
      </w:numPr>
      <w:ind w:left="1701" w:hanging="283"/>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qFormat/>
    <w:rsid w:val="00AF5BE6"/>
    <w:pPr>
      <w:numPr>
        <w:numId w:val="22"/>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935F87"/>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styleId="Mentionnonrsolue">
    <w:name w:val="Unresolved Mention"/>
    <w:basedOn w:val="Policepardfaut"/>
    <w:uiPriority w:val="99"/>
    <w:semiHidden/>
    <w:unhideWhenUsed/>
    <w:rsid w:val="00CC005F"/>
    <w:rPr>
      <w:color w:val="605E5C"/>
      <w:shd w:val="clear" w:color="auto" w:fill="E1DFDD"/>
    </w:rPr>
  </w:style>
  <w:style w:type="character" w:customStyle="1" w:styleId="fontstyle01">
    <w:name w:val="fontstyle01"/>
    <w:rsid w:val="004E25F4"/>
    <w:rPr>
      <w:rFonts w:ascii="ArialMT" w:hAnsi="ArialM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47934863">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355659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693872582">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www.legifrance.gouv.fr/affichTexte.do?cidTexte=JORFTEXT000034316178&amp;dateTexte=&amp;categorieLien=id" TargetMode="External"/><Relationship Id="rId10" Type="http://schemas.openxmlformats.org/officeDocument/2006/relationships/hyperlink" Target="http://www.legifrance.gouv.fr/affichTexte.do?cidTexte=JORFTEXT000034316178&amp;dateTexte=&amp;categorieLien=i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eclarants.e-attestations.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C520A-A219-4816-AA48-7D75AC48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1115</TotalTime>
  <Pages>13</Pages>
  <Words>5666</Words>
  <Characters>31168</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36761</CharactersWithSpaces>
  <SharedDoc>false</SharedDoc>
  <HLinks>
    <vt:vector size="216" baseType="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8126515</vt:i4>
      </vt:variant>
      <vt:variant>
        <vt:i4>213</vt:i4>
      </vt:variant>
      <vt:variant>
        <vt:i4>0</vt:i4>
      </vt:variant>
      <vt:variant>
        <vt:i4>5</vt:i4>
      </vt:variant>
      <vt:variant>
        <vt:lpwstr>https://declarants.e-attestations.com/</vt:lpwstr>
      </vt:variant>
      <vt:variant>
        <vt:lpwstr/>
      </vt:variant>
      <vt:variant>
        <vt:i4>17</vt:i4>
      </vt:variant>
      <vt:variant>
        <vt:i4>195</vt:i4>
      </vt:variant>
      <vt:variant>
        <vt:i4>0</vt:i4>
      </vt:variant>
      <vt:variant>
        <vt:i4>5</vt:i4>
      </vt:variant>
      <vt:variant>
        <vt:lpwstr>http://www.economie.gouv.fr/daj/formulaires-declaration-candidat</vt:lpwstr>
      </vt:variant>
      <vt:variant>
        <vt:lpwstr/>
      </vt:variant>
      <vt:variant>
        <vt:i4>6881329</vt:i4>
      </vt:variant>
      <vt:variant>
        <vt:i4>189</vt:i4>
      </vt:variant>
      <vt:variant>
        <vt:i4>0</vt:i4>
      </vt:variant>
      <vt:variant>
        <vt:i4>5</vt:i4>
      </vt:variant>
      <vt:variant>
        <vt:lpwstr>http://www.marches-publics.gouv.fr/</vt:lpwstr>
      </vt:variant>
      <vt:variant>
        <vt:lpwstr/>
      </vt:variant>
      <vt:variant>
        <vt:i4>6881329</vt:i4>
      </vt:variant>
      <vt:variant>
        <vt:i4>186</vt:i4>
      </vt:variant>
      <vt:variant>
        <vt:i4>0</vt:i4>
      </vt:variant>
      <vt:variant>
        <vt:i4>5</vt:i4>
      </vt:variant>
      <vt:variant>
        <vt:lpwstr>http://www.marches-publics.gouv.fr/</vt:lpwstr>
      </vt:variant>
      <vt:variant>
        <vt:lpwstr/>
      </vt:variant>
      <vt:variant>
        <vt:i4>6881329</vt:i4>
      </vt:variant>
      <vt:variant>
        <vt:i4>180</vt:i4>
      </vt:variant>
      <vt:variant>
        <vt:i4>0</vt:i4>
      </vt:variant>
      <vt:variant>
        <vt:i4>5</vt:i4>
      </vt:variant>
      <vt:variant>
        <vt:lpwstr>http://www.marches-publics.gouv.fr/</vt:lpwstr>
      </vt:variant>
      <vt:variant>
        <vt:lpwstr/>
      </vt:variant>
      <vt:variant>
        <vt:i4>1048630</vt:i4>
      </vt:variant>
      <vt:variant>
        <vt:i4>173</vt:i4>
      </vt:variant>
      <vt:variant>
        <vt:i4>0</vt:i4>
      </vt:variant>
      <vt:variant>
        <vt:i4>5</vt:i4>
      </vt:variant>
      <vt:variant>
        <vt:lpwstr/>
      </vt:variant>
      <vt:variant>
        <vt:lpwstr>_Toc84850365</vt:lpwstr>
      </vt:variant>
      <vt:variant>
        <vt:i4>1114166</vt:i4>
      </vt:variant>
      <vt:variant>
        <vt:i4>167</vt:i4>
      </vt:variant>
      <vt:variant>
        <vt:i4>0</vt:i4>
      </vt:variant>
      <vt:variant>
        <vt:i4>5</vt:i4>
      </vt:variant>
      <vt:variant>
        <vt:lpwstr/>
      </vt:variant>
      <vt:variant>
        <vt:lpwstr>_Toc84850364</vt:lpwstr>
      </vt:variant>
      <vt:variant>
        <vt:i4>1441846</vt:i4>
      </vt:variant>
      <vt:variant>
        <vt:i4>161</vt:i4>
      </vt:variant>
      <vt:variant>
        <vt:i4>0</vt:i4>
      </vt:variant>
      <vt:variant>
        <vt:i4>5</vt:i4>
      </vt:variant>
      <vt:variant>
        <vt:lpwstr/>
      </vt:variant>
      <vt:variant>
        <vt:lpwstr>_Toc84850363</vt:lpwstr>
      </vt:variant>
      <vt:variant>
        <vt:i4>1507382</vt:i4>
      </vt:variant>
      <vt:variant>
        <vt:i4>155</vt:i4>
      </vt:variant>
      <vt:variant>
        <vt:i4>0</vt:i4>
      </vt:variant>
      <vt:variant>
        <vt:i4>5</vt:i4>
      </vt:variant>
      <vt:variant>
        <vt:lpwstr/>
      </vt:variant>
      <vt:variant>
        <vt:lpwstr>_Toc84850362</vt:lpwstr>
      </vt:variant>
      <vt:variant>
        <vt:i4>1310774</vt:i4>
      </vt:variant>
      <vt:variant>
        <vt:i4>149</vt:i4>
      </vt:variant>
      <vt:variant>
        <vt:i4>0</vt:i4>
      </vt:variant>
      <vt:variant>
        <vt:i4>5</vt:i4>
      </vt:variant>
      <vt:variant>
        <vt:lpwstr/>
      </vt:variant>
      <vt:variant>
        <vt:lpwstr>_Toc84850361</vt:lpwstr>
      </vt:variant>
      <vt:variant>
        <vt:i4>1376310</vt:i4>
      </vt:variant>
      <vt:variant>
        <vt:i4>143</vt:i4>
      </vt:variant>
      <vt:variant>
        <vt:i4>0</vt:i4>
      </vt:variant>
      <vt:variant>
        <vt:i4>5</vt:i4>
      </vt:variant>
      <vt:variant>
        <vt:lpwstr/>
      </vt:variant>
      <vt:variant>
        <vt:lpwstr>_Toc84850360</vt:lpwstr>
      </vt:variant>
      <vt:variant>
        <vt:i4>1835061</vt:i4>
      </vt:variant>
      <vt:variant>
        <vt:i4>137</vt:i4>
      </vt:variant>
      <vt:variant>
        <vt:i4>0</vt:i4>
      </vt:variant>
      <vt:variant>
        <vt:i4>5</vt:i4>
      </vt:variant>
      <vt:variant>
        <vt:lpwstr/>
      </vt:variant>
      <vt:variant>
        <vt:lpwstr>_Toc84850359</vt:lpwstr>
      </vt:variant>
      <vt:variant>
        <vt:i4>1900597</vt:i4>
      </vt:variant>
      <vt:variant>
        <vt:i4>131</vt:i4>
      </vt:variant>
      <vt:variant>
        <vt:i4>0</vt:i4>
      </vt:variant>
      <vt:variant>
        <vt:i4>5</vt:i4>
      </vt:variant>
      <vt:variant>
        <vt:lpwstr/>
      </vt:variant>
      <vt:variant>
        <vt:lpwstr>_Toc84850358</vt:lpwstr>
      </vt:variant>
      <vt:variant>
        <vt:i4>1179701</vt:i4>
      </vt:variant>
      <vt:variant>
        <vt:i4>125</vt:i4>
      </vt:variant>
      <vt:variant>
        <vt:i4>0</vt:i4>
      </vt:variant>
      <vt:variant>
        <vt:i4>5</vt:i4>
      </vt:variant>
      <vt:variant>
        <vt:lpwstr/>
      </vt:variant>
      <vt:variant>
        <vt:lpwstr>_Toc84850357</vt:lpwstr>
      </vt:variant>
      <vt:variant>
        <vt:i4>1245237</vt:i4>
      </vt:variant>
      <vt:variant>
        <vt:i4>119</vt:i4>
      </vt:variant>
      <vt:variant>
        <vt:i4>0</vt:i4>
      </vt:variant>
      <vt:variant>
        <vt:i4>5</vt:i4>
      </vt:variant>
      <vt:variant>
        <vt:lpwstr/>
      </vt:variant>
      <vt:variant>
        <vt:lpwstr>_Toc84850356</vt:lpwstr>
      </vt:variant>
      <vt:variant>
        <vt:i4>1048629</vt:i4>
      </vt:variant>
      <vt:variant>
        <vt:i4>113</vt:i4>
      </vt:variant>
      <vt:variant>
        <vt:i4>0</vt:i4>
      </vt:variant>
      <vt:variant>
        <vt:i4>5</vt:i4>
      </vt:variant>
      <vt:variant>
        <vt:lpwstr/>
      </vt:variant>
      <vt:variant>
        <vt:lpwstr>_Toc84850355</vt:lpwstr>
      </vt:variant>
      <vt:variant>
        <vt:i4>1114165</vt:i4>
      </vt:variant>
      <vt:variant>
        <vt:i4>107</vt:i4>
      </vt:variant>
      <vt:variant>
        <vt:i4>0</vt:i4>
      </vt:variant>
      <vt:variant>
        <vt:i4>5</vt:i4>
      </vt:variant>
      <vt:variant>
        <vt:lpwstr/>
      </vt:variant>
      <vt:variant>
        <vt:lpwstr>_Toc84850354</vt:lpwstr>
      </vt:variant>
      <vt:variant>
        <vt:i4>1441845</vt:i4>
      </vt:variant>
      <vt:variant>
        <vt:i4>101</vt:i4>
      </vt:variant>
      <vt:variant>
        <vt:i4>0</vt:i4>
      </vt:variant>
      <vt:variant>
        <vt:i4>5</vt:i4>
      </vt:variant>
      <vt:variant>
        <vt:lpwstr/>
      </vt:variant>
      <vt:variant>
        <vt:lpwstr>_Toc84850353</vt:lpwstr>
      </vt:variant>
      <vt:variant>
        <vt:i4>1507381</vt:i4>
      </vt:variant>
      <vt:variant>
        <vt:i4>95</vt:i4>
      </vt:variant>
      <vt:variant>
        <vt:i4>0</vt:i4>
      </vt:variant>
      <vt:variant>
        <vt:i4>5</vt:i4>
      </vt:variant>
      <vt:variant>
        <vt:lpwstr/>
      </vt:variant>
      <vt:variant>
        <vt:lpwstr>_Toc84850352</vt:lpwstr>
      </vt:variant>
      <vt:variant>
        <vt:i4>1310773</vt:i4>
      </vt:variant>
      <vt:variant>
        <vt:i4>89</vt:i4>
      </vt:variant>
      <vt:variant>
        <vt:i4>0</vt:i4>
      </vt:variant>
      <vt:variant>
        <vt:i4>5</vt:i4>
      </vt:variant>
      <vt:variant>
        <vt:lpwstr/>
      </vt:variant>
      <vt:variant>
        <vt:lpwstr>_Toc84850351</vt:lpwstr>
      </vt:variant>
      <vt:variant>
        <vt:i4>1376309</vt:i4>
      </vt:variant>
      <vt:variant>
        <vt:i4>83</vt:i4>
      </vt:variant>
      <vt:variant>
        <vt:i4>0</vt:i4>
      </vt:variant>
      <vt:variant>
        <vt:i4>5</vt:i4>
      </vt:variant>
      <vt:variant>
        <vt:lpwstr/>
      </vt:variant>
      <vt:variant>
        <vt:lpwstr>_Toc84850350</vt:lpwstr>
      </vt:variant>
      <vt:variant>
        <vt:i4>1835060</vt:i4>
      </vt:variant>
      <vt:variant>
        <vt:i4>77</vt:i4>
      </vt:variant>
      <vt:variant>
        <vt:i4>0</vt:i4>
      </vt:variant>
      <vt:variant>
        <vt:i4>5</vt:i4>
      </vt:variant>
      <vt:variant>
        <vt:lpwstr/>
      </vt:variant>
      <vt:variant>
        <vt:lpwstr>_Toc84850349</vt:lpwstr>
      </vt:variant>
      <vt:variant>
        <vt:i4>1900596</vt:i4>
      </vt:variant>
      <vt:variant>
        <vt:i4>71</vt:i4>
      </vt:variant>
      <vt:variant>
        <vt:i4>0</vt:i4>
      </vt:variant>
      <vt:variant>
        <vt:i4>5</vt:i4>
      </vt:variant>
      <vt:variant>
        <vt:lpwstr/>
      </vt:variant>
      <vt:variant>
        <vt:lpwstr>_Toc84850348</vt:lpwstr>
      </vt:variant>
      <vt:variant>
        <vt:i4>1179700</vt:i4>
      </vt:variant>
      <vt:variant>
        <vt:i4>65</vt:i4>
      </vt:variant>
      <vt:variant>
        <vt:i4>0</vt:i4>
      </vt:variant>
      <vt:variant>
        <vt:i4>5</vt:i4>
      </vt:variant>
      <vt:variant>
        <vt:lpwstr/>
      </vt:variant>
      <vt:variant>
        <vt:lpwstr>_Toc84850347</vt:lpwstr>
      </vt:variant>
      <vt:variant>
        <vt:i4>1245236</vt:i4>
      </vt:variant>
      <vt:variant>
        <vt:i4>59</vt:i4>
      </vt:variant>
      <vt:variant>
        <vt:i4>0</vt:i4>
      </vt:variant>
      <vt:variant>
        <vt:i4>5</vt:i4>
      </vt:variant>
      <vt:variant>
        <vt:lpwstr/>
      </vt:variant>
      <vt:variant>
        <vt:lpwstr>_Toc84850346</vt:lpwstr>
      </vt:variant>
      <vt:variant>
        <vt:i4>1048628</vt:i4>
      </vt:variant>
      <vt:variant>
        <vt:i4>53</vt:i4>
      </vt:variant>
      <vt:variant>
        <vt:i4>0</vt:i4>
      </vt:variant>
      <vt:variant>
        <vt:i4>5</vt:i4>
      </vt:variant>
      <vt:variant>
        <vt:lpwstr/>
      </vt:variant>
      <vt:variant>
        <vt:lpwstr>_Toc84850345</vt:lpwstr>
      </vt:variant>
      <vt:variant>
        <vt:i4>1114164</vt:i4>
      </vt:variant>
      <vt:variant>
        <vt:i4>47</vt:i4>
      </vt:variant>
      <vt:variant>
        <vt:i4>0</vt:i4>
      </vt:variant>
      <vt:variant>
        <vt:i4>5</vt:i4>
      </vt:variant>
      <vt:variant>
        <vt:lpwstr/>
      </vt:variant>
      <vt:variant>
        <vt:lpwstr>_Toc84850344</vt:lpwstr>
      </vt:variant>
      <vt:variant>
        <vt:i4>1441844</vt:i4>
      </vt:variant>
      <vt:variant>
        <vt:i4>41</vt:i4>
      </vt:variant>
      <vt:variant>
        <vt:i4>0</vt:i4>
      </vt:variant>
      <vt:variant>
        <vt:i4>5</vt:i4>
      </vt:variant>
      <vt:variant>
        <vt:lpwstr/>
      </vt:variant>
      <vt:variant>
        <vt:lpwstr>_Toc84850343</vt:lpwstr>
      </vt:variant>
      <vt:variant>
        <vt:i4>1507380</vt:i4>
      </vt:variant>
      <vt:variant>
        <vt:i4>35</vt:i4>
      </vt:variant>
      <vt:variant>
        <vt:i4>0</vt:i4>
      </vt:variant>
      <vt:variant>
        <vt:i4>5</vt:i4>
      </vt:variant>
      <vt:variant>
        <vt:lpwstr/>
      </vt:variant>
      <vt:variant>
        <vt:lpwstr>_Toc84850342</vt:lpwstr>
      </vt:variant>
      <vt:variant>
        <vt:i4>1310772</vt:i4>
      </vt:variant>
      <vt:variant>
        <vt:i4>29</vt:i4>
      </vt:variant>
      <vt:variant>
        <vt:i4>0</vt:i4>
      </vt:variant>
      <vt:variant>
        <vt:i4>5</vt:i4>
      </vt:variant>
      <vt:variant>
        <vt:lpwstr/>
      </vt:variant>
      <vt:variant>
        <vt:lpwstr>_Toc84850341</vt:lpwstr>
      </vt:variant>
      <vt:variant>
        <vt:i4>1376308</vt:i4>
      </vt:variant>
      <vt:variant>
        <vt:i4>23</vt:i4>
      </vt:variant>
      <vt:variant>
        <vt:i4>0</vt:i4>
      </vt:variant>
      <vt:variant>
        <vt:i4>5</vt:i4>
      </vt:variant>
      <vt:variant>
        <vt:lpwstr/>
      </vt:variant>
      <vt:variant>
        <vt:lpwstr>_Toc84850340</vt:lpwstr>
      </vt:variant>
      <vt:variant>
        <vt:i4>1835059</vt:i4>
      </vt:variant>
      <vt:variant>
        <vt:i4>17</vt:i4>
      </vt:variant>
      <vt:variant>
        <vt:i4>0</vt:i4>
      </vt:variant>
      <vt:variant>
        <vt:i4>5</vt:i4>
      </vt:variant>
      <vt:variant>
        <vt:lpwstr/>
      </vt:variant>
      <vt:variant>
        <vt:lpwstr>_Toc84850339</vt:lpwstr>
      </vt:variant>
      <vt:variant>
        <vt:i4>1900595</vt:i4>
      </vt:variant>
      <vt:variant>
        <vt:i4>11</vt:i4>
      </vt:variant>
      <vt:variant>
        <vt:i4>0</vt:i4>
      </vt:variant>
      <vt:variant>
        <vt:i4>5</vt:i4>
      </vt:variant>
      <vt:variant>
        <vt:lpwstr/>
      </vt:variant>
      <vt:variant>
        <vt:lpwstr>_Toc84850338</vt:lpwstr>
      </vt:variant>
      <vt:variant>
        <vt:i4>1179699</vt:i4>
      </vt:variant>
      <vt:variant>
        <vt:i4>5</vt:i4>
      </vt:variant>
      <vt:variant>
        <vt:i4>0</vt:i4>
      </vt:variant>
      <vt:variant>
        <vt:i4>5</vt:i4>
      </vt:variant>
      <vt:variant>
        <vt:lpwstr/>
      </vt:variant>
      <vt:variant>
        <vt:lpwstr>_Toc84850337</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43</cp:revision>
  <cp:lastPrinted>2012-10-01T13:54:00Z</cp:lastPrinted>
  <dcterms:created xsi:type="dcterms:W3CDTF">2025-08-05T15:12:00Z</dcterms:created>
  <dcterms:modified xsi:type="dcterms:W3CDTF">2025-09-11T08:55:00Z</dcterms:modified>
</cp:coreProperties>
</file>