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94"/>
        <w:pBdr/>
        <w:spacing/>
        <w:ind/>
        <w:rPr>
          <w:rFonts w:ascii="Marianne" w:hAnsi="Marianne"/>
          <w:sz w:val="28"/>
          <w:szCs w:val="28"/>
        </w:rPr>
      </w:pPr>
      <w:r>
        <w:rPr>
          <w:rFonts w:ascii="Marianne" w:hAnsi="Marianne"/>
          <w:sz w:val="28"/>
          <w:szCs w:val="28"/>
        </w:rPr>
        <mc:AlternateContent>
          <mc:Choice Requires="wpg">
            <w:drawing>
              <wp:anchor xmlns:wp="http://schemas.openxmlformats.org/drawingml/2006/wordprocessingDrawing" xmlns:wp14="http://schemas.microsoft.com/office/word/2010/wordprocessingDrawing" distT="0" distB="0" distL="114300" distR="114300" simplePos="0" relativeHeight="2" behindDoc="0" locked="0" layoutInCell="0" allowOverlap="1">
                <wp:simplePos x="0" y="0"/>
                <wp:positionH relativeFrom="column">
                  <wp:posOffset>-46990</wp:posOffset>
                </wp:positionH>
                <wp:positionV relativeFrom="paragraph">
                  <wp:posOffset>635</wp:posOffset>
                </wp:positionV>
                <wp:extent cx="1535430" cy="1164590"/>
                <wp:effectExtent l="0" t="0" r="0" b="0"/>
                <wp:wrapTight wrapText="bothSides">
                  <wp:wrapPolygon edited="1">
                    <wp:start x="1337" y="2118"/>
                    <wp:lineTo x="1605" y="19078"/>
                    <wp:lineTo x="7769" y="19078"/>
                    <wp:lineTo x="8305" y="18370"/>
                    <wp:lineTo x="7500" y="16604"/>
                    <wp:lineTo x="6161" y="14131"/>
                    <wp:lineTo x="19561" y="11658"/>
                    <wp:lineTo x="20096" y="9891"/>
                    <wp:lineTo x="15004" y="7418"/>
                    <wp:lineTo x="13932" y="6358"/>
                    <wp:lineTo x="8305" y="2118"/>
                    <wp:lineTo x="1337" y="2118"/>
                  </wp:wrapPolygon>
                </wp:wrapTight>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pic:cNvPicPr>
                        <pic:nvPr/>
                      </pic:nvPicPr>
                      <pic:blipFill>
                        <a:blip r:embed="rId16"/>
                        <a:stretch/>
                      </pic:blipFill>
                      <pic:spPr bwMode="auto">
                        <a:xfrm>
                          <a:off x="0" y="0"/>
                          <a:ext cx="1535430" cy="116459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o:allowoverlap:true;o:allowincell:false;mso-position-horizontal-relative:text;margin-left:-3.70pt;mso-position-horizontal:absolute;mso-position-vertical-relative:text;margin-top:0.05pt;mso-position-vertical:absolute;width:120.90pt;height:91.70pt;mso-wrap-distance-left:9.00pt;mso-wrap-distance-top:0.00pt;mso-wrap-distance-right:9.00pt;mso-wrap-distance-bottom:0.00pt;z-index:1;" wrapcoords="6190 9806 7431 88324 35968 88324 38449 85046 34722 76870 28523 65421 90560 53972 93037 45792 69463 34343 64500 29435 38449 9806 6190 9806" stroked="false">
                <w10:wrap type="tight"/>
                <v:imagedata r:id="rId16" o:title=""/>
                <o:lock v:ext="edit" rotation="t"/>
              </v:shape>
            </w:pict>
          </mc:Fallback>
        </mc:AlternateContent>
      </w:r>
      <w:r>
        <w:rPr>
          <w:rFonts w:ascii="Marianne" w:hAnsi="Marianne"/>
          <w:sz w:val="28"/>
          <w:szCs w:val="28"/>
        </w:rPr>
      </w:r>
    </w:p>
    <w:p>
      <w:pPr>
        <w:pStyle w:val="1094"/>
        <w:pBdr/>
        <w:spacing/>
        <w:ind/>
        <w:rPr>
          <w:rFonts w:ascii="Marianne" w:hAnsi="Marianne"/>
          <w:sz w:val="28"/>
          <w:szCs w:val="28"/>
        </w:rPr>
      </w:pPr>
      <w:r>
        <w:rPr>
          <w:rFonts w:ascii="Marianne" w:hAnsi="Marianne"/>
          <w:sz w:val="28"/>
          <w:szCs w:val="28"/>
        </w:rPr>
        <w:t xml:space="preserve">Secrétariat général</w:t>
      </w:r>
      <w:r>
        <w:rPr>
          <w:rFonts w:ascii="Marianne" w:hAnsi="Marianne"/>
          <w:sz w:val="28"/>
          <w:szCs w:val="28"/>
        </w:rPr>
      </w:r>
    </w:p>
    <w:p>
      <w:pPr>
        <w:pStyle w:val="992"/>
        <w:widowControl w:val="false"/>
        <w:pBdr/>
        <w:spacing/>
        <w:ind/>
        <w:rPr/>
      </w:pPr>
      <w:r/>
      <w:r/>
    </w:p>
    <w:p>
      <w:pPr>
        <w:pStyle w:val="1028"/>
        <w:widowControl w:val="false"/>
        <w:pBdr/>
        <w:spacing/>
        <w:ind/>
        <w:rPr/>
      </w:pPr>
      <w:r/>
      <w:r/>
    </w:p>
    <w:p>
      <w:pPr>
        <w:pStyle w:val="1094"/>
        <w:pBdr/>
        <w:spacing/>
        <w:ind/>
        <w:rPr/>
      </w:pPr>
      <w:r>
        <w:tab/>
      </w:r>
      <w:r/>
    </w:p>
    <w:p>
      <w:pPr>
        <w:widowControl w:val="false"/>
        <w:pBdr/>
        <w:spacing/>
        <w:ind/>
        <w:rPr/>
      </w:pPr>
      <w:r/>
      <w:r/>
    </w:p>
    <w:p>
      <w:pPr>
        <w:widowControl w:val="false"/>
        <w:pBdr/>
        <w:spacing/>
        <w:ind/>
        <w:jc w:val="center"/>
        <w:rPr/>
      </w:pPr>
      <w:r/>
      <w:r/>
    </w:p>
    <w:p>
      <w:pPr>
        <w:pStyle w:val="1089"/>
        <w:widowControl w:val="false"/>
        <w:pBdr/>
        <w:spacing/>
        <w:ind/>
        <w:rPr>
          <w:b/>
          <w:caps/>
        </w:rPr>
      </w:pPr>
      <w:r>
        <w:rPr>
          <w:b/>
          <w:caps/>
        </w:rPr>
        <w:t xml:space="preserve">DIRECTION DE L’EVALUATION DE LA PERFORMANCE, DE L’ACHAT, DES FINANCES ET DE L’IMMOBILIER</w:t>
      </w:r>
      <w:r>
        <w:rPr>
          <w:b/>
          <w:caps/>
        </w:rPr>
      </w:r>
    </w:p>
    <w:p>
      <w:pPr>
        <w:pStyle w:val="1089"/>
        <w:widowControl w:val="false"/>
        <w:pBdr/>
        <w:spacing/>
        <w:ind/>
        <w:rPr>
          <w:b/>
          <w:caps/>
        </w:rPr>
      </w:pPr>
      <w:r>
        <w:rPr>
          <w:b/>
          <w:caps/>
        </w:rPr>
      </w:r>
      <w:r>
        <w:rPr>
          <w:b/>
          <w:caps/>
        </w:rPr>
      </w:r>
    </w:p>
    <w:p>
      <w:pPr>
        <w:pStyle w:val="1089"/>
        <w:widowControl w:val="false"/>
        <w:pBdr/>
        <w:spacing/>
        <w:ind/>
        <w:rPr>
          <w:b/>
          <w:caps/>
        </w:rPr>
      </w:pPr>
      <w:r>
        <w:rPr>
          <w:b/>
          <w:caps/>
        </w:rPr>
        <w:t xml:space="preserve">SOUS-DIRECTION DE L’ACHAT ET DU SUIVI DE L’EXECUTION DES MARCHES </w:t>
      </w:r>
      <w:r>
        <w:rPr>
          <w:b/>
          <w:caps/>
        </w:rPr>
      </w:r>
    </w:p>
    <w:p>
      <w:pPr>
        <w:pStyle w:val="1089"/>
        <w:widowControl w:val="false"/>
        <w:pBdr/>
        <w:spacing/>
        <w:ind/>
        <w:rPr>
          <w:b/>
          <w:caps/>
        </w:rPr>
      </w:pPr>
      <w:r>
        <w:rPr>
          <w:b/>
          <w:caps/>
        </w:rPr>
      </w:r>
      <w:r>
        <w:rPr>
          <w:b/>
          <w:caps/>
        </w:rPr>
      </w:r>
    </w:p>
    <w:p>
      <w:pPr>
        <w:pStyle w:val="1089"/>
        <w:widowControl w:val="false"/>
        <w:pBdr/>
        <w:spacing/>
        <w:ind/>
        <w:rPr>
          <w:b/>
          <w:caps/>
        </w:rPr>
      </w:pPr>
      <w:r>
        <w:rPr>
          <w:b/>
          <w:caps/>
        </w:rPr>
        <w:t xml:space="preserve">BUREAU DES ACHATS numériques </w:t>
      </w:r>
      <w:r>
        <w:rPr>
          <w:b/>
          <w:caps/>
        </w:rPr>
      </w:r>
    </w:p>
    <w:p>
      <w:pPr>
        <w:pStyle w:val="1019"/>
        <w:widowControl w:val="false"/>
        <w:pBdr/>
        <w:spacing/>
        <w:ind/>
        <w:rPr/>
      </w:pPr>
      <w:r/>
      <w:r/>
    </w:p>
    <w:p>
      <w:pPr>
        <w:pStyle w:val="1019"/>
        <w:widowControl w:val="false"/>
        <w:pBdr/>
        <w:spacing/>
        <w:ind/>
        <w:jc w:val="center"/>
        <w:rPr/>
      </w:pPr>
      <w:r/>
      <w:r/>
    </w:p>
    <w:p>
      <w:pPr>
        <w:pStyle w:val="1019"/>
        <w:widowControl w:val="false"/>
        <w:pBdr/>
        <w:spacing/>
        <w:ind/>
        <w:jc w:val="center"/>
        <w:rPr/>
      </w:pPr>
      <w:r/>
      <w:r/>
    </w:p>
    <w:p>
      <w:pPr>
        <w:pStyle w:val="1087"/>
        <w:widowControl w:val="false"/>
        <w:pBdr/>
        <w:spacing/>
        <w:ind/>
        <w:rPr/>
      </w:pPr>
      <w:r>
        <w:t xml:space="preserve">REGLEMENT DE LA CONSULTATION (RC)</w:t>
      </w:r>
      <w:r/>
    </w:p>
    <w:p>
      <w:pPr>
        <w:pStyle w:val="1019"/>
        <w:widowControl w:val="false"/>
        <w:pBdr/>
        <w:spacing/>
        <w:ind/>
        <w:jc w:val="center"/>
        <w:rPr/>
      </w:pPr>
      <w:r/>
      <w:r/>
    </w:p>
    <w:tbl>
      <w:tblPr>
        <w:tblW w:w="9778" w:type="dxa"/>
        <w:jc w:val="center"/>
        <w:tblBorders/>
        <w:tblLayout w:type="fixed"/>
        <w:tblLook w:val="04A0" w:firstRow="1" w:lastRow="0" w:firstColumn="1" w:lastColumn="0" w:noHBand="0" w:noVBand="1"/>
      </w:tblPr>
      <w:tblGrid>
        <w:gridCol w:w="9778"/>
      </w:tblGrid>
      <w:tr>
        <w:trPr>
          <w:jc w:val="center"/>
          <w:trHeight w:val="1537"/>
        </w:trPr>
        <w:tc>
          <w:tcPr>
            <w:shd w:val="clear" w:color="auto" w:fill="auto"/>
            <w:tcBorders>
              <w:top w:val="single" w:color="00000a" w:sz="4" w:space="0"/>
              <w:left w:val="single" w:color="00000a" w:sz="4" w:space="0"/>
              <w:bottom w:val="single" w:color="00000a" w:sz="4" w:space="0"/>
              <w:right w:val="single" w:color="00000a" w:sz="4" w:space="0"/>
            </w:tcBorders>
            <w:tcW w:w="9778" w:type="dxa"/>
            <w:vAlign w:val="center"/>
            <w:textDirection w:val="lrTb"/>
            <w:noWrap w:val="false"/>
          </w:tcPr>
          <w:p>
            <w:pPr>
              <w:pStyle w:val="1079"/>
              <w:widowControl w:val="false"/>
              <w:pBdr/>
              <w:spacing w:after="0" w:before="0" w:line="240" w:lineRule="auto"/>
              <w:ind/>
              <w:rPr/>
            </w:pPr>
            <w:r>
              <w:t xml:space="preserve">Accord-cadre relatif à la tierce maintenance applicative de l’application FNAEG-NG (Fichier National Automatisé des Empreintes Génétiques Nouvelle Génération)</w:t>
            </w:r>
            <w:r/>
          </w:p>
        </w:tc>
      </w:tr>
    </w:tbl>
    <w:p>
      <w:pPr>
        <w:pStyle w:val="1019"/>
        <w:widowControl w:val="false"/>
        <w:pBdr/>
        <w:spacing/>
        <w:ind/>
        <w:jc w:val="center"/>
        <w:rPr/>
      </w:pPr>
      <w:r/>
      <w:r/>
    </w:p>
    <w:p>
      <w:pPr>
        <w:pStyle w:val="1089"/>
        <w:widowControl w:val="false"/>
        <w:pBdr/>
        <w:spacing/>
        <w:ind/>
        <w:rPr/>
      </w:pPr>
      <w:r>
        <w:t xml:space="preserve">Le présent RC (page de garde comprise) comporte les neuf (9) annexes suivantes :</w:t>
      </w:r>
      <w:r/>
    </w:p>
    <w:p>
      <w:pPr>
        <w:widowControl w:val="false"/>
        <w:pBdr/>
        <w:spacing w:after="100" w:before="100"/>
        <w:ind/>
        <w:jc w:val="center"/>
        <w:rPr>
          <w:color w:val="000000"/>
          <w:highlight w:val="lightGray"/>
        </w:rPr>
      </w:pPr>
      <w:r>
        <w:rPr>
          <w:color w:val="000000"/>
          <w:highlight w:val="lightGray"/>
        </w:rPr>
      </w:r>
      <w:r>
        <w:rPr>
          <w:color w:val="000000"/>
          <w:highlight w:val="lightGray"/>
        </w:rPr>
      </w:r>
    </w:p>
    <w:tbl>
      <w:tblPr>
        <w:tblW w:w="7765" w:type="dxa"/>
        <w:jc w:val="center"/>
        <w:tblBorders/>
        <w:tblLayout w:type="fixed"/>
        <w:tblCellMar>
          <w:left w:w="70" w:type="dxa"/>
          <w:right w:w="70" w:type="dxa"/>
        </w:tblCellMar>
        <w:tblLook w:val="0000" w:firstRow="0" w:lastRow="0" w:firstColumn="0" w:lastColumn="0" w:noHBand="0" w:noVBand="0"/>
      </w:tblPr>
      <w:tblGrid>
        <w:gridCol w:w="1278"/>
        <w:gridCol w:w="6487"/>
      </w:tblGrid>
      <w:tr>
        <w:trPr>
          <w:jc w:val="center"/>
        </w:trPr>
        <w:tc>
          <w:tcPr>
            <w:shd w:val="clear" w:color="auto" w:fill="auto"/>
            <w:tcBorders>
              <w:bottom w:val="single" w:color="000000" w:sz="4" w:space="0"/>
              <w:right w:val="single" w:color="000000" w:sz="4" w:space="0"/>
            </w:tcBorders>
            <w:tcW w:w="1278" w:type="dxa"/>
            <w:vAlign w:val="center"/>
            <w:textDirection w:val="lrTb"/>
            <w:noWrap w:val="false"/>
          </w:tcPr>
          <w:p>
            <w:pPr>
              <w:widowControl w:val="false"/>
              <w:pBdr/>
              <w:spacing w:after="60" w:before="60"/>
              <w:ind/>
              <w:jc w:val="center"/>
              <w:rPr>
                <w:bCs/>
                <w:color w:val="000000"/>
                <w:highlight w:val="lightGray"/>
              </w:rPr>
            </w:pPr>
            <w:r>
              <w:rPr>
                <w:bCs/>
                <w:color w:val="000000"/>
              </w:rPr>
              <w:t xml:space="preserve">Annexe I</w:t>
            </w:r>
            <w:r>
              <w:rPr>
                <w:bCs/>
                <w:color w:val="000000"/>
                <w:highlight w:val="lightGray"/>
              </w:rPr>
            </w:r>
          </w:p>
        </w:tc>
        <w:tc>
          <w:tcPr>
            <w:shd w:val="clear" w:color="auto" w:fill="auto"/>
            <w:tcBorders>
              <w:left w:val="single" w:color="000000" w:sz="4" w:space="0"/>
              <w:bottom w:val="single" w:color="000000" w:sz="4" w:space="0"/>
            </w:tcBorders>
            <w:tcMar>
              <w:left w:w="65" w:type="dxa"/>
            </w:tcMar>
            <w:tcW w:w="6486" w:type="dxa"/>
            <w:vAlign w:val="center"/>
            <w:textDirection w:val="lrTb"/>
            <w:noWrap w:val="false"/>
          </w:tcPr>
          <w:p>
            <w:pPr>
              <w:widowControl w:val="false"/>
              <w:pBdr/>
              <w:spacing w:after="60" w:before="60"/>
              <w:ind/>
              <w:jc w:val="left"/>
              <w:rPr>
                <w:bCs/>
                <w:color w:val="000000"/>
                <w:highlight w:val="lightGray"/>
              </w:rPr>
            </w:pPr>
            <w:r>
              <w:rPr>
                <w:bCs/>
                <w:color w:val="000000"/>
              </w:rPr>
              <w:t xml:space="preserve">Modalités de retrait du dossier de consultation et de remise du pli</w:t>
            </w:r>
            <w:r>
              <w:rPr>
                <w:bCs/>
                <w:color w:val="000000"/>
                <w:highlight w:val="lightGray"/>
              </w:rPr>
            </w:r>
          </w:p>
        </w:tc>
      </w:tr>
      <w:tr>
        <w:trPr>
          <w:jc w:val="center"/>
        </w:trPr>
        <w:tc>
          <w:tcPr>
            <w:shd w:val="clear" w:color="auto" w:fill="auto"/>
            <w:tcBorders>
              <w:top w:val="single" w:color="000000" w:sz="4" w:space="0"/>
              <w:bottom w:val="single" w:color="000000" w:sz="4" w:space="0"/>
              <w:right w:val="single" w:color="000000" w:sz="4" w:space="0"/>
            </w:tcBorders>
            <w:tcW w:w="1278" w:type="dxa"/>
            <w:vAlign w:val="center"/>
            <w:textDirection w:val="lrTb"/>
            <w:noWrap w:val="false"/>
          </w:tcPr>
          <w:p>
            <w:pPr>
              <w:widowControl w:val="false"/>
              <w:pBdr/>
              <w:spacing w:after="60" w:before="60"/>
              <w:ind/>
              <w:jc w:val="center"/>
              <w:rPr>
                <w:bCs/>
                <w:color w:val="000000"/>
              </w:rPr>
            </w:pPr>
            <w:r>
              <w:rPr>
                <w:bCs/>
                <w:color w:val="000000"/>
              </w:rPr>
              <w:t xml:space="preserve">Annexe II</w:t>
            </w:r>
            <w:r>
              <w:rPr>
                <w:bCs/>
                <w:color w:val="000000"/>
              </w:rPr>
            </w:r>
          </w:p>
        </w:tc>
        <w:tc>
          <w:tcPr>
            <w:shd w:val="clear" w:color="auto" w:fill="auto"/>
            <w:tcBorders>
              <w:top w:val="single" w:color="000000" w:sz="4" w:space="0"/>
              <w:left w:val="single" w:color="000000" w:sz="4" w:space="0"/>
              <w:bottom w:val="single" w:color="000000" w:sz="4" w:space="0"/>
            </w:tcBorders>
            <w:tcMar>
              <w:left w:w="65" w:type="dxa"/>
            </w:tcMar>
            <w:tcW w:w="6486" w:type="dxa"/>
            <w:vAlign w:val="center"/>
            <w:textDirection w:val="lrTb"/>
            <w:noWrap w:val="false"/>
          </w:tcPr>
          <w:p>
            <w:pPr>
              <w:widowControl w:val="false"/>
              <w:pBdr/>
              <w:spacing w:after="60" w:before="60"/>
              <w:ind/>
              <w:jc w:val="left"/>
              <w:rPr>
                <w:bCs/>
                <w:color w:val="000000"/>
              </w:rPr>
            </w:pPr>
            <w:r>
              <w:rPr>
                <w:bCs/>
                <w:color w:val="000000"/>
              </w:rPr>
              <w:t xml:space="preserve">Modalités de signature électronique</w:t>
            </w:r>
            <w:r>
              <w:rPr>
                <w:bCs/>
                <w:color w:val="000000"/>
              </w:rPr>
            </w:r>
          </w:p>
        </w:tc>
      </w:tr>
      <w:tr>
        <w:trPr>
          <w:jc w:val="center"/>
        </w:trPr>
        <w:tc>
          <w:tcPr>
            <w:shd w:val="clear" w:color="auto" w:fill="auto"/>
            <w:tcBorders>
              <w:top w:val="single" w:color="000000" w:sz="4" w:space="0"/>
              <w:bottom w:val="single" w:color="000000" w:sz="4" w:space="0"/>
              <w:right w:val="single" w:color="000000" w:sz="4" w:space="0"/>
            </w:tcBorders>
            <w:tcW w:w="1278" w:type="dxa"/>
            <w:vAlign w:val="center"/>
            <w:textDirection w:val="lrTb"/>
            <w:noWrap w:val="false"/>
          </w:tcPr>
          <w:p>
            <w:pPr>
              <w:widowControl w:val="false"/>
              <w:pBdr/>
              <w:spacing w:after="60" w:before="60"/>
              <w:ind/>
              <w:jc w:val="center"/>
              <w:rPr>
                <w:bCs/>
                <w:color w:val="000000"/>
                <w:highlight w:val="lightGray"/>
              </w:rPr>
            </w:pPr>
            <w:r>
              <w:rPr>
                <w:bCs/>
                <w:color w:val="000000"/>
              </w:rPr>
              <w:t xml:space="preserve">Annexe III</w:t>
            </w:r>
            <w:r>
              <w:rPr>
                <w:bCs/>
                <w:color w:val="000000"/>
                <w:highlight w:val="lightGray"/>
              </w:rPr>
            </w:r>
          </w:p>
        </w:tc>
        <w:tc>
          <w:tcPr>
            <w:shd w:val="clear" w:color="auto" w:fill="auto"/>
            <w:tcBorders>
              <w:top w:val="single" w:color="000000" w:sz="4" w:space="0"/>
              <w:left w:val="single" w:color="000000" w:sz="4" w:space="0"/>
              <w:bottom w:val="single" w:color="000000" w:sz="4" w:space="0"/>
            </w:tcBorders>
            <w:tcMar>
              <w:left w:w="65" w:type="dxa"/>
            </w:tcMar>
            <w:tcW w:w="6486" w:type="dxa"/>
            <w:vAlign w:val="center"/>
            <w:textDirection w:val="lrTb"/>
            <w:noWrap w:val="false"/>
          </w:tcPr>
          <w:p>
            <w:pPr>
              <w:widowControl w:val="false"/>
              <w:pBdr/>
              <w:spacing w:after="60" w:before="60"/>
              <w:ind/>
              <w:jc w:val="left"/>
              <w:rPr>
                <w:bCs/>
                <w:color w:val="000000"/>
                <w:highlight w:val="lightGray"/>
              </w:rPr>
            </w:pPr>
            <w:r>
              <w:rPr>
                <w:bCs/>
                <w:color w:val="000000"/>
              </w:rPr>
              <w:t xml:space="preserve">Formulaire DC1</w:t>
            </w:r>
            <w:r>
              <w:rPr>
                <w:bCs/>
                <w:color w:val="000000"/>
                <w:highlight w:val="lightGray"/>
              </w:rPr>
            </w:r>
          </w:p>
        </w:tc>
      </w:tr>
      <w:tr>
        <w:trPr>
          <w:jc w:val="center"/>
        </w:trPr>
        <w:tc>
          <w:tcPr>
            <w:shd w:val="clear" w:color="auto" w:fill="auto"/>
            <w:tcBorders>
              <w:top w:val="single" w:color="000000" w:sz="4" w:space="0"/>
              <w:bottom w:val="single" w:color="000000" w:sz="4" w:space="0"/>
              <w:right w:val="single" w:color="000000" w:sz="4" w:space="0"/>
            </w:tcBorders>
            <w:tcW w:w="1278" w:type="dxa"/>
            <w:vAlign w:val="center"/>
            <w:textDirection w:val="lrTb"/>
            <w:noWrap w:val="false"/>
          </w:tcPr>
          <w:p>
            <w:pPr>
              <w:widowControl w:val="false"/>
              <w:pBdr/>
              <w:spacing w:after="60" w:before="60"/>
              <w:ind/>
              <w:jc w:val="center"/>
              <w:rPr>
                <w:bCs/>
                <w:color w:val="000000"/>
              </w:rPr>
            </w:pPr>
            <w:r>
              <w:rPr>
                <w:bCs/>
                <w:color w:val="000000"/>
              </w:rPr>
              <w:t xml:space="preserve">Annexe IV</w:t>
            </w:r>
            <w:r>
              <w:rPr>
                <w:bCs/>
                <w:color w:val="000000"/>
              </w:rPr>
            </w:r>
          </w:p>
        </w:tc>
        <w:tc>
          <w:tcPr>
            <w:shd w:val="clear" w:color="auto" w:fill="auto"/>
            <w:tcBorders>
              <w:top w:val="single" w:color="000000" w:sz="4" w:space="0"/>
              <w:left w:val="single" w:color="000000" w:sz="4" w:space="0"/>
              <w:bottom w:val="single" w:color="000000" w:sz="4" w:space="0"/>
            </w:tcBorders>
            <w:tcMar>
              <w:left w:w="65" w:type="dxa"/>
            </w:tcMar>
            <w:tcW w:w="6486" w:type="dxa"/>
            <w:vAlign w:val="center"/>
            <w:textDirection w:val="lrTb"/>
            <w:noWrap w:val="false"/>
          </w:tcPr>
          <w:p>
            <w:pPr>
              <w:widowControl w:val="false"/>
              <w:pBdr/>
              <w:spacing w:after="60" w:before="60"/>
              <w:ind/>
              <w:jc w:val="left"/>
              <w:rPr>
                <w:bCs/>
                <w:color w:val="000000"/>
              </w:rPr>
            </w:pPr>
            <w:r>
              <w:rPr>
                <w:bCs/>
                <w:color w:val="000000"/>
              </w:rPr>
              <w:t xml:space="preserve">Formulaire DC2</w:t>
            </w:r>
            <w:r>
              <w:rPr>
                <w:bCs/>
                <w:color w:val="000000"/>
              </w:rPr>
            </w:r>
          </w:p>
        </w:tc>
      </w:tr>
      <w:tr>
        <w:trPr>
          <w:jc w:val="center"/>
        </w:trPr>
        <w:tc>
          <w:tcPr>
            <w:shd w:val="clear" w:color="auto" w:fill="auto"/>
            <w:tcBorders>
              <w:top w:val="single" w:color="000000" w:sz="4" w:space="0"/>
              <w:bottom w:val="single" w:color="000000" w:sz="4" w:space="0"/>
              <w:right w:val="single" w:color="000000" w:sz="4" w:space="0"/>
            </w:tcBorders>
            <w:tcW w:w="1278" w:type="dxa"/>
            <w:vAlign w:val="center"/>
            <w:textDirection w:val="lrTb"/>
            <w:noWrap w:val="false"/>
          </w:tcPr>
          <w:p>
            <w:pPr>
              <w:widowControl w:val="false"/>
              <w:pBdr/>
              <w:spacing w:after="60" w:before="60"/>
              <w:ind/>
              <w:jc w:val="center"/>
              <w:rPr>
                <w:bCs/>
                <w:color w:val="000000"/>
                <w:highlight w:val="lightGray"/>
              </w:rPr>
            </w:pPr>
            <w:r>
              <w:rPr>
                <w:bCs/>
                <w:color w:val="000000"/>
              </w:rPr>
              <w:t xml:space="preserve">Annexe V</w:t>
            </w:r>
            <w:r>
              <w:rPr>
                <w:bCs/>
                <w:color w:val="000000"/>
                <w:highlight w:val="lightGray"/>
              </w:rPr>
            </w:r>
          </w:p>
        </w:tc>
        <w:tc>
          <w:tcPr>
            <w:shd w:val="clear" w:color="auto" w:fill="auto"/>
            <w:tcBorders>
              <w:top w:val="single" w:color="000000" w:sz="4" w:space="0"/>
              <w:left w:val="single" w:color="000000" w:sz="4" w:space="0"/>
              <w:bottom w:val="single" w:color="000000" w:sz="4" w:space="0"/>
            </w:tcBorders>
            <w:tcMar>
              <w:left w:w="65" w:type="dxa"/>
            </w:tcMar>
            <w:tcW w:w="6486" w:type="dxa"/>
            <w:vAlign w:val="center"/>
            <w:textDirection w:val="lrTb"/>
            <w:noWrap w:val="false"/>
          </w:tcPr>
          <w:p>
            <w:pPr>
              <w:widowControl w:val="false"/>
              <w:pBdr/>
              <w:spacing w:after="60" w:before="60"/>
              <w:ind/>
              <w:jc w:val="left"/>
              <w:rPr>
                <w:bCs/>
                <w:color w:val="000000"/>
                <w:highlight w:val="lightGray"/>
              </w:rPr>
            </w:pPr>
            <w:r>
              <w:rPr>
                <w:bCs/>
                <w:color w:val="000000"/>
              </w:rPr>
              <w:t xml:space="preserve">Formulaire DC4</w:t>
            </w:r>
            <w:r>
              <w:rPr>
                <w:bCs/>
                <w:color w:val="000000"/>
                <w:highlight w:val="lightGray"/>
              </w:rPr>
            </w:r>
          </w:p>
        </w:tc>
      </w:tr>
      <w:tr>
        <w:trPr>
          <w:jc w:val="center"/>
        </w:trPr>
        <w:tc>
          <w:tcPr>
            <w:shd w:val="clear" w:color="auto" w:fill="auto"/>
            <w:tcBorders>
              <w:top w:val="single" w:color="000000" w:sz="4" w:space="0"/>
              <w:bottom w:val="single" w:color="000000" w:sz="4" w:space="0"/>
              <w:right w:val="single" w:color="000000" w:sz="4" w:space="0"/>
            </w:tcBorders>
            <w:tcW w:w="1278" w:type="dxa"/>
            <w:vAlign w:val="center"/>
            <w:textDirection w:val="lrTb"/>
            <w:noWrap w:val="false"/>
          </w:tcPr>
          <w:p>
            <w:pPr>
              <w:widowControl w:val="false"/>
              <w:pBdr/>
              <w:spacing w:after="60" w:before="60"/>
              <w:ind/>
              <w:jc w:val="center"/>
              <w:rPr>
                <w:bCs/>
                <w:color w:val="000000"/>
              </w:rPr>
            </w:pPr>
            <w:r>
              <w:rPr>
                <w:bCs/>
                <w:color w:val="000000"/>
              </w:rPr>
              <w:t xml:space="preserve">Annexe VI</w:t>
            </w:r>
            <w:r>
              <w:rPr>
                <w:bCs/>
                <w:color w:val="000000"/>
              </w:rPr>
            </w:r>
          </w:p>
        </w:tc>
        <w:tc>
          <w:tcPr>
            <w:shd w:val="clear" w:color="auto" w:fill="auto"/>
            <w:tcBorders>
              <w:top w:val="single" w:color="000000" w:sz="4" w:space="0"/>
              <w:left w:val="single" w:color="000000" w:sz="4" w:space="0"/>
              <w:bottom w:val="single" w:color="000000" w:sz="4" w:space="0"/>
            </w:tcBorders>
            <w:tcMar>
              <w:left w:w="65" w:type="dxa"/>
            </w:tcMar>
            <w:tcW w:w="6486" w:type="dxa"/>
            <w:vAlign w:val="center"/>
            <w:textDirection w:val="lrTb"/>
            <w:noWrap w:val="false"/>
          </w:tcPr>
          <w:p>
            <w:pPr>
              <w:widowControl w:val="false"/>
              <w:pBdr/>
              <w:spacing w:after="60" w:before="60"/>
              <w:ind/>
              <w:jc w:val="left"/>
              <w:rPr>
                <w:bCs/>
                <w:color w:val="000000"/>
              </w:rPr>
            </w:pPr>
            <w:r>
              <w:rPr>
                <w:bCs/>
                <w:color w:val="000000"/>
              </w:rPr>
              <w:t xml:space="preserve">Cadre de réponse technique</w:t>
            </w:r>
            <w:r>
              <w:rPr>
                <w:bCs/>
                <w:color w:val="000000"/>
              </w:rPr>
              <w:t xml:space="preserve"> et environnementale</w:t>
            </w:r>
            <w:r>
              <w:rPr>
                <w:bCs/>
                <w:color w:val="000000"/>
              </w:rPr>
            </w:r>
          </w:p>
        </w:tc>
      </w:tr>
      <w:tr>
        <w:trPr>
          <w:jc w:val="center"/>
        </w:trPr>
        <w:tc>
          <w:tcPr>
            <w:shd w:val="clear" w:color="auto" w:fill="auto"/>
            <w:tcBorders>
              <w:top w:val="single" w:color="000000" w:sz="4" w:space="0"/>
              <w:bottom w:val="single" w:color="000000" w:sz="4" w:space="0"/>
              <w:right w:val="single" w:color="000000" w:sz="4" w:space="0"/>
            </w:tcBorders>
            <w:tcW w:w="1278" w:type="dxa"/>
            <w:vAlign w:val="center"/>
            <w:textDirection w:val="lrTb"/>
            <w:noWrap w:val="false"/>
          </w:tcPr>
          <w:p>
            <w:pPr>
              <w:widowControl w:val="false"/>
              <w:pBdr/>
              <w:spacing w:after="60" w:before="60"/>
              <w:ind/>
              <w:jc w:val="center"/>
              <w:rPr>
                <w:bCs/>
                <w:color w:val="000000"/>
              </w:rPr>
            </w:pPr>
            <w:r>
              <w:rPr>
                <w:bCs/>
                <w:color w:val="000000"/>
              </w:rPr>
              <w:t xml:space="preserve">Annexe VII</w:t>
            </w:r>
            <w:r>
              <w:rPr>
                <w:bCs/>
                <w:color w:val="000000"/>
              </w:rPr>
            </w:r>
          </w:p>
        </w:tc>
        <w:tc>
          <w:tcPr>
            <w:shd w:val="clear" w:color="auto" w:fill="auto"/>
            <w:tcBorders>
              <w:top w:val="single" w:color="000000" w:sz="4" w:space="0"/>
              <w:left w:val="single" w:color="000000" w:sz="4" w:space="0"/>
              <w:bottom w:val="single" w:color="000000" w:sz="4" w:space="0"/>
            </w:tcBorders>
            <w:tcMar>
              <w:left w:w="65" w:type="dxa"/>
            </w:tcMar>
            <w:tcW w:w="6486" w:type="dxa"/>
            <w:vAlign w:val="center"/>
            <w:textDirection w:val="lrTb"/>
            <w:noWrap w:val="false"/>
          </w:tcPr>
          <w:p>
            <w:pPr>
              <w:widowControl w:val="false"/>
              <w:pBdr/>
              <w:spacing w:after="60" w:before="60"/>
              <w:ind/>
              <w:jc w:val="left"/>
              <w:rPr>
                <w:bCs/>
                <w:color w:val="000000"/>
              </w:rPr>
            </w:pPr>
            <w:r>
              <w:rPr>
                <w:bCs/>
                <w:color w:val="000000"/>
              </w:rPr>
              <w:t xml:space="preserve">Simulation financière</w:t>
            </w:r>
            <w:r>
              <w:rPr>
                <w:bCs/>
                <w:color w:val="000000"/>
              </w:rPr>
            </w:r>
          </w:p>
        </w:tc>
      </w:tr>
      <w:tr>
        <w:trPr>
          <w:jc w:val="center"/>
        </w:trPr>
        <w:tc>
          <w:tcPr>
            <w:shd w:val="clear" w:color="auto" w:fill="auto"/>
            <w:tcBorders>
              <w:top w:val="single" w:color="000000" w:sz="4" w:space="0"/>
              <w:bottom w:val="single" w:color="000000" w:sz="4" w:space="0"/>
              <w:right w:val="single" w:color="000000" w:sz="4" w:space="0"/>
            </w:tcBorders>
            <w:tcW w:w="1278" w:type="dxa"/>
            <w:vAlign w:val="center"/>
            <w:textDirection w:val="lrTb"/>
            <w:noWrap w:val="false"/>
          </w:tcPr>
          <w:p>
            <w:pPr>
              <w:widowControl w:val="false"/>
              <w:pBdr/>
              <w:spacing w:after="60" w:before="60"/>
              <w:ind/>
              <w:jc w:val="center"/>
              <w:rPr>
                <w:bCs/>
                <w:color w:val="000000"/>
              </w:rPr>
            </w:pPr>
            <w:r>
              <w:rPr>
                <w:bCs/>
                <w:color w:val="000000"/>
              </w:rPr>
              <w:t xml:space="preserve">Annexe VIII</w:t>
            </w:r>
            <w:r>
              <w:rPr>
                <w:bCs/>
                <w:color w:val="000000"/>
              </w:rPr>
            </w:r>
          </w:p>
        </w:tc>
        <w:tc>
          <w:tcPr>
            <w:shd w:val="clear" w:color="auto" w:fill="auto"/>
            <w:tcBorders>
              <w:top w:val="single" w:color="000000" w:sz="4" w:space="0"/>
              <w:left w:val="single" w:color="000000" w:sz="4" w:space="0"/>
              <w:bottom w:val="single" w:color="000000" w:sz="4" w:space="0"/>
            </w:tcBorders>
            <w:tcMar>
              <w:left w:w="65" w:type="dxa"/>
            </w:tcMar>
            <w:tcW w:w="6486" w:type="dxa"/>
            <w:vAlign w:val="center"/>
            <w:textDirection w:val="lrTb"/>
            <w:noWrap w:val="false"/>
          </w:tcPr>
          <w:p>
            <w:pPr>
              <w:widowControl w:val="false"/>
              <w:pBdr/>
              <w:spacing w:after="60" w:before="60"/>
              <w:ind/>
              <w:jc w:val="left"/>
              <w:rPr>
                <w:bCs/>
                <w:color w:val="000000"/>
              </w:rPr>
            </w:pPr>
            <w:r>
              <w:rPr>
                <w:bCs/>
                <w:color w:val="000000"/>
              </w:rPr>
              <w:t xml:space="preserve">Charte de déontologie</w:t>
            </w:r>
            <w:r>
              <w:rPr>
                <w:bCs/>
                <w:color w:val="000000"/>
              </w:rPr>
            </w:r>
          </w:p>
        </w:tc>
      </w:tr>
      <w:tr>
        <w:trPr>
          <w:jc w:val="center"/>
        </w:trPr>
        <w:tc>
          <w:tcPr>
            <w:shd w:val="clear" w:color="auto" w:fill="auto"/>
            <w:tcBorders>
              <w:top w:val="single" w:color="000000" w:sz="4" w:space="0"/>
              <w:right w:val="single" w:color="000000" w:sz="4" w:space="0"/>
            </w:tcBorders>
            <w:tcW w:w="1278" w:type="dxa"/>
            <w:vAlign w:val="center"/>
            <w:textDirection w:val="lrTb"/>
            <w:noWrap w:val="false"/>
          </w:tcPr>
          <w:p>
            <w:pPr>
              <w:widowControl w:val="false"/>
              <w:pBdr/>
              <w:spacing w:after="60" w:before="60"/>
              <w:ind/>
              <w:jc w:val="center"/>
              <w:rPr>
                <w:bCs/>
                <w:color w:val="000000"/>
              </w:rPr>
            </w:pPr>
            <w:r>
              <w:rPr>
                <w:bCs/>
                <w:color w:val="000000"/>
              </w:rPr>
              <w:t xml:space="preserve">Annexe IX</w:t>
            </w:r>
            <w:r>
              <w:rPr>
                <w:bCs/>
                <w:color w:val="000000"/>
              </w:rPr>
            </w:r>
          </w:p>
        </w:tc>
        <w:tc>
          <w:tcPr>
            <w:shd w:val="clear" w:color="auto" w:fill="auto"/>
            <w:tcBorders>
              <w:top w:val="single" w:color="000000" w:sz="4" w:space="0"/>
              <w:left w:val="single" w:color="000000" w:sz="4" w:space="0"/>
            </w:tcBorders>
            <w:tcMar>
              <w:left w:w="65" w:type="dxa"/>
            </w:tcMar>
            <w:tcW w:w="6486" w:type="dxa"/>
            <w:vAlign w:val="center"/>
            <w:textDirection w:val="lrTb"/>
            <w:noWrap w:val="false"/>
          </w:tcPr>
          <w:p>
            <w:pPr>
              <w:widowControl w:val="false"/>
              <w:pBdr/>
              <w:spacing w:after="60" w:before="60"/>
              <w:ind/>
              <w:jc w:val="left"/>
              <w:rPr>
                <w:bCs/>
                <w:color w:val="000000"/>
              </w:rPr>
            </w:pPr>
            <w:r>
              <w:rPr>
                <w:bCs/>
                <w:color w:val="000000"/>
              </w:rPr>
              <w:t xml:space="preserve">Engagement de confidentialité </w:t>
            </w:r>
            <w:r>
              <w:rPr>
                <w:bCs/>
                <w:color w:val="000000"/>
              </w:rPr>
            </w:r>
          </w:p>
        </w:tc>
      </w:tr>
    </w:tbl>
    <w:p>
      <w:pPr>
        <w:pStyle w:val="1089"/>
        <w:widowControl w:val="false"/>
        <w:pBdr/>
        <w:spacing/>
        <w:ind/>
        <w:rPr/>
      </w:pPr>
      <w:r/>
      <w:r/>
    </w:p>
    <w:p>
      <w:pPr>
        <w:pStyle w:val="1089"/>
        <w:widowControl w:val="false"/>
        <w:pBdr/>
        <w:spacing/>
        <w:ind/>
        <w:rPr/>
      </w:pPr>
      <w:r/>
      <w:r/>
    </w:p>
    <w:p>
      <w:pPr>
        <w:pStyle w:val="1089"/>
        <w:widowControl w:val="false"/>
        <w:pBdr/>
        <w:spacing/>
        <w:ind/>
        <w:rPr/>
      </w:pPr>
      <w:r>
        <w:t xml:space="preserve">Le RC définit les règles applicables dans le cadre de la présente consultation.</w:t>
      </w:r>
      <w:r/>
    </w:p>
    <w:p>
      <w:pPr>
        <w:pStyle w:val="1089"/>
        <w:widowControl w:val="false"/>
        <w:pBdr/>
        <w:spacing/>
        <w:ind/>
        <w:rPr/>
      </w:pPr>
      <w:r>
        <w:t xml:space="preserve">Ce document n’est pas destiné à être retourné à l’administration.</w:t>
      </w:r>
      <w:r/>
    </w:p>
    <w:p>
      <w:pPr>
        <w:widowControl w:val="false"/>
        <w:pBdr/>
        <w:spacing/>
        <w:ind/>
        <w:jc w:val="center"/>
        <w:rPr/>
        <w:sectPr>
          <w:headerReference w:type="default" r:id="rId9"/>
          <w:footerReference w:type="default" r:id="rId12"/>
          <w:footnotePr/>
          <w:endnotePr/>
          <w:type w:val="nextPage"/>
          <w:pgSz w:h="16838" w:orient="portrait" w:w="11906"/>
          <w:pgMar w:top="851" w:right="1134" w:bottom="851" w:left="1134" w:header="284" w:footer="720" w:gutter="0"/>
          <w:cols w:num="1" w:sep="0" w:space="720" w:equalWidth="1"/>
        </w:sectPr>
      </w:pPr>
      <w:r/>
      <w:r/>
    </w:p>
    <w:p>
      <w:pPr>
        <w:widowControl w:val="false"/>
        <w:pBdr>
          <w:top w:val="single" w:color="00000a" w:sz="6" w:space="1"/>
          <w:bottom w:val="single" w:color="00000a" w:sz="6" w:space="1"/>
        </w:pBdr>
        <w:spacing w:after="0" w:before="0"/>
        <w:ind/>
        <w:jc w:val="center"/>
        <w:rPr>
          <w:b/>
          <w:caps/>
        </w:rPr>
      </w:pPr>
      <w:r>
        <w:rPr>
          <w:b/>
          <w:caps/>
        </w:rPr>
        <w:t xml:space="preserve">Service acheteur</w:t>
      </w:r>
      <w:r>
        <w:rPr>
          <w:b/>
          <w:caps/>
        </w:rPr>
      </w:r>
    </w:p>
    <w:p>
      <w:pPr>
        <w:widowControl w:val="false"/>
        <w:pBdr/>
        <w:spacing w:after="0"/>
        <w:ind/>
        <w:jc w:val="center"/>
        <w:rPr>
          <w:caps/>
        </w:rPr>
      </w:pPr>
      <w:r>
        <w:rPr>
          <w:caps/>
        </w:rPr>
        <w:t xml:space="preserve">ministère de l’interieur</w:t>
      </w:r>
      <w:r>
        <w:rPr>
          <w:caps/>
        </w:rPr>
      </w:r>
    </w:p>
    <w:p>
      <w:pPr>
        <w:pStyle w:val="1089"/>
        <w:widowControl w:val="false"/>
        <w:pBdr/>
        <w:spacing/>
        <w:ind/>
        <w:rPr>
          <w:caps/>
        </w:rPr>
      </w:pPr>
      <w:r>
        <w:rPr>
          <w:caps/>
        </w:rPr>
        <w:t xml:space="preserve">DIRECTION DE L’EVALUATION, DE LA PERFORMANCE, DE L’ACHAT, DES FINANCES ET DE L’IMMOBILIER</w:t>
      </w:r>
      <w:r>
        <w:rPr>
          <w:caps/>
        </w:rPr>
      </w:r>
    </w:p>
    <w:p>
      <w:pPr>
        <w:widowControl w:val="false"/>
        <w:pBdr/>
        <w:spacing w:before="0"/>
        <w:ind/>
        <w:jc w:val="center"/>
        <w:rPr>
          <w:caps/>
        </w:rPr>
      </w:pPr>
      <w:r>
        <w:rPr>
          <w:caps/>
        </w:rPr>
        <w:t xml:space="preserve">place beauvau – 75800 paris cedex 08</w:t>
      </w:r>
      <w:r>
        <w:rPr>
          <w:caps/>
        </w:rPr>
      </w:r>
    </w:p>
    <w:p>
      <w:pPr>
        <w:widowControl w:val="false"/>
        <w:pBdr>
          <w:top w:val="single" w:color="00000a" w:sz="6" w:space="1"/>
          <w:bottom w:val="single" w:color="00000a" w:sz="6" w:space="1"/>
        </w:pBdr>
        <w:spacing w:after="240"/>
        <w:ind/>
        <w:jc w:val="center"/>
        <w:rPr>
          <w:sz w:val="2"/>
        </w:rPr>
      </w:pPr>
      <w:r>
        <w:rPr>
          <w:b/>
          <w:caps/>
        </w:rPr>
        <w:t xml:space="preserve">Sommaire</w:t>
      </w:r>
      <w:r>
        <w:rPr>
          <w:sz w:val="2"/>
        </w:rPr>
      </w:r>
    </w:p>
    <w:sdt>
      <w:sdtPr>
        <w15:appearance w15:val="boundingBox"/>
        <w:id w:val="-975826312"/>
        <w:docPartObj>
          <w:docPartGallery w:val="Table of Contents"/>
          <w:docPartUnique w:val="true"/>
        </w:docPartObj>
        <w:rPr/>
      </w:sdtPr>
      <w:sdtContent>
        <w:p>
          <w:pPr>
            <w:pStyle w:val="1100"/>
            <w:pBdr/>
            <w:spacing/>
            <w:ind/>
            <w:rPr>
              <w:rFonts w:eastAsiaTheme="minorEastAsia" w:cstheme="minorBidi"/>
              <w:b w:val="0"/>
              <w:bCs w:val="0"/>
              <w:caps w:val="0"/>
              <w:u w:val="none"/>
            </w:rPr>
          </w:pPr>
          <w:r>
            <w:fldChar w:fldCharType="begin"/>
          </w:r>
          <w:r>
            <w:rPr>
              <w:rStyle w:val="990"/>
            </w:rPr>
            <w:instrText xml:space="preserve">TOC \z \o "1-3" \u \h</w:instrText>
          </w:r>
          <w:r>
            <w:rPr>
              <w:rStyle w:val="990"/>
            </w:rPr>
            <w:fldChar w:fldCharType="separate"/>
          </w:r>
          <w:hyperlink w:tooltip="#_Toc206749634" w:anchor="_Toc206749634" w:history="1">
            <w:r>
              <w:rPr>
                <w:rStyle w:val="1110"/>
              </w:rPr>
              <w:t xml:space="preserve">Article I. CARACTERISTIQUE GENERALES DE LA CONSULTATION</w:t>
            </w:r>
            <w:r>
              <w:tab/>
            </w:r>
            <w:r>
              <w:fldChar w:fldCharType="begin"/>
            </w:r>
            <w:r>
              <w:instrText xml:space="preserve"> PAGEREF _Toc206749634 \h </w:instrText>
            </w:r>
            <w:r/>
            <w:r>
              <w:fldChar w:fldCharType="separate"/>
            </w:r>
            <w:r>
              <w:t xml:space="preserve">4</w:t>
            </w:r>
            <w:r>
              <w:fldChar w:fldCharType="end"/>
            </w:r>
          </w:hyperlink>
          <w:r/>
          <w:r>
            <w:rPr>
              <w:rFonts w:eastAsiaTheme="minorEastAsia" w:cstheme="minorBidi"/>
              <w:b w:val="0"/>
              <w:bCs w:val="0"/>
              <w:caps w:val="0"/>
              <w:u w:val="none"/>
            </w:rPr>
          </w:r>
        </w:p>
        <w:p>
          <w:pPr>
            <w:pStyle w:val="1101"/>
            <w:pBdr/>
            <w:tabs>
              <w:tab w:val="left" w:leader="none" w:pos="449"/>
              <w:tab w:val="right" w:leader="dot" w:pos="9628"/>
            </w:tabs>
            <w:spacing/>
            <w:ind/>
            <w:rPr>
              <w:rFonts w:eastAsiaTheme="minorEastAsia" w:cstheme="minorBidi"/>
              <w:b w:val="0"/>
              <w:bCs w:val="0"/>
              <w:smallCaps w:val="0"/>
            </w:rPr>
          </w:pPr>
          <w:r/>
          <w:hyperlink w:tooltip="#_Toc206749635" w:anchor="_Toc206749635" w:history="1">
            <w:r>
              <w:rPr>
                <w:rStyle w:val="1110"/>
              </w:rPr>
              <w:t xml:space="preserve">I.1</w:t>
            </w:r>
            <w:r>
              <w:rPr>
                <w:rFonts w:eastAsiaTheme="minorEastAsia" w:cstheme="minorBidi"/>
                <w:b w:val="0"/>
                <w:bCs w:val="0"/>
                <w:smallCaps w:val="0"/>
              </w:rPr>
              <w:tab/>
            </w:r>
            <w:r>
              <w:rPr>
                <w:rStyle w:val="1110"/>
              </w:rPr>
              <w:t xml:space="preserve">Procedure de passation et forme de l’accord-cadre</w:t>
            </w:r>
            <w:r>
              <w:tab/>
            </w:r>
            <w:r>
              <w:fldChar w:fldCharType="begin"/>
            </w:r>
            <w:r>
              <w:instrText xml:space="preserve"> PAGEREF _Toc206749635 \h </w:instrText>
            </w:r>
            <w:r/>
            <w:r>
              <w:fldChar w:fldCharType="separate"/>
            </w:r>
            <w:r>
              <w:t xml:space="preserve">4</w:t>
            </w:r>
            <w:r>
              <w:fldChar w:fldCharType="end"/>
            </w:r>
          </w:hyperlink>
          <w:r/>
          <w:r>
            <w:rPr>
              <w:rFonts w:eastAsiaTheme="minorEastAsia" w:cstheme="minorBidi"/>
              <w:b w:val="0"/>
              <w:bCs w:val="0"/>
              <w:smallCaps w:val="0"/>
            </w:rPr>
          </w:r>
        </w:p>
        <w:p>
          <w:pPr>
            <w:pStyle w:val="1101"/>
            <w:pBdr/>
            <w:tabs>
              <w:tab w:val="left" w:leader="none" w:pos="449"/>
              <w:tab w:val="right" w:leader="dot" w:pos="9628"/>
            </w:tabs>
            <w:spacing/>
            <w:ind/>
            <w:rPr>
              <w:rFonts w:eastAsiaTheme="minorEastAsia" w:cstheme="minorBidi"/>
              <w:b w:val="0"/>
              <w:bCs w:val="0"/>
              <w:smallCaps w:val="0"/>
            </w:rPr>
          </w:pPr>
          <w:r/>
          <w:hyperlink w:tooltip="#_Toc206749636" w:anchor="_Toc206749636" w:history="1">
            <w:r>
              <w:rPr>
                <w:rStyle w:val="1110"/>
              </w:rPr>
              <w:t xml:space="preserve">I.2</w:t>
            </w:r>
            <w:r>
              <w:rPr>
                <w:rFonts w:eastAsiaTheme="minorEastAsia" w:cstheme="minorBidi"/>
                <w:b w:val="0"/>
                <w:bCs w:val="0"/>
                <w:smallCaps w:val="0"/>
              </w:rPr>
              <w:tab/>
            </w:r>
            <w:r>
              <w:rPr>
                <w:rStyle w:val="1110"/>
              </w:rPr>
              <w:t xml:space="preserve">Textes de référence</w:t>
            </w:r>
            <w:r>
              <w:tab/>
            </w:r>
            <w:r>
              <w:fldChar w:fldCharType="begin"/>
            </w:r>
            <w:r>
              <w:instrText xml:space="preserve"> PAGEREF _Toc206749636 \h </w:instrText>
            </w:r>
            <w:r/>
            <w:r>
              <w:fldChar w:fldCharType="separate"/>
            </w:r>
            <w:r>
              <w:t xml:space="preserve">4</w:t>
            </w:r>
            <w:r>
              <w:fldChar w:fldCharType="end"/>
            </w:r>
          </w:hyperlink>
          <w:r/>
          <w:r>
            <w:rPr>
              <w:rFonts w:eastAsiaTheme="minorEastAsia" w:cstheme="minorBidi"/>
              <w:b w:val="0"/>
              <w:bCs w:val="0"/>
              <w:smallCaps w:val="0"/>
            </w:rPr>
          </w:r>
        </w:p>
        <w:p>
          <w:pPr>
            <w:pStyle w:val="1101"/>
            <w:pBdr/>
            <w:tabs>
              <w:tab w:val="left" w:leader="none" w:pos="449"/>
              <w:tab w:val="right" w:leader="dot" w:pos="9628"/>
            </w:tabs>
            <w:spacing/>
            <w:ind/>
            <w:rPr>
              <w:rFonts w:eastAsiaTheme="minorEastAsia" w:cstheme="minorBidi"/>
              <w:b w:val="0"/>
              <w:bCs w:val="0"/>
              <w:smallCaps w:val="0"/>
            </w:rPr>
          </w:pPr>
          <w:r/>
          <w:hyperlink w:tooltip="#_Toc206749637" w:anchor="_Toc206749637" w:history="1">
            <w:r>
              <w:rPr>
                <w:rStyle w:val="1110"/>
              </w:rPr>
              <w:t xml:space="preserve">I.3</w:t>
            </w:r>
            <w:r>
              <w:rPr>
                <w:rFonts w:eastAsiaTheme="minorEastAsia" w:cstheme="minorBidi"/>
                <w:b w:val="0"/>
                <w:bCs w:val="0"/>
                <w:smallCaps w:val="0"/>
              </w:rPr>
              <w:tab/>
            </w:r>
            <w:r>
              <w:rPr>
                <w:rStyle w:val="1110"/>
              </w:rPr>
              <w:t xml:space="preserve">Déontologie</w:t>
            </w:r>
            <w:r>
              <w:tab/>
            </w:r>
            <w:r>
              <w:fldChar w:fldCharType="begin"/>
            </w:r>
            <w:r>
              <w:instrText xml:space="preserve"> PAGEREF _Toc206749637 \h </w:instrText>
            </w:r>
            <w:r/>
            <w:r>
              <w:fldChar w:fldCharType="separate"/>
            </w:r>
            <w:r>
              <w:t xml:space="preserve">4</w:t>
            </w:r>
            <w:r>
              <w:fldChar w:fldCharType="end"/>
            </w:r>
          </w:hyperlink>
          <w:r/>
          <w:r>
            <w:rPr>
              <w:rFonts w:eastAsiaTheme="minorEastAsia" w:cstheme="minorBidi"/>
              <w:b w:val="0"/>
              <w:bCs w:val="0"/>
              <w:smallCaps w:val="0"/>
            </w:rPr>
          </w:r>
        </w:p>
        <w:p>
          <w:pPr>
            <w:pStyle w:val="1101"/>
            <w:pBdr/>
            <w:tabs>
              <w:tab w:val="left" w:leader="none" w:pos="449"/>
              <w:tab w:val="right" w:leader="dot" w:pos="9628"/>
            </w:tabs>
            <w:spacing/>
            <w:ind/>
            <w:rPr>
              <w:rFonts w:eastAsiaTheme="minorEastAsia" w:cstheme="minorBidi"/>
              <w:b w:val="0"/>
              <w:bCs w:val="0"/>
              <w:smallCaps w:val="0"/>
            </w:rPr>
          </w:pPr>
          <w:r/>
          <w:hyperlink w:tooltip="#_Toc206749638" w:anchor="_Toc206749638" w:history="1">
            <w:r>
              <w:rPr>
                <w:rStyle w:val="1110"/>
              </w:rPr>
              <w:t xml:space="preserve">I.4</w:t>
            </w:r>
            <w:r>
              <w:rPr>
                <w:rFonts w:eastAsiaTheme="minorEastAsia" w:cstheme="minorBidi"/>
                <w:b w:val="0"/>
                <w:bCs w:val="0"/>
                <w:smallCaps w:val="0"/>
              </w:rPr>
              <w:tab/>
            </w:r>
            <w:r>
              <w:rPr>
                <w:rStyle w:val="1110"/>
              </w:rPr>
              <w:t xml:space="preserve">Objet de la consultation</w:t>
            </w:r>
            <w:r>
              <w:tab/>
            </w:r>
            <w:r>
              <w:fldChar w:fldCharType="begin"/>
            </w:r>
            <w:r>
              <w:instrText xml:space="preserve"> PAGEREF _Toc206749638 \h </w:instrText>
            </w:r>
            <w:r/>
            <w:r>
              <w:fldChar w:fldCharType="separate"/>
            </w:r>
            <w:r>
              <w:t xml:space="preserve">4</w:t>
            </w:r>
            <w:r>
              <w:fldChar w:fldCharType="end"/>
            </w:r>
          </w:hyperlink>
          <w:r/>
          <w:r>
            <w:rPr>
              <w:rFonts w:eastAsiaTheme="minorEastAsia" w:cstheme="minorBidi"/>
              <w:b w:val="0"/>
              <w:bCs w:val="0"/>
              <w:smallCaps w:val="0"/>
            </w:rPr>
          </w:r>
        </w:p>
        <w:p>
          <w:pPr>
            <w:pStyle w:val="1102"/>
            <w:pBdr/>
            <w:tabs>
              <w:tab w:val="left" w:leader="none" w:pos="610"/>
              <w:tab w:val="right" w:leader="dot" w:pos="9628"/>
            </w:tabs>
            <w:spacing/>
            <w:ind/>
            <w:rPr>
              <w:rFonts w:eastAsiaTheme="minorEastAsia" w:cstheme="minorBidi"/>
              <w:smallCaps w:val="0"/>
            </w:rPr>
          </w:pPr>
          <w:r/>
          <w:hyperlink w:tooltip="#_Toc206749639" w:anchor="_Toc206749639" w:history="1">
            <w:r>
              <w:rPr>
                <w:rStyle w:val="1110"/>
              </w:rPr>
              <w:t xml:space="preserve">I.4.1</w:t>
            </w:r>
            <w:r>
              <w:rPr>
                <w:rFonts w:eastAsiaTheme="minorEastAsia" w:cstheme="minorBidi"/>
                <w:smallCaps w:val="0"/>
              </w:rPr>
              <w:tab/>
            </w:r>
            <w:r>
              <w:rPr>
                <w:rStyle w:val="1110"/>
              </w:rPr>
              <w:t xml:space="preserve">Intitulé de la consultation</w:t>
            </w:r>
            <w:r>
              <w:tab/>
            </w:r>
            <w:r>
              <w:fldChar w:fldCharType="begin"/>
            </w:r>
            <w:r>
              <w:instrText xml:space="preserve"> PAGEREF _Toc206749639 \h </w:instrText>
            </w:r>
            <w:r/>
            <w:r>
              <w:fldChar w:fldCharType="separate"/>
            </w:r>
            <w:r>
              <w:t xml:space="preserve">4</w:t>
            </w:r>
            <w:r>
              <w:fldChar w:fldCharType="end"/>
            </w:r>
          </w:hyperlink>
          <w:r/>
          <w:r>
            <w:rPr>
              <w:rFonts w:eastAsiaTheme="minorEastAsia" w:cstheme="minorBidi"/>
              <w:smallCaps w:val="0"/>
            </w:rPr>
          </w:r>
        </w:p>
        <w:p>
          <w:pPr>
            <w:pStyle w:val="1102"/>
            <w:pBdr/>
            <w:tabs>
              <w:tab w:val="left" w:leader="none" w:pos="610"/>
              <w:tab w:val="right" w:leader="dot" w:pos="9628"/>
            </w:tabs>
            <w:spacing/>
            <w:ind/>
            <w:rPr>
              <w:rFonts w:eastAsiaTheme="minorEastAsia" w:cstheme="minorBidi"/>
              <w:smallCaps w:val="0"/>
            </w:rPr>
          </w:pPr>
          <w:r/>
          <w:hyperlink w:tooltip="#_Toc206749640" w:anchor="_Toc206749640" w:history="1">
            <w:r>
              <w:rPr>
                <w:rStyle w:val="1110"/>
              </w:rPr>
              <w:t xml:space="preserve">I.4.2</w:t>
            </w:r>
            <w:r>
              <w:rPr>
                <w:rFonts w:eastAsiaTheme="minorEastAsia" w:cstheme="minorBidi"/>
                <w:smallCaps w:val="0"/>
              </w:rPr>
              <w:tab/>
            </w:r>
            <w:r>
              <w:rPr>
                <w:rStyle w:val="1110"/>
              </w:rPr>
              <w:t xml:space="preserve">Type d’accord-cadre</w:t>
            </w:r>
            <w:r>
              <w:tab/>
            </w:r>
            <w:r>
              <w:fldChar w:fldCharType="begin"/>
            </w:r>
            <w:r>
              <w:instrText xml:space="preserve"> PAGEREF _Toc206749640 \h </w:instrText>
            </w:r>
            <w:r/>
            <w:r>
              <w:fldChar w:fldCharType="separate"/>
            </w:r>
            <w:r>
              <w:t xml:space="preserve">4</w:t>
            </w:r>
            <w:r>
              <w:fldChar w:fldCharType="end"/>
            </w:r>
          </w:hyperlink>
          <w:r/>
          <w:r>
            <w:rPr>
              <w:rFonts w:eastAsiaTheme="minorEastAsia" w:cstheme="minorBidi"/>
              <w:smallCaps w:val="0"/>
            </w:rPr>
          </w:r>
        </w:p>
        <w:p>
          <w:pPr>
            <w:pStyle w:val="1102"/>
            <w:pBdr/>
            <w:tabs>
              <w:tab w:val="left" w:leader="none" w:pos="610"/>
              <w:tab w:val="right" w:leader="dot" w:pos="9628"/>
            </w:tabs>
            <w:spacing/>
            <w:ind/>
            <w:rPr>
              <w:rFonts w:eastAsiaTheme="minorEastAsia" w:cstheme="minorBidi"/>
              <w:smallCaps w:val="0"/>
            </w:rPr>
          </w:pPr>
          <w:r/>
          <w:hyperlink w:tooltip="#_Toc206749641" w:anchor="_Toc206749641" w:history="1">
            <w:r>
              <w:rPr>
                <w:rStyle w:val="1110"/>
              </w:rPr>
              <w:t xml:space="preserve">I.4.3</w:t>
            </w:r>
            <w:r>
              <w:rPr>
                <w:rFonts w:eastAsiaTheme="minorEastAsia" w:cstheme="minorBidi"/>
                <w:smallCaps w:val="0"/>
              </w:rPr>
              <w:tab/>
            </w:r>
            <w:r>
              <w:rPr>
                <w:rStyle w:val="1110"/>
              </w:rPr>
              <w:t xml:space="preserve">Lieu principal d’exécution des prestations</w:t>
            </w:r>
            <w:r>
              <w:tab/>
            </w:r>
            <w:r>
              <w:fldChar w:fldCharType="begin"/>
            </w:r>
            <w:r>
              <w:instrText xml:space="preserve"> PAGEREF _Toc206749641 \h </w:instrText>
            </w:r>
            <w:r/>
            <w:r>
              <w:fldChar w:fldCharType="separate"/>
            </w:r>
            <w:r>
              <w:t xml:space="preserve">4</w:t>
            </w:r>
            <w:r>
              <w:fldChar w:fldCharType="end"/>
            </w:r>
          </w:hyperlink>
          <w:r/>
          <w:r>
            <w:rPr>
              <w:rFonts w:eastAsiaTheme="minorEastAsia" w:cstheme="minorBidi"/>
              <w:smallCaps w:val="0"/>
            </w:rPr>
          </w:r>
        </w:p>
        <w:p>
          <w:pPr>
            <w:pStyle w:val="1102"/>
            <w:pBdr/>
            <w:tabs>
              <w:tab w:val="left" w:leader="none" w:pos="610"/>
              <w:tab w:val="right" w:leader="dot" w:pos="9628"/>
            </w:tabs>
            <w:spacing/>
            <w:ind/>
            <w:rPr>
              <w:rFonts w:eastAsiaTheme="minorEastAsia" w:cstheme="minorBidi"/>
              <w:smallCaps w:val="0"/>
            </w:rPr>
          </w:pPr>
          <w:r/>
          <w:hyperlink w:tooltip="#_Toc206749642" w:anchor="_Toc206749642" w:history="1">
            <w:r>
              <w:rPr>
                <w:rStyle w:val="1110"/>
              </w:rPr>
              <w:t xml:space="preserve">I.4.4</w:t>
            </w:r>
            <w:r>
              <w:rPr>
                <w:rFonts w:eastAsiaTheme="minorEastAsia" w:cstheme="minorBidi"/>
                <w:smallCaps w:val="0"/>
              </w:rPr>
              <w:tab/>
            </w:r>
            <w:r>
              <w:rPr>
                <w:rStyle w:val="1110"/>
              </w:rPr>
              <w:t xml:space="preserve">Caractéristiques principales de l’accord-cadre</w:t>
            </w:r>
            <w:r>
              <w:tab/>
            </w:r>
            <w:r>
              <w:fldChar w:fldCharType="begin"/>
            </w:r>
            <w:r>
              <w:instrText xml:space="preserve"> PAGEREF _Toc206749642 \h </w:instrText>
            </w:r>
            <w:r/>
            <w:r>
              <w:fldChar w:fldCharType="separate"/>
            </w:r>
            <w:r>
              <w:t xml:space="preserve">5</w:t>
            </w:r>
            <w:r>
              <w:fldChar w:fldCharType="end"/>
            </w:r>
          </w:hyperlink>
          <w:r/>
          <w:r>
            <w:rPr>
              <w:rFonts w:eastAsiaTheme="minorEastAsia" w:cstheme="minorBidi"/>
              <w:smallCaps w:val="0"/>
            </w:rPr>
          </w:r>
        </w:p>
        <w:p>
          <w:pPr>
            <w:pStyle w:val="1102"/>
            <w:pBdr/>
            <w:tabs>
              <w:tab w:val="left" w:leader="none" w:pos="610"/>
              <w:tab w:val="right" w:leader="dot" w:pos="9628"/>
            </w:tabs>
            <w:spacing/>
            <w:ind/>
            <w:rPr>
              <w:rFonts w:eastAsiaTheme="minorEastAsia" w:cstheme="minorBidi"/>
              <w:smallCaps w:val="0"/>
            </w:rPr>
          </w:pPr>
          <w:r/>
          <w:hyperlink w:tooltip="#_Toc206749643" w:anchor="_Toc206749643" w:history="1">
            <w:r>
              <w:rPr>
                <w:rStyle w:val="1110"/>
              </w:rPr>
              <w:t xml:space="preserve">I.4.5</w:t>
            </w:r>
            <w:r>
              <w:rPr>
                <w:rFonts w:eastAsiaTheme="minorEastAsia" w:cstheme="minorBidi"/>
                <w:smallCaps w:val="0"/>
              </w:rPr>
              <w:tab/>
            </w:r>
            <w:r>
              <w:rPr>
                <w:rStyle w:val="1110"/>
              </w:rPr>
              <w:t xml:space="preserve">Nomenclature communautaire CPV</w:t>
            </w:r>
            <w:r>
              <w:tab/>
            </w:r>
            <w:r>
              <w:fldChar w:fldCharType="begin"/>
            </w:r>
            <w:r>
              <w:instrText xml:space="preserve"> PAGEREF _Toc206749643 \h </w:instrText>
            </w:r>
            <w:r/>
            <w:r>
              <w:fldChar w:fldCharType="separate"/>
            </w:r>
            <w:r>
              <w:t xml:space="preserve">6</w:t>
            </w:r>
            <w:r>
              <w:fldChar w:fldCharType="end"/>
            </w:r>
          </w:hyperlink>
          <w:r/>
          <w:r>
            <w:rPr>
              <w:rFonts w:eastAsiaTheme="minorEastAsia" w:cstheme="minorBidi"/>
              <w:smallCaps w:val="0"/>
            </w:rPr>
          </w:r>
        </w:p>
        <w:p>
          <w:pPr>
            <w:pStyle w:val="1102"/>
            <w:pBdr/>
            <w:tabs>
              <w:tab w:val="left" w:leader="none" w:pos="610"/>
              <w:tab w:val="right" w:leader="dot" w:pos="9628"/>
            </w:tabs>
            <w:spacing/>
            <w:ind/>
            <w:rPr>
              <w:rFonts w:eastAsiaTheme="minorEastAsia" w:cstheme="minorBidi"/>
              <w:smallCaps w:val="0"/>
            </w:rPr>
          </w:pPr>
          <w:r/>
          <w:hyperlink w:tooltip="#_Toc206749644" w:anchor="_Toc206749644" w:history="1">
            <w:r>
              <w:rPr>
                <w:rStyle w:val="1110"/>
              </w:rPr>
              <w:t xml:space="preserve">I.4.6</w:t>
            </w:r>
            <w:r>
              <w:rPr>
                <w:rFonts w:eastAsiaTheme="minorEastAsia" w:cstheme="minorBidi"/>
                <w:smallCaps w:val="0"/>
              </w:rPr>
              <w:tab/>
            </w:r>
            <w:r>
              <w:rPr>
                <w:rStyle w:val="1110"/>
              </w:rPr>
              <w:t xml:space="preserve">Allotissement</w:t>
            </w:r>
            <w:r>
              <w:tab/>
            </w:r>
            <w:r>
              <w:fldChar w:fldCharType="begin"/>
            </w:r>
            <w:r>
              <w:instrText xml:space="preserve"> PAGEREF _Toc206749644 \h </w:instrText>
            </w:r>
            <w:r/>
            <w:r>
              <w:fldChar w:fldCharType="separate"/>
            </w:r>
            <w:r>
              <w:t xml:space="preserve">6</w:t>
            </w:r>
            <w:r>
              <w:fldChar w:fldCharType="end"/>
            </w:r>
          </w:hyperlink>
          <w:r/>
          <w:r>
            <w:rPr>
              <w:rFonts w:eastAsiaTheme="minorEastAsia" w:cstheme="minorBidi"/>
              <w:smallCaps w:val="0"/>
            </w:rPr>
          </w:r>
        </w:p>
        <w:p>
          <w:pPr>
            <w:pStyle w:val="1102"/>
            <w:pBdr/>
            <w:tabs>
              <w:tab w:val="left" w:leader="none" w:pos="610"/>
              <w:tab w:val="right" w:leader="dot" w:pos="9628"/>
            </w:tabs>
            <w:spacing/>
            <w:ind/>
            <w:rPr>
              <w:rFonts w:eastAsiaTheme="minorEastAsia" w:cstheme="minorBidi"/>
              <w:smallCaps w:val="0"/>
            </w:rPr>
          </w:pPr>
          <w:r/>
          <w:hyperlink w:tooltip="#_Toc206749645" w:anchor="_Toc206749645" w:history="1">
            <w:r>
              <w:rPr>
                <w:rStyle w:val="1110"/>
              </w:rPr>
              <w:t xml:space="preserve">I.4.7</w:t>
            </w:r>
            <w:r>
              <w:rPr>
                <w:rFonts w:eastAsiaTheme="minorEastAsia" w:cstheme="minorBidi"/>
                <w:smallCaps w:val="0"/>
              </w:rPr>
              <w:tab/>
            </w:r>
            <w:r>
              <w:rPr>
                <w:rStyle w:val="1110"/>
              </w:rPr>
              <w:t xml:space="preserve">Découpage de l’accord-cadre</w:t>
            </w:r>
            <w:r>
              <w:tab/>
            </w:r>
            <w:r>
              <w:fldChar w:fldCharType="begin"/>
            </w:r>
            <w:r>
              <w:instrText xml:space="preserve"> PAGEREF _Toc206749645 \h </w:instrText>
            </w:r>
            <w:r/>
            <w:r>
              <w:fldChar w:fldCharType="separate"/>
            </w:r>
            <w:r>
              <w:t xml:space="preserve">6</w:t>
            </w:r>
            <w:r>
              <w:fldChar w:fldCharType="end"/>
            </w:r>
          </w:hyperlink>
          <w:r/>
          <w:r>
            <w:rPr>
              <w:rFonts w:eastAsiaTheme="minorEastAsia" w:cstheme="minorBidi"/>
              <w:smallCaps w:val="0"/>
            </w:rPr>
          </w:r>
        </w:p>
        <w:p>
          <w:pPr>
            <w:pStyle w:val="1102"/>
            <w:pBdr/>
            <w:tabs>
              <w:tab w:val="left" w:leader="none" w:pos="610"/>
              <w:tab w:val="right" w:leader="dot" w:pos="9628"/>
            </w:tabs>
            <w:spacing/>
            <w:ind/>
            <w:rPr>
              <w:rFonts w:eastAsiaTheme="minorEastAsia" w:cstheme="minorBidi"/>
              <w:smallCaps w:val="0"/>
            </w:rPr>
          </w:pPr>
          <w:r/>
          <w:hyperlink w:tooltip="#_Toc206749646" w:anchor="_Toc206749646" w:history="1">
            <w:r>
              <w:rPr>
                <w:rStyle w:val="1110"/>
              </w:rPr>
              <w:t xml:space="preserve">I.4.8</w:t>
            </w:r>
            <w:r>
              <w:rPr>
                <w:rFonts w:eastAsiaTheme="minorEastAsia" w:cstheme="minorBidi"/>
                <w:smallCaps w:val="0"/>
              </w:rPr>
              <w:tab/>
            </w:r>
            <w:r>
              <w:rPr>
                <w:rStyle w:val="1110"/>
              </w:rPr>
              <w:t xml:space="preserve">Variantes</w:t>
            </w:r>
            <w:r>
              <w:tab/>
            </w:r>
            <w:r>
              <w:fldChar w:fldCharType="begin"/>
            </w:r>
            <w:r>
              <w:instrText xml:space="preserve"> PAGEREF _Toc206749646 \h </w:instrText>
            </w:r>
            <w:r/>
            <w:r>
              <w:fldChar w:fldCharType="separate"/>
            </w:r>
            <w:r>
              <w:t xml:space="preserve">7</w:t>
            </w:r>
            <w:r>
              <w:fldChar w:fldCharType="end"/>
            </w:r>
          </w:hyperlink>
          <w:r/>
          <w:r>
            <w:rPr>
              <w:rFonts w:eastAsiaTheme="minorEastAsia" w:cstheme="minorBidi"/>
              <w:smallCaps w:val="0"/>
            </w:rPr>
          </w:r>
        </w:p>
        <w:p>
          <w:pPr>
            <w:pStyle w:val="1102"/>
            <w:pBdr/>
            <w:tabs>
              <w:tab w:val="left" w:leader="none" w:pos="610"/>
              <w:tab w:val="right" w:leader="dot" w:pos="9628"/>
            </w:tabs>
            <w:spacing/>
            <w:ind/>
            <w:rPr>
              <w:rFonts w:eastAsiaTheme="minorEastAsia" w:cstheme="minorBidi"/>
              <w:smallCaps w:val="0"/>
            </w:rPr>
          </w:pPr>
          <w:r/>
          <w:hyperlink w:tooltip="#_Toc206749647" w:anchor="_Toc206749647" w:history="1">
            <w:r>
              <w:rPr>
                <w:rStyle w:val="1110"/>
              </w:rPr>
              <w:t xml:space="preserve">I.4.9</w:t>
            </w:r>
            <w:r>
              <w:rPr>
                <w:rFonts w:eastAsiaTheme="minorEastAsia" w:cstheme="minorBidi"/>
                <w:smallCaps w:val="0"/>
              </w:rPr>
              <w:tab/>
            </w:r>
            <w:r>
              <w:rPr>
                <w:rStyle w:val="1110"/>
              </w:rPr>
              <w:t xml:space="preserve">Montants de l’accord-cadre</w:t>
            </w:r>
            <w:r>
              <w:tab/>
            </w:r>
            <w:r>
              <w:fldChar w:fldCharType="begin"/>
            </w:r>
            <w:r>
              <w:instrText xml:space="preserve"> PAGEREF _Toc206749647 \h </w:instrText>
            </w:r>
            <w:r/>
            <w:r>
              <w:fldChar w:fldCharType="separate"/>
            </w:r>
            <w:r>
              <w:t xml:space="preserve">7</w:t>
            </w:r>
            <w:r>
              <w:fldChar w:fldCharType="end"/>
            </w:r>
          </w:hyperlink>
          <w:r/>
          <w:r>
            <w:rPr>
              <w:rFonts w:eastAsiaTheme="minorEastAsia" w:cstheme="minorBidi"/>
              <w:smallCaps w:val="0"/>
            </w:rPr>
          </w:r>
        </w:p>
        <w:p>
          <w:pPr>
            <w:pStyle w:val="1102"/>
            <w:pBdr/>
            <w:tabs>
              <w:tab w:val="left" w:leader="none" w:pos="721"/>
              <w:tab w:val="right" w:leader="dot" w:pos="9628"/>
            </w:tabs>
            <w:spacing/>
            <w:ind/>
            <w:rPr>
              <w:rFonts w:eastAsiaTheme="minorEastAsia" w:cstheme="minorBidi"/>
              <w:smallCaps w:val="0"/>
            </w:rPr>
          </w:pPr>
          <w:r/>
          <w:hyperlink w:tooltip="#_Toc206749648" w:anchor="_Toc206749648" w:history="1">
            <w:r>
              <w:rPr>
                <w:rStyle w:val="1110"/>
              </w:rPr>
              <w:t xml:space="preserve">I.4.10</w:t>
            </w:r>
            <w:r>
              <w:rPr>
                <w:rFonts w:eastAsiaTheme="minorEastAsia" w:cstheme="minorBidi"/>
                <w:smallCaps w:val="0"/>
              </w:rPr>
              <w:tab/>
            </w:r>
            <w:r>
              <w:rPr>
                <w:rStyle w:val="1110"/>
              </w:rPr>
              <w:t xml:space="preserve">Cautionnement et garanties exigées</w:t>
            </w:r>
            <w:r>
              <w:tab/>
            </w:r>
            <w:r>
              <w:fldChar w:fldCharType="begin"/>
            </w:r>
            <w:r>
              <w:instrText xml:space="preserve"> PAGEREF _Toc206749648 \h </w:instrText>
            </w:r>
            <w:r/>
            <w:r>
              <w:fldChar w:fldCharType="separate"/>
            </w:r>
            <w:r>
              <w:t xml:space="preserve">7</w:t>
            </w:r>
            <w:r>
              <w:fldChar w:fldCharType="end"/>
            </w:r>
          </w:hyperlink>
          <w:r/>
          <w:r>
            <w:rPr>
              <w:rFonts w:eastAsiaTheme="minorEastAsia" w:cstheme="minorBidi"/>
              <w:smallCaps w:val="0"/>
            </w:rPr>
          </w:r>
        </w:p>
        <w:p>
          <w:pPr>
            <w:pStyle w:val="1102"/>
            <w:pBdr/>
            <w:tabs>
              <w:tab w:val="left" w:leader="none" w:pos="721"/>
              <w:tab w:val="right" w:leader="dot" w:pos="9628"/>
            </w:tabs>
            <w:spacing/>
            <w:ind/>
            <w:rPr>
              <w:rFonts w:eastAsiaTheme="minorEastAsia" w:cstheme="minorBidi"/>
              <w:smallCaps w:val="0"/>
            </w:rPr>
          </w:pPr>
          <w:r/>
          <w:hyperlink w:tooltip="#_Toc206749649" w:anchor="_Toc206749649" w:history="1">
            <w:r>
              <w:rPr>
                <w:rStyle w:val="1110"/>
              </w:rPr>
              <w:t xml:space="preserve">I.4.11</w:t>
            </w:r>
            <w:r>
              <w:rPr>
                <w:rFonts w:eastAsiaTheme="minorEastAsia" w:cstheme="minorBidi"/>
                <w:smallCaps w:val="0"/>
              </w:rPr>
              <w:tab/>
            </w:r>
            <w:r>
              <w:rPr>
                <w:rStyle w:val="1110"/>
              </w:rPr>
              <w:t xml:space="preserve">Modalités essentielles de financement et de paiement</w:t>
            </w:r>
            <w:r>
              <w:tab/>
            </w:r>
            <w:r>
              <w:fldChar w:fldCharType="begin"/>
            </w:r>
            <w:r>
              <w:instrText xml:space="preserve"> PAGEREF _Toc206749649 \h </w:instrText>
            </w:r>
            <w:r/>
            <w:r>
              <w:fldChar w:fldCharType="separate"/>
            </w:r>
            <w:r>
              <w:t xml:space="preserve">7</w:t>
            </w:r>
            <w:r>
              <w:fldChar w:fldCharType="end"/>
            </w:r>
          </w:hyperlink>
          <w:r/>
          <w:r>
            <w:rPr>
              <w:rFonts w:eastAsiaTheme="minorEastAsia" w:cstheme="minorBidi"/>
              <w:smallCaps w:val="0"/>
            </w:rPr>
          </w:r>
        </w:p>
        <w:p>
          <w:pPr>
            <w:pStyle w:val="1102"/>
            <w:pBdr/>
            <w:tabs>
              <w:tab w:val="left" w:leader="none" w:pos="721"/>
              <w:tab w:val="right" w:leader="dot" w:pos="9628"/>
            </w:tabs>
            <w:spacing/>
            <w:ind/>
            <w:rPr>
              <w:rFonts w:eastAsiaTheme="minorEastAsia" w:cstheme="minorBidi"/>
              <w:smallCaps w:val="0"/>
            </w:rPr>
          </w:pPr>
          <w:r/>
          <w:hyperlink w:tooltip="#_Toc206749650" w:anchor="_Toc206749650" w:history="1">
            <w:r>
              <w:rPr>
                <w:rStyle w:val="1110"/>
              </w:rPr>
              <w:t xml:space="preserve">I.4.12</w:t>
            </w:r>
            <w:r>
              <w:rPr>
                <w:rFonts w:eastAsiaTheme="minorEastAsia" w:cstheme="minorBidi"/>
                <w:smallCaps w:val="0"/>
              </w:rPr>
              <w:tab/>
            </w:r>
            <w:r>
              <w:rPr>
                <w:rStyle w:val="1110"/>
              </w:rPr>
              <w:t xml:space="preserve">Candidature sous forme de groupement d’opérateurs économiques</w:t>
            </w:r>
            <w:r>
              <w:tab/>
            </w:r>
            <w:r>
              <w:fldChar w:fldCharType="begin"/>
            </w:r>
            <w:r>
              <w:instrText xml:space="preserve"> PAGEREF _Toc206749650 \h </w:instrText>
            </w:r>
            <w:r/>
            <w:r>
              <w:fldChar w:fldCharType="separate"/>
            </w:r>
            <w:r>
              <w:t xml:space="preserve">7</w:t>
            </w:r>
            <w:r>
              <w:fldChar w:fldCharType="end"/>
            </w:r>
          </w:hyperlink>
          <w:r/>
          <w:r>
            <w:rPr>
              <w:rFonts w:eastAsiaTheme="minorEastAsia" w:cstheme="minorBidi"/>
              <w:smallCaps w:val="0"/>
            </w:rPr>
          </w:r>
        </w:p>
        <w:p>
          <w:pPr>
            <w:pStyle w:val="1102"/>
            <w:pBdr/>
            <w:tabs>
              <w:tab w:val="left" w:leader="none" w:pos="721"/>
              <w:tab w:val="right" w:leader="dot" w:pos="9628"/>
            </w:tabs>
            <w:spacing/>
            <w:ind/>
            <w:rPr>
              <w:rFonts w:eastAsiaTheme="minorEastAsia" w:cstheme="minorBidi"/>
              <w:smallCaps w:val="0"/>
            </w:rPr>
          </w:pPr>
          <w:r/>
          <w:hyperlink w:tooltip="#_Toc206749651" w:anchor="_Toc206749651" w:history="1">
            <w:r>
              <w:rPr>
                <w:rStyle w:val="1110"/>
              </w:rPr>
              <w:t xml:space="preserve">I.4.13</w:t>
            </w:r>
            <w:r>
              <w:rPr>
                <w:rFonts w:eastAsiaTheme="minorEastAsia" w:cstheme="minorBidi"/>
                <w:smallCaps w:val="0"/>
              </w:rPr>
              <w:tab/>
            </w:r>
            <w:r>
              <w:rPr>
                <w:rStyle w:val="1110"/>
              </w:rPr>
              <w:t xml:space="preserve">Recours à la sous-traitance</w:t>
            </w:r>
            <w:r>
              <w:tab/>
            </w:r>
            <w:r>
              <w:fldChar w:fldCharType="begin"/>
            </w:r>
            <w:r>
              <w:instrText xml:space="preserve"> PAGEREF _Toc206749651 \h </w:instrText>
            </w:r>
            <w:r/>
            <w:r>
              <w:fldChar w:fldCharType="separate"/>
            </w:r>
            <w:r>
              <w:t xml:space="preserve">8</w:t>
            </w:r>
            <w:r>
              <w:fldChar w:fldCharType="end"/>
            </w:r>
          </w:hyperlink>
          <w:r/>
          <w:r>
            <w:rPr>
              <w:rFonts w:eastAsiaTheme="minorEastAsia" w:cstheme="minorBidi"/>
              <w:smallCaps w:val="0"/>
            </w:rPr>
          </w:r>
        </w:p>
        <w:p>
          <w:pPr>
            <w:pStyle w:val="1102"/>
            <w:pBdr/>
            <w:tabs>
              <w:tab w:val="left" w:leader="none" w:pos="721"/>
              <w:tab w:val="right" w:leader="dot" w:pos="9628"/>
            </w:tabs>
            <w:spacing/>
            <w:ind/>
            <w:rPr>
              <w:rFonts w:eastAsiaTheme="minorEastAsia" w:cstheme="minorBidi"/>
              <w:smallCaps w:val="0"/>
            </w:rPr>
          </w:pPr>
          <w:r/>
          <w:hyperlink w:tooltip="#_Toc206749652" w:anchor="_Toc206749652" w:history="1">
            <w:r>
              <w:rPr>
                <w:rStyle w:val="1110"/>
              </w:rPr>
              <w:t xml:space="preserve">I.4.14</w:t>
            </w:r>
            <w:r>
              <w:rPr>
                <w:rFonts w:eastAsiaTheme="minorEastAsia" w:cstheme="minorBidi"/>
                <w:smallCaps w:val="0"/>
              </w:rPr>
              <w:tab/>
            </w:r>
            <w:r>
              <w:rPr>
                <w:rStyle w:val="1110"/>
              </w:rPr>
              <w:t xml:space="preserve">Prise en compte de la performance énergétique</w:t>
            </w:r>
            <w:r>
              <w:tab/>
            </w:r>
            <w:r>
              <w:fldChar w:fldCharType="begin"/>
            </w:r>
            <w:r>
              <w:instrText xml:space="preserve"> PAGEREF _Toc206749652 \h </w:instrText>
            </w:r>
            <w:r/>
            <w:r>
              <w:fldChar w:fldCharType="separate"/>
            </w:r>
            <w:r>
              <w:t xml:space="preserve">8</w:t>
            </w:r>
            <w:r>
              <w:fldChar w:fldCharType="end"/>
            </w:r>
          </w:hyperlink>
          <w:r/>
          <w:r>
            <w:rPr>
              <w:rFonts w:eastAsiaTheme="minorEastAsia" w:cstheme="minorBidi"/>
              <w:smallCaps w:val="0"/>
            </w:rPr>
          </w:r>
        </w:p>
        <w:p>
          <w:pPr>
            <w:pStyle w:val="1102"/>
            <w:pBdr/>
            <w:tabs>
              <w:tab w:val="left" w:leader="none" w:pos="721"/>
              <w:tab w:val="right" w:leader="dot" w:pos="9628"/>
            </w:tabs>
            <w:spacing/>
            <w:ind/>
            <w:rPr>
              <w:rFonts w:eastAsiaTheme="minorEastAsia" w:cstheme="minorBidi"/>
              <w:smallCaps w:val="0"/>
            </w:rPr>
          </w:pPr>
          <w:r/>
          <w:hyperlink w:tooltip="#_Toc206749653" w:anchor="_Toc206749653" w:history="1">
            <w:r>
              <w:rPr>
                <w:rStyle w:val="1110"/>
              </w:rPr>
              <w:t xml:space="preserve">I.4.15</w:t>
            </w:r>
            <w:r>
              <w:rPr>
                <w:rFonts w:eastAsiaTheme="minorEastAsia" w:cstheme="minorBidi"/>
                <w:smallCaps w:val="0"/>
              </w:rPr>
              <w:tab/>
            </w:r>
            <w:r>
              <w:rPr>
                <w:rStyle w:val="1110"/>
              </w:rPr>
              <w:t xml:space="preserve">Clauses d’exécution environnementales</w:t>
            </w:r>
            <w:r>
              <w:tab/>
            </w:r>
            <w:r>
              <w:fldChar w:fldCharType="begin"/>
            </w:r>
            <w:r>
              <w:instrText xml:space="preserve"> PAGEREF _Toc206749653 \h </w:instrText>
            </w:r>
            <w:r/>
            <w:r>
              <w:fldChar w:fldCharType="separate"/>
            </w:r>
            <w:r>
              <w:t xml:space="preserve">8</w:t>
            </w:r>
            <w:r>
              <w:fldChar w:fldCharType="end"/>
            </w:r>
          </w:hyperlink>
          <w:r/>
          <w:r>
            <w:rPr>
              <w:rFonts w:eastAsiaTheme="minorEastAsia" w:cstheme="minorBidi"/>
              <w:smallCaps w:val="0"/>
            </w:rPr>
          </w:r>
        </w:p>
        <w:p>
          <w:pPr>
            <w:pStyle w:val="1102"/>
            <w:pBdr/>
            <w:tabs>
              <w:tab w:val="left" w:leader="none" w:pos="721"/>
              <w:tab w:val="right" w:leader="dot" w:pos="9628"/>
            </w:tabs>
            <w:spacing/>
            <w:ind/>
            <w:rPr>
              <w:rFonts w:eastAsiaTheme="minorEastAsia" w:cstheme="minorBidi"/>
              <w:smallCaps w:val="0"/>
            </w:rPr>
          </w:pPr>
          <w:r/>
          <w:hyperlink w:tooltip="#_Toc206749654" w:anchor="_Toc206749654" w:history="1">
            <w:r>
              <w:rPr>
                <w:rStyle w:val="1110"/>
              </w:rPr>
              <w:t xml:space="preserve">I.4.16</w:t>
            </w:r>
            <w:r>
              <w:rPr>
                <w:rFonts w:eastAsiaTheme="minorEastAsia" w:cstheme="minorBidi"/>
                <w:smallCaps w:val="0"/>
              </w:rPr>
              <w:tab/>
            </w:r>
            <w:r>
              <w:rPr>
                <w:rStyle w:val="1110"/>
              </w:rPr>
              <w:t xml:space="preserve">Clauses d’exécution sociales – « actions d’insertion »</w:t>
            </w:r>
            <w:r>
              <w:tab/>
            </w:r>
            <w:r>
              <w:fldChar w:fldCharType="begin"/>
            </w:r>
            <w:r>
              <w:instrText xml:space="preserve"> PAGEREF _Toc206749654 \h </w:instrText>
            </w:r>
            <w:r/>
            <w:r>
              <w:fldChar w:fldCharType="separate"/>
            </w:r>
            <w:r>
              <w:t xml:space="preserve">8</w:t>
            </w:r>
            <w:r>
              <w:fldChar w:fldCharType="end"/>
            </w:r>
          </w:hyperlink>
          <w:r/>
          <w:r>
            <w:rPr>
              <w:rFonts w:eastAsiaTheme="minorEastAsia" w:cstheme="minorBidi"/>
              <w:smallCaps w:val="0"/>
            </w:rPr>
          </w:r>
        </w:p>
        <w:p>
          <w:pPr>
            <w:pStyle w:val="1101"/>
            <w:pBdr/>
            <w:tabs>
              <w:tab w:val="left" w:leader="none" w:pos="449"/>
              <w:tab w:val="right" w:leader="dot" w:pos="9628"/>
            </w:tabs>
            <w:spacing/>
            <w:ind/>
            <w:rPr>
              <w:rFonts w:eastAsiaTheme="minorEastAsia" w:cstheme="minorBidi"/>
              <w:b w:val="0"/>
              <w:bCs w:val="0"/>
              <w:smallCaps w:val="0"/>
            </w:rPr>
          </w:pPr>
          <w:r/>
          <w:hyperlink w:tooltip="#_Toc206749655" w:anchor="_Toc206749655" w:history="1">
            <w:r>
              <w:rPr>
                <w:rStyle w:val="1110"/>
              </w:rPr>
              <w:t xml:space="preserve">I.5</w:t>
            </w:r>
            <w:r>
              <w:rPr>
                <w:rFonts w:eastAsiaTheme="minorEastAsia" w:cstheme="minorBidi"/>
                <w:b w:val="0"/>
                <w:bCs w:val="0"/>
                <w:smallCaps w:val="0"/>
              </w:rPr>
              <w:tab/>
            </w:r>
            <w:r>
              <w:rPr>
                <w:rStyle w:val="1110"/>
              </w:rPr>
              <w:t xml:space="preserve">Modalité de correspondance</w:t>
            </w:r>
            <w:r>
              <w:tab/>
            </w:r>
            <w:r>
              <w:fldChar w:fldCharType="begin"/>
            </w:r>
            <w:r>
              <w:instrText xml:space="preserve"> PAGEREF _Toc206749655 \h </w:instrText>
            </w:r>
            <w:r/>
            <w:r>
              <w:fldChar w:fldCharType="separate"/>
            </w:r>
            <w:r>
              <w:t xml:space="preserve">9</w:t>
            </w:r>
            <w:r>
              <w:fldChar w:fldCharType="end"/>
            </w:r>
          </w:hyperlink>
          <w:r/>
          <w:r>
            <w:rPr>
              <w:rFonts w:eastAsiaTheme="minorEastAsia" w:cstheme="minorBidi"/>
              <w:b w:val="0"/>
              <w:bCs w:val="0"/>
              <w:smallCaps w:val="0"/>
            </w:rPr>
          </w:r>
        </w:p>
        <w:p>
          <w:pPr>
            <w:pStyle w:val="1101"/>
            <w:pBdr/>
            <w:tabs>
              <w:tab w:val="left" w:leader="none" w:pos="449"/>
              <w:tab w:val="right" w:leader="dot" w:pos="9628"/>
            </w:tabs>
            <w:spacing/>
            <w:ind/>
            <w:rPr>
              <w:rFonts w:eastAsiaTheme="minorEastAsia" w:cstheme="minorBidi"/>
              <w:b w:val="0"/>
              <w:bCs w:val="0"/>
              <w:smallCaps w:val="0"/>
            </w:rPr>
          </w:pPr>
          <w:r/>
          <w:hyperlink w:tooltip="#_Toc206749656" w:anchor="_Toc206749656" w:history="1">
            <w:r>
              <w:rPr>
                <w:rStyle w:val="1110"/>
              </w:rPr>
              <w:t xml:space="preserve">I.6</w:t>
            </w:r>
            <w:r>
              <w:rPr>
                <w:rFonts w:eastAsiaTheme="minorEastAsia" w:cstheme="minorBidi"/>
                <w:b w:val="0"/>
                <w:bCs w:val="0"/>
                <w:smallCaps w:val="0"/>
              </w:rPr>
              <w:tab/>
            </w:r>
            <w:r>
              <w:rPr>
                <w:rStyle w:val="1110"/>
              </w:rPr>
              <w:t xml:space="preserve">Sécurité des installations</w:t>
            </w:r>
            <w:r>
              <w:tab/>
            </w:r>
            <w:r>
              <w:fldChar w:fldCharType="begin"/>
            </w:r>
            <w:r>
              <w:instrText xml:space="preserve"> PAGEREF _Toc206749656 \h </w:instrText>
            </w:r>
            <w:r/>
            <w:r>
              <w:fldChar w:fldCharType="separate"/>
            </w:r>
            <w:r>
              <w:t xml:space="preserve">9</w:t>
            </w:r>
            <w:r>
              <w:fldChar w:fldCharType="end"/>
            </w:r>
          </w:hyperlink>
          <w:r/>
          <w:r>
            <w:rPr>
              <w:rFonts w:eastAsiaTheme="minorEastAsia" w:cstheme="minorBidi"/>
              <w:b w:val="0"/>
              <w:bCs w:val="0"/>
              <w:smallCaps w:val="0"/>
            </w:rPr>
          </w:r>
        </w:p>
        <w:p>
          <w:pPr>
            <w:pStyle w:val="1100"/>
            <w:pBdr/>
            <w:spacing/>
            <w:ind/>
            <w:rPr>
              <w:rFonts w:eastAsiaTheme="minorEastAsia" w:cstheme="minorBidi"/>
              <w:b w:val="0"/>
              <w:bCs w:val="0"/>
              <w:caps w:val="0"/>
              <w:u w:val="none"/>
            </w:rPr>
          </w:pPr>
          <w:r/>
          <w:hyperlink w:tooltip="#_Toc206749657" w:anchor="_Toc206749657" w:history="1">
            <w:r>
              <w:rPr>
                <w:rStyle w:val="1110"/>
              </w:rPr>
              <w:t xml:space="preserve">Article II. DOSSIER DE CONSULTATION DES ENTREPRISES</w:t>
            </w:r>
            <w:r>
              <w:tab/>
            </w:r>
            <w:r>
              <w:fldChar w:fldCharType="begin"/>
            </w:r>
            <w:r>
              <w:instrText xml:space="preserve"> PAGEREF _Toc206749657 \h </w:instrText>
            </w:r>
            <w:r/>
            <w:r>
              <w:fldChar w:fldCharType="separate"/>
            </w:r>
            <w:r>
              <w:t xml:space="preserve">9</w:t>
            </w:r>
            <w:r>
              <w:fldChar w:fldCharType="end"/>
            </w:r>
          </w:hyperlink>
          <w:r/>
          <w:r>
            <w:rPr>
              <w:rFonts w:eastAsiaTheme="minorEastAsia" w:cstheme="minorBidi"/>
              <w:b w:val="0"/>
              <w:bCs w:val="0"/>
              <w:caps w:val="0"/>
              <w:u w:val="none"/>
            </w:rPr>
          </w:r>
        </w:p>
        <w:p>
          <w:pPr>
            <w:pStyle w:val="1101"/>
            <w:pBdr/>
            <w:tabs>
              <w:tab w:val="left" w:leader="none" w:pos="508"/>
              <w:tab w:val="right" w:leader="dot" w:pos="9628"/>
            </w:tabs>
            <w:spacing/>
            <w:ind/>
            <w:rPr>
              <w:rFonts w:eastAsiaTheme="minorEastAsia" w:cstheme="minorBidi"/>
              <w:b w:val="0"/>
              <w:bCs w:val="0"/>
              <w:smallCaps w:val="0"/>
            </w:rPr>
          </w:pPr>
          <w:r/>
          <w:hyperlink w:tooltip="#_Toc206749658" w:anchor="_Toc206749658" w:history="1">
            <w:r>
              <w:rPr>
                <w:rStyle w:val="1110"/>
              </w:rPr>
              <w:t xml:space="preserve">II.1</w:t>
            </w:r>
            <w:r>
              <w:rPr>
                <w:rFonts w:eastAsiaTheme="minorEastAsia" w:cstheme="minorBidi"/>
                <w:b w:val="0"/>
                <w:bCs w:val="0"/>
                <w:smallCaps w:val="0"/>
              </w:rPr>
              <w:tab/>
            </w:r>
            <w:r>
              <w:rPr>
                <w:rStyle w:val="1110"/>
              </w:rPr>
              <w:t xml:space="preserve">Contenu du dossier de consultation</w:t>
            </w:r>
            <w:r>
              <w:tab/>
            </w:r>
            <w:r>
              <w:fldChar w:fldCharType="begin"/>
            </w:r>
            <w:r>
              <w:instrText xml:space="preserve"> PAGEREF _Toc206749658 \h </w:instrText>
            </w:r>
            <w:r/>
            <w:r>
              <w:fldChar w:fldCharType="separate"/>
            </w:r>
            <w:r>
              <w:t xml:space="preserve">9</w:t>
            </w:r>
            <w:r>
              <w:fldChar w:fldCharType="end"/>
            </w:r>
          </w:hyperlink>
          <w:r/>
          <w:r>
            <w:rPr>
              <w:rFonts w:eastAsiaTheme="minorEastAsia" w:cstheme="minorBidi"/>
              <w:b w:val="0"/>
              <w:bCs w:val="0"/>
              <w:smallCaps w:val="0"/>
            </w:rPr>
          </w:r>
        </w:p>
        <w:p>
          <w:pPr>
            <w:pStyle w:val="1101"/>
            <w:pBdr/>
            <w:tabs>
              <w:tab w:val="left" w:leader="none" w:pos="508"/>
              <w:tab w:val="right" w:leader="dot" w:pos="9628"/>
            </w:tabs>
            <w:spacing/>
            <w:ind/>
            <w:rPr>
              <w:rFonts w:eastAsiaTheme="minorEastAsia" w:cstheme="minorBidi"/>
              <w:b w:val="0"/>
              <w:bCs w:val="0"/>
              <w:smallCaps w:val="0"/>
            </w:rPr>
          </w:pPr>
          <w:r/>
          <w:hyperlink w:tooltip="#_Toc206749659" w:anchor="_Toc206749659" w:history="1">
            <w:r>
              <w:rPr>
                <w:rStyle w:val="1110"/>
              </w:rPr>
              <w:t xml:space="preserve">II.2</w:t>
            </w:r>
            <w:r>
              <w:rPr>
                <w:rFonts w:eastAsiaTheme="minorEastAsia" w:cstheme="minorBidi"/>
                <w:b w:val="0"/>
                <w:bCs w:val="0"/>
                <w:smallCaps w:val="0"/>
              </w:rPr>
              <w:tab/>
            </w:r>
            <w:r>
              <w:rPr>
                <w:rStyle w:val="1110"/>
              </w:rPr>
              <w:t xml:space="preserve">Obtention des annexes 12 à 18 au cctp relatives à la description fonctionnelle de l’environnement applicatif du FNAEG-NG</w:t>
            </w:r>
            <w:r>
              <w:tab/>
            </w:r>
            <w:r>
              <w:fldChar w:fldCharType="begin"/>
            </w:r>
            <w:r>
              <w:instrText xml:space="preserve"> PAGEREF _Toc206749659 \h </w:instrText>
            </w:r>
            <w:r/>
            <w:r>
              <w:fldChar w:fldCharType="separate"/>
            </w:r>
            <w:r>
              <w:t xml:space="preserve">9</w:t>
            </w:r>
            <w:r>
              <w:fldChar w:fldCharType="end"/>
            </w:r>
          </w:hyperlink>
          <w:r/>
          <w:r>
            <w:rPr>
              <w:rFonts w:eastAsiaTheme="minorEastAsia" w:cstheme="minorBidi"/>
              <w:b w:val="0"/>
              <w:bCs w:val="0"/>
              <w:smallCaps w:val="0"/>
            </w:rPr>
          </w:r>
        </w:p>
        <w:p>
          <w:pPr>
            <w:pStyle w:val="1101"/>
            <w:pBdr/>
            <w:tabs>
              <w:tab w:val="left" w:leader="none" w:pos="508"/>
              <w:tab w:val="right" w:leader="dot" w:pos="9628"/>
            </w:tabs>
            <w:spacing/>
            <w:ind/>
            <w:rPr>
              <w:rFonts w:eastAsiaTheme="minorEastAsia" w:cstheme="minorBidi"/>
              <w:b w:val="0"/>
              <w:bCs w:val="0"/>
              <w:smallCaps w:val="0"/>
            </w:rPr>
          </w:pPr>
          <w:r/>
          <w:hyperlink w:tooltip="#_Toc206749660" w:anchor="_Toc206749660" w:history="1">
            <w:r>
              <w:rPr>
                <w:rStyle w:val="1110"/>
              </w:rPr>
              <w:t xml:space="preserve">II.3</w:t>
            </w:r>
            <w:r>
              <w:rPr>
                <w:rFonts w:eastAsiaTheme="minorEastAsia" w:cstheme="minorBidi"/>
                <w:b w:val="0"/>
                <w:bCs w:val="0"/>
                <w:smallCaps w:val="0"/>
              </w:rPr>
              <w:tab/>
            </w:r>
            <w:r>
              <w:rPr>
                <w:rStyle w:val="1110"/>
              </w:rPr>
              <w:t xml:space="preserve">Précisions relatives au dossier de consultation</w:t>
            </w:r>
            <w:r>
              <w:tab/>
            </w:r>
            <w:r>
              <w:fldChar w:fldCharType="begin"/>
            </w:r>
            <w:r>
              <w:instrText xml:space="preserve"> PAGEREF _Toc206749660 \h </w:instrText>
            </w:r>
            <w:r/>
            <w:r>
              <w:fldChar w:fldCharType="separate"/>
            </w:r>
            <w:r>
              <w:t xml:space="preserve">10</w:t>
            </w:r>
            <w:r>
              <w:fldChar w:fldCharType="end"/>
            </w:r>
          </w:hyperlink>
          <w:r/>
          <w:r>
            <w:rPr>
              <w:rFonts w:eastAsiaTheme="minorEastAsia" w:cstheme="minorBidi"/>
              <w:b w:val="0"/>
              <w:bCs w:val="0"/>
              <w:smallCaps w:val="0"/>
            </w:rPr>
          </w:r>
        </w:p>
        <w:p>
          <w:pPr>
            <w:pStyle w:val="1101"/>
            <w:pBdr/>
            <w:tabs>
              <w:tab w:val="left" w:leader="none" w:pos="508"/>
              <w:tab w:val="right" w:leader="dot" w:pos="9628"/>
            </w:tabs>
            <w:spacing/>
            <w:ind/>
            <w:rPr>
              <w:rFonts w:eastAsiaTheme="minorEastAsia" w:cstheme="minorBidi"/>
              <w:b w:val="0"/>
              <w:bCs w:val="0"/>
              <w:smallCaps w:val="0"/>
            </w:rPr>
          </w:pPr>
          <w:r/>
          <w:hyperlink w:tooltip="#_Toc206749661" w:anchor="_Toc206749661" w:history="1">
            <w:r>
              <w:rPr>
                <w:rStyle w:val="1110"/>
              </w:rPr>
              <w:t xml:space="preserve">II.4</w:t>
            </w:r>
            <w:r>
              <w:rPr>
                <w:rFonts w:eastAsiaTheme="minorEastAsia" w:cstheme="minorBidi"/>
                <w:b w:val="0"/>
                <w:bCs w:val="0"/>
                <w:smallCaps w:val="0"/>
              </w:rPr>
              <w:tab/>
            </w:r>
            <w:r>
              <w:rPr>
                <w:rStyle w:val="1110"/>
              </w:rPr>
              <w:t xml:space="preserve">Modification du dossier de consultation</w:t>
            </w:r>
            <w:r>
              <w:tab/>
            </w:r>
            <w:r>
              <w:fldChar w:fldCharType="begin"/>
            </w:r>
            <w:r>
              <w:instrText xml:space="preserve"> PAGEREF _Toc206749661 \h </w:instrText>
            </w:r>
            <w:r/>
            <w:r>
              <w:fldChar w:fldCharType="separate"/>
            </w:r>
            <w:r>
              <w:t xml:space="preserve">10</w:t>
            </w:r>
            <w:r>
              <w:fldChar w:fldCharType="end"/>
            </w:r>
          </w:hyperlink>
          <w:r/>
          <w:r>
            <w:rPr>
              <w:rFonts w:eastAsiaTheme="minorEastAsia" w:cstheme="minorBidi"/>
              <w:b w:val="0"/>
              <w:bCs w:val="0"/>
              <w:smallCaps w:val="0"/>
            </w:rPr>
          </w:r>
        </w:p>
        <w:p>
          <w:pPr>
            <w:pStyle w:val="1100"/>
            <w:pBdr/>
            <w:spacing/>
            <w:ind/>
            <w:rPr>
              <w:rFonts w:eastAsiaTheme="minorEastAsia" w:cstheme="minorBidi"/>
              <w:b w:val="0"/>
              <w:bCs w:val="0"/>
              <w:caps w:val="0"/>
              <w:u w:val="none"/>
            </w:rPr>
          </w:pPr>
          <w:r/>
          <w:hyperlink w:tooltip="#_Toc206749662" w:anchor="_Toc206749662" w:history="1">
            <w:r>
              <w:rPr>
                <w:rStyle w:val="1110"/>
              </w:rPr>
              <w:t xml:space="preserve">Article III. CARACTERISTIQUES DES OFFRES REMISES</w:t>
            </w:r>
            <w:r>
              <w:tab/>
            </w:r>
            <w:r>
              <w:fldChar w:fldCharType="begin"/>
            </w:r>
            <w:r>
              <w:instrText xml:space="preserve"> PAGEREF _Toc206749662 \h </w:instrText>
            </w:r>
            <w:r/>
            <w:r>
              <w:fldChar w:fldCharType="separate"/>
            </w:r>
            <w:r>
              <w:t xml:space="preserve">11</w:t>
            </w:r>
            <w:r>
              <w:fldChar w:fldCharType="end"/>
            </w:r>
          </w:hyperlink>
          <w:r/>
          <w:r>
            <w:rPr>
              <w:rFonts w:eastAsiaTheme="minorEastAsia" w:cstheme="minorBidi"/>
              <w:b w:val="0"/>
              <w:bCs w:val="0"/>
              <w:caps w:val="0"/>
              <w:u w:val="none"/>
            </w:rPr>
          </w:r>
        </w:p>
        <w:p>
          <w:pPr>
            <w:pStyle w:val="1101"/>
            <w:pBdr/>
            <w:tabs>
              <w:tab w:val="left" w:leader="none" w:pos="566"/>
              <w:tab w:val="right" w:leader="dot" w:pos="9628"/>
            </w:tabs>
            <w:spacing/>
            <w:ind/>
            <w:rPr>
              <w:rFonts w:eastAsiaTheme="minorEastAsia" w:cstheme="minorBidi"/>
              <w:b w:val="0"/>
              <w:bCs w:val="0"/>
              <w:smallCaps w:val="0"/>
            </w:rPr>
          </w:pPr>
          <w:r/>
          <w:hyperlink w:tooltip="#_Toc206749663" w:anchor="_Toc206749663" w:history="1">
            <w:r>
              <w:rPr>
                <w:rStyle w:val="1110"/>
              </w:rPr>
              <w:t xml:space="preserve">III.1</w:t>
            </w:r>
            <w:r>
              <w:rPr>
                <w:rFonts w:eastAsiaTheme="minorEastAsia" w:cstheme="minorBidi"/>
                <w:b w:val="0"/>
                <w:bCs w:val="0"/>
                <w:smallCaps w:val="0"/>
              </w:rPr>
              <w:tab/>
            </w:r>
            <w:r>
              <w:rPr>
                <w:rStyle w:val="1110"/>
              </w:rPr>
              <w:t xml:space="preserve">Généralités</w:t>
            </w:r>
            <w:r>
              <w:tab/>
            </w:r>
            <w:r>
              <w:fldChar w:fldCharType="begin"/>
            </w:r>
            <w:r>
              <w:instrText xml:space="preserve"> PAGEREF _Toc206749663 \h </w:instrText>
            </w:r>
            <w:r/>
            <w:r>
              <w:fldChar w:fldCharType="separate"/>
            </w:r>
            <w:r>
              <w:t xml:space="preserve">11</w:t>
            </w:r>
            <w:r>
              <w:fldChar w:fldCharType="end"/>
            </w:r>
          </w:hyperlink>
          <w:r/>
          <w:r>
            <w:rPr>
              <w:rFonts w:eastAsiaTheme="minorEastAsia" w:cstheme="minorBidi"/>
              <w:b w:val="0"/>
              <w:bCs w:val="0"/>
              <w:smallCaps w:val="0"/>
            </w:rPr>
          </w:r>
        </w:p>
        <w:p>
          <w:pPr>
            <w:pStyle w:val="1102"/>
            <w:pBdr/>
            <w:tabs>
              <w:tab w:val="left" w:leader="none" w:pos="720"/>
              <w:tab w:val="right" w:leader="dot" w:pos="9628"/>
            </w:tabs>
            <w:spacing/>
            <w:ind/>
            <w:rPr>
              <w:rFonts w:eastAsiaTheme="minorEastAsia" w:cstheme="minorBidi"/>
              <w:smallCaps w:val="0"/>
            </w:rPr>
          </w:pPr>
          <w:r/>
          <w:hyperlink w:tooltip="#_Toc206749664" w:anchor="_Toc206749664" w:history="1">
            <w:r>
              <w:rPr>
                <w:rStyle w:val="1110"/>
              </w:rPr>
              <w:t xml:space="preserve">III.1.1</w:t>
            </w:r>
            <w:r>
              <w:rPr>
                <w:rFonts w:eastAsiaTheme="minorEastAsia" w:cstheme="minorBidi"/>
                <w:smallCaps w:val="0"/>
              </w:rPr>
              <w:tab/>
            </w:r>
            <w:r>
              <w:rPr>
                <w:rStyle w:val="1110"/>
              </w:rPr>
              <w:t xml:space="preserve">Acceptation sans réserve des cahiers des charges</w:t>
            </w:r>
            <w:r>
              <w:tab/>
            </w:r>
            <w:r>
              <w:fldChar w:fldCharType="begin"/>
            </w:r>
            <w:r>
              <w:instrText xml:space="preserve"> PAGEREF _Toc206749664 \h </w:instrText>
            </w:r>
            <w:r/>
            <w:r>
              <w:fldChar w:fldCharType="separate"/>
            </w:r>
            <w:r>
              <w:t xml:space="preserve">11</w:t>
            </w:r>
            <w:r>
              <w:fldChar w:fldCharType="end"/>
            </w:r>
          </w:hyperlink>
          <w:r/>
          <w:r>
            <w:rPr>
              <w:rFonts w:eastAsiaTheme="minorEastAsia" w:cstheme="minorBidi"/>
              <w:smallCaps w:val="0"/>
            </w:rPr>
          </w:r>
        </w:p>
        <w:p>
          <w:pPr>
            <w:pStyle w:val="1102"/>
            <w:pBdr/>
            <w:tabs>
              <w:tab w:val="left" w:leader="none" w:pos="720"/>
              <w:tab w:val="right" w:leader="dot" w:pos="9628"/>
            </w:tabs>
            <w:spacing/>
            <w:ind/>
            <w:rPr>
              <w:rFonts w:eastAsiaTheme="minorEastAsia" w:cstheme="minorBidi"/>
              <w:smallCaps w:val="0"/>
            </w:rPr>
          </w:pPr>
          <w:r/>
          <w:hyperlink w:tooltip="#_Toc206749665" w:anchor="_Toc206749665" w:history="1">
            <w:r>
              <w:rPr>
                <w:rStyle w:val="1110"/>
              </w:rPr>
              <w:t xml:space="preserve">III.1.2</w:t>
            </w:r>
            <w:r>
              <w:rPr>
                <w:rFonts w:eastAsiaTheme="minorEastAsia" w:cstheme="minorBidi"/>
                <w:smallCaps w:val="0"/>
              </w:rPr>
              <w:tab/>
            </w:r>
            <w:r>
              <w:rPr>
                <w:rStyle w:val="1110"/>
              </w:rPr>
              <w:t xml:space="preserve">Langue utilisée et monnaie</w:t>
            </w:r>
            <w:r>
              <w:tab/>
            </w:r>
            <w:r>
              <w:fldChar w:fldCharType="begin"/>
            </w:r>
            <w:r>
              <w:instrText xml:space="preserve"> PAGEREF _Toc206749665 \h </w:instrText>
            </w:r>
            <w:r/>
            <w:r>
              <w:fldChar w:fldCharType="separate"/>
            </w:r>
            <w:r>
              <w:t xml:space="preserve">11</w:t>
            </w:r>
            <w:r>
              <w:fldChar w:fldCharType="end"/>
            </w:r>
          </w:hyperlink>
          <w:r/>
          <w:r>
            <w:rPr>
              <w:rFonts w:eastAsiaTheme="minorEastAsia" w:cstheme="minorBidi"/>
              <w:smallCaps w:val="0"/>
            </w:rPr>
          </w:r>
        </w:p>
        <w:p>
          <w:pPr>
            <w:pStyle w:val="1101"/>
            <w:pBdr/>
            <w:tabs>
              <w:tab w:val="left" w:leader="none" w:pos="566"/>
              <w:tab w:val="right" w:leader="dot" w:pos="9628"/>
            </w:tabs>
            <w:spacing/>
            <w:ind/>
            <w:rPr>
              <w:rFonts w:eastAsiaTheme="minorEastAsia" w:cstheme="minorBidi"/>
              <w:b w:val="0"/>
              <w:bCs w:val="0"/>
              <w:smallCaps w:val="0"/>
            </w:rPr>
          </w:pPr>
          <w:r/>
          <w:hyperlink w:tooltip="#_Toc206749666" w:anchor="_Toc206749666" w:history="1">
            <w:r>
              <w:rPr>
                <w:rStyle w:val="1110"/>
              </w:rPr>
              <w:t xml:space="preserve">III.2</w:t>
            </w:r>
            <w:r>
              <w:rPr>
                <w:rFonts w:eastAsiaTheme="minorEastAsia" w:cstheme="minorBidi"/>
                <w:b w:val="0"/>
                <w:bCs w:val="0"/>
                <w:smallCaps w:val="0"/>
              </w:rPr>
              <w:tab/>
            </w:r>
            <w:r>
              <w:rPr>
                <w:rStyle w:val="1110"/>
              </w:rPr>
              <w:t xml:space="preserve">Date-limite de réception des offres</w:t>
            </w:r>
            <w:r>
              <w:tab/>
            </w:r>
            <w:r>
              <w:fldChar w:fldCharType="begin"/>
            </w:r>
            <w:r>
              <w:instrText xml:space="preserve"> PAGEREF _Toc206749666 \h </w:instrText>
            </w:r>
            <w:r/>
            <w:r>
              <w:fldChar w:fldCharType="separate"/>
            </w:r>
            <w:r>
              <w:t xml:space="preserve">11</w:t>
            </w:r>
            <w:r>
              <w:fldChar w:fldCharType="end"/>
            </w:r>
          </w:hyperlink>
          <w:r/>
          <w:r>
            <w:rPr>
              <w:rFonts w:eastAsiaTheme="minorEastAsia" w:cstheme="minorBidi"/>
              <w:b w:val="0"/>
              <w:bCs w:val="0"/>
              <w:smallCaps w:val="0"/>
            </w:rPr>
          </w:r>
        </w:p>
        <w:p>
          <w:pPr>
            <w:pStyle w:val="1102"/>
            <w:pBdr/>
            <w:tabs>
              <w:tab w:val="left" w:leader="none" w:pos="720"/>
              <w:tab w:val="right" w:leader="dot" w:pos="9628"/>
            </w:tabs>
            <w:spacing/>
            <w:ind/>
            <w:rPr>
              <w:rFonts w:eastAsiaTheme="minorEastAsia" w:cstheme="minorBidi"/>
              <w:smallCaps w:val="0"/>
            </w:rPr>
          </w:pPr>
          <w:r/>
          <w:hyperlink w:tooltip="#_Toc206749667" w:anchor="_Toc206749667" w:history="1">
            <w:r>
              <w:rPr>
                <w:rStyle w:val="1110"/>
              </w:rPr>
              <w:t xml:space="preserve">III.2.1</w:t>
            </w:r>
            <w:r>
              <w:rPr>
                <w:rFonts w:eastAsiaTheme="minorEastAsia" w:cstheme="minorBidi"/>
                <w:smallCaps w:val="0"/>
              </w:rPr>
              <w:tab/>
            </w:r>
            <w:r>
              <w:rPr>
                <w:rStyle w:val="1110"/>
              </w:rPr>
              <w:t xml:space="preserve">Date applicable à la présente consultation</w:t>
            </w:r>
            <w:r>
              <w:tab/>
            </w:r>
            <w:r>
              <w:fldChar w:fldCharType="begin"/>
            </w:r>
            <w:r>
              <w:instrText xml:space="preserve"> PAGEREF _Toc206749667 \h </w:instrText>
            </w:r>
            <w:r/>
            <w:r>
              <w:fldChar w:fldCharType="separate"/>
            </w:r>
            <w:r>
              <w:t xml:space="preserve">11</w:t>
            </w:r>
            <w:r>
              <w:fldChar w:fldCharType="end"/>
            </w:r>
          </w:hyperlink>
          <w:r/>
          <w:r>
            <w:rPr>
              <w:rFonts w:eastAsiaTheme="minorEastAsia" w:cstheme="minorBidi"/>
              <w:smallCaps w:val="0"/>
            </w:rPr>
          </w:r>
        </w:p>
        <w:p>
          <w:pPr>
            <w:pStyle w:val="1102"/>
            <w:pBdr/>
            <w:tabs>
              <w:tab w:val="left" w:leader="none" w:pos="720"/>
              <w:tab w:val="right" w:leader="dot" w:pos="9628"/>
            </w:tabs>
            <w:spacing/>
            <w:ind/>
            <w:rPr>
              <w:rFonts w:eastAsiaTheme="minorEastAsia" w:cstheme="minorBidi"/>
              <w:smallCaps w:val="0"/>
            </w:rPr>
          </w:pPr>
          <w:r/>
          <w:hyperlink w:tooltip="#_Toc206749668" w:anchor="_Toc206749668" w:history="1">
            <w:r>
              <w:rPr>
                <w:rStyle w:val="1110"/>
              </w:rPr>
              <w:t xml:space="preserve">III.2.2</w:t>
            </w:r>
            <w:r>
              <w:rPr>
                <w:rFonts w:eastAsiaTheme="minorEastAsia" w:cstheme="minorBidi"/>
                <w:smallCaps w:val="0"/>
              </w:rPr>
              <w:tab/>
            </w:r>
            <w:r>
              <w:rPr>
                <w:rStyle w:val="1110"/>
              </w:rPr>
              <w:t xml:space="preserve">Report de la date-limite de réception des offres</w:t>
            </w:r>
            <w:r>
              <w:tab/>
            </w:r>
            <w:r>
              <w:fldChar w:fldCharType="begin"/>
            </w:r>
            <w:r>
              <w:instrText xml:space="preserve"> PAGEREF _Toc206749668 \h </w:instrText>
            </w:r>
            <w:r/>
            <w:r>
              <w:fldChar w:fldCharType="separate"/>
            </w:r>
            <w:r>
              <w:t xml:space="preserve">11</w:t>
            </w:r>
            <w:r>
              <w:fldChar w:fldCharType="end"/>
            </w:r>
          </w:hyperlink>
          <w:r/>
          <w:r>
            <w:rPr>
              <w:rFonts w:eastAsiaTheme="minorEastAsia" w:cstheme="minorBidi"/>
              <w:smallCaps w:val="0"/>
            </w:rPr>
          </w:r>
        </w:p>
        <w:p>
          <w:pPr>
            <w:pStyle w:val="1101"/>
            <w:pBdr/>
            <w:tabs>
              <w:tab w:val="left" w:leader="none" w:pos="566"/>
              <w:tab w:val="right" w:leader="dot" w:pos="9628"/>
            </w:tabs>
            <w:spacing/>
            <w:ind/>
            <w:rPr>
              <w:rFonts w:eastAsiaTheme="minorEastAsia" w:cstheme="minorBidi"/>
              <w:b w:val="0"/>
              <w:bCs w:val="0"/>
              <w:smallCaps w:val="0"/>
            </w:rPr>
          </w:pPr>
          <w:r/>
          <w:hyperlink w:tooltip="#_Toc206749669" w:anchor="_Toc206749669" w:history="1">
            <w:r>
              <w:rPr>
                <w:rStyle w:val="1110"/>
              </w:rPr>
              <w:t xml:space="preserve">III.3</w:t>
            </w:r>
            <w:r>
              <w:rPr>
                <w:rFonts w:eastAsiaTheme="minorEastAsia" w:cstheme="minorBidi"/>
                <w:b w:val="0"/>
                <w:bCs w:val="0"/>
                <w:smallCaps w:val="0"/>
              </w:rPr>
              <w:tab/>
            </w:r>
            <w:r>
              <w:rPr>
                <w:rStyle w:val="1110"/>
              </w:rPr>
              <w:t xml:space="preserve">Durée de validité des offres</w:t>
            </w:r>
            <w:r>
              <w:tab/>
            </w:r>
            <w:r>
              <w:fldChar w:fldCharType="begin"/>
            </w:r>
            <w:r>
              <w:instrText xml:space="preserve"> PAGEREF _Toc206749669 \h </w:instrText>
            </w:r>
            <w:r/>
            <w:r>
              <w:fldChar w:fldCharType="separate"/>
            </w:r>
            <w:r>
              <w:t xml:space="preserve">11</w:t>
            </w:r>
            <w:r>
              <w:fldChar w:fldCharType="end"/>
            </w:r>
          </w:hyperlink>
          <w:r/>
          <w:r>
            <w:rPr>
              <w:rFonts w:eastAsiaTheme="minorEastAsia" w:cstheme="minorBidi"/>
              <w:b w:val="0"/>
              <w:bCs w:val="0"/>
              <w:smallCaps w:val="0"/>
            </w:rPr>
          </w:r>
        </w:p>
        <w:p>
          <w:pPr>
            <w:pStyle w:val="1102"/>
            <w:pBdr/>
            <w:tabs>
              <w:tab w:val="left" w:leader="none" w:pos="720"/>
              <w:tab w:val="right" w:leader="dot" w:pos="9628"/>
            </w:tabs>
            <w:spacing/>
            <w:ind/>
            <w:rPr>
              <w:rFonts w:eastAsiaTheme="minorEastAsia" w:cstheme="minorBidi"/>
              <w:smallCaps w:val="0"/>
            </w:rPr>
          </w:pPr>
          <w:r/>
          <w:hyperlink w:tooltip="#_Toc206749670" w:anchor="_Toc206749670" w:history="1">
            <w:r>
              <w:rPr>
                <w:rStyle w:val="1110"/>
              </w:rPr>
              <w:t xml:space="preserve">III.3.1</w:t>
            </w:r>
            <w:r>
              <w:rPr>
                <w:rFonts w:eastAsiaTheme="minorEastAsia" w:cstheme="minorBidi"/>
                <w:smallCaps w:val="0"/>
              </w:rPr>
              <w:tab/>
            </w:r>
            <w:r>
              <w:rPr>
                <w:rStyle w:val="1110"/>
              </w:rPr>
              <w:t xml:space="preserve">Durée minimale applicable à la présente consultation</w:t>
            </w:r>
            <w:r>
              <w:tab/>
            </w:r>
            <w:r>
              <w:fldChar w:fldCharType="begin"/>
            </w:r>
            <w:r>
              <w:instrText xml:space="preserve"> PAGEREF _Toc206749670 \h </w:instrText>
            </w:r>
            <w:r/>
            <w:r>
              <w:fldChar w:fldCharType="separate"/>
            </w:r>
            <w:r>
              <w:t xml:space="preserve">11</w:t>
            </w:r>
            <w:r>
              <w:fldChar w:fldCharType="end"/>
            </w:r>
          </w:hyperlink>
          <w:r/>
          <w:r>
            <w:rPr>
              <w:rFonts w:eastAsiaTheme="minorEastAsia" w:cstheme="minorBidi"/>
              <w:smallCaps w:val="0"/>
            </w:rPr>
          </w:r>
        </w:p>
        <w:p>
          <w:pPr>
            <w:pStyle w:val="1102"/>
            <w:pBdr/>
            <w:tabs>
              <w:tab w:val="left" w:leader="none" w:pos="720"/>
              <w:tab w:val="right" w:leader="dot" w:pos="9628"/>
            </w:tabs>
            <w:spacing/>
            <w:ind/>
            <w:rPr>
              <w:rFonts w:eastAsiaTheme="minorEastAsia" w:cstheme="minorBidi"/>
              <w:smallCaps w:val="0"/>
            </w:rPr>
          </w:pPr>
          <w:r/>
          <w:hyperlink w:tooltip="#_Toc206749671" w:anchor="_Toc206749671" w:history="1">
            <w:r>
              <w:rPr>
                <w:rStyle w:val="1110"/>
              </w:rPr>
              <w:t xml:space="preserve">III.3.2</w:t>
            </w:r>
            <w:r>
              <w:rPr>
                <w:rFonts w:eastAsiaTheme="minorEastAsia" w:cstheme="minorBidi"/>
                <w:smallCaps w:val="0"/>
              </w:rPr>
              <w:tab/>
            </w:r>
            <w:r>
              <w:rPr>
                <w:rStyle w:val="1110"/>
              </w:rPr>
              <w:t xml:space="preserve">Prorogation de la date limite de validité des offres</w:t>
            </w:r>
            <w:r>
              <w:tab/>
            </w:r>
            <w:r>
              <w:fldChar w:fldCharType="begin"/>
            </w:r>
            <w:r>
              <w:instrText xml:space="preserve"> PAGEREF _Toc206749671 \h </w:instrText>
            </w:r>
            <w:r/>
            <w:r>
              <w:fldChar w:fldCharType="separate"/>
            </w:r>
            <w:r>
              <w:t xml:space="preserve">11</w:t>
            </w:r>
            <w:r>
              <w:fldChar w:fldCharType="end"/>
            </w:r>
          </w:hyperlink>
          <w:r/>
          <w:r>
            <w:rPr>
              <w:rFonts w:eastAsiaTheme="minorEastAsia" w:cstheme="minorBidi"/>
              <w:smallCaps w:val="0"/>
            </w:rPr>
          </w:r>
        </w:p>
        <w:p>
          <w:pPr>
            <w:pStyle w:val="1100"/>
            <w:pBdr/>
            <w:spacing/>
            <w:ind/>
            <w:rPr>
              <w:rFonts w:eastAsiaTheme="minorEastAsia" w:cstheme="minorBidi"/>
              <w:b w:val="0"/>
              <w:bCs w:val="0"/>
              <w:caps w:val="0"/>
              <w:u w:val="none"/>
            </w:rPr>
          </w:pPr>
          <w:r/>
          <w:hyperlink w:tooltip="#_Toc206749672" w:anchor="_Toc206749672" w:history="1">
            <w:r>
              <w:rPr>
                <w:rStyle w:val="1110"/>
              </w:rPr>
              <w:t xml:space="preserve">Article IV. CONTENU DU PLI DU CANDIDAT</w:t>
            </w:r>
            <w:r>
              <w:tab/>
            </w:r>
            <w:r>
              <w:fldChar w:fldCharType="begin"/>
            </w:r>
            <w:r>
              <w:instrText xml:space="preserve"> PAGEREF _Toc206749672 \h </w:instrText>
            </w:r>
            <w:r/>
            <w:r>
              <w:fldChar w:fldCharType="separate"/>
            </w:r>
            <w:r>
              <w:t xml:space="preserve">12</w:t>
            </w:r>
            <w:r>
              <w:fldChar w:fldCharType="end"/>
            </w:r>
          </w:hyperlink>
          <w:r/>
          <w:r>
            <w:rPr>
              <w:rFonts w:eastAsiaTheme="minorEastAsia" w:cstheme="minorBidi"/>
              <w:b w:val="0"/>
              <w:bCs w:val="0"/>
              <w:caps w:val="0"/>
              <w:u w:val="none"/>
            </w:rPr>
          </w:r>
        </w:p>
        <w:p>
          <w:pPr>
            <w:pStyle w:val="1101"/>
            <w:pBdr/>
            <w:tabs>
              <w:tab w:val="left" w:leader="none" w:pos="579"/>
              <w:tab w:val="right" w:leader="dot" w:pos="9628"/>
            </w:tabs>
            <w:spacing/>
            <w:ind/>
            <w:rPr>
              <w:rFonts w:eastAsiaTheme="minorEastAsia" w:cstheme="minorBidi"/>
              <w:b w:val="0"/>
              <w:bCs w:val="0"/>
              <w:smallCaps w:val="0"/>
            </w:rPr>
          </w:pPr>
          <w:r/>
          <w:hyperlink w:tooltip="#_Toc206749673" w:anchor="_Toc206749673" w:history="1">
            <w:r>
              <w:rPr>
                <w:rStyle w:val="1110"/>
              </w:rPr>
              <w:t xml:space="preserve">IV.1</w:t>
            </w:r>
            <w:r>
              <w:rPr>
                <w:rFonts w:eastAsiaTheme="minorEastAsia" w:cstheme="minorBidi"/>
                <w:b w:val="0"/>
                <w:bCs w:val="0"/>
                <w:smallCaps w:val="0"/>
              </w:rPr>
              <w:tab/>
            </w:r>
            <w:r>
              <w:rPr>
                <w:rStyle w:val="1110"/>
              </w:rPr>
              <w:t xml:space="preserve">Eléments de candidature</w:t>
            </w:r>
            <w:r>
              <w:tab/>
            </w:r>
            <w:r>
              <w:fldChar w:fldCharType="begin"/>
            </w:r>
            <w:r>
              <w:instrText xml:space="preserve"> PAGEREF _Toc206749673 \h </w:instrText>
            </w:r>
            <w:r/>
            <w:r>
              <w:fldChar w:fldCharType="separate"/>
            </w:r>
            <w:r>
              <w:t xml:space="preserve">12</w:t>
            </w:r>
            <w:r>
              <w:fldChar w:fldCharType="end"/>
            </w:r>
          </w:hyperlink>
          <w:r/>
          <w:r>
            <w:rPr>
              <w:rFonts w:eastAsiaTheme="minorEastAsia" w:cstheme="minorBidi"/>
              <w:b w:val="0"/>
              <w:bCs w:val="0"/>
              <w:smallCaps w:val="0"/>
            </w:rPr>
          </w:r>
        </w:p>
        <w:p>
          <w:pPr>
            <w:pStyle w:val="1102"/>
            <w:pBdr/>
            <w:tabs>
              <w:tab w:val="left" w:leader="none" w:pos="734"/>
              <w:tab w:val="right" w:leader="dot" w:pos="9628"/>
            </w:tabs>
            <w:spacing/>
            <w:ind/>
            <w:rPr>
              <w:rFonts w:eastAsiaTheme="minorEastAsia" w:cstheme="minorBidi"/>
              <w:smallCaps w:val="0"/>
            </w:rPr>
          </w:pPr>
          <w:r/>
          <w:hyperlink w:tooltip="#_Toc206749674" w:anchor="_Toc206749674" w:history="1">
            <w:r>
              <w:rPr>
                <w:rStyle w:val="1110"/>
              </w:rPr>
              <w:t xml:space="preserve">IV.1.1</w:t>
            </w:r>
            <w:r>
              <w:rPr>
                <w:rFonts w:eastAsiaTheme="minorEastAsia" w:cstheme="minorBidi"/>
                <w:smallCaps w:val="0"/>
              </w:rPr>
              <w:tab/>
            </w:r>
            <w:r>
              <w:rPr>
                <w:rStyle w:val="1110"/>
              </w:rPr>
              <w:t xml:space="preserve">Modalités de communication et contenu des éléments de candidature</w:t>
            </w:r>
            <w:r>
              <w:tab/>
            </w:r>
            <w:r>
              <w:fldChar w:fldCharType="begin"/>
            </w:r>
            <w:r>
              <w:instrText xml:space="preserve"> PAGEREF _Toc206749674 \h </w:instrText>
            </w:r>
            <w:r/>
            <w:r>
              <w:fldChar w:fldCharType="separate"/>
            </w:r>
            <w:r>
              <w:t xml:space="preserve">12</w:t>
            </w:r>
            <w:r>
              <w:fldChar w:fldCharType="end"/>
            </w:r>
          </w:hyperlink>
          <w:r/>
          <w:r>
            <w:rPr>
              <w:rFonts w:eastAsiaTheme="minorEastAsia" w:cstheme="minorBidi"/>
              <w:smallCaps w:val="0"/>
            </w:rPr>
          </w:r>
        </w:p>
        <w:p>
          <w:pPr>
            <w:pStyle w:val="1102"/>
            <w:pBdr/>
            <w:tabs>
              <w:tab w:val="left" w:leader="none" w:pos="734"/>
              <w:tab w:val="right" w:leader="dot" w:pos="9628"/>
            </w:tabs>
            <w:spacing/>
            <w:ind/>
            <w:rPr>
              <w:rFonts w:eastAsiaTheme="minorEastAsia" w:cstheme="minorBidi"/>
              <w:smallCaps w:val="0"/>
            </w:rPr>
          </w:pPr>
          <w:r/>
          <w:hyperlink w:tooltip="#_Toc206749675" w:anchor="_Toc206749675" w:history="1">
            <w:r>
              <w:rPr>
                <w:rStyle w:val="1110"/>
              </w:rPr>
              <w:t xml:space="preserve">IV.1.2</w:t>
            </w:r>
            <w:r>
              <w:rPr>
                <w:rFonts w:eastAsiaTheme="minorEastAsia" w:cstheme="minorBidi"/>
                <w:smallCaps w:val="0"/>
              </w:rPr>
              <w:tab/>
            </w:r>
            <w:r>
              <w:rPr>
                <w:rStyle w:val="1110"/>
              </w:rPr>
              <w:t xml:space="preserve">Candidatures groupées</w:t>
            </w:r>
            <w:r>
              <w:tab/>
            </w:r>
            <w:r>
              <w:fldChar w:fldCharType="begin"/>
            </w:r>
            <w:r>
              <w:instrText xml:space="preserve"> PAGEREF _Toc206749675 \h </w:instrText>
            </w:r>
            <w:r/>
            <w:r>
              <w:fldChar w:fldCharType="separate"/>
            </w:r>
            <w:r>
              <w:t xml:space="preserve">13</w:t>
            </w:r>
            <w:r>
              <w:fldChar w:fldCharType="end"/>
            </w:r>
          </w:hyperlink>
          <w:r/>
          <w:r>
            <w:rPr>
              <w:rFonts w:eastAsiaTheme="minorEastAsia" w:cstheme="minorBidi"/>
              <w:smallCaps w:val="0"/>
            </w:rPr>
          </w:r>
        </w:p>
        <w:p>
          <w:pPr>
            <w:pStyle w:val="1102"/>
            <w:pBdr/>
            <w:tabs>
              <w:tab w:val="left" w:leader="none" w:pos="734"/>
              <w:tab w:val="right" w:leader="dot" w:pos="9628"/>
            </w:tabs>
            <w:spacing/>
            <w:ind/>
            <w:rPr>
              <w:rFonts w:eastAsiaTheme="minorEastAsia" w:cstheme="minorBidi"/>
              <w:smallCaps w:val="0"/>
            </w:rPr>
          </w:pPr>
          <w:r/>
          <w:hyperlink w:tooltip="#_Toc206749676" w:anchor="_Toc206749676" w:history="1">
            <w:r>
              <w:rPr>
                <w:rStyle w:val="1110"/>
              </w:rPr>
              <w:t xml:space="preserve">IV.1.3</w:t>
            </w:r>
            <w:r>
              <w:rPr>
                <w:rFonts w:eastAsiaTheme="minorEastAsia" w:cstheme="minorBidi"/>
                <w:smallCaps w:val="0"/>
              </w:rPr>
              <w:tab/>
            </w:r>
            <w:r>
              <w:rPr>
                <w:rStyle w:val="1110"/>
              </w:rPr>
              <w:t xml:space="preserve">Précisions</w:t>
            </w:r>
            <w:r>
              <w:tab/>
            </w:r>
            <w:r>
              <w:fldChar w:fldCharType="begin"/>
            </w:r>
            <w:r>
              <w:instrText xml:space="preserve"> PAGEREF _Toc206749676 \h </w:instrText>
            </w:r>
            <w:r/>
            <w:r>
              <w:fldChar w:fldCharType="separate"/>
            </w:r>
            <w:r>
              <w:t xml:space="preserve">13</w:t>
            </w:r>
            <w:r>
              <w:fldChar w:fldCharType="end"/>
            </w:r>
          </w:hyperlink>
          <w:r/>
          <w:r>
            <w:rPr>
              <w:rFonts w:eastAsiaTheme="minorEastAsia" w:cstheme="minorBidi"/>
              <w:smallCaps w:val="0"/>
            </w:rPr>
          </w:r>
        </w:p>
        <w:p>
          <w:pPr>
            <w:pStyle w:val="1101"/>
            <w:pBdr/>
            <w:tabs>
              <w:tab w:val="left" w:leader="none" w:pos="579"/>
              <w:tab w:val="right" w:leader="dot" w:pos="9628"/>
            </w:tabs>
            <w:spacing/>
            <w:ind/>
            <w:rPr>
              <w:rFonts w:eastAsiaTheme="minorEastAsia" w:cstheme="minorBidi"/>
              <w:b w:val="0"/>
              <w:bCs w:val="0"/>
              <w:smallCaps w:val="0"/>
            </w:rPr>
          </w:pPr>
          <w:r/>
          <w:hyperlink w:tooltip="#_Toc206749677" w:anchor="_Toc206749677" w:history="1">
            <w:r>
              <w:rPr>
                <w:rStyle w:val="1110"/>
              </w:rPr>
              <w:t xml:space="preserve">IV.2</w:t>
            </w:r>
            <w:r>
              <w:rPr>
                <w:rFonts w:eastAsiaTheme="minorEastAsia" w:cstheme="minorBidi"/>
                <w:b w:val="0"/>
                <w:bCs w:val="0"/>
                <w:smallCaps w:val="0"/>
              </w:rPr>
              <w:tab/>
            </w:r>
            <w:r>
              <w:rPr>
                <w:rStyle w:val="1110"/>
              </w:rPr>
              <w:t xml:space="preserve">Dossier offre</w:t>
            </w:r>
            <w:r>
              <w:tab/>
            </w:r>
            <w:r>
              <w:fldChar w:fldCharType="begin"/>
            </w:r>
            <w:r>
              <w:instrText xml:space="preserve"> PAGEREF _Toc206749677 \h </w:instrText>
            </w:r>
            <w:r/>
            <w:r>
              <w:fldChar w:fldCharType="separate"/>
            </w:r>
            <w:r>
              <w:t xml:space="preserve">14</w:t>
            </w:r>
            <w:r>
              <w:fldChar w:fldCharType="end"/>
            </w:r>
          </w:hyperlink>
          <w:r/>
          <w:r>
            <w:rPr>
              <w:rFonts w:eastAsiaTheme="minorEastAsia" w:cstheme="minorBidi"/>
              <w:b w:val="0"/>
              <w:bCs w:val="0"/>
              <w:smallCaps w:val="0"/>
            </w:rPr>
          </w:r>
        </w:p>
        <w:p>
          <w:pPr>
            <w:pStyle w:val="1102"/>
            <w:pBdr/>
            <w:tabs>
              <w:tab w:val="left" w:leader="none" w:pos="734"/>
              <w:tab w:val="right" w:leader="dot" w:pos="9628"/>
            </w:tabs>
            <w:spacing/>
            <w:ind/>
            <w:rPr>
              <w:rFonts w:eastAsiaTheme="minorEastAsia" w:cstheme="minorBidi"/>
              <w:smallCaps w:val="0"/>
            </w:rPr>
          </w:pPr>
          <w:r/>
          <w:hyperlink w:tooltip="#_Toc206749678" w:anchor="_Toc206749678" w:history="1">
            <w:r>
              <w:rPr>
                <w:rStyle w:val="1110"/>
              </w:rPr>
              <w:t xml:space="preserve">IV.2.1</w:t>
            </w:r>
            <w:r>
              <w:rPr>
                <w:rFonts w:eastAsiaTheme="minorEastAsia" w:cstheme="minorBidi"/>
                <w:smallCaps w:val="0"/>
              </w:rPr>
              <w:tab/>
            </w:r>
            <w:r>
              <w:rPr>
                <w:rStyle w:val="1110"/>
              </w:rPr>
              <w:t xml:space="preserve">L’acte d'engagement établi conformément au modèle joint (AE) :</w:t>
            </w:r>
            <w:r>
              <w:tab/>
            </w:r>
            <w:r>
              <w:fldChar w:fldCharType="begin"/>
            </w:r>
            <w:r>
              <w:instrText xml:space="preserve"> PAGEREF _Toc206749678 \h </w:instrText>
            </w:r>
            <w:r/>
            <w:r>
              <w:fldChar w:fldCharType="separate"/>
            </w:r>
            <w:r>
              <w:t xml:space="preserve">14</w:t>
            </w:r>
            <w:r>
              <w:fldChar w:fldCharType="end"/>
            </w:r>
          </w:hyperlink>
          <w:r/>
          <w:r>
            <w:rPr>
              <w:rFonts w:eastAsiaTheme="minorEastAsia" w:cstheme="minorBidi"/>
              <w:smallCaps w:val="0"/>
            </w:rPr>
          </w:r>
        </w:p>
        <w:p>
          <w:pPr>
            <w:pStyle w:val="1102"/>
            <w:pBdr/>
            <w:tabs>
              <w:tab w:val="left" w:leader="none" w:pos="734"/>
              <w:tab w:val="right" w:leader="dot" w:pos="9628"/>
            </w:tabs>
            <w:spacing/>
            <w:ind/>
            <w:rPr>
              <w:rFonts w:eastAsiaTheme="minorEastAsia" w:cstheme="minorBidi"/>
              <w:smallCaps w:val="0"/>
            </w:rPr>
          </w:pPr>
          <w:r/>
          <w:hyperlink w:tooltip="#_Toc206749679" w:anchor="_Toc206749679" w:history="1">
            <w:r>
              <w:rPr>
                <w:rStyle w:val="1110"/>
              </w:rPr>
              <w:t xml:space="preserve">IV.2.2</w:t>
            </w:r>
            <w:r>
              <w:rPr>
                <w:rFonts w:eastAsiaTheme="minorEastAsia" w:cstheme="minorBidi"/>
                <w:smallCaps w:val="0"/>
              </w:rPr>
              <w:tab/>
            </w:r>
            <w:r>
              <w:rPr>
                <w:rStyle w:val="1110"/>
              </w:rPr>
              <w:t xml:space="preserve">L’annexe financière</w:t>
            </w:r>
            <w:r>
              <w:tab/>
            </w:r>
            <w:r>
              <w:fldChar w:fldCharType="begin"/>
            </w:r>
            <w:r>
              <w:instrText xml:space="preserve"> PAGEREF _Toc206749679 \h </w:instrText>
            </w:r>
            <w:r/>
            <w:r>
              <w:fldChar w:fldCharType="separate"/>
            </w:r>
            <w:r>
              <w:t xml:space="preserve">14</w:t>
            </w:r>
            <w:r>
              <w:fldChar w:fldCharType="end"/>
            </w:r>
          </w:hyperlink>
          <w:r/>
          <w:r>
            <w:rPr>
              <w:rFonts w:eastAsiaTheme="minorEastAsia" w:cstheme="minorBidi"/>
              <w:smallCaps w:val="0"/>
            </w:rPr>
          </w:r>
        </w:p>
        <w:p>
          <w:pPr>
            <w:pStyle w:val="1102"/>
            <w:pBdr/>
            <w:tabs>
              <w:tab w:val="left" w:leader="none" w:pos="734"/>
              <w:tab w:val="right" w:leader="dot" w:pos="9628"/>
            </w:tabs>
            <w:spacing/>
            <w:ind/>
            <w:rPr>
              <w:rFonts w:eastAsiaTheme="minorEastAsia" w:cstheme="minorBidi"/>
              <w:smallCaps w:val="0"/>
            </w:rPr>
          </w:pPr>
          <w:r/>
          <w:hyperlink w:tooltip="#_Toc206749680" w:anchor="_Toc206749680" w:history="1">
            <w:r>
              <w:rPr>
                <w:rStyle w:val="1110"/>
              </w:rPr>
              <w:t xml:space="preserve">IV.2.3</w:t>
            </w:r>
            <w:r>
              <w:rPr>
                <w:rFonts w:eastAsiaTheme="minorEastAsia" w:cstheme="minorBidi"/>
                <w:smallCaps w:val="0"/>
              </w:rPr>
              <w:tab/>
            </w:r>
            <w:r>
              <w:rPr>
                <w:rStyle w:val="1110"/>
              </w:rPr>
              <w:t xml:space="preserve">La simulation financière</w:t>
            </w:r>
            <w:r>
              <w:tab/>
            </w:r>
            <w:r>
              <w:fldChar w:fldCharType="begin"/>
            </w:r>
            <w:r>
              <w:instrText xml:space="preserve"> PAGEREF _Toc206749680 \h </w:instrText>
            </w:r>
            <w:r/>
            <w:r>
              <w:fldChar w:fldCharType="separate"/>
            </w:r>
            <w:r>
              <w:t xml:space="preserve">14</w:t>
            </w:r>
            <w:r>
              <w:fldChar w:fldCharType="end"/>
            </w:r>
          </w:hyperlink>
          <w:r/>
          <w:r>
            <w:rPr>
              <w:rFonts w:eastAsiaTheme="minorEastAsia" w:cstheme="minorBidi"/>
              <w:smallCaps w:val="0"/>
            </w:rPr>
          </w:r>
        </w:p>
        <w:p>
          <w:pPr>
            <w:pStyle w:val="1102"/>
            <w:pBdr/>
            <w:tabs>
              <w:tab w:val="left" w:leader="none" w:pos="734"/>
              <w:tab w:val="right" w:leader="dot" w:pos="9628"/>
            </w:tabs>
            <w:spacing/>
            <w:ind/>
            <w:rPr>
              <w:rFonts w:eastAsiaTheme="minorEastAsia" w:cstheme="minorBidi"/>
              <w:smallCaps w:val="0"/>
            </w:rPr>
          </w:pPr>
          <w:r/>
          <w:hyperlink w:tooltip="#_Toc206749681" w:anchor="_Toc206749681" w:history="1">
            <w:r>
              <w:rPr>
                <w:rStyle w:val="1110"/>
              </w:rPr>
              <w:t xml:space="preserve">IV.2.4</w:t>
            </w:r>
            <w:r>
              <w:rPr>
                <w:rFonts w:eastAsiaTheme="minorEastAsia" w:cstheme="minorBidi"/>
                <w:smallCaps w:val="0"/>
              </w:rPr>
              <w:tab/>
            </w:r>
            <w:r>
              <w:rPr>
                <w:rStyle w:val="1110"/>
              </w:rPr>
              <w:t xml:space="preserve">Le cadre de réponse technique (annexe VI au présent règlement)</w:t>
            </w:r>
            <w:r>
              <w:tab/>
            </w:r>
            <w:r>
              <w:fldChar w:fldCharType="begin"/>
            </w:r>
            <w:r>
              <w:instrText xml:space="preserve"> PAGEREF _Toc206749681 \h </w:instrText>
            </w:r>
            <w:r/>
            <w:r>
              <w:fldChar w:fldCharType="separate"/>
            </w:r>
            <w:r>
              <w:t xml:space="preserve">14</w:t>
            </w:r>
            <w:r>
              <w:fldChar w:fldCharType="end"/>
            </w:r>
          </w:hyperlink>
          <w:r/>
          <w:r>
            <w:rPr>
              <w:rFonts w:eastAsiaTheme="minorEastAsia" w:cstheme="minorBidi"/>
              <w:smallCaps w:val="0"/>
            </w:rPr>
          </w:r>
        </w:p>
        <w:p>
          <w:pPr>
            <w:pStyle w:val="1102"/>
            <w:pBdr/>
            <w:tabs>
              <w:tab w:val="left" w:leader="none" w:pos="734"/>
              <w:tab w:val="right" w:leader="dot" w:pos="9628"/>
            </w:tabs>
            <w:spacing/>
            <w:ind/>
            <w:rPr>
              <w:rFonts w:eastAsiaTheme="minorEastAsia" w:cstheme="minorBidi"/>
              <w:smallCaps w:val="0"/>
            </w:rPr>
          </w:pPr>
          <w:r/>
          <w:hyperlink w:tooltip="#_Toc206749682" w:anchor="_Toc206749682" w:history="1">
            <w:r>
              <w:rPr>
                <w:rStyle w:val="1110"/>
              </w:rPr>
              <w:t xml:space="preserve">IV.2.5</w:t>
            </w:r>
            <w:r>
              <w:rPr>
                <w:rFonts w:eastAsiaTheme="minorEastAsia" w:cstheme="minorBidi"/>
                <w:smallCaps w:val="0"/>
              </w:rPr>
              <w:tab/>
            </w:r>
            <w:r>
              <w:rPr>
                <w:rStyle w:val="1110"/>
              </w:rPr>
              <w:t xml:space="preserve">Le cadre de réponse environnementale (annexe VI au présent règlement)</w:t>
            </w:r>
            <w:r>
              <w:tab/>
            </w:r>
            <w:r>
              <w:fldChar w:fldCharType="begin"/>
            </w:r>
            <w:r>
              <w:instrText xml:space="preserve"> PAGEREF _Toc206749682 \h </w:instrText>
            </w:r>
            <w:r/>
            <w:r>
              <w:fldChar w:fldCharType="separate"/>
            </w:r>
            <w:r>
              <w:t xml:space="preserve">15</w:t>
            </w:r>
            <w:r>
              <w:fldChar w:fldCharType="end"/>
            </w:r>
          </w:hyperlink>
          <w:r/>
          <w:r>
            <w:rPr>
              <w:rFonts w:eastAsiaTheme="minorEastAsia" w:cstheme="minorBidi"/>
              <w:smallCaps w:val="0"/>
            </w:rPr>
          </w:r>
        </w:p>
        <w:p>
          <w:pPr>
            <w:pStyle w:val="1102"/>
            <w:pBdr/>
            <w:tabs>
              <w:tab w:val="left" w:leader="none" w:pos="734"/>
              <w:tab w:val="right" w:leader="dot" w:pos="9628"/>
            </w:tabs>
            <w:spacing/>
            <w:ind/>
            <w:rPr>
              <w:rFonts w:eastAsiaTheme="minorEastAsia" w:cstheme="minorBidi"/>
              <w:smallCaps w:val="0"/>
            </w:rPr>
          </w:pPr>
          <w:r/>
          <w:hyperlink w:tooltip="#_Toc206749683" w:anchor="_Toc206749683" w:history="1">
            <w:r>
              <w:rPr>
                <w:rStyle w:val="1110"/>
              </w:rPr>
              <w:t xml:space="preserve">IV.2.6</w:t>
            </w:r>
            <w:r>
              <w:rPr>
                <w:rFonts w:eastAsiaTheme="minorEastAsia" w:cstheme="minorBidi"/>
                <w:smallCaps w:val="0"/>
              </w:rPr>
              <w:tab/>
            </w:r>
            <w:r>
              <w:rPr>
                <w:rStyle w:val="1110"/>
              </w:rPr>
              <w:t xml:space="preserve">La déclaration de sous-traitance concomitante au dépôt de l’offre</w:t>
            </w:r>
            <w:r>
              <w:tab/>
            </w:r>
            <w:r>
              <w:fldChar w:fldCharType="begin"/>
            </w:r>
            <w:r>
              <w:instrText xml:space="preserve"> PAGEREF _Toc206749683 \h </w:instrText>
            </w:r>
            <w:r/>
            <w:r>
              <w:fldChar w:fldCharType="separate"/>
            </w:r>
            <w:r>
              <w:t xml:space="preserve">15</w:t>
            </w:r>
            <w:r>
              <w:fldChar w:fldCharType="end"/>
            </w:r>
          </w:hyperlink>
          <w:r/>
          <w:r>
            <w:rPr>
              <w:rFonts w:eastAsiaTheme="minorEastAsia" w:cstheme="minorBidi"/>
              <w:smallCaps w:val="0"/>
            </w:rPr>
          </w:r>
        </w:p>
        <w:p>
          <w:pPr>
            <w:pStyle w:val="1102"/>
            <w:pBdr/>
            <w:tabs>
              <w:tab w:val="left" w:leader="none" w:pos="734"/>
              <w:tab w:val="right" w:leader="dot" w:pos="9628"/>
            </w:tabs>
            <w:spacing/>
            <w:ind/>
            <w:rPr>
              <w:rFonts w:eastAsiaTheme="minorEastAsia" w:cstheme="minorBidi"/>
              <w:smallCaps w:val="0"/>
            </w:rPr>
          </w:pPr>
          <w:r/>
          <w:hyperlink w:tooltip="#_Toc206749684" w:anchor="_Toc206749684" w:history="1">
            <w:r>
              <w:rPr>
                <w:rStyle w:val="1110"/>
              </w:rPr>
              <w:t xml:space="preserve">IV.2.7</w:t>
            </w:r>
            <w:r>
              <w:rPr>
                <w:rFonts w:eastAsiaTheme="minorEastAsia" w:cstheme="minorBidi"/>
                <w:smallCaps w:val="0"/>
              </w:rPr>
              <w:tab/>
            </w:r>
            <w:r>
              <w:rPr>
                <w:rStyle w:val="1110"/>
              </w:rPr>
              <w:t xml:space="preserve">Autres documents</w:t>
            </w:r>
            <w:r>
              <w:tab/>
            </w:r>
            <w:r>
              <w:fldChar w:fldCharType="begin"/>
            </w:r>
            <w:r>
              <w:instrText xml:space="preserve"> PAGEREF _Toc206749684 \h </w:instrText>
            </w:r>
            <w:r/>
            <w:r>
              <w:fldChar w:fldCharType="separate"/>
            </w:r>
            <w:r>
              <w:t xml:space="preserve">15</w:t>
            </w:r>
            <w:r>
              <w:fldChar w:fldCharType="end"/>
            </w:r>
          </w:hyperlink>
          <w:r/>
          <w:r>
            <w:rPr>
              <w:rFonts w:eastAsiaTheme="minorEastAsia" w:cstheme="minorBidi"/>
              <w:smallCaps w:val="0"/>
            </w:rPr>
          </w:r>
        </w:p>
        <w:p>
          <w:pPr>
            <w:pStyle w:val="1100"/>
            <w:pBdr/>
            <w:spacing/>
            <w:ind/>
            <w:rPr>
              <w:rFonts w:eastAsiaTheme="minorEastAsia" w:cstheme="minorBidi"/>
              <w:b w:val="0"/>
              <w:bCs w:val="0"/>
              <w:caps w:val="0"/>
              <w:u w:val="none"/>
            </w:rPr>
          </w:pPr>
          <w:r/>
          <w:hyperlink w:tooltip="#_Toc206749685" w:anchor="_Toc206749685" w:history="1">
            <w:r>
              <w:rPr>
                <w:rStyle w:val="1110"/>
              </w:rPr>
              <w:t xml:space="preserve">Article V. SELECTION DES CANDIDATURES ET DES OFFRES</w:t>
            </w:r>
            <w:r>
              <w:tab/>
            </w:r>
            <w:r>
              <w:fldChar w:fldCharType="begin"/>
            </w:r>
            <w:r>
              <w:instrText xml:space="preserve"> PAGEREF _Toc206749685 \h </w:instrText>
            </w:r>
            <w:r/>
            <w:r>
              <w:fldChar w:fldCharType="separate"/>
            </w:r>
            <w:r>
              <w:t xml:space="preserve">16</w:t>
            </w:r>
            <w:r>
              <w:fldChar w:fldCharType="end"/>
            </w:r>
          </w:hyperlink>
          <w:r/>
          <w:r>
            <w:rPr>
              <w:rFonts w:eastAsiaTheme="minorEastAsia" w:cstheme="minorBidi"/>
              <w:b w:val="0"/>
              <w:bCs w:val="0"/>
              <w:caps w:val="0"/>
              <w:u w:val="none"/>
            </w:rPr>
          </w:r>
        </w:p>
        <w:p>
          <w:pPr>
            <w:pStyle w:val="1101"/>
            <w:pBdr/>
            <w:tabs>
              <w:tab w:val="left" w:leader="none" w:pos="520"/>
              <w:tab w:val="right" w:leader="dot" w:pos="9628"/>
            </w:tabs>
            <w:spacing/>
            <w:ind/>
            <w:rPr>
              <w:rFonts w:eastAsiaTheme="minorEastAsia" w:cstheme="minorBidi"/>
              <w:b w:val="0"/>
              <w:bCs w:val="0"/>
              <w:smallCaps w:val="0"/>
            </w:rPr>
          </w:pPr>
          <w:r/>
          <w:hyperlink w:tooltip="#_Toc206749686" w:anchor="_Toc206749686" w:history="1">
            <w:r>
              <w:rPr>
                <w:rStyle w:val="1110"/>
              </w:rPr>
              <w:t xml:space="preserve">V.1</w:t>
            </w:r>
            <w:r>
              <w:rPr>
                <w:rFonts w:eastAsiaTheme="minorEastAsia" w:cstheme="minorBidi"/>
                <w:b w:val="0"/>
                <w:bCs w:val="0"/>
                <w:smallCaps w:val="0"/>
              </w:rPr>
              <w:tab/>
            </w:r>
            <w:r>
              <w:rPr>
                <w:rStyle w:val="1110"/>
              </w:rPr>
              <w:t xml:space="preserve">Examen des candidatures</w:t>
            </w:r>
            <w:r>
              <w:tab/>
            </w:r>
            <w:r>
              <w:fldChar w:fldCharType="begin"/>
            </w:r>
            <w:r>
              <w:instrText xml:space="preserve"> PAGEREF _Toc206749686 \h </w:instrText>
            </w:r>
            <w:r/>
            <w:r>
              <w:fldChar w:fldCharType="separate"/>
            </w:r>
            <w:r>
              <w:t xml:space="preserve">16</w:t>
            </w:r>
            <w:r>
              <w:fldChar w:fldCharType="end"/>
            </w:r>
          </w:hyperlink>
          <w:r/>
          <w:r>
            <w:rPr>
              <w:rFonts w:eastAsiaTheme="minorEastAsia" w:cstheme="minorBidi"/>
              <w:b w:val="0"/>
              <w:bCs w:val="0"/>
              <w:smallCaps w:val="0"/>
            </w:rPr>
          </w:r>
        </w:p>
        <w:p>
          <w:pPr>
            <w:pStyle w:val="1101"/>
            <w:pBdr/>
            <w:tabs>
              <w:tab w:val="left" w:leader="none" w:pos="520"/>
              <w:tab w:val="right" w:leader="dot" w:pos="9628"/>
            </w:tabs>
            <w:spacing/>
            <w:ind/>
            <w:rPr>
              <w:rFonts w:eastAsiaTheme="minorEastAsia" w:cstheme="minorBidi"/>
              <w:b w:val="0"/>
              <w:bCs w:val="0"/>
              <w:smallCaps w:val="0"/>
            </w:rPr>
          </w:pPr>
          <w:r/>
          <w:hyperlink w:tooltip="#_Toc206749687" w:anchor="_Toc206749687" w:history="1">
            <w:r>
              <w:rPr>
                <w:rStyle w:val="1110"/>
              </w:rPr>
              <w:t xml:space="preserve">V.2</w:t>
            </w:r>
            <w:r>
              <w:rPr>
                <w:rFonts w:eastAsiaTheme="minorEastAsia" w:cstheme="minorBidi"/>
                <w:b w:val="0"/>
                <w:bCs w:val="0"/>
                <w:smallCaps w:val="0"/>
              </w:rPr>
              <w:tab/>
            </w:r>
            <w:r>
              <w:rPr>
                <w:rStyle w:val="1110"/>
              </w:rPr>
              <w:t xml:space="preserve">Analyse des offres</w:t>
            </w:r>
            <w:r>
              <w:tab/>
            </w:r>
            <w:r>
              <w:fldChar w:fldCharType="begin"/>
            </w:r>
            <w:r>
              <w:instrText xml:space="preserve"> PAGEREF _Toc206749687 \h </w:instrText>
            </w:r>
            <w:r/>
            <w:r>
              <w:fldChar w:fldCharType="separate"/>
            </w:r>
            <w:r>
              <w:t xml:space="preserve">16</w:t>
            </w:r>
            <w:r>
              <w:fldChar w:fldCharType="end"/>
            </w:r>
          </w:hyperlink>
          <w:r/>
          <w:r>
            <w:rPr>
              <w:rFonts w:eastAsiaTheme="minorEastAsia" w:cstheme="minorBidi"/>
              <w:b w:val="0"/>
              <w:bCs w:val="0"/>
              <w:smallCaps w:val="0"/>
            </w:rPr>
          </w:r>
        </w:p>
        <w:p>
          <w:pPr>
            <w:pStyle w:val="1102"/>
            <w:pBdr/>
            <w:tabs>
              <w:tab w:val="left" w:leader="none" w:pos="679"/>
              <w:tab w:val="right" w:leader="dot" w:pos="9628"/>
            </w:tabs>
            <w:spacing/>
            <w:ind/>
            <w:rPr>
              <w:rFonts w:eastAsiaTheme="minorEastAsia" w:cstheme="minorBidi"/>
              <w:smallCaps w:val="0"/>
            </w:rPr>
          </w:pPr>
          <w:r/>
          <w:hyperlink w:tooltip="#_Toc206749688" w:anchor="_Toc206749688" w:history="1">
            <w:r>
              <w:rPr>
                <w:rStyle w:val="1110"/>
              </w:rPr>
              <w:t xml:space="preserve">V.2.1</w:t>
            </w:r>
            <w:r>
              <w:rPr>
                <w:rFonts w:eastAsiaTheme="minorEastAsia" w:cstheme="minorBidi"/>
                <w:smallCaps w:val="0"/>
              </w:rPr>
              <w:tab/>
            </w:r>
            <w:r>
              <w:rPr>
                <w:rStyle w:val="1110"/>
              </w:rPr>
              <w:t xml:space="preserve">Choix de l’offre économiquement la plus avantageuse</w:t>
            </w:r>
            <w:r>
              <w:tab/>
            </w:r>
            <w:r>
              <w:fldChar w:fldCharType="begin"/>
            </w:r>
            <w:r>
              <w:instrText xml:space="preserve"> PAGEREF _Toc206749688 \h </w:instrText>
            </w:r>
            <w:r/>
            <w:r>
              <w:fldChar w:fldCharType="separate"/>
            </w:r>
            <w:r>
              <w:t xml:space="preserve">16</w:t>
            </w:r>
            <w:r>
              <w:fldChar w:fldCharType="end"/>
            </w:r>
          </w:hyperlink>
          <w:r/>
          <w:r>
            <w:rPr>
              <w:rFonts w:eastAsiaTheme="minorEastAsia" w:cstheme="minorBidi"/>
              <w:smallCaps w:val="0"/>
            </w:rPr>
          </w:r>
        </w:p>
        <w:p>
          <w:pPr>
            <w:pStyle w:val="1102"/>
            <w:pBdr/>
            <w:tabs>
              <w:tab w:val="left" w:leader="none" w:pos="679"/>
              <w:tab w:val="right" w:leader="dot" w:pos="9628"/>
            </w:tabs>
            <w:spacing/>
            <w:ind/>
            <w:rPr>
              <w:rFonts w:eastAsiaTheme="minorEastAsia" w:cstheme="minorBidi"/>
              <w:smallCaps w:val="0"/>
            </w:rPr>
          </w:pPr>
          <w:r/>
          <w:hyperlink w:tooltip="#_Toc206749689" w:anchor="_Toc206749689" w:history="1">
            <w:r>
              <w:rPr>
                <w:rStyle w:val="1110"/>
              </w:rPr>
              <w:t xml:space="preserve">V.2.2</w:t>
            </w:r>
            <w:r>
              <w:rPr>
                <w:rFonts w:eastAsiaTheme="minorEastAsia" w:cstheme="minorBidi"/>
                <w:smallCaps w:val="0"/>
              </w:rPr>
              <w:tab/>
            </w:r>
            <w:r>
              <w:rPr>
                <w:rStyle w:val="1110"/>
              </w:rPr>
              <w:t xml:space="preserve">Cadre d’analyse</w:t>
            </w:r>
            <w:r>
              <w:tab/>
            </w:r>
            <w:r>
              <w:fldChar w:fldCharType="begin"/>
            </w:r>
            <w:r>
              <w:instrText xml:space="preserve"> PAGEREF _Toc206749689 \h </w:instrText>
            </w:r>
            <w:r/>
            <w:r>
              <w:fldChar w:fldCharType="separate"/>
            </w:r>
            <w:r>
              <w:t xml:space="preserve">17</w:t>
            </w:r>
            <w:r>
              <w:fldChar w:fldCharType="end"/>
            </w:r>
          </w:hyperlink>
          <w:r/>
          <w:r>
            <w:rPr>
              <w:rFonts w:eastAsiaTheme="minorEastAsia" w:cstheme="minorBidi"/>
              <w:smallCaps w:val="0"/>
            </w:rPr>
          </w:r>
        </w:p>
        <w:p>
          <w:pPr>
            <w:pStyle w:val="1102"/>
            <w:pBdr/>
            <w:tabs>
              <w:tab w:val="left" w:leader="none" w:pos="679"/>
              <w:tab w:val="right" w:leader="dot" w:pos="9628"/>
            </w:tabs>
            <w:spacing/>
            <w:ind/>
            <w:rPr>
              <w:rFonts w:eastAsiaTheme="minorEastAsia" w:cstheme="minorBidi"/>
              <w:smallCaps w:val="0"/>
            </w:rPr>
          </w:pPr>
          <w:r/>
          <w:hyperlink w:tooltip="#_Toc206749690" w:anchor="_Toc206749690" w:history="1">
            <w:r>
              <w:rPr>
                <w:rStyle w:val="1110"/>
              </w:rPr>
              <w:t xml:space="preserve">V.2.3</w:t>
            </w:r>
            <w:r>
              <w:rPr>
                <w:rFonts w:eastAsiaTheme="minorEastAsia" w:cstheme="minorBidi"/>
                <w:smallCaps w:val="0"/>
              </w:rPr>
              <w:tab/>
            </w:r>
            <w:r>
              <w:rPr>
                <w:rStyle w:val="1110"/>
              </w:rPr>
              <w:t xml:space="preserve">Demande de précisions sur la teneur des offres et examen de leur recevabilité</w:t>
            </w:r>
            <w:r>
              <w:tab/>
            </w:r>
            <w:r>
              <w:fldChar w:fldCharType="begin"/>
            </w:r>
            <w:r>
              <w:instrText xml:space="preserve"> PAGEREF _Toc206749690 \h </w:instrText>
            </w:r>
            <w:r/>
            <w:r>
              <w:fldChar w:fldCharType="separate"/>
            </w:r>
            <w:r>
              <w:t xml:space="preserve">18</w:t>
            </w:r>
            <w:r>
              <w:fldChar w:fldCharType="end"/>
            </w:r>
          </w:hyperlink>
          <w:r/>
          <w:r>
            <w:rPr>
              <w:rFonts w:eastAsiaTheme="minorEastAsia" w:cstheme="minorBidi"/>
              <w:smallCaps w:val="0"/>
            </w:rPr>
          </w:r>
        </w:p>
        <w:p>
          <w:pPr>
            <w:pStyle w:val="1101"/>
            <w:pBdr/>
            <w:tabs>
              <w:tab w:val="left" w:leader="none" w:pos="520"/>
              <w:tab w:val="right" w:leader="dot" w:pos="9628"/>
            </w:tabs>
            <w:spacing/>
            <w:ind/>
            <w:rPr>
              <w:rFonts w:eastAsiaTheme="minorEastAsia" w:cstheme="minorBidi"/>
              <w:b w:val="0"/>
              <w:bCs w:val="0"/>
              <w:smallCaps w:val="0"/>
            </w:rPr>
          </w:pPr>
          <w:r/>
          <w:hyperlink w:tooltip="#_Toc206749691" w:anchor="_Toc206749691" w:history="1">
            <w:r>
              <w:rPr>
                <w:rStyle w:val="1110"/>
              </w:rPr>
              <w:t xml:space="preserve">V.3</w:t>
            </w:r>
            <w:r>
              <w:rPr>
                <w:rFonts w:eastAsiaTheme="minorEastAsia" w:cstheme="minorBidi"/>
                <w:b w:val="0"/>
                <w:bCs w:val="0"/>
                <w:smallCaps w:val="0"/>
              </w:rPr>
              <w:tab/>
            </w:r>
            <w:r>
              <w:rPr>
                <w:rStyle w:val="1110"/>
              </w:rPr>
              <w:t xml:space="preserve">Achèvement de la consultation</w:t>
            </w:r>
            <w:r>
              <w:tab/>
            </w:r>
            <w:r>
              <w:fldChar w:fldCharType="begin"/>
            </w:r>
            <w:r>
              <w:instrText xml:space="preserve"> PAGEREF _Toc206749691 \h </w:instrText>
            </w:r>
            <w:r/>
            <w:r>
              <w:fldChar w:fldCharType="separate"/>
            </w:r>
            <w:r>
              <w:t xml:space="preserve">18</w:t>
            </w:r>
            <w:r>
              <w:fldChar w:fldCharType="end"/>
            </w:r>
          </w:hyperlink>
          <w:r/>
          <w:r>
            <w:rPr>
              <w:rFonts w:eastAsiaTheme="minorEastAsia" w:cstheme="minorBidi"/>
              <w:b w:val="0"/>
              <w:bCs w:val="0"/>
              <w:smallCaps w:val="0"/>
            </w:rPr>
          </w:r>
        </w:p>
        <w:p>
          <w:pPr>
            <w:pStyle w:val="1102"/>
            <w:pBdr/>
            <w:tabs>
              <w:tab w:val="left" w:leader="none" w:pos="679"/>
              <w:tab w:val="right" w:leader="dot" w:pos="9628"/>
            </w:tabs>
            <w:spacing/>
            <w:ind/>
            <w:rPr>
              <w:rFonts w:eastAsiaTheme="minorEastAsia" w:cstheme="minorBidi"/>
              <w:smallCaps w:val="0"/>
            </w:rPr>
          </w:pPr>
          <w:r/>
          <w:hyperlink w:tooltip="#_Toc206749692" w:anchor="_Toc206749692" w:history="1">
            <w:r>
              <w:rPr>
                <w:rStyle w:val="1110"/>
              </w:rPr>
              <w:t xml:space="preserve">V.3.1</w:t>
            </w:r>
            <w:r>
              <w:rPr>
                <w:rFonts w:eastAsiaTheme="minorEastAsia" w:cstheme="minorBidi"/>
                <w:smallCaps w:val="0"/>
              </w:rPr>
              <w:tab/>
            </w:r>
            <w:r>
              <w:rPr>
                <w:rStyle w:val="1110"/>
              </w:rPr>
              <w:t xml:space="preserve">Attribution de l’accord-cadre</w:t>
            </w:r>
            <w:r>
              <w:tab/>
            </w:r>
            <w:r>
              <w:fldChar w:fldCharType="begin"/>
            </w:r>
            <w:r>
              <w:instrText xml:space="preserve"> PAGEREF _Toc206749692 \h </w:instrText>
            </w:r>
            <w:r/>
            <w:r>
              <w:fldChar w:fldCharType="separate"/>
            </w:r>
            <w:r>
              <w:t xml:space="preserve">18</w:t>
            </w:r>
            <w:r>
              <w:fldChar w:fldCharType="end"/>
            </w:r>
          </w:hyperlink>
          <w:r/>
          <w:r>
            <w:rPr>
              <w:rFonts w:eastAsiaTheme="minorEastAsia" w:cstheme="minorBidi"/>
              <w:smallCaps w:val="0"/>
            </w:rPr>
          </w:r>
        </w:p>
        <w:p>
          <w:pPr>
            <w:pStyle w:val="1102"/>
            <w:pBdr/>
            <w:tabs>
              <w:tab w:val="left" w:leader="none" w:pos="679"/>
              <w:tab w:val="right" w:leader="dot" w:pos="9628"/>
            </w:tabs>
            <w:spacing/>
            <w:ind/>
            <w:rPr>
              <w:rFonts w:eastAsiaTheme="minorEastAsia" w:cstheme="minorBidi"/>
              <w:smallCaps w:val="0"/>
            </w:rPr>
          </w:pPr>
          <w:r/>
          <w:hyperlink w:tooltip="#_Toc206749693" w:anchor="_Toc206749693" w:history="1">
            <w:r>
              <w:rPr>
                <w:rStyle w:val="1110"/>
              </w:rPr>
              <w:t xml:space="preserve">V.3.2</w:t>
            </w:r>
            <w:r>
              <w:rPr>
                <w:rFonts w:eastAsiaTheme="minorEastAsia" w:cstheme="minorBidi"/>
                <w:smallCaps w:val="0"/>
              </w:rPr>
              <w:tab/>
            </w:r>
            <w:r>
              <w:rPr>
                <w:rStyle w:val="1110"/>
              </w:rPr>
              <w:t xml:space="preserve">Mise au point des composantes de l’accord-cadre</w:t>
            </w:r>
            <w:r>
              <w:tab/>
            </w:r>
            <w:r>
              <w:fldChar w:fldCharType="begin"/>
            </w:r>
            <w:r>
              <w:instrText xml:space="preserve"> PAGEREF _Toc206749693 \h </w:instrText>
            </w:r>
            <w:r/>
            <w:r>
              <w:fldChar w:fldCharType="separate"/>
            </w:r>
            <w:r>
              <w:t xml:space="preserve">19</w:t>
            </w:r>
            <w:r>
              <w:fldChar w:fldCharType="end"/>
            </w:r>
          </w:hyperlink>
          <w:r/>
          <w:r>
            <w:rPr>
              <w:rFonts w:eastAsiaTheme="minorEastAsia" w:cstheme="minorBidi"/>
              <w:smallCaps w:val="0"/>
            </w:rPr>
          </w:r>
        </w:p>
        <w:p>
          <w:pPr>
            <w:pStyle w:val="1102"/>
            <w:pBdr/>
            <w:tabs>
              <w:tab w:val="left" w:leader="none" w:pos="679"/>
              <w:tab w:val="right" w:leader="dot" w:pos="9628"/>
            </w:tabs>
            <w:spacing/>
            <w:ind/>
            <w:rPr>
              <w:rFonts w:eastAsiaTheme="minorEastAsia" w:cstheme="minorBidi"/>
              <w:smallCaps w:val="0"/>
            </w:rPr>
          </w:pPr>
          <w:r/>
          <w:hyperlink w:tooltip="#_Toc206749694" w:anchor="_Toc206749694" w:history="1">
            <w:r>
              <w:rPr>
                <w:rStyle w:val="1110"/>
              </w:rPr>
              <w:t xml:space="preserve">V.3.3</w:t>
            </w:r>
            <w:r>
              <w:rPr>
                <w:rFonts w:eastAsiaTheme="minorEastAsia" w:cstheme="minorBidi"/>
                <w:smallCaps w:val="0"/>
              </w:rPr>
              <w:tab/>
            </w:r>
            <w:r>
              <w:rPr>
                <w:rStyle w:val="1110"/>
              </w:rPr>
              <w:t xml:space="preserve">Candidatures et offres non retenues</w:t>
            </w:r>
            <w:r>
              <w:tab/>
            </w:r>
            <w:r>
              <w:fldChar w:fldCharType="begin"/>
            </w:r>
            <w:r>
              <w:instrText xml:space="preserve"> PAGEREF _Toc206749694 \h </w:instrText>
            </w:r>
            <w:r/>
            <w:r>
              <w:fldChar w:fldCharType="separate"/>
            </w:r>
            <w:r>
              <w:t xml:space="preserve">20</w:t>
            </w:r>
            <w:r>
              <w:fldChar w:fldCharType="end"/>
            </w:r>
          </w:hyperlink>
          <w:r/>
          <w:r>
            <w:rPr>
              <w:rFonts w:eastAsiaTheme="minorEastAsia" w:cstheme="minorBidi"/>
              <w:smallCaps w:val="0"/>
            </w:rPr>
          </w:r>
        </w:p>
        <w:p>
          <w:pPr>
            <w:pStyle w:val="1102"/>
            <w:pBdr/>
            <w:tabs>
              <w:tab w:val="left" w:leader="none" w:pos="679"/>
              <w:tab w:val="right" w:leader="dot" w:pos="9628"/>
            </w:tabs>
            <w:spacing/>
            <w:ind/>
            <w:rPr>
              <w:rFonts w:eastAsiaTheme="minorEastAsia" w:cstheme="minorBidi"/>
              <w:smallCaps w:val="0"/>
            </w:rPr>
          </w:pPr>
          <w:r/>
          <w:hyperlink w:tooltip="#_Toc206749695" w:anchor="_Toc206749695" w:history="1">
            <w:r>
              <w:rPr>
                <w:rStyle w:val="1110"/>
              </w:rPr>
              <w:t xml:space="preserve">V.3.4</w:t>
            </w:r>
            <w:r>
              <w:rPr>
                <w:rFonts w:eastAsiaTheme="minorEastAsia" w:cstheme="minorBidi"/>
                <w:smallCaps w:val="0"/>
              </w:rPr>
              <w:tab/>
            </w:r>
            <w:r>
              <w:rPr>
                <w:rStyle w:val="1110"/>
              </w:rPr>
              <w:t xml:space="preserve">Notification de l’accord-cadre</w:t>
            </w:r>
            <w:r>
              <w:tab/>
            </w:r>
            <w:r>
              <w:fldChar w:fldCharType="begin"/>
            </w:r>
            <w:r>
              <w:instrText xml:space="preserve"> PAGEREF _Toc206749695 \h </w:instrText>
            </w:r>
            <w:r/>
            <w:r>
              <w:fldChar w:fldCharType="separate"/>
            </w:r>
            <w:r>
              <w:t xml:space="preserve">20</w:t>
            </w:r>
            <w:r>
              <w:fldChar w:fldCharType="end"/>
            </w:r>
          </w:hyperlink>
          <w:r/>
          <w:r>
            <w:rPr>
              <w:rFonts w:eastAsiaTheme="minorEastAsia" w:cstheme="minorBidi"/>
              <w:smallCaps w:val="0"/>
            </w:rPr>
          </w:r>
        </w:p>
        <w:p>
          <w:pPr>
            <w:pStyle w:val="1102"/>
            <w:pBdr/>
            <w:tabs>
              <w:tab w:val="left" w:leader="none" w:pos="679"/>
              <w:tab w:val="right" w:leader="dot" w:pos="9628"/>
            </w:tabs>
            <w:spacing/>
            <w:ind/>
            <w:rPr>
              <w:rFonts w:eastAsiaTheme="minorEastAsia" w:cstheme="minorBidi"/>
              <w:smallCaps w:val="0"/>
            </w:rPr>
          </w:pPr>
          <w:r/>
          <w:hyperlink w:tooltip="#_Toc206749696" w:anchor="_Toc206749696" w:history="1">
            <w:r>
              <w:rPr>
                <w:rStyle w:val="1110"/>
              </w:rPr>
              <w:t xml:space="preserve">V.3.5</w:t>
            </w:r>
            <w:r>
              <w:rPr>
                <w:rFonts w:eastAsiaTheme="minorEastAsia" w:cstheme="minorBidi"/>
                <w:smallCaps w:val="0"/>
              </w:rPr>
              <w:tab/>
            </w:r>
            <w:r>
              <w:rPr>
                <w:rStyle w:val="1110"/>
              </w:rPr>
              <w:t xml:space="preserve">Abandon de la procédure</w:t>
            </w:r>
            <w:r>
              <w:tab/>
            </w:r>
            <w:r>
              <w:fldChar w:fldCharType="begin"/>
            </w:r>
            <w:r>
              <w:instrText xml:space="preserve"> PAGEREF _Toc206749696 \h </w:instrText>
            </w:r>
            <w:r/>
            <w:r>
              <w:fldChar w:fldCharType="separate"/>
            </w:r>
            <w:r>
              <w:t xml:space="preserve">20</w:t>
            </w:r>
            <w:r>
              <w:fldChar w:fldCharType="end"/>
            </w:r>
          </w:hyperlink>
          <w:r/>
          <w:r>
            <w:rPr>
              <w:rFonts w:eastAsiaTheme="minorEastAsia" w:cstheme="minorBidi"/>
              <w:smallCaps w:val="0"/>
            </w:rPr>
          </w:r>
        </w:p>
        <w:p>
          <w:pPr>
            <w:pStyle w:val="1100"/>
            <w:pBdr/>
            <w:spacing/>
            <w:ind/>
            <w:rPr>
              <w:rFonts w:eastAsiaTheme="minorEastAsia" w:cstheme="minorBidi"/>
              <w:b w:val="0"/>
              <w:bCs w:val="0"/>
              <w:caps w:val="0"/>
              <w:u w:val="none"/>
            </w:rPr>
          </w:pPr>
          <w:r/>
          <w:hyperlink w:tooltip="#_Toc206749697" w:anchor="_Toc206749697" w:history="1">
            <w:r>
              <w:rPr>
                <w:rStyle w:val="1110"/>
              </w:rPr>
              <w:t xml:space="preserve">ANNEXE I – MODALITES DE RETRAIT DU DOSSIER DE CONSULTATION ET DE REMISE DU PLI</w:t>
            </w:r>
            <w:r>
              <w:tab/>
            </w:r>
            <w:r>
              <w:fldChar w:fldCharType="begin"/>
            </w:r>
            <w:r>
              <w:instrText xml:space="preserve"> PAGEREF _Toc206749697 \h </w:instrText>
            </w:r>
            <w:r/>
            <w:r>
              <w:fldChar w:fldCharType="separate"/>
            </w:r>
            <w:r>
              <w:t xml:space="preserve">21</w:t>
            </w:r>
            <w:r>
              <w:fldChar w:fldCharType="end"/>
            </w:r>
          </w:hyperlink>
          <w:r/>
          <w:r>
            <w:rPr>
              <w:rFonts w:eastAsiaTheme="minorEastAsia" w:cstheme="minorBidi"/>
              <w:b w:val="0"/>
              <w:bCs w:val="0"/>
              <w:caps w:val="0"/>
              <w:u w:val="none"/>
            </w:rPr>
          </w:r>
        </w:p>
        <w:p>
          <w:pPr>
            <w:pStyle w:val="1100"/>
            <w:pBdr/>
            <w:spacing/>
            <w:ind/>
            <w:rPr>
              <w:rFonts w:eastAsiaTheme="minorEastAsia" w:cstheme="minorBidi"/>
              <w:b w:val="0"/>
              <w:bCs w:val="0"/>
              <w:caps w:val="0"/>
              <w:u w:val="none"/>
            </w:rPr>
          </w:pPr>
          <w:r/>
          <w:hyperlink w:tooltip="#_Toc206749698" w:anchor="_Toc206749698" w:history="1">
            <w:r>
              <w:rPr>
                <w:rStyle w:val="1110"/>
              </w:rPr>
              <w:t xml:space="preserve">ANNEXE II – MODALITES DE SIGNATURE ELECTRONIQUE</w:t>
            </w:r>
            <w:r>
              <w:tab/>
            </w:r>
            <w:r>
              <w:fldChar w:fldCharType="begin"/>
            </w:r>
            <w:r>
              <w:instrText xml:space="preserve"> PAGEREF _Toc206749698 \h </w:instrText>
            </w:r>
            <w:r/>
            <w:r>
              <w:fldChar w:fldCharType="separate"/>
            </w:r>
            <w:r>
              <w:t xml:space="preserve">23</w:t>
            </w:r>
            <w:r>
              <w:fldChar w:fldCharType="end"/>
            </w:r>
          </w:hyperlink>
          <w:r/>
          <w:r>
            <w:rPr>
              <w:rFonts w:eastAsiaTheme="minorEastAsia" w:cstheme="minorBidi"/>
              <w:b w:val="0"/>
              <w:bCs w:val="0"/>
              <w:caps w:val="0"/>
              <w:u w:val="none"/>
            </w:rPr>
          </w:r>
        </w:p>
        <w:p>
          <w:pPr>
            <w:pStyle w:val="1101"/>
            <w:pBdr/>
            <w:tabs>
              <w:tab w:val="right" w:leader="dot" w:pos="9628"/>
            </w:tabs>
            <w:spacing/>
            <w:ind/>
            <w:rPr>
              <w:rFonts w:eastAsiaTheme="minorEastAsia" w:cstheme="minorBidi"/>
              <w:b w:val="0"/>
              <w:bCs w:val="0"/>
              <w:smallCaps w:val="0"/>
            </w:rPr>
          </w:pPr>
          <w:r/>
          <w:hyperlink w:tooltip="#_Toc206749699" w:anchor="_Toc206749699" w:history="1">
            <w:r>
              <w:rPr>
                <w:rStyle w:val="1110"/>
              </w:rPr>
              <w:t xml:space="preserve">A. Généralités</w:t>
            </w:r>
            <w:r>
              <w:tab/>
            </w:r>
            <w:r>
              <w:fldChar w:fldCharType="begin"/>
            </w:r>
            <w:r>
              <w:instrText xml:space="preserve"> PAGEREF _Toc206749699 \h </w:instrText>
            </w:r>
            <w:r/>
            <w:r>
              <w:fldChar w:fldCharType="separate"/>
            </w:r>
            <w:r>
              <w:t xml:space="preserve">23</w:t>
            </w:r>
            <w:r>
              <w:fldChar w:fldCharType="end"/>
            </w:r>
          </w:hyperlink>
          <w:r/>
          <w:r>
            <w:rPr>
              <w:rFonts w:eastAsiaTheme="minorEastAsia" w:cstheme="minorBidi"/>
              <w:b w:val="0"/>
              <w:bCs w:val="0"/>
              <w:smallCaps w:val="0"/>
            </w:rPr>
          </w:r>
        </w:p>
        <w:p>
          <w:pPr>
            <w:pStyle w:val="1101"/>
            <w:pBdr/>
            <w:tabs>
              <w:tab w:val="right" w:leader="dot" w:pos="9628"/>
            </w:tabs>
            <w:spacing/>
            <w:ind/>
            <w:rPr>
              <w:rFonts w:eastAsiaTheme="minorEastAsia" w:cstheme="minorBidi"/>
              <w:b w:val="0"/>
              <w:bCs w:val="0"/>
              <w:smallCaps w:val="0"/>
            </w:rPr>
          </w:pPr>
          <w:r/>
          <w:hyperlink w:tooltip="#_Toc206749700" w:anchor="_Toc206749700" w:history="1">
            <w:r>
              <w:rPr>
                <w:rStyle w:val="1110"/>
              </w:rPr>
              <w:t xml:space="preserve">B. Conditions relatives aux certificats de signature électronique</w:t>
            </w:r>
            <w:r>
              <w:tab/>
            </w:r>
            <w:r>
              <w:fldChar w:fldCharType="begin"/>
            </w:r>
            <w:r>
              <w:instrText xml:space="preserve"> PAGEREF _Toc206749700 \h </w:instrText>
            </w:r>
            <w:r/>
            <w:r>
              <w:fldChar w:fldCharType="separate"/>
            </w:r>
            <w:r>
              <w:t xml:space="preserve">23</w:t>
            </w:r>
            <w:r>
              <w:fldChar w:fldCharType="end"/>
            </w:r>
          </w:hyperlink>
          <w:r/>
          <w:r>
            <w:rPr>
              <w:rFonts w:eastAsiaTheme="minorEastAsia" w:cstheme="minorBidi"/>
              <w:b w:val="0"/>
              <w:bCs w:val="0"/>
              <w:smallCaps w:val="0"/>
            </w:rPr>
          </w:r>
        </w:p>
        <w:p>
          <w:pPr>
            <w:pStyle w:val="1101"/>
            <w:pBdr/>
            <w:tabs>
              <w:tab w:val="right" w:leader="dot" w:pos="9628"/>
            </w:tabs>
            <w:spacing/>
            <w:ind/>
            <w:rPr>
              <w:rFonts w:eastAsiaTheme="minorEastAsia" w:cstheme="minorBidi"/>
              <w:b w:val="0"/>
              <w:bCs w:val="0"/>
              <w:smallCaps w:val="0"/>
            </w:rPr>
          </w:pPr>
          <w:r/>
          <w:hyperlink w:tooltip="#_Toc206749701" w:anchor="_Toc206749701" w:history="1">
            <w:r>
              <w:rPr>
                <w:rStyle w:val="1110"/>
              </w:rPr>
              <w:t xml:space="preserve">C. Conditions relatives aux dispositifs de création de signature electronique utilisés pour signer les fichiers</w:t>
            </w:r>
            <w:r>
              <w:tab/>
            </w:r>
            <w:r>
              <w:fldChar w:fldCharType="begin"/>
            </w:r>
            <w:r>
              <w:instrText xml:space="preserve"> PAGEREF _Toc206749701 \h </w:instrText>
            </w:r>
            <w:r/>
            <w:r>
              <w:fldChar w:fldCharType="separate"/>
            </w:r>
            <w:r>
              <w:t xml:space="preserve">24</w:t>
            </w:r>
            <w:r>
              <w:fldChar w:fldCharType="end"/>
            </w:r>
          </w:hyperlink>
          <w:r/>
          <w:r>
            <w:rPr>
              <w:rFonts w:eastAsiaTheme="minorEastAsia" w:cstheme="minorBidi"/>
              <w:b w:val="0"/>
              <w:bCs w:val="0"/>
              <w:smallCaps w:val="0"/>
            </w:rPr>
          </w:r>
        </w:p>
        <w:p>
          <w:pPr>
            <w:pStyle w:val="1100"/>
            <w:pBdr/>
            <w:spacing/>
            <w:ind/>
            <w:rPr>
              <w:rFonts w:eastAsiaTheme="minorEastAsia" w:cstheme="minorBidi"/>
              <w:b w:val="0"/>
              <w:bCs w:val="0"/>
              <w:caps w:val="0"/>
              <w:u w:val="none"/>
            </w:rPr>
          </w:pPr>
          <w:r/>
          <w:hyperlink w:tooltip="#_Toc206749702" w:anchor="_Toc206749702" w:history="1">
            <w:r>
              <w:rPr>
                <w:rStyle w:val="1110"/>
              </w:rPr>
              <w:t xml:space="preserve">ANNEXE III – FORMULAIRE DC1</w:t>
            </w:r>
            <w:r>
              <w:tab/>
            </w:r>
            <w:r>
              <w:fldChar w:fldCharType="begin"/>
            </w:r>
            <w:r>
              <w:instrText xml:space="preserve"> PAGEREF _Toc206749702 \h </w:instrText>
            </w:r>
            <w:r/>
            <w:r>
              <w:fldChar w:fldCharType="separate"/>
            </w:r>
            <w:r>
              <w:t xml:space="preserve">25</w:t>
            </w:r>
            <w:r>
              <w:fldChar w:fldCharType="end"/>
            </w:r>
          </w:hyperlink>
          <w:r/>
          <w:r>
            <w:rPr>
              <w:rFonts w:eastAsiaTheme="minorEastAsia" w:cstheme="minorBidi"/>
              <w:b w:val="0"/>
              <w:bCs w:val="0"/>
              <w:caps w:val="0"/>
              <w:u w:val="none"/>
            </w:rPr>
          </w:r>
        </w:p>
        <w:p>
          <w:pPr>
            <w:pStyle w:val="1100"/>
            <w:pBdr/>
            <w:spacing/>
            <w:ind/>
            <w:rPr>
              <w:rFonts w:eastAsiaTheme="minorEastAsia" w:cstheme="minorBidi"/>
              <w:b w:val="0"/>
              <w:bCs w:val="0"/>
              <w:caps w:val="0"/>
              <w:u w:val="none"/>
            </w:rPr>
          </w:pPr>
          <w:r/>
          <w:hyperlink w:tooltip="#_Toc206749703" w:anchor="_Toc206749703" w:history="1">
            <w:r>
              <w:rPr>
                <w:rStyle w:val="1110"/>
              </w:rPr>
              <w:t xml:space="preserve">ANNEXE IV – FORMULAIRE DC2</w:t>
            </w:r>
            <w:r>
              <w:tab/>
            </w:r>
            <w:r>
              <w:fldChar w:fldCharType="begin"/>
            </w:r>
            <w:r>
              <w:instrText xml:space="preserve"> PAGEREF _Toc206749703 \h </w:instrText>
            </w:r>
            <w:r/>
            <w:r>
              <w:fldChar w:fldCharType="separate"/>
            </w:r>
            <w:r>
              <w:t xml:space="preserve">26</w:t>
            </w:r>
            <w:r>
              <w:fldChar w:fldCharType="end"/>
            </w:r>
          </w:hyperlink>
          <w:r/>
          <w:r>
            <w:rPr>
              <w:rFonts w:eastAsiaTheme="minorEastAsia" w:cstheme="minorBidi"/>
              <w:b w:val="0"/>
              <w:bCs w:val="0"/>
              <w:caps w:val="0"/>
              <w:u w:val="none"/>
            </w:rPr>
          </w:r>
        </w:p>
        <w:p>
          <w:pPr>
            <w:pStyle w:val="1100"/>
            <w:pBdr/>
            <w:spacing/>
            <w:ind/>
            <w:rPr>
              <w:rFonts w:eastAsiaTheme="minorEastAsia" w:cstheme="minorBidi"/>
              <w:b w:val="0"/>
              <w:bCs w:val="0"/>
              <w:caps w:val="0"/>
              <w:u w:val="none"/>
            </w:rPr>
          </w:pPr>
          <w:r/>
          <w:hyperlink w:tooltip="#_Toc206749704" w:anchor="_Toc206749704" w:history="1">
            <w:r>
              <w:rPr>
                <w:rStyle w:val="1110"/>
              </w:rPr>
              <w:t xml:space="preserve">ANNEXE V – FORMULAIRE DC4</w:t>
            </w:r>
            <w:r>
              <w:tab/>
            </w:r>
            <w:r>
              <w:fldChar w:fldCharType="begin"/>
            </w:r>
            <w:r>
              <w:instrText xml:space="preserve"> PAGEREF _Toc206749704 \h </w:instrText>
            </w:r>
            <w:r/>
            <w:r>
              <w:fldChar w:fldCharType="separate"/>
            </w:r>
            <w:r>
              <w:t xml:space="preserve">27</w:t>
            </w:r>
            <w:r>
              <w:fldChar w:fldCharType="end"/>
            </w:r>
          </w:hyperlink>
          <w:r/>
          <w:r>
            <w:rPr>
              <w:rFonts w:eastAsiaTheme="minorEastAsia" w:cstheme="minorBidi"/>
              <w:b w:val="0"/>
              <w:bCs w:val="0"/>
              <w:caps w:val="0"/>
              <w:u w:val="none"/>
            </w:rPr>
          </w:r>
        </w:p>
        <w:p>
          <w:pPr>
            <w:pStyle w:val="1100"/>
            <w:pBdr/>
            <w:spacing/>
            <w:ind/>
            <w:rPr>
              <w:rFonts w:eastAsiaTheme="minorEastAsia" w:cstheme="minorBidi"/>
              <w:b w:val="0"/>
              <w:bCs w:val="0"/>
              <w:caps w:val="0"/>
              <w:u w:val="none"/>
            </w:rPr>
          </w:pPr>
          <w:r/>
          <w:hyperlink w:tooltip="#_Toc206749705" w:anchor="_Toc206749705" w:history="1">
            <w:r>
              <w:rPr>
                <w:rStyle w:val="1110"/>
              </w:rPr>
              <w:t xml:space="preserve">ANNEXE VI – CADRE DE REPONSE TECHNIQUE</w:t>
            </w:r>
            <w:r>
              <w:tab/>
            </w:r>
            <w:r>
              <w:fldChar w:fldCharType="begin"/>
            </w:r>
            <w:r>
              <w:instrText xml:space="preserve"> PAGEREF _Toc206749705 \h </w:instrText>
            </w:r>
            <w:r/>
            <w:r>
              <w:fldChar w:fldCharType="separate"/>
            </w:r>
            <w:r>
              <w:t xml:space="preserve">28</w:t>
            </w:r>
            <w:r>
              <w:fldChar w:fldCharType="end"/>
            </w:r>
          </w:hyperlink>
          <w:r/>
          <w:r>
            <w:rPr>
              <w:rFonts w:eastAsiaTheme="minorEastAsia" w:cstheme="minorBidi"/>
              <w:b w:val="0"/>
              <w:bCs w:val="0"/>
              <w:caps w:val="0"/>
              <w:u w:val="none"/>
            </w:rPr>
          </w:r>
        </w:p>
        <w:p>
          <w:pPr>
            <w:pStyle w:val="1100"/>
            <w:pBdr/>
            <w:spacing/>
            <w:ind/>
            <w:rPr>
              <w:rFonts w:eastAsiaTheme="minorEastAsia" w:cstheme="minorBidi"/>
              <w:b w:val="0"/>
              <w:bCs w:val="0"/>
              <w:caps w:val="0"/>
              <w:u w:val="none"/>
            </w:rPr>
          </w:pPr>
          <w:r/>
          <w:hyperlink w:tooltip="#_Toc206749706" w:anchor="_Toc206749706" w:history="1">
            <w:r>
              <w:rPr>
                <w:rStyle w:val="1110"/>
              </w:rPr>
              <w:t xml:space="preserve">ANNEXE VII – SIMULATION FINANCIERE</w:t>
            </w:r>
            <w:r>
              <w:tab/>
            </w:r>
            <w:r>
              <w:fldChar w:fldCharType="begin"/>
            </w:r>
            <w:r>
              <w:instrText xml:space="preserve"> PAGEREF _Toc206749706 \h </w:instrText>
            </w:r>
            <w:r/>
            <w:r>
              <w:fldChar w:fldCharType="separate"/>
            </w:r>
            <w:r>
              <w:t xml:space="preserve">29</w:t>
            </w:r>
            <w:r>
              <w:fldChar w:fldCharType="end"/>
            </w:r>
          </w:hyperlink>
          <w:r/>
          <w:r>
            <w:rPr>
              <w:rFonts w:eastAsiaTheme="minorEastAsia" w:cstheme="minorBidi"/>
              <w:b w:val="0"/>
              <w:bCs w:val="0"/>
              <w:caps w:val="0"/>
              <w:u w:val="none"/>
            </w:rPr>
          </w:r>
        </w:p>
        <w:p>
          <w:pPr>
            <w:pStyle w:val="1100"/>
            <w:pBdr/>
            <w:spacing/>
            <w:ind/>
            <w:rPr>
              <w:rFonts w:eastAsiaTheme="minorEastAsia" w:cstheme="minorBidi"/>
              <w:b w:val="0"/>
              <w:bCs w:val="0"/>
              <w:caps w:val="0"/>
              <w:u w:val="none"/>
            </w:rPr>
          </w:pPr>
          <w:r/>
          <w:hyperlink w:tooltip="#_Toc206749707" w:anchor="_Toc206749707" w:history="1">
            <w:r>
              <w:rPr>
                <w:rStyle w:val="1110"/>
              </w:rPr>
              <w:t xml:space="preserve">ANNEXE VIII – CHARTE DE DEONTOLOGIE</w:t>
            </w:r>
            <w:r>
              <w:tab/>
            </w:r>
            <w:r>
              <w:fldChar w:fldCharType="begin"/>
            </w:r>
            <w:r>
              <w:instrText xml:space="preserve"> PAGEREF _Toc206749707 \h </w:instrText>
            </w:r>
            <w:r/>
            <w:r>
              <w:fldChar w:fldCharType="separate"/>
            </w:r>
            <w:r>
              <w:t xml:space="preserve">30</w:t>
            </w:r>
            <w:r>
              <w:fldChar w:fldCharType="end"/>
            </w:r>
          </w:hyperlink>
          <w:r/>
          <w:r>
            <w:rPr>
              <w:rFonts w:eastAsiaTheme="minorEastAsia" w:cstheme="minorBidi"/>
              <w:b w:val="0"/>
              <w:bCs w:val="0"/>
              <w:caps w:val="0"/>
              <w:u w:val="none"/>
            </w:rPr>
          </w:r>
        </w:p>
        <w:p>
          <w:pPr>
            <w:pStyle w:val="1100"/>
            <w:pBdr/>
            <w:spacing/>
            <w:ind/>
            <w:rPr>
              <w:rFonts w:eastAsiaTheme="minorEastAsia" w:cstheme="minorBidi"/>
              <w:b w:val="0"/>
              <w:bCs w:val="0"/>
              <w:caps w:val="0"/>
              <w:u w:val="none"/>
            </w:rPr>
          </w:pPr>
          <w:r/>
          <w:hyperlink w:tooltip="#_Toc206749708" w:anchor="_Toc206749708" w:history="1">
            <w:r>
              <w:rPr>
                <w:rStyle w:val="1110"/>
              </w:rPr>
              <w:t xml:space="preserve">ANNEXE IX – Engagement de confidentialité</w:t>
            </w:r>
            <w:r>
              <w:tab/>
            </w:r>
            <w:r>
              <w:fldChar w:fldCharType="begin"/>
            </w:r>
            <w:r>
              <w:instrText xml:space="preserve"> PAGEREF _Toc206749708 \h </w:instrText>
            </w:r>
            <w:r/>
            <w:r>
              <w:fldChar w:fldCharType="separate"/>
            </w:r>
            <w:r>
              <w:t xml:space="preserve">31</w:t>
            </w:r>
            <w:r>
              <w:fldChar w:fldCharType="end"/>
            </w:r>
          </w:hyperlink>
          <w:r/>
          <w:r>
            <w:rPr>
              <w:rFonts w:eastAsiaTheme="minorEastAsia" w:cstheme="minorBidi"/>
              <w:b w:val="0"/>
              <w:bCs w:val="0"/>
              <w:caps w:val="0"/>
              <w:u w:val="none"/>
            </w:rPr>
          </w:r>
        </w:p>
        <w:p>
          <w:pPr>
            <w:pStyle w:val="1100"/>
            <w:pBdr/>
            <w:spacing/>
            <w:ind/>
            <w:rPr>
              <w:rFonts w:eastAsiaTheme="minorEastAsia" w:cstheme="minorBidi"/>
              <w:b w:val="0"/>
              <w:bCs w:val="0"/>
              <w:caps w:val="0"/>
              <w:u w:val="none"/>
            </w:rPr>
          </w:pPr>
          <w:r>
            <w:rPr>
              <w:rStyle w:val="990"/>
            </w:rPr>
            <w:fldChar w:fldCharType="end"/>
          </w:r>
          <w:r>
            <w:rPr>
              <w:rFonts w:eastAsiaTheme="minorEastAsia" w:cstheme="minorBidi"/>
              <w:b w:val="0"/>
              <w:bCs w:val="0"/>
              <w:caps w:val="0"/>
              <w:u w:val="none"/>
            </w:rPr>
          </w:r>
        </w:p>
      </w:sdtContent>
    </w:sdt>
    <w:p>
      <w:pPr>
        <w:pBdr/>
        <w:spacing/>
        <w:ind/>
        <w:rPr/>
      </w:pPr>
      <w:r/>
      <w:r/>
    </w:p>
    <w:p>
      <w:pPr>
        <w:pBdr/>
        <w:spacing w:after="0" w:before="0"/>
        <w:ind/>
        <w:jc w:val="left"/>
        <w:rPr>
          <w:smallCaps/>
          <w:sz w:val="18"/>
        </w:rPr>
      </w:pPr>
      <w:r>
        <w:br w:type="page" w:clear="all"/>
      </w:r>
      <w:r>
        <w:rPr>
          <w:smallCaps/>
          <w:sz w:val="18"/>
        </w:rPr>
      </w:r>
    </w:p>
    <w:p>
      <w:pPr>
        <w:pStyle w:val="996"/>
        <w:keepNext w:val="false"/>
        <w:keepLines w:val="false"/>
        <w:widowControl w:val="false"/>
        <w:numPr>
          <w:ilvl w:val="0"/>
          <w:numId w:val="16"/>
        </w:numPr>
        <w:pBdr/>
        <w:spacing/>
        <w:ind w:hanging="710"/>
        <w:rPr/>
      </w:pPr>
      <w:r/>
      <w:bookmarkStart w:id="0" w:name="_Toc206749634"/>
      <w:r>
        <w:t xml:space="preserve">CARACTERISTIQUE GENERALES DE LA CONSULTATION</w:t>
      </w:r>
      <w:bookmarkEnd w:id="0"/>
      <w:r/>
      <w:r/>
    </w:p>
    <w:p>
      <w:pPr>
        <w:pStyle w:val="997"/>
        <w:keepNext w:val="false"/>
        <w:widowControl w:val="false"/>
        <w:numPr>
          <w:ilvl w:val="1"/>
          <w:numId w:val="2"/>
        </w:numPr>
        <w:pBdr/>
        <w:shd w:val="clear" w:color="auto" w:fill="d8d8d8"/>
        <w:spacing/>
        <w:ind/>
        <w:rPr/>
      </w:pPr>
      <w:r/>
      <w:bookmarkStart w:id="1" w:name="_Toc26451185"/>
      <w:r/>
      <w:bookmarkStart w:id="2" w:name="_Toc206749635"/>
      <w:r/>
      <w:bookmarkEnd w:id="1"/>
      <w:r>
        <w:t xml:space="preserve">Procedure de passation et forme de l’accord-cadre</w:t>
      </w:r>
      <w:bookmarkEnd w:id="2"/>
      <w:r/>
      <w:r/>
    </w:p>
    <w:p>
      <w:pPr>
        <w:widowControl w:val="false"/>
        <w:pBdr/>
        <w:spacing/>
        <w:ind/>
        <w:rPr>
          <w:lang w:eastAsia="en-US"/>
        </w:rPr>
      </w:pPr>
      <w:r>
        <w:rPr>
          <w:lang w:eastAsia="en-US"/>
        </w:rPr>
        <w:t xml:space="preserve">La procédure utilisée dans la présente consultation est celle de l’appel d'offres ouvert, conformément aux dispositions des articles L. 2124-2, R. 2124-2 et R. 2161-2 à R. 2161-5 du code de la commande publique.</w:t>
      </w:r>
      <w:r>
        <w:rPr>
          <w:lang w:eastAsia="en-US"/>
        </w:rPr>
      </w:r>
    </w:p>
    <w:p>
      <w:pPr>
        <w:widowControl w:val="false"/>
        <w:pBdr/>
        <w:spacing/>
        <w:ind/>
        <w:rPr/>
      </w:pPr>
      <w:r>
        <w:t xml:space="preserve">Le marché public objet de la présente consultation constitue un accord-cadre à bons de commande en vertu des articles R. 2162-2, R. 2162-13 et R. 2162-14 du code de la commande publique.</w:t>
      </w:r>
      <w:r/>
    </w:p>
    <w:p>
      <w:pPr>
        <w:pStyle w:val="1037"/>
        <w:widowControl w:val="false"/>
        <w:pBdr/>
        <w:spacing w:before="0"/>
        <w:ind/>
        <w:rPr>
          <w:sz w:val="16"/>
          <w:szCs w:val="16"/>
        </w:rPr>
      </w:pPr>
      <w:r>
        <w:rPr>
          <w:sz w:val="16"/>
          <w:szCs w:val="16"/>
        </w:rPr>
      </w:r>
      <w:r>
        <w:rPr>
          <w:sz w:val="16"/>
          <w:szCs w:val="16"/>
        </w:rPr>
      </w:r>
    </w:p>
    <w:p>
      <w:pPr>
        <w:pStyle w:val="997"/>
        <w:keepNext w:val="false"/>
        <w:widowControl w:val="false"/>
        <w:numPr>
          <w:ilvl w:val="1"/>
          <w:numId w:val="2"/>
        </w:numPr>
        <w:pBdr/>
        <w:shd w:val="clear" w:color="auto" w:fill="d8d8d8"/>
        <w:spacing/>
        <w:ind/>
        <w:rPr/>
      </w:pPr>
      <w:r/>
      <w:bookmarkStart w:id="3" w:name="_Toc26451186"/>
      <w:r/>
      <w:bookmarkStart w:id="4" w:name="_Toc206749636"/>
      <w:r/>
      <w:bookmarkEnd w:id="3"/>
      <w:r>
        <w:t xml:space="preserve">Textes de référence</w:t>
      </w:r>
      <w:bookmarkEnd w:id="4"/>
      <w:r/>
      <w:r/>
    </w:p>
    <w:p>
      <w:pPr>
        <w:widowControl w:val="false"/>
        <w:pBdr/>
        <w:spacing/>
        <w:ind/>
        <w:rPr>
          <w:lang w:eastAsia="en-US"/>
        </w:rPr>
      </w:pPr>
      <w:r>
        <w:rPr>
          <w:lang w:eastAsia="en-US"/>
        </w:rPr>
        <w:t xml:space="preserve">Les principaux textes auxquels il est fait référence dans le cadre de la présente consultation sont les suivants :</w:t>
      </w:r>
      <w:r>
        <w:rPr>
          <w:lang w:eastAsia="en-US"/>
        </w:rPr>
      </w:r>
    </w:p>
    <w:p>
      <w:pPr>
        <w:pStyle w:val="1085"/>
        <w:widowControl w:val="false"/>
        <w:numPr>
          <w:ilvl w:val="0"/>
          <w:numId w:val="5"/>
        </w:numPr>
        <w:pBdr/>
        <w:spacing/>
        <w:ind/>
        <w:rPr>
          <w:lang w:eastAsia="en-US"/>
        </w:rPr>
      </w:pPr>
      <w:r>
        <w:rPr>
          <w:lang w:eastAsia="en-US"/>
        </w:rPr>
        <w:t xml:space="preserve">le</w:t>
      </w:r>
      <w:r>
        <w:rPr>
          <w:lang w:eastAsia="en-US"/>
        </w:rPr>
        <w:t xml:space="preserve"> code de la commande publique ;</w:t>
      </w:r>
      <w:r>
        <w:rPr>
          <w:lang w:eastAsia="en-US"/>
        </w:rPr>
      </w:r>
    </w:p>
    <w:p>
      <w:pPr>
        <w:pStyle w:val="1085"/>
        <w:widowControl w:val="false"/>
        <w:numPr>
          <w:ilvl w:val="0"/>
          <w:numId w:val="5"/>
        </w:numPr>
        <w:pBdr/>
        <w:spacing/>
        <w:ind/>
        <w:rPr>
          <w:b/>
          <w:bCs/>
          <w:lang w:eastAsia="en-US"/>
        </w:rPr>
      </w:pPr>
      <w:r>
        <w:rPr>
          <w:lang w:eastAsia="en-US"/>
        </w:rPr>
        <w:t xml:space="preserve">l’arrêté</w:t>
      </w:r>
      <w:r>
        <w:rPr>
          <w:lang w:eastAsia="en-US"/>
        </w:rPr>
        <w:t xml:space="preserve"> du 9 août 2021 portant approbation de l’instruction générale interministérielle n°1300 sur la protection du secret de la défense nationale ;</w:t>
      </w:r>
      <w:r>
        <w:rPr>
          <w:b/>
          <w:bCs/>
          <w:lang w:eastAsia="en-US"/>
        </w:rPr>
      </w:r>
    </w:p>
    <w:p>
      <w:pPr>
        <w:pStyle w:val="1085"/>
        <w:widowControl w:val="false"/>
        <w:numPr>
          <w:ilvl w:val="0"/>
          <w:numId w:val="5"/>
        </w:numPr>
        <w:pBdr/>
        <w:spacing/>
        <w:ind/>
        <w:rPr>
          <w:lang w:eastAsia="en-US"/>
        </w:rPr>
      </w:pPr>
      <w:r>
        <w:rPr>
          <w:lang w:eastAsia="en-US"/>
        </w:rPr>
        <w:t xml:space="preserve">la</w:t>
      </w:r>
      <w:r>
        <w:rPr>
          <w:lang w:eastAsia="en-US"/>
        </w:rPr>
        <w:t xml:space="preserve"> politique de sécurité des systèmes d’information du ministère de l’intérieur (PSSI-MI). Les documents relatifs à la PSSI-MI peuvent être obtenus sur demande </w:t>
      </w:r>
      <w:r>
        <w:rPr>
          <w:lang w:eastAsia="en-US"/>
        </w:rPr>
        <w:t xml:space="preserve">du titulaire adressée</w:t>
      </w:r>
      <w:r>
        <w:rPr>
          <w:lang w:eastAsia="en-US"/>
        </w:rPr>
        <w:t xml:space="preserve"> à :</w:t>
      </w:r>
      <w:r>
        <w:rPr>
          <w:lang w:eastAsia="en-US"/>
        </w:rPr>
      </w:r>
    </w:p>
    <w:p>
      <w:pPr>
        <w:pStyle w:val="1085"/>
        <w:widowControl w:val="false"/>
        <w:numPr>
          <w:ilvl w:val="0"/>
          <w:numId w:val="5"/>
        </w:numPr>
        <w:pBdr/>
        <w:spacing/>
        <w:ind/>
        <w:jc w:val="center"/>
        <w:rPr>
          <w:lang w:eastAsia="en-US"/>
        </w:rPr>
      </w:pPr>
      <w:r/>
      <w:hyperlink r:id="rId17" w:tooltip="mailto:dtnum-mpssi@interieur.gouv.fr" w:history="1">
        <w:r>
          <w:rPr>
            <w:rStyle w:val="949"/>
          </w:rPr>
          <w:t xml:space="preserve">dtnum-mpssi@interieur.gouv.fr</w:t>
        </w:r>
      </w:hyperlink>
      <w:r/>
      <w:r>
        <w:rPr>
          <w:lang w:eastAsia="en-US"/>
        </w:rPr>
      </w:r>
    </w:p>
    <w:p>
      <w:pPr>
        <w:pStyle w:val="997"/>
        <w:keepNext w:val="false"/>
        <w:widowControl w:val="false"/>
        <w:numPr>
          <w:ilvl w:val="1"/>
          <w:numId w:val="2"/>
        </w:numPr>
        <w:pBdr/>
        <w:shd w:val="clear" w:color="auto" w:fill="d8d8d8"/>
        <w:spacing/>
        <w:ind/>
        <w:rPr/>
      </w:pPr>
      <w:r/>
      <w:bookmarkStart w:id="5" w:name="_Toc26451187"/>
      <w:r/>
      <w:bookmarkStart w:id="6" w:name="_Toc206749637"/>
      <w:r/>
      <w:bookmarkEnd w:id="5"/>
      <w:r>
        <w:t xml:space="preserve">Déontologie</w:t>
      </w:r>
      <w:bookmarkEnd w:id="6"/>
      <w:r/>
      <w:r/>
    </w:p>
    <w:p>
      <w:pPr>
        <w:widowControl w:val="false"/>
        <w:pBdr/>
        <w:spacing/>
        <w:ind/>
        <w:rPr>
          <w:lang w:eastAsia="en-US"/>
        </w:rPr>
      </w:pPr>
      <w:r>
        <w:rPr>
          <w:lang w:eastAsia="en-US"/>
        </w:rPr>
        <w:t xml:space="preserve">Les agents de l’Etat associés à l’élaboration et à la conduite de la présente consultation ains</w:t>
      </w:r>
      <w:r>
        <w:rPr>
          <w:lang w:eastAsia="en-US"/>
        </w:rPr>
        <w:t xml:space="preserve">i qu’au suivi d’exécution de l’accord-cadre auquel elle doit donner lieu sont soumis à des règles dont le respect scrupuleux contribue à garantir la transparence et l'incontestabilité de l'action publique, tout spécialement dans le cadre de l'achat public.</w:t>
      </w:r>
      <w:r>
        <w:rPr>
          <w:lang w:eastAsia="en-US"/>
        </w:rPr>
      </w:r>
    </w:p>
    <w:p>
      <w:pPr>
        <w:widowControl w:val="false"/>
        <w:pBdr/>
        <w:spacing/>
        <w:ind/>
        <w:rPr>
          <w:lang w:eastAsia="en-US"/>
        </w:rPr>
      </w:pPr>
      <w:r>
        <w:rPr>
          <w:lang w:eastAsia="en-US"/>
        </w:rPr>
        <w:t xml:space="preserve">L’ensemble de ces règles qui a été rassemblé dans une charte de déontologie rédigée par la direction du numérique fait l’objet de l’annexe VIII au présent règlement de consultation. Cette charte est portée</w:t>
      </w:r>
      <w:r>
        <w:rPr>
          <w:lang w:eastAsia="en-US"/>
        </w:rPr>
        <w:t xml:space="preserve"> à la connaissance des sociétés car, constituant une référence essentielle pour la régulation des relations entre l’Etat et ses fournisseurs, elle retentit directement sur la pratique de l’achat public, quel que soit son cadre ou l’étape de sa réalisation.</w:t>
      </w:r>
      <w:r>
        <w:rPr>
          <w:lang w:eastAsia="en-US"/>
        </w:rPr>
      </w:r>
    </w:p>
    <w:p>
      <w:pPr>
        <w:pStyle w:val="997"/>
        <w:keepNext w:val="false"/>
        <w:widowControl w:val="false"/>
        <w:numPr>
          <w:ilvl w:val="1"/>
          <w:numId w:val="2"/>
        </w:numPr>
        <w:pBdr/>
        <w:shd w:val="clear" w:color="auto" w:fill="d8d8d8"/>
        <w:spacing/>
        <w:ind/>
        <w:rPr/>
      </w:pPr>
      <w:r/>
      <w:bookmarkStart w:id="7" w:name="_Toc26451188"/>
      <w:r/>
      <w:bookmarkStart w:id="8" w:name="_Toc206749638"/>
      <w:r/>
      <w:bookmarkEnd w:id="7"/>
      <w:r>
        <w:t xml:space="preserve">Objet de la consultation</w:t>
      </w:r>
      <w:bookmarkEnd w:id="8"/>
      <w:r/>
      <w:r/>
    </w:p>
    <w:p>
      <w:pPr>
        <w:pStyle w:val="998"/>
        <w:keepNext w:val="false"/>
        <w:widowControl w:val="false"/>
        <w:numPr>
          <w:ilvl w:val="2"/>
          <w:numId w:val="2"/>
        </w:numPr>
        <w:pBdr/>
        <w:spacing/>
        <w:ind/>
        <w:rPr>
          <w:rFonts w:hint="eastAsia"/>
        </w:rPr>
      </w:pPr>
      <w:r/>
      <w:bookmarkStart w:id="9" w:name="_Toc26451189"/>
      <w:r/>
      <w:bookmarkStart w:id="10" w:name="_Toc206749639"/>
      <w:r/>
      <w:bookmarkEnd w:id="9"/>
      <w:r>
        <w:t xml:space="preserve">Intitulé de la consultation</w:t>
      </w:r>
      <w:bookmarkEnd w:id="10"/>
      <w:r>
        <w:t xml:space="preserve"> </w:t>
      </w:r>
      <w:r>
        <w:rPr>
          <w:rFonts w:hint="eastAsia"/>
        </w:rPr>
      </w:r>
    </w:p>
    <w:p>
      <w:pPr>
        <w:widowControl w:val="false"/>
        <w:pBdr/>
        <w:spacing/>
        <w:ind/>
        <w:rPr/>
      </w:pPr>
      <w:r>
        <w:t xml:space="preserve"> « Tierce maintenance applicative de l’application FNAEG-NG (Fichier National Automatisé des Empreintes génétiques Nouvelle Génération) ».</w:t>
      </w:r>
      <w:r/>
    </w:p>
    <w:p>
      <w:pPr>
        <w:pStyle w:val="998"/>
        <w:keepNext w:val="false"/>
        <w:widowControl w:val="false"/>
        <w:numPr>
          <w:ilvl w:val="2"/>
          <w:numId w:val="2"/>
        </w:numPr>
        <w:pBdr/>
        <w:spacing/>
        <w:ind/>
        <w:rPr>
          <w:rFonts w:hint="eastAsia"/>
        </w:rPr>
      </w:pPr>
      <w:r/>
      <w:bookmarkStart w:id="11" w:name="_Toc26451190"/>
      <w:r/>
      <w:bookmarkStart w:id="12" w:name="_Toc206749640"/>
      <w:r/>
      <w:bookmarkEnd w:id="11"/>
      <w:r>
        <w:t xml:space="preserve">Type d’accord-cadre</w:t>
      </w:r>
      <w:bookmarkEnd w:id="12"/>
      <w:r/>
      <w:r>
        <w:rPr>
          <w:rFonts w:hint="eastAsia"/>
        </w:rPr>
      </w:r>
    </w:p>
    <w:p>
      <w:pPr>
        <w:widowControl w:val="false"/>
        <w:pBdr/>
        <w:spacing/>
        <w:ind/>
        <w:rPr/>
      </w:pPr>
      <w:r>
        <w:t xml:space="preserve">L’accord-cadre objet de la présente consultation est composé de prestations de services.</w:t>
      </w:r>
      <w:r/>
    </w:p>
    <w:p>
      <w:pPr>
        <w:pStyle w:val="998"/>
        <w:keepNext w:val="false"/>
        <w:widowControl w:val="false"/>
        <w:numPr>
          <w:ilvl w:val="2"/>
          <w:numId w:val="2"/>
        </w:numPr>
        <w:pBdr/>
        <w:spacing/>
        <w:ind/>
        <w:rPr>
          <w:rFonts w:hint="eastAsia"/>
        </w:rPr>
      </w:pPr>
      <w:r/>
      <w:bookmarkStart w:id="13" w:name="_Toc26451191"/>
      <w:r/>
      <w:bookmarkStart w:id="14" w:name="_Toc206749641"/>
      <w:r/>
      <w:bookmarkEnd w:id="13"/>
      <w:r>
        <w:t xml:space="preserve">Lieu principal d’exécution des prestations</w:t>
      </w:r>
      <w:bookmarkEnd w:id="14"/>
      <w:r/>
      <w:r>
        <w:rPr>
          <w:rFonts w:hint="eastAsia"/>
        </w:rPr>
      </w:r>
    </w:p>
    <w:p>
      <w:pPr>
        <w:pStyle w:val="1085"/>
        <w:widowControl w:val="false"/>
        <w:pBdr/>
        <w:tabs>
          <w:tab w:val="left" w:leader="none" w:pos="284"/>
        </w:tabs>
        <w:spacing/>
        <w:ind/>
        <w:rPr>
          <w:lang w:eastAsia="en-US"/>
        </w:rPr>
      </w:pPr>
      <w:r>
        <w:rPr>
          <w:bCs/>
        </w:rPr>
        <w:t xml:space="preserve">Les prestations pourront en fonction des besoins de l’administration être exécutées</w:t>
      </w:r>
      <w:r>
        <w:t xml:space="preserve"> dans les locaux suivants :</w:t>
      </w:r>
      <w:r>
        <w:rPr>
          <w:lang w:eastAsia="en-US"/>
        </w:rPr>
      </w:r>
    </w:p>
    <w:p>
      <w:pPr>
        <w:pStyle w:val="1085"/>
        <w:widowControl w:val="false"/>
        <w:numPr>
          <w:ilvl w:val="0"/>
          <w:numId w:val="5"/>
        </w:numPr>
        <w:pBdr/>
        <w:spacing/>
        <w:ind/>
        <w:rPr>
          <w:lang w:eastAsia="en-US"/>
        </w:rPr>
      </w:pPr>
      <w:r>
        <w:rPr>
          <w:lang w:eastAsia="en-US"/>
        </w:rPr>
        <w:t xml:space="preserve">locaux</w:t>
      </w:r>
      <w:r>
        <w:rPr>
          <w:lang w:eastAsia="en-US"/>
        </w:rPr>
        <w:t xml:space="preserve"> du titulaire</w:t>
      </w:r>
      <w:r>
        <w:rPr>
          <w:lang w:eastAsia="en-US"/>
        </w:rPr>
      </w:r>
    </w:p>
    <w:p>
      <w:pPr>
        <w:pStyle w:val="1085"/>
        <w:widowControl w:val="false"/>
        <w:numPr>
          <w:ilvl w:val="0"/>
          <w:numId w:val="5"/>
        </w:numPr>
        <w:pBdr/>
        <w:spacing/>
        <w:ind/>
        <w:rPr>
          <w:lang w:eastAsia="en-US"/>
        </w:rPr>
      </w:pPr>
      <w:r>
        <w:rPr>
          <w:lang w:eastAsia="en-US"/>
        </w:rPr>
        <w:t xml:space="preserve">locaux</w:t>
      </w:r>
      <w:r>
        <w:rPr>
          <w:lang w:eastAsia="en-US"/>
        </w:rPr>
        <w:t xml:space="preserve"> de l’administration en France métropolitaine </w:t>
      </w:r>
      <w:r>
        <w:rPr>
          <w:lang w:eastAsia="en-US"/>
        </w:rPr>
      </w:r>
    </w:p>
    <w:p>
      <w:pPr>
        <w:pStyle w:val="1085"/>
        <w:widowControl w:val="false"/>
        <w:pBdr/>
        <w:spacing/>
        <w:ind/>
        <w:rPr>
          <w:lang w:eastAsia="en-US"/>
        </w:rPr>
      </w:pPr>
      <w:r>
        <w:rPr>
          <w:lang w:eastAsia="en-US"/>
        </w:rPr>
      </w:r>
      <w:r>
        <w:rPr>
          <w:lang w:eastAsia="en-US"/>
        </w:rPr>
      </w:r>
    </w:p>
    <w:p>
      <w:pPr>
        <w:pStyle w:val="1085"/>
        <w:widowControl w:val="false"/>
        <w:pBdr/>
        <w:spacing/>
        <w:ind/>
        <w:rPr>
          <w:lang w:eastAsia="en-US"/>
        </w:rPr>
      </w:pPr>
      <w:r>
        <w:rPr>
          <w:lang w:eastAsia="en-US"/>
        </w:rPr>
      </w:r>
      <w:r>
        <w:rPr>
          <w:lang w:eastAsia="en-US"/>
        </w:rPr>
      </w:r>
    </w:p>
    <w:p>
      <w:pPr>
        <w:pStyle w:val="998"/>
        <w:keepNext w:val="false"/>
        <w:widowControl w:val="false"/>
        <w:numPr>
          <w:ilvl w:val="2"/>
          <w:numId w:val="2"/>
        </w:numPr>
        <w:pBdr/>
        <w:spacing/>
        <w:ind/>
        <w:rPr>
          <w:rFonts w:hint="eastAsia"/>
        </w:rPr>
      </w:pPr>
      <w:r/>
      <w:bookmarkStart w:id="15" w:name="_Toc26451192"/>
      <w:r/>
      <w:bookmarkStart w:id="16" w:name="_Toc206749642"/>
      <w:r/>
      <w:bookmarkEnd w:id="15"/>
      <w:r>
        <w:t xml:space="preserve">Caractéristiques principales de l’accord-cadre</w:t>
      </w:r>
      <w:bookmarkEnd w:id="16"/>
      <w:r/>
      <w:r>
        <w:rPr>
          <w:rFonts w:hint="eastAsia"/>
        </w:rPr>
      </w:r>
    </w:p>
    <w:p>
      <w:pPr>
        <w:pStyle w:val="999"/>
        <w:keepNext w:val="false"/>
        <w:widowControl w:val="false"/>
        <w:numPr>
          <w:ilvl w:val="3"/>
          <w:numId w:val="2"/>
        </w:numPr>
        <w:pBdr/>
        <w:spacing/>
        <w:ind/>
        <w:rPr/>
      </w:pPr>
      <w:r>
        <w:t xml:space="preserve">Objet</w:t>
      </w:r>
      <w:r/>
    </w:p>
    <w:p>
      <w:pPr>
        <w:widowControl w:val="false"/>
        <w:pBdr/>
        <w:spacing/>
        <w:ind/>
        <w:rPr/>
      </w:pPr>
      <w:r>
        <w:t xml:space="preserve">L‘accord-cadre a pour objet la tierce maintenance applicative de l’application FNAEG-NG (Fichier National Automatisé des Empreintes génétiques Nouvelle Génération). </w:t>
      </w:r>
      <w:r/>
    </w:p>
    <w:p>
      <w:pPr>
        <w:pStyle w:val="999"/>
        <w:keepNext w:val="false"/>
        <w:widowControl w:val="false"/>
        <w:numPr>
          <w:ilvl w:val="3"/>
          <w:numId w:val="2"/>
        </w:numPr>
        <w:pBdr/>
        <w:spacing/>
        <w:ind/>
        <w:rPr/>
      </w:pPr>
      <w:r>
        <w:t xml:space="preserve">Durée</w:t>
      </w:r>
      <w:r/>
    </w:p>
    <w:p>
      <w:pPr>
        <w:widowControl w:val="false"/>
        <w:pBdr/>
        <w:spacing/>
        <w:ind/>
        <w:rPr/>
      </w:pPr>
      <w:r>
        <w:t xml:space="preserve">L‘accord-cadre est conclu pour une période d’un (1) an à compter de sa date de notification et peut être reconduit trois (3) fois, par une décision expresse de l’administration, par période de douze (12) mois, sans que sa durée n’excède quatre (4) ans.</w:t>
      </w:r>
      <w:r/>
    </w:p>
    <w:p>
      <w:pPr>
        <w:pStyle w:val="999"/>
        <w:keepNext w:val="false"/>
        <w:widowControl w:val="false"/>
        <w:numPr>
          <w:ilvl w:val="3"/>
          <w:numId w:val="2"/>
        </w:numPr>
        <w:pBdr/>
        <w:spacing/>
        <w:ind/>
        <w:rPr/>
      </w:pPr>
      <w:r>
        <w:t xml:space="preserve">Date prévisionnelle de notification</w:t>
      </w:r>
      <w:r/>
    </w:p>
    <w:p>
      <w:pPr>
        <w:widowControl w:val="false"/>
        <w:pBdr/>
        <w:spacing/>
        <w:ind/>
        <w:rPr>
          <w:lang w:eastAsia="en-US"/>
        </w:rPr>
      </w:pPr>
      <w:r>
        <w:rPr>
          <w:lang w:eastAsia="en-US"/>
        </w:rPr>
        <w:t xml:space="preserve">01/03/2026.</w:t>
      </w:r>
      <w:r>
        <w:rPr>
          <w:lang w:eastAsia="en-US"/>
        </w:rPr>
        <w:t xml:space="preserve"> Cette date n’a aucune valeur contractuelle. Elle est donnée à titre indicatif.</w:t>
      </w:r>
      <w:r>
        <w:rPr>
          <w:lang w:eastAsia="en-US"/>
        </w:rPr>
      </w:r>
    </w:p>
    <w:p>
      <w:pPr>
        <w:widowControl w:val="false"/>
        <w:pBdr/>
        <w:spacing w:after="0" w:before="0"/>
        <w:ind/>
        <w:jc w:val="left"/>
        <w:rPr>
          <w:rFonts w:eastAsia="MS Mincho" w:cs="Times New Roman"/>
          <w:iCs/>
          <w:spacing w:val="20"/>
          <w:szCs w:val="23"/>
          <w:u w:val="single"/>
        </w:rPr>
      </w:pPr>
      <w:r>
        <w:br w:type="page" w:clear="all"/>
      </w:r>
      <w:r>
        <w:rPr>
          <w:rFonts w:eastAsia="MS Mincho" w:cs="Times New Roman"/>
          <w:iCs/>
          <w:spacing w:val="20"/>
          <w:szCs w:val="23"/>
          <w:u w:val="single"/>
        </w:rPr>
      </w:r>
    </w:p>
    <w:p>
      <w:pPr>
        <w:pStyle w:val="999"/>
        <w:keepNext w:val="false"/>
        <w:widowControl w:val="false"/>
        <w:numPr>
          <w:ilvl w:val="3"/>
          <w:numId w:val="2"/>
        </w:numPr>
        <w:pBdr/>
        <w:spacing/>
        <w:ind/>
        <w:rPr/>
      </w:pPr>
      <w:r>
        <w:t xml:space="preserve">Caractère particulier</w:t>
      </w:r>
      <w:r/>
    </w:p>
    <w:p>
      <w:pPr>
        <w:widowControl w:val="false"/>
        <w:pBdr/>
        <w:spacing/>
        <w:ind/>
        <w:rPr/>
      </w:pPr>
      <w:r>
        <w:t xml:space="preserve">L’accord-ca</w:t>
      </w:r>
      <w:r>
        <w:t xml:space="preserve">dre, objet de la présente consultation, est susceptible d’être soumis aux dispositions applicables aux cas où le titulaire aurait accès en cours d’exécution de l’accord-cadre à des données et/ou documents classifiés au sens des dispositions de l’arrêté du </w:t>
      </w:r>
      <w:r>
        <w:rPr>
          <w:lang w:eastAsia="en-US"/>
        </w:rPr>
        <w:t xml:space="preserve">9 août 2021 </w:t>
      </w:r>
      <w:r>
        <w:t xml:space="preserve">portant approbation de l’instruction générale interministérielle n° 1300 sur la protection du secret de la défense nationale Titre </w:t>
      </w:r>
      <w:r>
        <w:t xml:space="preserve">VI.-</w:t>
      </w:r>
      <w:r>
        <w:t xml:space="preserve"> La protection du secret dans les contrats (article 95 à 114).</w:t>
      </w:r>
      <w:r/>
    </w:p>
    <w:p>
      <w:pPr>
        <w:pStyle w:val="998"/>
        <w:keepNext w:val="false"/>
        <w:widowControl w:val="false"/>
        <w:numPr>
          <w:ilvl w:val="2"/>
          <w:numId w:val="2"/>
        </w:numPr>
        <w:pBdr/>
        <w:spacing/>
        <w:ind/>
        <w:rPr>
          <w:rFonts w:hint="eastAsia"/>
        </w:rPr>
      </w:pPr>
      <w:r/>
      <w:bookmarkStart w:id="17" w:name="_Toc26451193"/>
      <w:r/>
      <w:bookmarkStart w:id="18" w:name="_Toc206749643"/>
      <w:r/>
      <w:bookmarkEnd w:id="17"/>
      <w:r>
        <w:t xml:space="preserve">Nomenclature communautaire CPV</w:t>
      </w:r>
      <w:bookmarkEnd w:id="18"/>
      <w:r/>
      <w:r>
        <w:rPr>
          <w:rFonts w:hint="eastAsia"/>
        </w:rPr>
      </w:r>
    </w:p>
    <w:p>
      <w:pPr>
        <w:pStyle w:val="1089"/>
        <w:widowControl w:val="false"/>
        <w:pBdr/>
        <w:spacing/>
        <w:ind/>
        <w:rPr/>
      </w:pPr>
      <w:r/>
      <w:r/>
    </w:p>
    <w:tbl>
      <w:tblPr>
        <w:tblW w:w="5000" w:type="pct"/>
        <w:jc w:val="center"/>
        <w:tblBorders/>
        <w:tblLayout w:type="fixed"/>
        <w:tblCellMar>
          <w:left w:w="70" w:type="dxa"/>
          <w:right w:w="70" w:type="dxa"/>
        </w:tblCellMar>
        <w:tblLook w:val="0000" w:firstRow="0" w:lastRow="0" w:firstColumn="0" w:lastColumn="0" w:noHBand="0" w:noVBand="0"/>
      </w:tblPr>
      <w:tblGrid>
        <w:gridCol w:w="3177"/>
        <w:gridCol w:w="6456"/>
      </w:tblGrid>
      <w:tr>
        <w:trPr>
          <w:jc w:val="center"/>
        </w:trPr>
        <w:tc>
          <w:tcPr>
            <w:shd w:val="clear" w:color="auto" w:fill="auto"/>
            <w:tcBorders>
              <w:top w:val="single" w:color="00000a" w:sz="4" w:space="0"/>
              <w:bottom w:val="single" w:color="00000a" w:sz="4" w:space="0"/>
              <w:right w:val="single" w:color="00000a" w:sz="4" w:space="0"/>
            </w:tcBorders>
            <w:tcW w:w="3178" w:type="dxa"/>
            <w:textDirection w:val="lrTb"/>
            <w:noWrap w:val="false"/>
          </w:tcPr>
          <w:p>
            <w:pPr>
              <w:widowControl w:val="false"/>
              <w:pBdr/>
              <w:spacing w:after="100" w:before="100"/>
              <w:ind w:left="356"/>
              <w:jc w:val="left"/>
              <w:rPr>
                <w:color w:val="000000"/>
                <w:highlight w:val="lightGray"/>
              </w:rPr>
            </w:pPr>
            <w:r>
              <w:rPr>
                <w:b/>
                <w:color w:val="000000"/>
              </w:rPr>
              <w:t xml:space="preserve">CPV principal</w:t>
            </w:r>
            <w:r>
              <w:rPr>
                <w:color w:val="000000"/>
                <w:highlight w:val="lightGray"/>
              </w:rPr>
            </w:r>
          </w:p>
        </w:tc>
        <w:tc>
          <w:tcPr>
            <w:shd w:val="clear" w:color="auto" w:fill="auto"/>
            <w:tcBorders>
              <w:top w:val="single" w:color="00000a" w:sz="4" w:space="0"/>
              <w:left w:val="single" w:color="00000a" w:sz="4" w:space="0"/>
              <w:bottom w:val="single" w:color="00000a" w:sz="4" w:space="0"/>
              <w:right w:val="single" w:color="00000a" w:sz="4" w:space="0"/>
            </w:tcBorders>
            <w:tcMar>
              <w:left w:w="65" w:type="dxa"/>
            </w:tcMar>
            <w:tcW w:w="6459" w:type="dxa"/>
            <w:textDirection w:val="lrTb"/>
            <w:noWrap w:val="false"/>
          </w:tcPr>
          <w:p>
            <w:pPr>
              <w:widowControl w:val="false"/>
              <w:pBdr/>
              <w:spacing w:after="100" w:before="100"/>
              <w:ind/>
              <w:jc w:val="center"/>
              <w:rPr>
                <w:color w:val="000000"/>
                <w:highlight w:val="lightGray"/>
              </w:rPr>
            </w:pPr>
            <w:r>
              <w:rPr>
                <w:color w:val="000000"/>
              </w:rPr>
              <w:t xml:space="preserve">72267100-0 – Maintenance de logiciels de technologies de l’information </w:t>
            </w:r>
            <w:r>
              <w:rPr>
                <w:color w:val="000000"/>
                <w:highlight w:val="lightGray"/>
              </w:rPr>
            </w:r>
          </w:p>
        </w:tc>
      </w:tr>
    </w:tbl>
    <w:p>
      <w:pPr>
        <w:pStyle w:val="998"/>
        <w:keepNext w:val="false"/>
        <w:widowControl w:val="false"/>
        <w:numPr>
          <w:ilvl w:val="2"/>
          <w:numId w:val="2"/>
        </w:numPr>
        <w:pBdr/>
        <w:spacing/>
        <w:ind/>
        <w:rPr>
          <w:rFonts w:hint="eastAsia"/>
        </w:rPr>
      </w:pPr>
      <w:r/>
      <w:bookmarkStart w:id="19" w:name="_Toc26451194"/>
      <w:r/>
      <w:bookmarkStart w:id="20" w:name="_Toc206749644"/>
      <w:r/>
      <w:bookmarkEnd w:id="19"/>
      <w:r>
        <w:t xml:space="preserve">Allotissement</w:t>
      </w:r>
      <w:bookmarkEnd w:id="20"/>
      <w:r/>
      <w:r>
        <w:rPr>
          <w:rFonts w:hint="eastAsia"/>
        </w:rPr>
      </w:r>
    </w:p>
    <w:p>
      <w:pPr>
        <w:widowControl w:val="false"/>
        <w:pBdr/>
        <w:spacing/>
        <w:ind/>
        <w:rPr>
          <w:iCs/>
        </w:rPr>
      </w:pPr>
      <w:r>
        <w:rPr>
          <w:iCs/>
        </w:rPr>
        <w:t xml:space="preserve">Dans le respect des dispositions des </w:t>
      </w:r>
      <w:r>
        <w:t xml:space="preserve">articles L. 2113-10 et/ou L. 2113-11 du code de la commande publique, le présent accord-cadre ne fait pas l’objet d’un allotissement pour les motifs suivants.</w:t>
      </w:r>
      <w:r>
        <w:rPr>
          <w:iCs/>
        </w:rPr>
      </w:r>
    </w:p>
    <w:p>
      <w:pPr>
        <w:widowControl w:val="false"/>
        <w:pBdr/>
        <w:spacing/>
        <w:ind/>
        <w:rPr/>
      </w:pPr>
      <w:r>
        <w:t xml:space="preserve">Au regard des caractéristiques techniques des prestations attendues, et eu égard notamment à l’indissociabilité de ces dernières qui concourent à la réali</w:t>
      </w:r>
      <w:r>
        <w:t xml:space="preserve">sation d’un même objet, l’administration doit avoir un seul et unique interlocuteur, la dévolution en lots séparés serait de nature à restreindre la concurrence / à rendre techniquement difficile et financièrement plus coûteuse l'exécution des prestations.</w:t>
      </w:r>
      <w:r/>
    </w:p>
    <w:p>
      <w:pPr>
        <w:pStyle w:val="998"/>
        <w:keepNext w:val="false"/>
        <w:widowControl w:val="false"/>
        <w:numPr>
          <w:ilvl w:val="2"/>
          <w:numId w:val="2"/>
        </w:numPr>
        <w:pBdr/>
        <w:spacing/>
        <w:ind/>
        <w:rPr>
          <w:rFonts w:hint="eastAsia"/>
        </w:rPr>
      </w:pPr>
      <w:r/>
      <w:bookmarkStart w:id="21" w:name="_Toc26451195"/>
      <w:r/>
      <w:bookmarkStart w:id="22" w:name="_Toc2868823"/>
      <w:r/>
      <w:bookmarkStart w:id="23" w:name="_Toc2869674"/>
      <w:r/>
      <w:bookmarkStart w:id="24" w:name="_Toc2868824"/>
      <w:r/>
      <w:bookmarkStart w:id="25" w:name="_Toc2869675"/>
      <w:r/>
      <w:bookmarkStart w:id="26" w:name="_Toc2868825"/>
      <w:r/>
      <w:bookmarkStart w:id="27" w:name="_Toc2869676"/>
      <w:r/>
      <w:bookmarkStart w:id="28" w:name="_Toc2868826"/>
      <w:r/>
      <w:bookmarkStart w:id="29" w:name="_Toc2869677"/>
      <w:r/>
      <w:bookmarkStart w:id="30" w:name="_Toc2868829"/>
      <w:r/>
      <w:bookmarkStart w:id="31" w:name="_Toc2869680"/>
      <w:r/>
      <w:bookmarkStart w:id="32" w:name="_Toc206749645"/>
      <w:r/>
      <w:bookmarkEnd w:id="21"/>
      <w:r/>
      <w:bookmarkEnd w:id="22"/>
      <w:r/>
      <w:bookmarkEnd w:id="23"/>
      <w:r/>
      <w:bookmarkEnd w:id="24"/>
      <w:r/>
      <w:bookmarkEnd w:id="25"/>
      <w:r/>
      <w:bookmarkEnd w:id="26"/>
      <w:r/>
      <w:bookmarkEnd w:id="27"/>
      <w:r/>
      <w:bookmarkEnd w:id="28"/>
      <w:r/>
      <w:bookmarkEnd w:id="29"/>
      <w:r/>
      <w:bookmarkEnd w:id="30"/>
      <w:r/>
      <w:bookmarkEnd w:id="31"/>
      <w:r>
        <w:t xml:space="preserve">Découpage de l’accord-cadre</w:t>
      </w:r>
      <w:bookmarkEnd w:id="32"/>
      <w:r/>
      <w:r>
        <w:rPr>
          <w:rFonts w:hint="eastAsia"/>
        </w:rPr>
      </w:r>
    </w:p>
    <w:p>
      <w:pPr>
        <w:widowControl w:val="false"/>
        <w:pBdr/>
        <w:spacing/>
        <w:ind/>
        <w:rPr/>
      </w:pPr>
      <w:r>
        <w:t xml:space="preserve">L’accord-cadre</w:t>
      </w:r>
      <w:r>
        <w:rPr>
          <w:lang w:eastAsia="en-US"/>
        </w:rPr>
        <w:t xml:space="preserve">,</w:t>
      </w:r>
      <w:r>
        <w:t xml:space="preserve"> objet de la présente consultation, est structuré comme suit : </w:t>
      </w:r>
      <w:r/>
    </w:p>
    <w:p>
      <w:pPr>
        <w:widowControl w:val="false"/>
        <w:pBdr/>
        <w:spacing/>
        <w:ind/>
        <w:rPr>
          <w:i/>
        </w:rPr>
      </w:pPr>
      <w:r>
        <w:t xml:space="preserve">Poste n° 1 : Prise de connaissance </w:t>
      </w:r>
      <w:r>
        <w:rPr>
          <w:i/>
        </w:rPr>
      </w:r>
    </w:p>
    <w:p>
      <w:pPr>
        <w:widowControl w:val="false"/>
        <w:pBdr/>
        <w:spacing/>
        <w:ind/>
        <w:rPr/>
      </w:pPr>
      <w:r>
        <w:t xml:space="preserve">Poste n° 2 : Maintenance corrective </w:t>
      </w:r>
      <w:r/>
    </w:p>
    <w:p>
      <w:pPr>
        <w:widowControl w:val="false"/>
        <w:pBdr/>
        <w:spacing/>
        <w:ind/>
        <w:rPr/>
      </w:pPr>
      <w:r>
        <w:t xml:space="preserve">Poste n° 3 : Support </w:t>
      </w:r>
      <w:r/>
    </w:p>
    <w:p>
      <w:pPr>
        <w:widowControl w:val="false"/>
        <w:pBdr/>
        <w:spacing/>
        <w:ind/>
        <w:rPr/>
      </w:pPr>
      <w:r>
        <w:t xml:space="preserve">Poste n°4 : Maintenance adaptative </w:t>
      </w:r>
      <w:r/>
    </w:p>
    <w:p>
      <w:pPr>
        <w:widowControl w:val="false"/>
        <w:pBdr/>
        <w:spacing/>
        <w:ind/>
        <w:rPr/>
      </w:pPr>
      <w:r>
        <w:t xml:space="preserve">Poste n°5 : Maintenance évolutive </w:t>
      </w:r>
      <w:r/>
    </w:p>
    <w:p>
      <w:pPr>
        <w:widowControl w:val="false"/>
        <w:pBdr/>
        <w:spacing/>
        <w:ind/>
        <w:rPr/>
      </w:pPr>
      <w:r>
        <w:t xml:space="preserve">Poste n°6 : Maintenance en condition de sécurité </w:t>
      </w:r>
      <w:r/>
    </w:p>
    <w:p>
      <w:pPr>
        <w:widowControl w:val="false"/>
        <w:pBdr/>
        <w:spacing/>
        <w:ind/>
        <w:rPr/>
      </w:pPr>
      <w:r>
        <w:t xml:space="preserve">Poste n°7 : Assistance de déploiement </w:t>
      </w:r>
      <w:r/>
    </w:p>
    <w:p>
      <w:pPr>
        <w:pStyle w:val="1086"/>
        <w:widowControl w:val="false"/>
        <w:numPr>
          <w:ilvl w:val="0"/>
          <w:numId w:val="6"/>
        </w:numPr>
        <w:pBdr/>
        <w:spacing/>
        <w:ind w:hanging="425" w:left="1276"/>
        <w:rPr/>
      </w:pPr>
      <w:r>
        <w:t xml:space="preserve">Sous-poste 7.1 : Assistance à la mise en place d’un environnement de qualification </w:t>
      </w:r>
      <w:r/>
    </w:p>
    <w:p>
      <w:pPr>
        <w:pStyle w:val="1086"/>
        <w:widowControl w:val="false"/>
        <w:numPr>
          <w:ilvl w:val="0"/>
          <w:numId w:val="6"/>
        </w:numPr>
        <w:pBdr/>
        <w:spacing/>
        <w:ind w:hanging="425" w:left="1276"/>
        <w:rPr/>
      </w:pPr>
      <w:r>
        <w:t xml:space="preserve">Sous-poste 7.2 : Assistance à la mise en place d’un environnement de production </w:t>
      </w:r>
      <w:r/>
    </w:p>
    <w:p>
      <w:pPr>
        <w:pStyle w:val="1086"/>
        <w:widowControl w:val="false"/>
        <w:pBdr/>
        <w:spacing/>
        <w:ind w:firstLine="0" w:left="0"/>
        <w:rPr/>
      </w:pPr>
      <w:r>
        <w:t xml:space="preserve">Poste n°8 : Etudes et audits </w:t>
      </w:r>
      <w:r/>
    </w:p>
    <w:p>
      <w:pPr>
        <w:pStyle w:val="1086"/>
        <w:widowControl w:val="false"/>
        <w:pBdr/>
        <w:spacing/>
        <w:ind w:firstLine="0" w:left="0"/>
        <w:rPr/>
      </w:pPr>
      <w:r>
        <w:t xml:space="preserve">Poste n°9 : Réversibilité </w:t>
      </w:r>
      <w:r/>
    </w:p>
    <w:p>
      <w:pPr>
        <w:pStyle w:val="1086"/>
        <w:widowControl w:val="false"/>
        <w:pBdr/>
        <w:spacing/>
        <w:ind w:firstLine="0" w:left="0"/>
        <w:rPr/>
      </w:pPr>
      <w:r>
        <w:t xml:space="preserve">Poste n°10 : Maintenance préventive </w:t>
      </w:r>
      <w:r/>
    </w:p>
    <w:p>
      <w:pPr>
        <w:pStyle w:val="1086"/>
        <w:widowControl w:val="false"/>
        <w:pBdr/>
        <w:spacing/>
        <w:ind w:firstLine="0" w:left="0"/>
        <w:rPr/>
      </w:pPr>
      <w:r>
        <w:t xml:space="preserve">Poste n°11 : Pilotage et gestion du projet </w:t>
      </w:r>
      <w:r/>
    </w:p>
    <w:p>
      <w:pPr>
        <w:pStyle w:val="1086"/>
        <w:widowControl w:val="false"/>
        <w:pBdr/>
        <w:spacing/>
        <w:ind w:firstLine="0" w:left="0"/>
        <w:rPr/>
      </w:pPr>
      <w:r>
        <w:t xml:space="preserve">Poste n°12 : Journées d’échanges </w:t>
      </w:r>
      <w:r/>
    </w:p>
    <w:p>
      <w:pPr>
        <w:pStyle w:val="1086"/>
        <w:widowControl w:val="false"/>
        <w:pBdr/>
        <w:spacing/>
        <w:ind w:firstLine="0" w:left="0"/>
        <w:rPr/>
      </w:pPr>
      <w:r/>
      <w:r/>
    </w:p>
    <w:p>
      <w:pPr>
        <w:pStyle w:val="1086"/>
        <w:widowControl w:val="false"/>
        <w:pBdr/>
        <w:spacing/>
        <w:ind w:firstLine="0" w:left="0"/>
        <w:rPr/>
      </w:pPr>
      <w:r/>
      <w:r/>
    </w:p>
    <w:p>
      <w:pPr>
        <w:pStyle w:val="1086"/>
        <w:widowControl w:val="false"/>
        <w:pBdr/>
        <w:spacing/>
        <w:ind w:firstLine="0" w:left="0"/>
        <w:rPr/>
      </w:pPr>
      <w:r/>
      <w:r/>
    </w:p>
    <w:p>
      <w:pPr>
        <w:pStyle w:val="1086"/>
        <w:widowControl w:val="false"/>
        <w:pBdr/>
        <w:spacing/>
        <w:ind w:firstLine="0" w:left="0"/>
        <w:rPr/>
      </w:pPr>
      <w:r/>
      <w:r/>
    </w:p>
    <w:p>
      <w:pPr>
        <w:pStyle w:val="1086"/>
        <w:widowControl w:val="false"/>
        <w:pBdr/>
        <w:spacing/>
        <w:ind w:firstLine="0" w:left="0"/>
        <w:rPr/>
      </w:pPr>
      <w:r/>
      <w:r/>
    </w:p>
    <w:p>
      <w:pPr>
        <w:pStyle w:val="1086"/>
        <w:widowControl w:val="false"/>
        <w:pBdr/>
        <w:spacing/>
        <w:ind w:firstLine="0" w:left="0"/>
        <w:rPr/>
      </w:pPr>
      <w:r/>
      <w:r/>
    </w:p>
    <w:p>
      <w:pPr>
        <w:pStyle w:val="998"/>
        <w:keepNext w:val="false"/>
        <w:widowControl w:val="false"/>
        <w:numPr>
          <w:ilvl w:val="2"/>
          <w:numId w:val="2"/>
        </w:numPr>
        <w:pBdr/>
        <w:spacing/>
        <w:ind/>
        <w:rPr>
          <w:rFonts w:hint="eastAsia"/>
        </w:rPr>
      </w:pPr>
      <w:r/>
      <w:bookmarkStart w:id="33" w:name="_Toc26451196"/>
      <w:r/>
      <w:bookmarkStart w:id="34" w:name="_Toc2868830"/>
      <w:r/>
      <w:bookmarkStart w:id="35" w:name="_Toc2869681"/>
      <w:r/>
      <w:bookmarkStart w:id="36" w:name="_Toc2868831"/>
      <w:r/>
      <w:bookmarkStart w:id="37" w:name="_Toc2869682"/>
      <w:r/>
      <w:bookmarkStart w:id="38" w:name="_Toc2868832"/>
      <w:r/>
      <w:bookmarkStart w:id="39" w:name="_Toc2869683"/>
      <w:r/>
      <w:bookmarkStart w:id="40" w:name="_Toc2868833"/>
      <w:r/>
      <w:bookmarkStart w:id="41" w:name="_Toc2869684"/>
      <w:r/>
      <w:bookmarkStart w:id="42" w:name="_Toc206749646"/>
      <w:r/>
      <w:bookmarkEnd w:id="33"/>
      <w:r/>
      <w:bookmarkEnd w:id="34"/>
      <w:r/>
      <w:bookmarkEnd w:id="35"/>
      <w:r/>
      <w:bookmarkEnd w:id="36"/>
      <w:r/>
      <w:bookmarkEnd w:id="37"/>
      <w:r/>
      <w:bookmarkEnd w:id="38"/>
      <w:r/>
      <w:bookmarkEnd w:id="39"/>
      <w:r/>
      <w:bookmarkEnd w:id="40"/>
      <w:r/>
      <w:bookmarkEnd w:id="41"/>
      <w:r>
        <w:t xml:space="preserve">Variantes</w:t>
      </w:r>
      <w:bookmarkEnd w:id="42"/>
      <w:r/>
      <w:r>
        <w:rPr>
          <w:rFonts w:hint="eastAsia"/>
        </w:rPr>
      </w:r>
    </w:p>
    <w:p>
      <w:pPr>
        <w:pStyle w:val="999"/>
        <w:keepNext w:val="false"/>
        <w:widowControl w:val="false"/>
        <w:numPr>
          <w:ilvl w:val="3"/>
          <w:numId w:val="2"/>
        </w:numPr>
        <w:pBdr/>
        <w:spacing/>
        <w:ind/>
        <w:rPr>
          <w:lang w:eastAsia="en-US"/>
        </w:rPr>
      </w:pPr>
      <w:r>
        <w:rPr>
          <w:lang w:eastAsia="en-US"/>
        </w:rPr>
        <w:t xml:space="preserve">Variantes à l’initiative du candidat</w:t>
      </w:r>
      <w:r>
        <w:rPr>
          <w:lang w:eastAsia="en-US"/>
        </w:rPr>
      </w:r>
    </w:p>
    <w:p>
      <w:pPr>
        <w:widowControl w:val="false"/>
        <w:pBdr/>
        <w:spacing/>
        <w:ind/>
        <w:rPr>
          <w:lang w:eastAsia="en-US"/>
        </w:rPr>
      </w:pPr>
      <w:r>
        <w:rPr>
          <w:lang w:eastAsia="en-US"/>
        </w:rPr>
        <w:t xml:space="preserve">Dans le respect des dispositions du 1° de l’article R. 2151-8 du code de la commande publique</w:t>
      </w:r>
      <w:r>
        <w:t xml:space="preserve">,</w:t>
      </w:r>
      <w:r>
        <w:rPr>
          <w:lang w:eastAsia="en-US"/>
        </w:rPr>
        <w:t xml:space="preserve"> les variantes à l’initiative du candidat sont interdites dans le cadre du présent accord-cadre.</w:t>
      </w:r>
      <w:r>
        <w:rPr>
          <w:lang w:eastAsia="en-US"/>
        </w:rPr>
      </w:r>
    </w:p>
    <w:p>
      <w:pPr>
        <w:pStyle w:val="999"/>
        <w:keepNext w:val="false"/>
        <w:widowControl w:val="false"/>
        <w:numPr>
          <w:ilvl w:val="3"/>
          <w:numId w:val="2"/>
        </w:numPr>
        <w:pBdr/>
        <w:spacing/>
        <w:ind/>
        <w:rPr>
          <w:lang w:eastAsia="en-US"/>
        </w:rPr>
      </w:pPr>
      <w:r>
        <w:rPr>
          <w:lang w:eastAsia="en-US"/>
        </w:rPr>
        <w:t xml:space="preserve">Variantes </w:t>
      </w:r>
      <w:r>
        <w:t xml:space="preserve">à l’initiative de l’acheteur</w:t>
      </w:r>
      <w:r>
        <w:rPr>
          <w:lang w:eastAsia="en-US"/>
        </w:rPr>
      </w:r>
    </w:p>
    <w:p>
      <w:pPr>
        <w:widowControl w:val="false"/>
        <w:pBdr/>
        <w:spacing/>
        <w:ind/>
        <w:rPr>
          <w:lang w:eastAsia="en-US"/>
        </w:rPr>
      </w:pPr>
      <w:r>
        <w:rPr>
          <w:lang w:eastAsia="en-US"/>
        </w:rPr>
        <w:t xml:space="preserve">Aucune variante n’est demandée par l’administration dans le cadre du présent accord-cadre.</w:t>
      </w:r>
      <w:r>
        <w:rPr>
          <w:lang w:eastAsia="en-US"/>
        </w:rPr>
      </w:r>
    </w:p>
    <w:p>
      <w:pPr>
        <w:pStyle w:val="998"/>
        <w:keepNext w:val="false"/>
        <w:widowControl w:val="false"/>
        <w:numPr>
          <w:ilvl w:val="2"/>
          <w:numId w:val="2"/>
        </w:numPr>
        <w:pBdr/>
        <w:spacing/>
        <w:ind/>
        <w:rPr>
          <w:rFonts w:hint="eastAsia"/>
        </w:rPr>
      </w:pPr>
      <w:r/>
      <w:bookmarkStart w:id="43" w:name="_Toc26451198"/>
      <w:r/>
      <w:bookmarkStart w:id="44" w:name="_Toc2868835"/>
      <w:r/>
      <w:bookmarkStart w:id="45" w:name="_Toc2869686"/>
      <w:r/>
      <w:bookmarkEnd w:id="43"/>
      <w:r/>
      <w:bookmarkEnd w:id="44"/>
      <w:r/>
      <w:bookmarkEnd w:id="45"/>
      <w:r>
        <w:t xml:space="preserve"> </w:t>
      </w:r>
      <w:bookmarkStart w:id="46" w:name="_Toc206749647"/>
      <w:r>
        <w:t xml:space="preserve">Montants de l’accord-cadre</w:t>
      </w:r>
      <w:bookmarkEnd w:id="46"/>
      <w:r/>
      <w:r>
        <w:rPr>
          <w:rFonts w:hint="eastAsia"/>
        </w:rPr>
      </w:r>
    </w:p>
    <w:p>
      <w:pPr>
        <w:widowControl w:val="false"/>
        <w:pBdr/>
        <w:spacing/>
        <w:ind/>
        <w:rPr>
          <w:lang w:eastAsia="en-US"/>
        </w:rPr>
      </w:pPr>
      <w:r>
        <w:rPr>
          <w:lang w:eastAsia="en-US"/>
        </w:rPr>
        <w:t xml:space="preserve">L’accord-cadre est conclu sans montant minimum et avec un montant maximum de </w:t>
      </w:r>
      <w:r>
        <w:rPr>
          <w:b/>
          <w:lang w:eastAsia="en-US"/>
        </w:rPr>
        <w:t xml:space="preserve">8 333 333,33 € HT soit 10 000 000 € TTC. </w:t>
      </w:r>
      <w:r>
        <w:rPr>
          <w:lang w:eastAsia="en-US"/>
        </w:rPr>
      </w:r>
    </w:p>
    <w:p>
      <w:pPr>
        <w:pStyle w:val="998"/>
        <w:keepNext w:val="false"/>
        <w:widowControl w:val="false"/>
        <w:numPr>
          <w:ilvl w:val="2"/>
          <w:numId w:val="2"/>
        </w:numPr>
        <w:pBdr/>
        <w:spacing/>
        <w:ind/>
        <w:rPr>
          <w:rFonts w:hint="eastAsia"/>
        </w:rPr>
      </w:pPr>
      <w:r/>
      <w:bookmarkStart w:id="47" w:name="_Toc206749648"/>
      <w:r>
        <w:t xml:space="preserve">Cautionnement et garanties exigées</w:t>
      </w:r>
      <w:bookmarkEnd w:id="47"/>
      <w:r/>
      <w:r>
        <w:rPr>
          <w:rFonts w:hint="eastAsia"/>
        </w:rPr>
      </w:r>
    </w:p>
    <w:tbl>
      <w:tblPr>
        <w:tblW w:w="5000" w:type="pct"/>
        <w:jc w:val="center"/>
        <w:tblBorders/>
        <w:tblLayout w:type="fixed"/>
        <w:tblCellMar>
          <w:left w:w="70" w:type="dxa"/>
          <w:right w:w="70" w:type="dxa"/>
        </w:tblCellMar>
        <w:tblLook w:val="0000" w:firstRow="0" w:lastRow="0" w:firstColumn="0" w:lastColumn="0" w:noHBand="0" w:noVBand="0"/>
      </w:tblPr>
      <w:tblGrid>
        <w:gridCol w:w="2568"/>
        <w:gridCol w:w="7065"/>
      </w:tblGrid>
      <w:tr>
        <w:trPr>
          <w:jc w:val="center"/>
        </w:trPr>
        <w:tc>
          <w:tcPr>
            <w:shd w:val="clear" w:color="auto" w:fill="auto"/>
            <w:tcBorders>
              <w:top w:val="single" w:color="00000a" w:sz="4" w:space="0"/>
              <w:bottom w:val="single" w:color="00000a" w:sz="4" w:space="0"/>
              <w:right w:val="single" w:color="00000a" w:sz="4" w:space="0"/>
            </w:tcBorders>
            <w:tcW w:w="2569" w:type="dxa"/>
            <w:vAlign w:val="center"/>
            <w:textDirection w:val="lrTb"/>
            <w:noWrap w:val="false"/>
          </w:tcPr>
          <w:p>
            <w:pPr>
              <w:widowControl w:val="false"/>
              <w:pBdr/>
              <w:spacing/>
              <w:ind/>
              <w:jc w:val="left"/>
              <w:rPr>
                <w:color w:val="000000"/>
                <w:highlight w:val="lightGray"/>
              </w:rPr>
            </w:pPr>
            <w:r>
              <w:rPr>
                <w:b/>
                <w:color w:val="000000"/>
              </w:rPr>
              <w:t xml:space="preserve">Garantie financière</w:t>
            </w:r>
            <w:r>
              <w:rPr>
                <w:color w:val="000000"/>
                <w:highlight w:val="lightGray"/>
              </w:rPr>
            </w:r>
          </w:p>
        </w:tc>
        <w:tc>
          <w:tcPr>
            <w:shd w:val="clear" w:color="auto" w:fill="auto"/>
            <w:tcBorders>
              <w:top w:val="single" w:color="00000a" w:sz="4" w:space="0"/>
              <w:left w:val="single" w:color="00000a" w:sz="4" w:space="0"/>
              <w:bottom w:val="single" w:color="00000a" w:sz="4" w:space="0"/>
              <w:right w:val="single" w:color="00000a" w:sz="4" w:space="0"/>
            </w:tcBorders>
            <w:tcMar>
              <w:left w:w="65" w:type="dxa"/>
            </w:tcMar>
            <w:tcW w:w="7068" w:type="dxa"/>
            <w:vAlign w:val="center"/>
            <w:textDirection w:val="lrTb"/>
            <w:noWrap w:val="false"/>
          </w:tcPr>
          <w:p>
            <w:pPr>
              <w:widowControl w:val="false"/>
              <w:pBdr/>
              <w:spacing/>
              <w:ind/>
              <w:rPr>
                <w:highlight w:val="yellow"/>
              </w:rPr>
            </w:pPr>
            <w:r>
              <w:t xml:space="preserve">L’accord-cadre ne prévoit pas, à la charge du titulaire, de garanties financières telles que retenue de garantie, garantie à première demande ou caution personnelle et solidaire.</w:t>
            </w:r>
            <w:r>
              <w:rPr>
                <w:highlight w:val="yellow"/>
              </w:rPr>
            </w:r>
          </w:p>
        </w:tc>
      </w:tr>
      <w:tr>
        <w:trPr>
          <w:jc w:val="center"/>
        </w:trPr>
        <w:tc>
          <w:tcPr>
            <w:shd w:val="clear" w:color="auto" w:fill="auto"/>
            <w:tcBorders>
              <w:top w:val="single" w:color="00000a" w:sz="4" w:space="0"/>
              <w:bottom w:val="single" w:color="00000a" w:sz="4" w:space="0"/>
              <w:right w:val="single" w:color="00000a" w:sz="4" w:space="0"/>
            </w:tcBorders>
            <w:tcW w:w="2569" w:type="dxa"/>
            <w:vAlign w:val="center"/>
            <w:textDirection w:val="lrTb"/>
            <w:noWrap w:val="false"/>
          </w:tcPr>
          <w:p>
            <w:pPr>
              <w:widowControl w:val="false"/>
              <w:pBdr/>
              <w:spacing/>
              <w:ind/>
              <w:jc w:val="left"/>
              <w:rPr>
                <w:color w:val="000000"/>
                <w:highlight w:val="lightGray"/>
              </w:rPr>
            </w:pPr>
            <w:r>
              <w:rPr>
                <w:b/>
                <w:color w:val="000000"/>
              </w:rPr>
              <w:t xml:space="preserve">Garantie technique</w:t>
            </w:r>
            <w:r>
              <w:rPr>
                <w:color w:val="000000"/>
                <w:highlight w:val="lightGray"/>
              </w:rPr>
            </w:r>
          </w:p>
        </w:tc>
        <w:tc>
          <w:tcPr>
            <w:shd w:val="clear" w:color="auto" w:fill="auto"/>
            <w:tcBorders>
              <w:top w:val="single" w:color="00000a" w:sz="4" w:space="0"/>
              <w:left w:val="single" w:color="00000a" w:sz="4" w:space="0"/>
              <w:bottom w:val="single" w:color="00000a" w:sz="4" w:space="0"/>
              <w:right w:val="single" w:color="00000a" w:sz="4" w:space="0"/>
            </w:tcBorders>
            <w:tcMar>
              <w:left w:w="65" w:type="dxa"/>
            </w:tcMar>
            <w:tcW w:w="7068" w:type="dxa"/>
            <w:vAlign w:val="center"/>
            <w:textDirection w:val="lrTb"/>
            <w:noWrap w:val="false"/>
          </w:tcPr>
          <w:p>
            <w:pPr>
              <w:widowControl w:val="false"/>
              <w:pBdr/>
              <w:spacing/>
              <w:ind/>
              <w:rPr>
                <w:highlight w:val="yellow"/>
              </w:rPr>
            </w:pPr>
            <w:r>
              <w:t xml:space="preserve">L’accord-cadre prévoit des garanties au sens technique dans les conditions définies par les documents constitutifs du dossier de consultation des entreprises.</w:t>
            </w:r>
            <w:r>
              <w:rPr>
                <w:highlight w:val="yellow"/>
              </w:rPr>
            </w:r>
          </w:p>
        </w:tc>
      </w:tr>
    </w:tbl>
    <w:p>
      <w:pPr>
        <w:pStyle w:val="1067"/>
        <w:pBdr/>
        <w:spacing/>
        <w:ind/>
        <w:jc w:val="left"/>
        <w:rPr>
          <w:rFonts w:ascii="Arial" w:hAnsi="Arial"/>
          <w:sz w:val="20"/>
          <w:lang w:eastAsia="en-US"/>
        </w:rPr>
      </w:pPr>
      <w:r>
        <w:rPr>
          <w:rFonts w:ascii="Arial" w:hAnsi="Arial"/>
          <w:sz w:val="20"/>
          <w:lang w:eastAsia="en-US"/>
        </w:rPr>
      </w:r>
      <w:r>
        <w:rPr>
          <w:rFonts w:ascii="Arial" w:hAnsi="Arial"/>
          <w:sz w:val="20"/>
          <w:lang w:eastAsia="en-US"/>
        </w:rPr>
      </w:r>
    </w:p>
    <w:p>
      <w:pPr>
        <w:pStyle w:val="998"/>
        <w:keepNext w:val="false"/>
        <w:widowControl w:val="false"/>
        <w:numPr>
          <w:ilvl w:val="2"/>
          <w:numId w:val="2"/>
        </w:numPr>
        <w:pBdr/>
        <w:spacing/>
        <w:ind/>
        <w:rPr>
          <w:rFonts w:hint="eastAsia"/>
        </w:rPr>
      </w:pPr>
      <w:r/>
      <w:bookmarkStart w:id="48" w:name="_Toc26451200"/>
      <w:r/>
      <w:bookmarkStart w:id="49" w:name="_Toc206749649"/>
      <w:r/>
      <w:bookmarkEnd w:id="48"/>
      <w:r>
        <w:t xml:space="preserve">Modalités essentielles de financement et de paiement</w:t>
      </w:r>
      <w:bookmarkEnd w:id="49"/>
      <w:r/>
      <w:r>
        <w:rPr>
          <w:rFonts w:hint="eastAsia"/>
        </w:rPr>
      </w:r>
    </w:p>
    <w:p>
      <w:pPr>
        <w:widowControl w:val="false"/>
        <w:pBdr/>
        <w:spacing/>
        <w:ind/>
        <w:rPr>
          <w:lang w:eastAsia="en-US"/>
        </w:rPr>
      </w:pPr>
      <w:r>
        <w:rPr>
          <w:lang w:eastAsia="en-US"/>
        </w:rPr>
        <w:t xml:space="preserve">Le financement et le paiement par virement bancaire de l'opération sont effectués sur le budget du ministère de l'intérieur, avec un délai maximum de paiement de trente (30) jours.</w:t>
      </w:r>
      <w:r>
        <w:rPr>
          <w:lang w:eastAsia="en-US"/>
        </w:rPr>
      </w:r>
    </w:p>
    <w:p>
      <w:pPr>
        <w:widowControl w:val="false"/>
        <w:pBdr/>
        <w:spacing/>
        <w:ind/>
        <w:rPr>
          <w:lang w:eastAsia="en-US"/>
        </w:rPr>
      </w:pPr>
      <w:r>
        <w:rPr>
          <w:lang w:eastAsia="en-US"/>
        </w:rPr>
        <w:t xml:space="preserve">Les prix sont révisables par application d’une formule représentative de l’évolution des coûts pour l’ensemble des prestations.</w:t>
      </w:r>
      <w:bookmarkStart w:id="50" w:name="_Toc144112910"/>
      <w:r/>
      <w:bookmarkStart w:id="51" w:name="_Toc144112815"/>
      <w:r/>
      <w:bookmarkEnd w:id="50"/>
      <w:r/>
      <w:bookmarkEnd w:id="51"/>
      <w:r/>
      <w:r>
        <w:rPr>
          <w:lang w:eastAsia="en-US"/>
        </w:rPr>
      </w:r>
    </w:p>
    <w:p>
      <w:pPr>
        <w:pStyle w:val="999"/>
        <w:keepNext w:val="false"/>
        <w:widowControl w:val="false"/>
        <w:numPr>
          <w:ilvl w:val="3"/>
          <w:numId w:val="2"/>
        </w:numPr>
        <w:pBdr/>
        <w:spacing/>
        <w:ind/>
        <w:rPr/>
      </w:pPr>
      <w:r>
        <w:rPr>
          <w:lang w:eastAsia="en-US"/>
        </w:rPr>
        <w:t xml:space="preserve">Avance</w:t>
      </w:r>
      <w:r/>
    </w:p>
    <w:p>
      <w:pPr>
        <w:widowControl w:val="false"/>
        <w:pBdr/>
        <w:spacing/>
        <w:ind/>
        <w:rPr>
          <w:lang w:eastAsia="en-US"/>
        </w:rPr>
      </w:pPr>
      <w:r>
        <w:rPr>
          <w:lang w:eastAsia="en-US"/>
        </w:rPr>
        <w:t xml:space="preserve">Les dispositions applicables à l’avance figurent à l’article XI.1 du CCAP. </w:t>
      </w:r>
      <w:r>
        <w:rPr>
          <w:lang w:eastAsia="en-US"/>
        </w:rPr>
      </w:r>
    </w:p>
    <w:p>
      <w:pPr>
        <w:pStyle w:val="999"/>
        <w:keepNext w:val="false"/>
        <w:widowControl w:val="false"/>
        <w:numPr>
          <w:ilvl w:val="3"/>
          <w:numId w:val="2"/>
        </w:numPr>
        <w:pBdr/>
        <w:spacing/>
        <w:ind/>
        <w:rPr/>
      </w:pPr>
      <w:r>
        <w:rPr>
          <w:lang w:eastAsia="en-US"/>
        </w:rPr>
        <w:t xml:space="preserve">Acomptes</w:t>
      </w:r>
      <w:r/>
    </w:p>
    <w:p>
      <w:pPr>
        <w:widowControl w:val="false"/>
        <w:pBdr/>
        <w:spacing/>
        <w:ind/>
        <w:rPr>
          <w:lang w:eastAsia="en-US"/>
        </w:rPr>
      </w:pPr>
      <w:r>
        <w:rPr>
          <w:lang w:eastAsia="en-US"/>
        </w:rPr>
        <w:t xml:space="preserve">Les dispositions applicables aux acomptes figurent à l’article XI.2 du CCAP. </w:t>
      </w:r>
      <w:r>
        <w:rPr>
          <w:lang w:eastAsia="en-US"/>
        </w:rPr>
      </w:r>
    </w:p>
    <w:p>
      <w:pPr>
        <w:pStyle w:val="998"/>
        <w:keepNext w:val="false"/>
        <w:widowControl w:val="false"/>
        <w:numPr>
          <w:ilvl w:val="2"/>
          <w:numId w:val="2"/>
        </w:numPr>
        <w:pBdr/>
        <w:spacing/>
        <w:ind/>
        <w:rPr>
          <w:rFonts w:hint="eastAsia"/>
        </w:rPr>
      </w:pPr>
      <w:r/>
      <w:bookmarkStart w:id="52" w:name="_Toc26451201"/>
      <w:r/>
      <w:bookmarkStart w:id="53" w:name="_Toc206749650"/>
      <w:r/>
      <w:bookmarkEnd w:id="52"/>
      <w:r>
        <w:t xml:space="preserve">Candidature sous forme de groupement d’opérateurs économiques</w:t>
      </w:r>
      <w:bookmarkEnd w:id="53"/>
      <w:r/>
      <w:r>
        <w:rPr>
          <w:rFonts w:hint="eastAsia"/>
        </w:rPr>
      </w:r>
    </w:p>
    <w:p>
      <w:pPr>
        <w:pStyle w:val="999"/>
        <w:keepNext w:val="false"/>
        <w:widowControl w:val="false"/>
        <w:numPr>
          <w:ilvl w:val="3"/>
          <w:numId w:val="2"/>
        </w:numPr>
        <w:pBdr/>
        <w:spacing/>
        <w:ind/>
        <w:rPr/>
      </w:pPr>
      <w:r>
        <w:rPr>
          <w:lang w:eastAsia="en-US"/>
        </w:rPr>
        <w:t xml:space="preserve">Forme</w:t>
      </w:r>
      <w:r>
        <w:t xml:space="preserve"> souhaitée par l’administration</w:t>
      </w:r>
      <w:r/>
    </w:p>
    <w:p>
      <w:pPr>
        <w:widowControl w:val="false"/>
        <w:pBdr/>
        <w:spacing/>
        <w:ind/>
        <w:rPr>
          <w:lang w:eastAsia="en-US"/>
        </w:rPr>
      </w:pPr>
      <w:r>
        <w:rPr>
          <w:lang w:eastAsia="en-US"/>
        </w:rPr>
        <w:t xml:space="preserve">Conformément aux articles R. 2142</w:t>
      </w:r>
      <w:r>
        <w:rPr>
          <w:lang w:eastAsia="en-US"/>
        </w:rPr>
        <w:t xml:space="preserve">-19 et R. 2142-20 du code de la commande publique, l’entreprise peut présenter sa candidature ou son offre sous forme de groupement solidaire ou de groupement conjoint, sous réserve du respect des règles relatives à la liberté des prix et à la concurrence.</w:t>
      </w:r>
      <w:r>
        <w:rPr>
          <w:lang w:eastAsia="en-US"/>
        </w:rPr>
      </w:r>
    </w:p>
    <w:p>
      <w:pPr>
        <w:widowControl w:val="false"/>
        <w:pBdr/>
        <w:spacing/>
        <w:ind/>
        <w:rPr>
          <w:lang w:eastAsia="en-US"/>
        </w:rPr>
      </w:pPr>
      <w:r>
        <w:rPr>
          <w:lang w:eastAsia="en-US"/>
        </w:rPr>
        <w:t xml:space="preserve">Néanmoins, sous réserve des règles de droit spécifiques pouvant s'imposer aux candidats, la forme juridique que devra revêtir le groupement d’entreprises attributaire de l’accord-cadre, le cas échéant, est celle du groupement solidaire.</w:t>
      </w:r>
      <w:r>
        <w:rPr>
          <w:lang w:eastAsia="en-US"/>
        </w:rPr>
      </w:r>
    </w:p>
    <w:p>
      <w:pPr>
        <w:widowControl w:val="false"/>
        <w:pBdr/>
        <w:spacing/>
        <w:ind/>
        <w:rPr/>
      </w:pPr>
      <w:r>
        <w:rPr>
          <w:lang w:eastAsia="en-US"/>
        </w:rPr>
        <w:t xml:space="preserve">En effet, l’administration souhaite se prémunir contre tout risque d’insolvabilité en cas de </w:t>
      </w:r>
      <w:r>
        <w:t xml:space="preserve">préjudice subi du fait de manquements commis par le groupement dans l’exécution de ses obligations contractuelles.</w:t>
      </w:r>
      <w:r/>
    </w:p>
    <w:p>
      <w:pPr>
        <w:widowControl w:val="false"/>
        <w:pBdr/>
        <w:spacing/>
        <w:ind/>
        <w:rPr>
          <w:lang w:eastAsia="en-US"/>
        </w:rPr>
      </w:pPr>
      <w:r>
        <w:rPr>
          <w:lang w:eastAsia="en-US"/>
        </w:rPr>
        <w:t xml:space="preserve">A cet égard, le groupement conjoint est informé qu’il sera contraint d’assurer, au cours de la phase de mise au point, le changement de forme juridique dans le cas où l’accord-cadre lui serait attribué.</w:t>
      </w:r>
      <w:r>
        <w:rPr>
          <w:lang w:eastAsia="en-US"/>
        </w:rPr>
      </w:r>
    </w:p>
    <w:p>
      <w:pPr>
        <w:widowControl w:val="false"/>
        <w:pBdr/>
        <w:spacing/>
        <w:ind/>
        <w:rPr>
          <w:lang w:eastAsia="en-US"/>
        </w:rPr>
      </w:pPr>
      <w:r>
        <w:t xml:space="preserve">Sans préjudice de l’article L. 2141-13 du code de la commande publique</w:t>
      </w:r>
      <w:r>
        <w:rPr>
          <w:lang w:eastAsia="en-US"/>
        </w:rPr>
        <w:t xml:space="preserve">, la composition du </w:t>
      </w:r>
      <w:r>
        <w:rPr>
          <w:lang w:eastAsia="en-US"/>
        </w:rPr>
        <w:t xml:space="preserve">groupement ne peut pas être modifiée entre la remise de la candidature et la date de signature de l’accord-cadre, sous réserve des cas particuliers prévus à l’article R. 2142-26 du code de la commande publique.</w:t>
      </w:r>
      <w:r>
        <w:rPr>
          <w:lang w:eastAsia="en-US"/>
        </w:rPr>
      </w:r>
    </w:p>
    <w:p>
      <w:pPr>
        <w:pStyle w:val="999"/>
        <w:keepNext w:val="false"/>
        <w:widowControl w:val="false"/>
        <w:numPr>
          <w:ilvl w:val="3"/>
          <w:numId w:val="2"/>
        </w:numPr>
        <w:pBdr/>
        <w:spacing/>
        <w:ind/>
        <w:rPr/>
      </w:pPr>
      <w:r>
        <w:rPr>
          <w:lang w:eastAsia="en-US"/>
        </w:rPr>
        <w:t xml:space="preserve">Précisions</w:t>
      </w:r>
      <w:r/>
    </w:p>
    <w:p>
      <w:pPr>
        <w:widowControl w:val="false"/>
        <w:pBdr/>
        <w:spacing/>
        <w:ind/>
        <w:rPr/>
      </w:pPr>
      <w:r>
        <w:rPr>
          <w:lang w:eastAsia="en-US"/>
        </w:rPr>
        <w:t xml:space="preserve">Aux termes de l’article R. 2142-23 du code de la commande publique, « </w:t>
      </w:r>
      <w:r>
        <w:rPr>
          <w:i/>
          <w:lang w:eastAsia="en-US"/>
        </w:rPr>
        <w:t xml:space="preserve">l</w:t>
      </w:r>
      <w:r>
        <w:rPr>
          <w:i/>
        </w:rPr>
        <w:t xml:space="preserve">es candidatures et les offres sont présentées soit par l'ensemble des membres du groupement, soit par un mandataire qui justifie des habilitations nécessaires pour représenter les autres membres du groupement</w:t>
      </w:r>
      <w:r>
        <w:t xml:space="preserve">. »</w:t>
      </w:r>
      <w:r/>
    </w:p>
    <w:p>
      <w:pPr>
        <w:widowControl w:val="false"/>
        <w:pBdr/>
        <w:spacing/>
        <w:ind/>
        <w:rPr/>
      </w:pPr>
      <w:r>
        <w:t xml:space="preserve">Conformément à l’article R. 2142-24 du code </w:t>
      </w:r>
      <w:r>
        <w:t xml:space="preserve">de la commande publique, l’un des membres du groupement est désigné dans la candidature et dans l’acte d’engagement comme mandataire. Il représente l’ensemble des membres vis-à-vis de l’administration et coordonne les prestations des membres du groupement.</w:t>
      </w:r>
      <w:r/>
    </w:p>
    <w:p>
      <w:pPr>
        <w:widowControl w:val="false"/>
        <w:pBdr/>
        <w:spacing/>
        <w:ind/>
        <w:rPr>
          <w:lang w:eastAsia="en-US"/>
        </w:rPr>
      </w:pPr>
      <w:r>
        <w:rPr>
          <w:lang w:eastAsia="en-US"/>
        </w:rPr>
        <w:t xml:space="preserve">Un même opérateur peut présenter plusieurs offres en agissant à la fois en qualité de candidat individuel ou de membre d'un ou plusieurs groupements concurrents, à condition, toutefois, de ne pas être plus d’une fois mandataire.</w:t>
      </w:r>
      <w:r>
        <w:rPr>
          <w:lang w:eastAsia="en-US"/>
        </w:rPr>
      </w:r>
    </w:p>
    <w:p>
      <w:pPr>
        <w:widowControl w:val="false"/>
        <w:pBdr/>
        <w:spacing w:after="0" w:before="0"/>
        <w:ind/>
        <w:rPr/>
      </w:pPr>
      <w:r/>
      <w:r/>
    </w:p>
    <w:p>
      <w:pPr>
        <w:pStyle w:val="998"/>
        <w:keepNext w:val="false"/>
        <w:widowControl w:val="false"/>
        <w:numPr>
          <w:ilvl w:val="2"/>
          <w:numId w:val="2"/>
        </w:numPr>
        <w:pBdr/>
        <w:spacing/>
        <w:ind/>
        <w:rPr>
          <w:rFonts w:hint="eastAsia"/>
        </w:rPr>
      </w:pPr>
      <w:r/>
      <w:bookmarkStart w:id="54" w:name="_Toc26451202"/>
      <w:r/>
      <w:bookmarkStart w:id="55" w:name="_Toc206749651"/>
      <w:r/>
      <w:bookmarkEnd w:id="54"/>
      <w:r>
        <w:t xml:space="preserve">Recours à la sous-traitance</w:t>
      </w:r>
      <w:bookmarkEnd w:id="55"/>
      <w:r/>
      <w:r>
        <w:rPr>
          <w:rFonts w:hint="eastAsia"/>
        </w:rPr>
      </w:r>
    </w:p>
    <w:p>
      <w:pPr>
        <w:widowControl w:val="false"/>
        <w:pBdr/>
        <w:spacing/>
        <w:ind/>
        <w:rPr>
          <w:lang w:eastAsia="en-US"/>
        </w:rPr>
      </w:pPr>
      <w:r>
        <w:rPr>
          <w:lang w:eastAsia="en-US"/>
        </w:rPr>
        <w:t xml:space="preserve">Dans les conditions prévues par les articles L. 2193-3 à L. 2193-9 du code de </w:t>
      </w:r>
      <w:r>
        <w:rPr>
          <w:lang w:eastAsia="en-US"/>
        </w:rPr>
        <w:t xml:space="preserve">la commande publique, le titulaire peut sous-traiter l'exécution d’une partie des prestations de l’accord-cadre à condition d'avoir obtenu de l’administration contractante, l'acceptation de chaque sous-traitant et l'agrément de ses conditions de paiement. </w:t>
      </w:r>
      <w:r>
        <w:rPr>
          <w:lang w:eastAsia="en-US"/>
        </w:rPr>
      </w:r>
    </w:p>
    <w:p>
      <w:pPr>
        <w:widowControl w:val="false"/>
        <w:pBdr/>
        <w:spacing/>
        <w:ind/>
        <w:rPr>
          <w:lang w:eastAsia="en-US"/>
        </w:rPr>
      </w:pPr>
      <w:r>
        <w:rPr>
          <w:lang w:eastAsia="en-US"/>
        </w:rPr>
        <w:t xml:space="preserve">L'</w:t>
      </w:r>
      <w:r>
        <w:rPr>
          <w:lang w:eastAsia="en-US"/>
        </w:rPr>
        <w:t xml:space="preserve">acceptation de chaque sous-traitant et l'agrément de ses conditions de paiement sont constatés par l’accord-cadre ou par un acte spécial signé des deux parties dans les conditions définies aux articles R. 2193-1 à R. 2193-8 du code de la commande publique.</w:t>
      </w:r>
      <w:r>
        <w:rPr>
          <w:lang w:eastAsia="en-US"/>
        </w:rPr>
      </w:r>
    </w:p>
    <w:p>
      <w:pPr>
        <w:widowControl w:val="false"/>
        <w:pBdr/>
        <w:spacing/>
        <w:ind/>
        <w:rPr>
          <w:lang w:eastAsia="en-US"/>
        </w:rPr>
      </w:pPr>
      <w:r>
        <w:rPr>
          <w:lang w:eastAsia="en-US"/>
        </w:rPr>
        <w:t xml:space="preserve">Si, après vérification des justifications fournies par le candidat, l’administration établit que le montant des prestations sous-traitées est anormalement bas, il rejette l'offre lorsque la demande de sous-traitance int</w:t>
      </w:r>
      <w:r>
        <w:rPr>
          <w:lang w:eastAsia="en-US"/>
        </w:rPr>
        <w:t xml:space="preserve">ervient au moment du dépôt de l'offre ou n'accepte pas le sous-traitant proposé lorsque la demande de sous-traitance est présentée après le dépôt de l'offre, dans des conditions fixées par les articles R. 2152-3 à R. 2152-5 du code de la commande publique.</w:t>
      </w:r>
      <w:r>
        <w:rPr>
          <w:lang w:eastAsia="en-US"/>
        </w:rPr>
      </w:r>
    </w:p>
    <w:p>
      <w:pPr>
        <w:pStyle w:val="998"/>
        <w:keepNext w:val="false"/>
        <w:widowControl w:val="false"/>
        <w:numPr>
          <w:ilvl w:val="2"/>
          <w:numId w:val="2"/>
        </w:numPr>
        <w:pBdr/>
        <w:spacing/>
        <w:ind/>
        <w:rPr>
          <w:rFonts w:hint="eastAsia"/>
        </w:rPr>
      </w:pPr>
      <w:r/>
      <w:bookmarkStart w:id="56" w:name="_Toc26451203"/>
      <w:r/>
      <w:bookmarkStart w:id="57" w:name="_Toc206749652"/>
      <w:r/>
      <w:bookmarkEnd w:id="56"/>
      <w:r>
        <w:t xml:space="preserve">Prise en compte de la performance énergétique</w:t>
      </w:r>
      <w:bookmarkEnd w:id="57"/>
      <w:r/>
      <w:r>
        <w:rPr>
          <w:rFonts w:hint="eastAsia"/>
        </w:rPr>
      </w:r>
    </w:p>
    <w:p>
      <w:pPr>
        <w:pStyle w:val="1089"/>
        <w:widowControl w:val="false"/>
        <w:pBdr/>
        <w:spacing/>
        <w:ind/>
        <w:jc w:val="both"/>
        <w:rPr/>
      </w:pPr>
      <w:r>
        <w:t xml:space="preserve">Au regard de la nature des prestations objets du présent accord-cadre, l’administration conclut à l’inadéquation technique entre les produits à haute performance énergétique concernés par l’article R. 234-4 du code de l’énergie et le besoin à satisfaire.</w:t>
      </w:r>
      <w:r/>
    </w:p>
    <w:p>
      <w:pPr>
        <w:pStyle w:val="998"/>
        <w:keepNext w:val="false"/>
        <w:widowControl w:val="false"/>
        <w:numPr>
          <w:ilvl w:val="2"/>
          <w:numId w:val="2"/>
        </w:numPr>
        <w:pBdr/>
        <w:spacing/>
        <w:ind/>
        <w:rPr>
          <w:rFonts w:hint="eastAsia"/>
        </w:rPr>
      </w:pPr>
      <w:r/>
      <w:bookmarkStart w:id="58" w:name="_Toc26451204"/>
      <w:r/>
      <w:bookmarkStart w:id="59" w:name="_Toc206749653"/>
      <w:r>
        <w:t xml:space="preserve">Clauses d’exécution environnementales</w:t>
      </w:r>
      <w:bookmarkEnd w:id="58"/>
      <w:r/>
      <w:bookmarkEnd w:id="59"/>
      <w:r>
        <w:t xml:space="preserve"> </w:t>
      </w:r>
      <w:r>
        <w:rPr>
          <w:rFonts w:hint="eastAsia"/>
        </w:rPr>
      </w:r>
    </w:p>
    <w:p>
      <w:pPr>
        <w:widowControl w:val="false"/>
        <w:pBdr/>
        <w:spacing/>
        <w:ind/>
        <w:rPr>
          <w:lang w:eastAsia="en-US"/>
        </w:rPr>
      </w:pPr>
      <w:r>
        <w:rPr>
          <w:lang w:eastAsia="en-US"/>
        </w:rPr>
        <w:t xml:space="preserve">Conformément aux dispositions de l’article L. 2112-2 du code de la commande publique</w:t>
      </w:r>
      <w:r>
        <w:t xml:space="preserve">, le présent accord-cadre </w:t>
      </w:r>
      <w:r>
        <w:rPr>
          <w:lang w:eastAsia="en-US"/>
        </w:rPr>
        <w:t xml:space="preserve">comporte des clauses d’exécution environnementales qui s’exécutent dans les conditions définies à l’article IX.1 du CCAP.</w:t>
      </w:r>
      <w:r>
        <w:rPr>
          <w:lang w:eastAsia="en-US"/>
        </w:rPr>
      </w:r>
    </w:p>
    <w:p>
      <w:pPr>
        <w:widowControl w:val="false"/>
        <w:pBdr/>
        <w:spacing/>
        <w:ind/>
        <w:rPr>
          <w:lang w:eastAsia="en-US"/>
        </w:rPr>
      </w:pPr>
      <w:r>
        <w:rPr>
          <w:lang w:eastAsia="en-US"/>
        </w:rPr>
        <w:t xml:space="preserve">Les candidats ne sont pas autorisés à formuler de réserve dans leur offre sur les clauses d’exécution environnementale. </w:t>
      </w:r>
      <w:r>
        <w:rPr>
          <w:lang w:eastAsia="en-US"/>
        </w:rPr>
      </w:r>
    </w:p>
    <w:p>
      <w:pPr>
        <w:widowControl w:val="false"/>
        <w:pBdr/>
        <w:spacing/>
        <w:ind/>
        <w:rPr>
          <w:szCs w:val="22"/>
        </w:rPr>
      </w:pPr>
      <w:r>
        <w:rPr>
          <w:lang w:eastAsia="en-US"/>
        </w:rPr>
        <w:t xml:space="preserve">Une offre qui ne satisferait pas à ces conditions d’exécution sera déclarée irrégulière. </w:t>
      </w:r>
      <w:r>
        <w:rPr>
          <w:szCs w:val="22"/>
        </w:rPr>
      </w:r>
    </w:p>
    <w:p>
      <w:pPr>
        <w:pStyle w:val="998"/>
        <w:keepNext w:val="false"/>
        <w:widowControl w:val="false"/>
        <w:numPr>
          <w:ilvl w:val="2"/>
          <w:numId w:val="2"/>
        </w:numPr>
        <w:pBdr/>
        <w:spacing/>
        <w:ind/>
        <w:rPr>
          <w:rFonts w:hint="eastAsia"/>
        </w:rPr>
      </w:pPr>
      <w:r/>
      <w:bookmarkStart w:id="60" w:name="_Toc26451205"/>
      <w:r/>
      <w:bookmarkStart w:id="61" w:name="_Toc206749654"/>
      <w:r/>
      <w:bookmarkEnd w:id="60"/>
      <w:r>
        <w:t xml:space="preserve">Clauses d’exécution sociales – « actions d’insertion »</w:t>
      </w:r>
      <w:bookmarkEnd w:id="61"/>
      <w:r/>
      <w:r>
        <w:rPr>
          <w:rFonts w:hint="eastAsia"/>
        </w:rPr>
      </w:r>
    </w:p>
    <w:p>
      <w:pPr>
        <w:widowControl w:val="false"/>
        <w:pBdr/>
        <w:spacing/>
        <w:ind/>
        <w:rPr>
          <w:lang w:eastAsia="en-US"/>
        </w:rPr>
      </w:pPr>
      <w:r>
        <w:rPr>
          <w:lang w:eastAsia="en-US"/>
        </w:rPr>
        <w:t xml:space="preserve">Conformément aux dispositions de l’article L. 2112-2 du code de la commande publique</w:t>
      </w:r>
      <w:r>
        <w:t xml:space="preserve">, le présent accord-cadre </w:t>
      </w:r>
      <w:r>
        <w:rPr>
          <w:lang w:eastAsia="en-US"/>
        </w:rPr>
        <w:t xml:space="preserve">comporte des clauses d’exécution sociales qui s’exécutent dans les conditions définies à l’article IX.2 du CCAP.</w:t>
      </w:r>
      <w:r>
        <w:rPr>
          <w:lang w:eastAsia="en-US"/>
        </w:rPr>
      </w:r>
    </w:p>
    <w:p>
      <w:pPr>
        <w:widowControl w:val="false"/>
        <w:pBdr/>
        <w:spacing/>
        <w:ind/>
        <w:rPr>
          <w:iCs/>
          <w:szCs w:val="22"/>
        </w:rPr>
      </w:pPr>
      <w:r>
        <w:rPr>
          <w:iCs/>
          <w:szCs w:val="22"/>
        </w:rPr>
        <w:t xml:space="preserve">Les candidats ne sont pas autorisés à formuler de réserve dans leur offre sur la clause obligatoire d’insertion par l’activité économique.</w:t>
      </w:r>
      <w:r>
        <w:rPr>
          <w:iCs/>
          <w:szCs w:val="22"/>
        </w:rPr>
      </w:r>
    </w:p>
    <w:p>
      <w:pPr>
        <w:widowControl w:val="false"/>
        <w:pBdr/>
        <w:spacing/>
        <w:ind/>
        <w:rPr>
          <w:iCs/>
          <w:szCs w:val="22"/>
        </w:rPr>
      </w:pPr>
      <w:r>
        <w:rPr>
          <w:iCs/>
          <w:szCs w:val="22"/>
        </w:rPr>
        <w:t xml:space="preserve">Une offre qui ne satisferait pas à cette condition d’exécution sera déclarée irrégulière. </w:t>
      </w:r>
      <w:r>
        <w:rPr>
          <w:iCs/>
          <w:szCs w:val="22"/>
        </w:rPr>
      </w:r>
    </w:p>
    <w:p>
      <w:pPr>
        <w:widowControl w:val="false"/>
        <w:pBdr/>
        <w:spacing/>
        <w:ind/>
        <w:rPr>
          <w:szCs w:val="22"/>
        </w:rPr>
      </w:pPr>
      <w:r>
        <w:rPr>
          <w:szCs w:val="22"/>
        </w:rPr>
      </w:r>
      <w:r>
        <w:rPr>
          <w:szCs w:val="22"/>
        </w:rPr>
      </w:r>
    </w:p>
    <w:p>
      <w:pPr>
        <w:pStyle w:val="997"/>
        <w:keepNext w:val="false"/>
        <w:widowControl w:val="false"/>
        <w:numPr>
          <w:ilvl w:val="1"/>
          <w:numId w:val="2"/>
        </w:numPr>
        <w:pBdr/>
        <w:shd w:val="clear" w:color="auto" w:fill="d8d8d8"/>
        <w:spacing/>
        <w:ind/>
        <w:rPr/>
      </w:pPr>
      <w:r/>
      <w:bookmarkStart w:id="62" w:name="_Toc26451206"/>
      <w:r/>
      <w:bookmarkStart w:id="63" w:name="_Toc206749655"/>
      <w:r/>
      <w:bookmarkEnd w:id="62"/>
      <w:r>
        <w:t xml:space="preserve">Modalité de correspondance</w:t>
      </w:r>
      <w:bookmarkEnd w:id="63"/>
      <w:r/>
      <w:r/>
    </w:p>
    <w:p>
      <w:pPr>
        <w:widowControl w:val="false"/>
        <w:pBdr/>
        <w:spacing/>
        <w:ind/>
        <w:rPr>
          <w:lang w:eastAsia="en-US"/>
        </w:rPr>
      </w:pPr>
      <w:r>
        <w:rPr>
          <w:lang w:eastAsia="en-US"/>
        </w:rPr>
        <w:t xml:space="preserve">En application des articles L. 2132-2 et R. 2132-7 à R. 2132-11 du code de la commande publique, </w:t>
      </w:r>
      <w:r>
        <w:t xml:space="preserve">les communications et les échanges d'informations</w:t>
      </w:r>
      <w:r>
        <w:rPr>
          <w:lang w:eastAsia="en-US"/>
        </w:rPr>
        <w:t xml:space="preserve"> </w:t>
      </w:r>
      <w:r>
        <w:t xml:space="preserve">ont lieu par voie électronique</w:t>
      </w:r>
      <w:r>
        <w:rPr>
          <w:lang w:eastAsia="en-US"/>
        </w:rPr>
        <w:t xml:space="preserve">.</w:t>
      </w:r>
      <w:r>
        <w:t xml:space="preserve"> </w:t>
      </w:r>
      <w:r>
        <w:rPr>
          <w:lang w:eastAsia="en-US"/>
        </w:rPr>
      </w:r>
    </w:p>
    <w:p>
      <w:pPr>
        <w:widowControl w:val="false"/>
        <w:pBdr/>
        <w:spacing/>
        <w:ind/>
        <w:rPr>
          <w:lang w:eastAsia="en-US"/>
        </w:rPr>
      </w:pPr>
      <w:r>
        <w:rPr>
          <w:lang w:eastAsia="en-US"/>
        </w:rPr>
        <w:t xml:space="preserve">Les opérateurs économiques adressent leurs correspondances à l’administration via la PLACE « marches-publics.gouv.fr »</w:t>
      </w:r>
      <w:r>
        <w:rPr>
          <w:rStyle w:val="953"/>
          <w:lang w:eastAsia="en-US"/>
        </w:rPr>
        <w:footnoteReference w:id="2"/>
      </w:r>
      <w:r>
        <w:rPr>
          <w:lang w:eastAsia="en-US"/>
        </w:rPr>
        <w:t xml:space="preserve">.</w:t>
      </w:r>
      <w:r>
        <w:rPr>
          <w:lang w:eastAsia="en-US"/>
        </w:rPr>
      </w:r>
    </w:p>
    <w:p>
      <w:pPr>
        <w:widowControl w:val="false"/>
        <w:pBdr/>
        <w:spacing/>
        <w:ind/>
        <w:rPr>
          <w:lang w:eastAsia="en-US"/>
        </w:rPr>
      </w:pPr>
      <w:r>
        <w:rPr>
          <w:lang w:eastAsia="en-US"/>
        </w:rPr>
        <w:t xml:space="preserve">L'opérateur économique doit s'assurer que les messages envoyés par la PLACE notamment, </w:t>
      </w:r>
      <w:r>
        <w:rPr>
          <w:b/>
          <w:bCs/>
          <w:i/>
          <w:iCs/>
          <w:lang w:eastAsia="en-US"/>
        </w:rPr>
        <w:t xml:space="preserve">nepasrépondre@marches-publics.gouv.fr</w:t>
      </w:r>
      <w:r>
        <w:rPr>
          <w:lang w:eastAsia="en-US"/>
        </w:rPr>
        <w:t xml:space="preserve">, ne sont pas traités comme des courriels indésirables.                                                                                                                       </w:t>
      </w:r>
      <w:r>
        <w:rPr>
          <w:lang w:eastAsia="en-US"/>
        </w:rPr>
      </w:r>
    </w:p>
    <w:p>
      <w:pPr>
        <w:pStyle w:val="997"/>
        <w:keepNext w:val="false"/>
        <w:widowControl w:val="false"/>
        <w:numPr>
          <w:ilvl w:val="1"/>
          <w:numId w:val="2"/>
        </w:numPr>
        <w:pBdr/>
        <w:shd w:val="clear" w:color="auto" w:fill="d8d8d8"/>
        <w:spacing/>
        <w:ind/>
        <w:rPr/>
      </w:pPr>
      <w:r/>
      <w:bookmarkStart w:id="64" w:name="_Toc26451207"/>
      <w:r/>
      <w:bookmarkStart w:id="65" w:name="_Toc2868848"/>
      <w:r/>
      <w:bookmarkStart w:id="66" w:name="_Toc2869699"/>
      <w:r/>
      <w:bookmarkStart w:id="67" w:name="_Toc206749656"/>
      <w:r/>
      <w:bookmarkEnd w:id="64"/>
      <w:r/>
      <w:bookmarkEnd w:id="65"/>
      <w:r/>
      <w:bookmarkEnd w:id="66"/>
      <w:r>
        <w:t xml:space="preserve">Sécurité des installations</w:t>
      </w:r>
      <w:bookmarkEnd w:id="67"/>
      <w:r/>
      <w:r/>
    </w:p>
    <w:p>
      <w:pPr>
        <w:widowControl w:val="false"/>
        <w:pBdr/>
        <w:spacing/>
        <w:ind/>
        <w:rPr>
          <w:lang w:eastAsia="en-US"/>
        </w:rPr>
      </w:pPr>
      <w:r>
        <w:rPr>
          <w:lang w:eastAsia="en-US"/>
        </w:rPr>
        <w:t xml:space="preserve">Les agents du titulaire qui auront accès aux locaux du ministère de l’intérieur devront avoir obtenu au préalable l’agrément des services de sécurité du ministère.</w:t>
      </w:r>
      <w:r>
        <w:rPr>
          <w:lang w:eastAsia="en-US"/>
        </w:rPr>
      </w:r>
    </w:p>
    <w:p>
      <w:pPr>
        <w:widowControl w:val="false"/>
        <w:pBdr/>
        <w:spacing/>
        <w:ind/>
        <w:rPr>
          <w:lang w:eastAsia="en-US"/>
        </w:rPr>
      </w:pPr>
      <w:r>
        <w:rPr>
          <w:lang w:eastAsia="en-US"/>
        </w:rPr>
        <w:t xml:space="preserve">Pour ce fair</w:t>
      </w:r>
      <w:r>
        <w:rPr>
          <w:lang w:eastAsia="en-US"/>
        </w:rPr>
        <w:t xml:space="preserve">e, il est impératif que le candidat fournisse les patronymes et prénoms des personnes sous sa responsabilité (personnels des sous-traitants inclus), qui seront amenées à pénétrer dans les locaux du ministère, et dont il a connaissance au jour de la date-li</w:t>
      </w:r>
      <w:r>
        <w:rPr>
          <w:lang w:eastAsia="en-US"/>
        </w:rPr>
        <w:t xml:space="preserve">mite de réception des offres. En plus de ces renseignements et pour les employés dont il est question, le candidat transmet une photocopie lisible et recto-verso d’un titre. La nature de ce titre varie selon la situation individuelle des personnes visées :</w:t>
      </w:r>
      <w:r>
        <w:rPr>
          <w:lang w:eastAsia="en-US"/>
        </w:rPr>
      </w:r>
    </w:p>
    <w:p>
      <w:pPr>
        <w:pStyle w:val="1085"/>
        <w:widowControl w:val="false"/>
        <w:numPr>
          <w:ilvl w:val="0"/>
          <w:numId w:val="5"/>
        </w:numPr>
        <w:pBdr/>
        <w:spacing/>
        <w:ind/>
        <w:rPr>
          <w:lang w:eastAsia="en-US"/>
        </w:rPr>
      </w:pPr>
      <w:r>
        <w:rPr>
          <w:lang w:eastAsia="en-US"/>
        </w:rPr>
        <w:t xml:space="preserve">carte</w:t>
      </w:r>
      <w:r>
        <w:rPr>
          <w:lang w:eastAsia="en-US"/>
        </w:rPr>
        <w:t xml:space="preserve"> nationale d’identité (CNI) ou passeport en cours de validité pour les ressortissants français et communautaires ;</w:t>
      </w:r>
      <w:r>
        <w:rPr>
          <w:lang w:eastAsia="en-US"/>
        </w:rPr>
      </w:r>
    </w:p>
    <w:p>
      <w:pPr>
        <w:pStyle w:val="1085"/>
        <w:widowControl w:val="false"/>
        <w:numPr>
          <w:ilvl w:val="0"/>
          <w:numId w:val="5"/>
        </w:numPr>
        <w:pBdr/>
        <w:spacing/>
        <w:ind/>
        <w:rPr>
          <w:lang w:eastAsia="en-US"/>
        </w:rPr>
      </w:pPr>
      <w:r>
        <w:rPr>
          <w:lang w:eastAsia="en-US"/>
        </w:rPr>
        <w:t xml:space="preserve">titre</w:t>
      </w:r>
      <w:r>
        <w:rPr>
          <w:lang w:eastAsia="en-US"/>
        </w:rPr>
        <w:t xml:space="preserve"> de séjour en cours de validité avec une autorisation de travail valable ou carte de résident pour les étrangers extracommunautaires.</w:t>
      </w:r>
      <w:r>
        <w:rPr>
          <w:lang w:eastAsia="en-US"/>
        </w:rPr>
      </w:r>
    </w:p>
    <w:p>
      <w:pPr>
        <w:widowControl w:val="false"/>
        <w:pBdr/>
        <w:spacing/>
        <w:ind/>
        <w:rPr/>
      </w:pPr>
      <w:r>
        <w:rPr>
          <w:lang w:eastAsia="en-US"/>
        </w:rPr>
        <w:t xml:space="preserve">La validité des titres cités ci-dessus doit correspondre à celle de la durée de l’accord-cadre ou au minimum à la durée d’exécution de la tâche sur lequel l’agent concerné sera affecté (à préciser par le candidat).</w:t>
      </w:r>
      <w:r/>
    </w:p>
    <w:p>
      <w:pPr>
        <w:pStyle w:val="996"/>
        <w:keepNext w:val="false"/>
        <w:keepLines w:val="false"/>
        <w:pageBreakBefore w:val="false"/>
        <w:widowControl w:val="false"/>
        <w:numPr>
          <w:ilvl w:val="0"/>
          <w:numId w:val="16"/>
        </w:numPr>
        <w:pBdr/>
        <w:spacing/>
        <w:ind w:hanging="710"/>
        <w:rPr/>
      </w:pPr>
      <w:r/>
      <w:bookmarkStart w:id="68" w:name="_Toc26451208"/>
      <w:r/>
      <w:bookmarkStart w:id="69" w:name="_Ref329790370"/>
      <w:r/>
      <w:bookmarkStart w:id="70" w:name="_Toc206749657"/>
      <w:r>
        <w:rPr>
          <w:caps w:val="0"/>
        </w:rPr>
        <w:t xml:space="preserve">DOSSIER DE CONSULTATION DES ENTREPRISE</w:t>
      </w:r>
      <w:bookmarkEnd w:id="68"/>
      <w:r/>
      <w:bookmarkEnd w:id="69"/>
      <w:r>
        <w:rPr>
          <w:caps w:val="0"/>
        </w:rPr>
        <w:t xml:space="preserve">S</w:t>
      </w:r>
      <w:bookmarkEnd w:id="70"/>
      <w:r/>
      <w:r/>
    </w:p>
    <w:p>
      <w:pPr>
        <w:pStyle w:val="997"/>
        <w:keepNext w:val="false"/>
        <w:widowControl w:val="false"/>
        <w:numPr>
          <w:ilvl w:val="1"/>
          <w:numId w:val="16"/>
        </w:numPr>
        <w:pBdr/>
        <w:shd w:val="clear" w:color="auto" w:fill="d8d8d8"/>
        <w:spacing/>
        <w:ind/>
        <w:rPr/>
      </w:pPr>
      <w:r/>
      <w:bookmarkStart w:id="71" w:name="_Toc26451209"/>
      <w:r/>
      <w:bookmarkStart w:id="72" w:name="_Toc206749658"/>
      <w:r/>
      <w:bookmarkEnd w:id="71"/>
      <w:r>
        <w:t xml:space="preserve">Contenu du dossier de consultation</w:t>
      </w:r>
      <w:bookmarkEnd w:id="72"/>
      <w:r/>
      <w:r/>
    </w:p>
    <w:p>
      <w:pPr>
        <w:widowControl w:val="false"/>
        <w:pBdr/>
        <w:spacing/>
        <w:ind/>
        <w:rPr/>
      </w:pPr>
      <w:r>
        <w:t xml:space="preserve">Le dossier de consultation des entreprises est constitué des éléments suivants :</w:t>
      </w:r>
      <w:r/>
    </w:p>
    <w:p>
      <w:pPr>
        <w:pStyle w:val="1086"/>
        <w:widowControl w:val="false"/>
        <w:numPr>
          <w:ilvl w:val="0"/>
          <w:numId w:val="6"/>
        </w:numPr>
        <w:pBdr/>
        <w:spacing/>
        <w:ind w:hanging="425" w:left="1276"/>
        <w:rPr/>
      </w:pPr>
      <w:r>
        <w:t xml:space="preserve">le</w:t>
      </w:r>
      <w:r>
        <w:t xml:space="preserve"> présent règlement de la consultation (RC) et ses annexes ;</w:t>
      </w:r>
      <w:r/>
    </w:p>
    <w:p>
      <w:pPr>
        <w:pStyle w:val="1086"/>
        <w:widowControl w:val="false"/>
        <w:numPr>
          <w:ilvl w:val="0"/>
          <w:numId w:val="6"/>
        </w:numPr>
        <w:pBdr/>
        <w:spacing/>
        <w:ind w:hanging="425" w:left="1276"/>
        <w:rPr/>
      </w:pPr>
      <w:r>
        <w:t xml:space="preserve">l’acte</w:t>
      </w:r>
      <w:r>
        <w:t xml:space="preserve"> d’engagement (AE) et ses annexes ;</w:t>
      </w:r>
      <w:r/>
    </w:p>
    <w:p>
      <w:pPr>
        <w:pStyle w:val="1086"/>
        <w:widowControl w:val="false"/>
        <w:numPr>
          <w:ilvl w:val="0"/>
          <w:numId w:val="6"/>
        </w:numPr>
        <w:pBdr/>
        <w:spacing/>
        <w:ind w:hanging="425" w:left="1276"/>
        <w:rPr/>
      </w:pPr>
      <w:r>
        <w:t xml:space="preserve">le</w:t>
      </w:r>
      <w:r>
        <w:t xml:space="preserve"> cahier des clauses administratives particulières (CCAP) et ses annexes ;</w:t>
      </w:r>
      <w:r/>
    </w:p>
    <w:p>
      <w:pPr>
        <w:pStyle w:val="1086"/>
        <w:widowControl w:val="false"/>
        <w:numPr>
          <w:ilvl w:val="0"/>
          <w:numId w:val="6"/>
        </w:numPr>
        <w:pBdr/>
        <w:spacing/>
        <w:ind w:hanging="425" w:left="1276"/>
        <w:rPr/>
      </w:pPr>
      <w:r>
        <w:t xml:space="preserve">le</w:t>
      </w:r>
      <w:r>
        <w:t xml:space="preserve"> cahier des clauses techniques particulières (CCTP) et ses annexes.</w:t>
      </w:r>
      <w:r/>
    </w:p>
    <w:p>
      <w:pPr>
        <w:pStyle w:val="997"/>
        <w:keepNext w:val="false"/>
        <w:widowControl w:val="false"/>
        <w:numPr>
          <w:ilvl w:val="1"/>
          <w:numId w:val="16"/>
        </w:numPr>
        <w:pBdr/>
        <w:shd w:val="clear" w:color="auto" w:fill="d8d8d8"/>
        <w:spacing/>
        <w:ind/>
        <w:rPr/>
      </w:pPr>
      <w:r/>
      <w:bookmarkStart w:id="73" w:name="_Toc206749659"/>
      <w:r>
        <w:t xml:space="preserve">Obtention des annexes 12 à 18 au cctp relatives à la description fonctionnelle de l’environnement applicatif du FNAEG-NG</w:t>
      </w:r>
      <w:bookmarkEnd w:id="73"/>
      <w:r>
        <w:t xml:space="preserve"> </w:t>
      </w:r>
      <w:r/>
    </w:p>
    <w:p>
      <w:pPr>
        <w:pBdr/>
        <w:spacing/>
        <w:ind/>
        <w:rPr/>
      </w:pPr>
      <w:r>
        <w:t xml:space="preserve">Pour des raisons de confidentialité, l’administration ne communique les annexes suivantes que sur demande expresse des candidats : </w:t>
      </w:r>
      <w:r/>
    </w:p>
    <w:p>
      <w:pPr>
        <w:pStyle w:val="1074"/>
        <w:numPr>
          <w:ilvl w:val="0"/>
          <w:numId w:val="17"/>
        </w:numPr>
        <w:pBdr/>
        <w:spacing/>
        <w:ind/>
        <w:rPr/>
      </w:pPr>
      <w:r>
        <w:t xml:space="preserve">Annexe 12 : Spécifications fonctionnelles FNAEG </w:t>
      </w:r>
      <w:r/>
    </w:p>
    <w:p>
      <w:pPr>
        <w:pStyle w:val="1074"/>
        <w:numPr>
          <w:ilvl w:val="0"/>
          <w:numId w:val="17"/>
        </w:numPr>
        <w:pBdr/>
        <w:spacing/>
        <w:ind/>
        <w:rPr/>
      </w:pPr>
      <w:r>
        <w:t xml:space="preserve">Annexe 13 : Spécifications fonctionnelles PRUM </w:t>
      </w:r>
      <w:r/>
    </w:p>
    <w:p>
      <w:pPr>
        <w:pStyle w:val="1074"/>
        <w:numPr>
          <w:ilvl w:val="0"/>
          <w:numId w:val="17"/>
        </w:numPr>
        <w:pBdr/>
        <w:spacing/>
        <w:ind/>
        <w:rPr/>
      </w:pPr>
      <w:r>
        <w:t xml:space="preserve">Annexe 14 : Spécifications techniques PRUM </w:t>
      </w:r>
      <w:r/>
    </w:p>
    <w:p>
      <w:pPr>
        <w:pStyle w:val="1074"/>
        <w:numPr>
          <w:ilvl w:val="0"/>
          <w:numId w:val="17"/>
        </w:numPr>
        <w:pBdr/>
        <w:spacing/>
        <w:ind/>
        <w:rPr/>
      </w:pPr>
      <w:r>
        <w:t xml:space="preserve">Annexe 15 : Spécifications PRUM TIGRE demi-interface </w:t>
      </w:r>
      <w:r/>
    </w:p>
    <w:p>
      <w:pPr>
        <w:pStyle w:val="1074"/>
        <w:numPr>
          <w:ilvl w:val="0"/>
          <w:numId w:val="17"/>
        </w:numPr>
        <w:pBdr/>
        <w:spacing/>
        <w:ind/>
        <w:rPr/>
      </w:pPr>
      <w:r>
        <w:t xml:space="preserve">Annexe 16 : Spécifications TIGRE PRUM demi-interface </w:t>
      </w:r>
      <w:r/>
    </w:p>
    <w:p>
      <w:pPr>
        <w:pStyle w:val="1074"/>
        <w:numPr>
          <w:ilvl w:val="0"/>
          <w:numId w:val="17"/>
        </w:numPr>
        <w:pBdr/>
        <w:spacing/>
        <w:ind/>
        <w:rPr/>
      </w:pPr>
      <w:r>
        <w:t xml:space="preserve">Annexe 17 : Spécifications fonctionnelle TIGRE </w:t>
      </w:r>
      <w:r/>
    </w:p>
    <w:p>
      <w:pPr>
        <w:pStyle w:val="1074"/>
        <w:numPr>
          <w:ilvl w:val="0"/>
          <w:numId w:val="17"/>
        </w:numPr>
        <w:pBdr/>
        <w:spacing/>
        <w:ind/>
        <w:rPr/>
      </w:pPr>
      <w:r>
        <w:t xml:space="preserve">Annexe 18 : Manuels utilisateurs </w:t>
      </w:r>
      <w:r/>
    </w:p>
    <w:p>
      <w:pPr>
        <w:pBdr/>
        <w:spacing/>
        <w:ind/>
        <w:rPr>
          <w:u w:val="single"/>
        </w:rPr>
      </w:pPr>
      <w:r>
        <w:rPr>
          <w:u w:val="single"/>
        </w:rPr>
        <w:t xml:space="preserve">Les annexes sont à retirer sur demande via PLACE après transmission de : </w:t>
      </w:r>
      <w:r>
        <w:rPr>
          <w:u w:val="single"/>
        </w:rPr>
      </w:r>
    </w:p>
    <w:p>
      <w:pPr>
        <w:pStyle w:val="1074"/>
        <w:numPr>
          <w:ilvl w:val="0"/>
          <w:numId w:val="17"/>
        </w:numPr>
        <w:pBdr/>
        <w:spacing/>
        <w:ind/>
        <w:rPr>
          <w:u w:val="single"/>
        </w:rPr>
      </w:pPr>
      <w:r>
        <w:t xml:space="preserve">L’engagement de confidentialité (annexe IX au présent règlement) signé électroniquement ; </w:t>
      </w:r>
      <w:r>
        <w:rPr>
          <w:u w:val="single"/>
        </w:rPr>
      </w:r>
    </w:p>
    <w:p>
      <w:pPr>
        <w:pStyle w:val="1074"/>
        <w:numPr>
          <w:ilvl w:val="0"/>
          <w:numId w:val="17"/>
        </w:numPr>
        <w:pBdr/>
        <w:spacing/>
        <w:ind/>
        <w:rPr>
          <w:u w:val="single"/>
        </w:rPr>
      </w:pPr>
      <w:r>
        <w:t xml:space="preserve">La copie de la carte d’identité de la personne signataire ; </w:t>
      </w:r>
      <w:r>
        <w:rPr>
          <w:u w:val="single"/>
        </w:rPr>
      </w:r>
    </w:p>
    <w:p>
      <w:pPr>
        <w:pStyle w:val="1074"/>
        <w:numPr>
          <w:ilvl w:val="0"/>
          <w:numId w:val="17"/>
        </w:numPr>
        <w:pBdr/>
        <w:spacing/>
        <w:ind/>
        <w:rPr>
          <w:u w:val="single"/>
        </w:rPr>
      </w:pPr>
      <w:r>
        <w:t xml:space="preserve">La copie du pouvoir permettant au demandeur d’engager la société. </w:t>
      </w:r>
      <w:r>
        <w:rPr>
          <w:u w:val="single"/>
        </w:rPr>
      </w:r>
    </w:p>
    <w:p>
      <w:pPr>
        <w:pBdr/>
        <w:spacing/>
        <w:ind/>
        <w:rPr/>
      </w:pPr>
      <w:r>
        <w:t xml:space="preserve">La demande s’effectue par la transmission d’une question à l’Administration et d’un dossier au format zip. Les informations transmises restent confidentielles. </w:t>
      </w:r>
      <w:r/>
    </w:p>
    <w:p>
      <w:pPr>
        <w:pBdr/>
        <w:spacing/>
        <w:ind/>
        <w:rPr/>
      </w:pPr>
      <w:r>
        <w:t xml:space="preserve">Ce retrait pourra s’effectuer durant toute la période de consultation jusqu’à la date limite de remise des offres. </w:t>
      </w:r>
      <w:r/>
    </w:p>
    <w:p>
      <w:pPr>
        <w:pStyle w:val="997"/>
        <w:keepNext w:val="false"/>
        <w:widowControl w:val="false"/>
        <w:numPr>
          <w:ilvl w:val="1"/>
          <w:numId w:val="16"/>
        </w:numPr>
        <w:pBdr/>
        <w:shd w:val="clear" w:color="auto" w:fill="d8d8d8"/>
        <w:spacing/>
        <w:ind/>
        <w:rPr/>
      </w:pPr>
      <w:r/>
      <w:bookmarkStart w:id="74" w:name="_Toc26451210"/>
      <w:r/>
      <w:bookmarkStart w:id="75" w:name="_Toc206749660"/>
      <w:r/>
      <w:bookmarkEnd w:id="74"/>
      <w:r>
        <w:t xml:space="preserve">Précisions relatives au dossier de consultation</w:t>
      </w:r>
      <w:bookmarkEnd w:id="75"/>
      <w:r/>
      <w:r/>
    </w:p>
    <w:p>
      <w:pPr>
        <w:widowControl w:val="false"/>
        <w:pBdr/>
        <w:spacing/>
        <w:ind/>
        <w:rPr/>
      </w:pPr>
      <w:r>
        <w:t xml:space="preserve">Jusqu’au </w:t>
      </w:r>
      <w:r>
        <w:rPr>
          <w:b/>
        </w:rPr>
        <w:t xml:space="preserve">dixième jour calendaire</w:t>
      </w:r>
      <w:r>
        <w:t xml:space="preserve"> précédant la date limite de réception des offres indiquée à l’article </w:t>
      </w:r>
      <w:r>
        <w:fldChar w:fldCharType="begin"/>
      </w:r>
      <w:r>
        <w:instrText xml:space="preserve">REF _Ref341079480 \r \h</w:instrText>
      </w:r>
      <w:r>
        <w:fldChar w:fldCharType="separate"/>
      </w:r>
      <w:r>
        <w:t xml:space="preserve">III.2.1</w:t>
      </w:r>
      <w:r>
        <w:fldChar w:fldCharType="end"/>
      </w:r>
      <w:r>
        <w:t xml:space="preserve"> du présent document, les opérateurs économiques peuvent demander toutes les précisions qu’ils jugent utiles à l’établissement de leur offre.</w:t>
      </w:r>
      <w:r/>
    </w:p>
    <w:p>
      <w:pPr>
        <w:widowControl w:val="false"/>
        <w:pBdr/>
        <w:spacing/>
        <w:ind/>
        <w:rPr/>
      </w:pPr>
      <w:r>
        <w:t xml:space="preserve">Dans ce cadre, la demande de précisions doit être adressée à l’administration selon le moyen de correspondance mentionné à l’article I.5 du présent document.</w:t>
      </w:r>
      <w:r/>
    </w:p>
    <w:p>
      <w:pPr>
        <w:widowControl w:val="false"/>
        <w:pBdr/>
        <w:spacing/>
        <w:ind/>
        <w:rPr/>
      </w:pPr>
      <w:r>
        <w:t xml:space="preserve">L’administration apporte les réponses aux demandes de précisions présentées par les opérateurs économiques dans les délais. Ces réponses sont transmises aux entreprises par voie électronique, de façon générale ou particulière selon leur portée.</w:t>
      </w:r>
      <w:r/>
    </w:p>
    <w:p>
      <w:pPr>
        <w:widowControl w:val="false"/>
        <w:pBdr/>
        <w:spacing/>
        <w:ind/>
        <w:rPr/>
      </w:pPr>
      <w:r>
        <w:t xml:space="preserve">Les réponses aux demandes de précision sont transmises </w:t>
      </w:r>
      <w:r>
        <w:rPr>
          <w:b/>
        </w:rPr>
        <w:t xml:space="preserve">six (6) jours calendaires</w:t>
      </w:r>
      <w:r>
        <w:t xml:space="preserve"> au plus tard avant la date limite fixée pour la réception des offres.</w:t>
      </w:r>
      <w:r/>
    </w:p>
    <w:p>
      <w:pPr>
        <w:pStyle w:val="1089"/>
        <w:widowControl w:val="false"/>
        <w:pBdr/>
        <w:spacing/>
        <w:ind/>
        <w:rPr/>
      </w:pPr>
      <w:r/>
      <w:r/>
    </w:p>
    <w:p>
      <w:pPr>
        <w:pStyle w:val="997"/>
        <w:keepNext w:val="false"/>
        <w:widowControl w:val="false"/>
        <w:numPr>
          <w:ilvl w:val="1"/>
          <w:numId w:val="16"/>
        </w:numPr>
        <w:pBdr/>
        <w:shd w:val="clear" w:color="auto" w:fill="d8d8d8"/>
        <w:spacing/>
        <w:ind/>
        <w:rPr/>
      </w:pPr>
      <w:r/>
      <w:bookmarkStart w:id="76" w:name="_Ref324333064"/>
      <w:r/>
      <w:bookmarkStart w:id="77" w:name="_Toc26451211"/>
      <w:r/>
      <w:bookmarkStart w:id="78" w:name="_Toc206749661"/>
      <w:r/>
      <w:bookmarkEnd w:id="76"/>
      <w:r/>
      <w:bookmarkEnd w:id="77"/>
      <w:r>
        <w:t xml:space="preserve">Modification du dossier de consultation</w:t>
      </w:r>
      <w:bookmarkEnd w:id="78"/>
      <w:r/>
      <w:r/>
    </w:p>
    <w:p>
      <w:pPr>
        <w:widowControl w:val="false"/>
        <w:pBdr/>
        <w:spacing/>
        <w:ind/>
        <w:rPr/>
      </w:pPr>
      <w:r>
        <w:t xml:space="preserve">L'administration se réserve le droit,</w:t>
      </w:r>
      <w:r>
        <w:rPr>
          <w:b/>
        </w:rPr>
        <w:t xml:space="preserve"> six (6) jours calendaires</w:t>
      </w:r>
      <w:r>
        <w:t xml:space="preserve"> au plus tard avant la date limite de réception des offres, d’apporter des modifications au dossier de consultation. Elle en informe les opérateurs économiques. </w:t>
      </w:r>
      <w:r/>
    </w:p>
    <w:p>
      <w:pPr>
        <w:widowControl w:val="false"/>
        <w:pBdr/>
        <w:spacing/>
        <w:ind/>
        <w:rPr/>
      </w:pPr>
      <w:r>
        <w:t xml:space="preserve">Dans le cas où des modifications seraient apportées après ce délai, un nouveau délai pour la remise des offres sera accordé de manière à respecter au minimum cette période de </w:t>
      </w:r>
      <w:r>
        <w:rPr>
          <w:b/>
        </w:rPr>
        <w:t xml:space="preserve">six</w:t>
      </w:r>
      <w:r>
        <w:t xml:space="preserve"> </w:t>
      </w:r>
      <w:r>
        <w:rPr>
          <w:b/>
        </w:rPr>
        <w:t xml:space="preserve">(6) jours calendaires</w:t>
      </w:r>
      <w:r>
        <w:t xml:space="preserve">.</w:t>
      </w:r>
      <w:r/>
    </w:p>
    <w:p>
      <w:pPr>
        <w:widowControl w:val="false"/>
        <w:pBdr/>
        <w:spacing/>
        <w:ind/>
        <w:rPr/>
      </w:pPr>
      <w:r/>
      <w:bookmarkStart w:id="79" w:name="_Ref330461587"/>
      <w:r/>
      <w:bookmarkEnd w:id="79"/>
      <w:r>
        <w:t xml:space="preserve">Ces modifications du dossier de consultation sont diffusées sur la PLACE « marches-publics.gouv.fr ».</w:t>
      </w:r>
      <w:r/>
    </w:p>
    <w:p>
      <w:pPr>
        <w:pBdr/>
        <w:spacing w:after="0" w:before="0"/>
        <w:ind/>
        <w:jc w:val="left"/>
        <w:rPr/>
      </w:pPr>
      <w:r>
        <w:br w:type="page" w:clear="all"/>
      </w:r>
      <w:r/>
    </w:p>
    <w:p>
      <w:pPr>
        <w:pStyle w:val="996"/>
        <w:keepNext w:val="false"/>
        <w:keepLines w:val="false"/>
        <w:widowControl w:val="false"/>
        <w:numPr>
          <w:ilvl w:val="0"/>
          <w:numId w:val="16"/>
        </w:numPr>
        <w:pBdr/>
        <w:spacing/>
        <w:ind w:hanging="710"/>
        <w:rPr/>
      </w:pPr>
      <w:r/>
      <w:bookmarkStart w:id="80" w:name="_Toc26451212"/>
      <w:r/>
      <w:bookmarkStart w:id="81" w:name="_Toc206749662"/>
      <w:r/>
      <w:bookmarkEnd w:id="80"/>
      <w:r>
        <w:rPr>
          <w:caps w:val="0"/>
        </w:rPr>
        <w:t xml:space="preserve">CARACTERISTIQUES DES OFFRES REMISES</w:t>
      </w:r>
      <w:bookmarkEnd w:id="81"/>
      <w:r/>
      <w:r/>
    </w:p>
    <w:p>
      <w:pPr>
        <w:pStyle w:val="997"/>
        <w:keepNext w:val="false"/>
        <w:widowControl w:val="false"/>
        <w:numPr>
          <w:ilvl w:val="1"/>
          <w:numId w:val="16"/>
        </w:numPr>
        <w:pBdr/>
        <w:shd w:val="clear" w:color="auto" w:fill="d8d8d8"/>
        <w:spacing/>
        <w:ind/>
        <w:rPr/>
      </w:pPr>
      <w:r/>
      <w:bookmarkStart w:id="82" w:name="_Toc26451213"/>
      <w:r/>
      <w:bookmarkStart w:id="83" w:name="_Toc206749663"/>
      <w:r/>
      <w:bookmarkEnd w:id="82"/>
      <w:r>
        <w:t xml:space="preserve">Généralités</w:t>
      </w:r>
      <w:bookmarkEnd w:id="83"/>
      <w:r/>
      <w:r/>
    </w:p>
    <w:p>
      <w:pPr>
        <w:pStyle w:val="998"/>
        <w:keepNext w:val="false"/>
        <w:widowControl w:val="false"/>
        <w:numPr>
          <w:ilvl w:val="2"/>
          <w:numId w:val="16"/>
        </w:numPr>
        <w:pBdr/>
        <w:spacing/>
        <w:ind/>
        <w:rPr>
          <w:rFonts w:hint="eastAsia"/>
        </w:rPr>
      </w:pPr>
      <w:r/>
      <w:bookmarkStart w:id="84" w:name="_Toc26451214"/>
      <w:r/>
      <w:bookmarkStart w:id="85" w:name="_Toc206749664"/>
      <w:r/>
      <w:bookmarkEnd w:id="84"/>
      <w:r>
        <w:t xml:space="preserve">Acceptation sans réserve des cahiers des charges</w:t>
      </w:r>
      <w:bookmarkEnd w:id="85"/>
      <w:r/>
      <w:r>
        <w:rPr>
          <w:rFonts w:hint="eastAsia"/>
        </w:rPr>
      </w:r>
    </w:p>
    <w:p>
      <w:pPr>
        <w:pStyle w:val="1037"/>
        <w:widowControl w:val="false"/>
        <w:pBdr/>
        <w:spacing/>
        <w:ind/>
        <w:rPr/>
      </w:pPr>
      <w:r>
        <w:t xml:space="preserve">Le fait de soumettre une offre signifie que le candidat accepte sans réserve les dispositions du CCAP et du CCTP, annexes comprises.</w:t>
      </w:r>
      <w:r/>
    </w:p>
    <w:p>
      <w:pPr>
        <w:pStyle w:val="998"/>
        <w:keepNext w:val="false"/>
        <w:widowControl w:val="false"/>
        <w:numPr>
          <w:ilvl w:val="2"/>
          <w:numId w:val="16"/>
        </w:numPr>
        <w:pBdr/>
        <w:spacing/>
        <w:ind/>
        <w:rPr>
          <w:rFonts w:hint="eastAsia"/>
        </w:rPr>
      </w:pPr>
      <w:r/>
      <w:bookmarkStart w:id="86" w:name="_Toc26451215"/>
      <w:r/>
      <w:bookmarkStart w:id="87" w:name="_Toc206749665"/>
      <w:r/>
      <w:bookmarkEnd w:id="86"/>
      <w:r>
        <w:t xml:space="preserve">Langue utilisée et monnaie</w:t>
      </w:r>
      <w:bookmarkEnd w:id="87"/>
      <w:r/>
      <w:r>
        <w:rPr>
          <w:rFonts w:hint="eastAsia"/>
        </w:rPr>
      </w:r>
    </w:p>
    <w:p>
      <w:pPr>
        <w:widowControl w:val="false"/>
        <w:pBdr/>
        <w:spacing/>
        <w:ind/>
        <w:rPr/>
      </w:pPr>
      <w:r>
        <w:t xml:space="preserve">Les offres dans leur intégralité sont rédigées exclusivement en langue française. </w:t>
      </w:r>
      <w:r/>
    </w:p>
    <w:p>
      <w:pPr>
        <w:widowControl w:val="false"/>
        <w:pBdr/>
        <w:spacing/>
        <w:ind/>
        <w:rPr/>
      </w:pPr>
      <w:r>
        <w:t xml:space="preserve">L'unité monétaire de l’accord-cadre est l'euro (€).</w:t>
      </w:r>
      <w:r/>
    </w:p>
    <w:p>
      <w:pPr>
        <w:pStyle w:val="997"/>
        <w:keepNext w:val="false"/>
        <w:widowControl w:val="false"/>
        <w:numPr>
          <w:ilvl w:val="1"/>
          <w:numId w:val="16"/>
        </w:numPr>
        <w:pBdr/>
        <w:shd w:val="clear" w:color="auto" w:fill="d8d8d8"/>
        <w:spacing/>
        <w:ind/>
        <w:rPr/>
      </w:pPr>
      <w:r/>
      <w:bookmarkStart w:id="88" w:name="_Ref341079107"/>
      <w:r/>
      <w:bookmarkStart w:id="89" w:name="_Toc26451216"/>
      <w:r/>
      <w:bookmarkStart w:id="90" w:name="_Toc206749666"/>
      <w:r/>
      <w:bookmarkEnd w:id="88"/>
      <w:r/>
      <w:bookmarkEnd w:id="89"/>
      <w:r>
        <w:t xml:space="preserve">Date-limite de réception des offres</w:t>
      </w:r>
      <w:bookmarkEnd w:id="90"/>
      <w:r/>
      <w:r/>
    </w:p>
    <w:p>
      <w:pPr>
        <w:pStyle w:val="998"/>
        <w:keepNext w:val="false"/>
        <w:widowControl w:val="false"/>
        <w:numPr>
          <w:ilvl w:val="2"/>
          <w:numId w:val="16"/>
        </w:numPr>
        <w:pBdr/>
        <w:spacing/>
        <w:ind/>
        <w:rPr>
          <w:rFonts w:hint="eastAsia"/>
        </w:rPr>
      </w:pPr>
      <w:r/>
      <w:bookmarkStart w:id="91" w:name="_Ref341079480"/>
      <w:r/>
      <w:bookmarkStart w:id="92" w:name="_Toc26451217"/>
      <w:r/>
      <w:bookmarkStart w:id="93" w:name="_Toc206749667"/>
      <w:r/>
      <w:bookmarkEnd w:id="91"/>
      <w:r/>
      <w:bookmarkEnd w:id="92"/>
      <w:r>
        <w:t xml:space="preserve">Date applicable à la présente consultation</w:t>
      </w:r>
      <w:bookmarkEnd w:id="93"/>
      <w:r/>
      <w:r>
        <w:rPr>
          <w:rFonts w:hint="eastAsia"/>
        </w:rPr>
      </w:r>
    </w:p>
    <w:p>
      <w:pPr>
        <w:widowControl w:val="false"/>
        <w:pBdr/>
        <w:spacing/>
        <w:ind/>
        <w:rPr/>
      </w:pPr>
      <w:r>
        <w:t xml:space="preserve">Sous peine d’irrecevabilité, les offres devront être reçues par l’administration avant la date suivante :</w:t>
      </w:r>
      <w:r/>
    </w:p>
    <w:p>
      <w:pPr>
        <w:pStyle w:val="1037"/>
        <w:widowControl w:val="false"/>
        <w:pBdr>
          <w:top w:val="single" w:color="00000a" w:sz="18" w:space="1"/>
          <w:left w:val="single" w:color="00000a" w:sz="18" w:space="0"/>
          <w:bottom w:val="single" w:color="00000a" w:sz="18" w:space="1"/>
          <w:right w:val="single" w:color="00000a" w:sz="18" w:space="0"/>
        </w:pBdr>
        <w:spacing w:before="240"/>
        <w:ind w:right="567" w:left="426"/>
        <w:jc w:val="center"/>
        <w:rPr>
          <w:b/>
          <w:sz w:val="32"/>
        </w:rPr>
      </w:pPr>
      <w:r>
        <w:rPr>
          <w:b/>
          <w:sz w:val="32"/>
        </w:rPr>
        <w:t xml:space="preserve">DATE-LIMITE DE RECEPTION DES OFFRES</w:t>
      </w:r>
      <w:r>
        <w:rPr>
          <w:b/>
          <w:sz w:val="32"/>
        </w:rPr>
      </w:r>
    </w:p>
    <w:p>
      <w:pPr>
        <w:pStyle w:val="1037"/>
        <w:widowControl w:val="false"/>
        <w:pBdr>
          <w:top w:val="single" w:color="00000a" w:sz="18" w:space="1"/>
          <w:left w:val="single" w:color="00000a" w:sz="18" w:space="0"/>
          <w:bottom w:val="single" w:color="00000a" w:sz="18" w:space="1"/>
          <w:right w:val="single" w:color="00000a" w:sz="18" w:space="0"/>
        </w:pBdr>
        <w:spacing w:after="240" w:before="0"/>
        <w:ind w:right="567" w:left="426"/>
        <w:jc w:val="center"/>
        <w:rPr>
          <w:b/>
          <w:sz w:val="32"/>
        </w:rPr>
      </w:pPr>
      <w:r>
        <w:rPr>
          <w:b/>
          <w:sz w:val="32"/>
        </w:rPr>
        <w:t xml:space="preserve"> </w:t>
      </w:r>
      <w:r>
        <w:rPr>
          <w:b/>
          <w:sz w:val="32"/>
          <w:highlight w:val="yellow"/>
        </w:rPr>
        <w:t xml:space="preserve">0</w:t>
      </w:r>
      <w:r>
        <w:rPr>
          <w:b/>
          <w:sz w:val="32"/>
          <w:highlight w:val="yellow"/>
        </w:rPr>
        <w:t xml:space="preserve">6</w:t>
      </w:r>
      <w:r>
        <w:rPr>
          <w:b/>
          <w:sz w:val="32"/>
          <w:highlight w:val="yellow"/>
        </w:rPr>
        <w:t xml:space="preserve">/</w:t>
      </w:r>
      <w:r>
        <w:rPr>
          <w:b/>
          <w:sz w:val="32"/>
          <w:highlight w:val="yellow"/>
        </w:rPr>
        <w:t xml:space="preserve">10</w:t>
      </w:r>
      <w:r>
        <w:rPr>
          <w:b/>
          <w:sz w:val="32"/>
          <w:highlight w:val="yellow"/>
        </w:rPr>
        <w:t xml:space="preserve">/2025</w:t>
      </w:r>
      <w:r>
        <w:rPr>
          <w:b/>
          <w:sz w:val="32"/>
        </w:rPr>
        <w:t xml:space="preserve"> – 12h00</w:t>
      </w:r>
      <w:r>
        <w:rPr>
          <w:b/>
          <w:sz w:val="32"/>
        </w:rPr>
      </w:r>
    </w:p>
    <w:p>
      <w:pPr>
        <w:widowControl w:val="false"/>
        <w:pBdr/>
        <w:spacing/>
        <w:ind/>
        <w:rPr/>
      </w:pPr>
      <w:r>
        <w:t xml:space="preserve">Le fuseau horaire, sur lequel est rattachée cette heure limite, est celui de Paris. </w:t>
      </w:r>
      <w:r/>
    </w:p>
    <w:p>
      <w:pPr>
        <w:pStyle w:val="998"/>
        <w:keepNext w:val="false"/>
        <w:widowControl w:val="false"/>
        <w:numPr>
          <w:ilvl w:val="2"/>
          <w:numId w:val="16"/>
        </w:numPr>
        <w:pBdr/>
        <w:spacing/>
        <w:ind/>
        <w:rPr>
          <w:rFonts w:hint="eastAsia"/>
        </w:rPr>
      </w:pPr>
      <w:r/>
      <w:bookmarkStart w:id="94" w:name="_Toc26451218"/>
      <w:r/>
      <w:bookmarkStart w:id="95" w:name="_Toc206749668"/>
      <w:r/>
      <w:bookmarkEnd w:id="94"/>
      <w:r>
        <w:t xml:space="preserve">Report de la date-limite de réception des offres</w:t>
      </w:r>
      <w:bookmarkEnd w:id="95"/>
      <w:r/>
      <w:r>
        <w:rPr>
          <w:rFonts w:hint="eastAsia"/>
        </w:rPr>
      </w:r>
    </w:p>
    <w:p>
      <w:pPr>
        <w:widowControl w:val="false"/>
        <w:pBdr/>
        <w:spacing/>
        <w:ind/>
        <w:rPr/>
      </w:pPr>
      <w:r>
        <w:t xml:space="preserve">Les opérateurs économiques peuvent demander le report de la date limite de réception des offres indiquée à l’article </w:t>
      </w:r>
      <w:r>
        <w:fldChar w:fldCharType="begin"/>
      </w:r>
      <w:r>
        <w:instrText xml:space="preserve">REF _Ref341079480 \r \h</w:instrText>
      </w:r>
      <w:r>
        <w:fldChar w:fldCharType="separate"/>
      </w:r>
      <w:r>
        <w:t xml:space="preserve">III.2.1</w:t>
      </w:r>
      <w:r>
        <w:fldChar w:fldCharType="end"/>
      </w:r>
      <w:r>
        <w:t xml:space="preserve"> précité.</w:t>
      </w:r>
      <w:r/>
    </w:p>
    <w:p>
      <w:pPr>
        <w:widowControl w:val="false"/>
        <w:pBdr/>
        <w:spacing/>
        <w:ind/>
        <w:rPr/>
      </w:pPr>
      <w:r>
        <w:t xml:space="preserve">Dans ce cadre, la demande doit être motivée et adressée à l’administration selon le moyen de correspondance mentionné à l’article I.5 du présent document.</w:t>
      </w:r>
      <w:r/>
    </w:p>
    <w:p>
      <w:pPr>
        <w:widowControl w:val="false"/>
        <w:pBdr/>
        <w:spacing/>
        <w:ind/>
        <w:rPr/>
      </w:pPr>
      <w:r>
        <w:t xml:space="preserve">La demande de report doit parvenir à l’administration </w:t>
      </w:r>
      <w:r>
        <w:rPr>
          <w:b/>
        </w:rPr>
        <w:t xml:space="preserve">dix (10) jours calendaires</w:t>
      </w:r>
      <w:r>
        <w:t xml:space="preserve"> au plus tard avant la date limite de réception des offres.</w:t>
      </w:r>
      <w:r/>
    </w:p>
    <w:p>
      <w:pPr>
        <w:widowControl w:val="false"/>
        <w:pBdr/>
        <w:spacing/>
        <w:ind/>
        <w:rPr/>
      </w:pPr>
      <w:r>
        <w:t xml:space="preserve">L'administration est libre de donner suite ou non aux demandes qui lui parviennent.</w:t>
      </w:r>
      <w:r/>
    </w:p>
    <w:p>
      <w:pPr>
        <w:widowControl w:val="false"/>
        <w:pBdr/>
        <w:spacing/>
        <w:ind/>
        <w:rPr/>
      </w:pPr>
      <w:r>
        <w:t xml:space="preserve">En outre, le report de la date limite de réception des offres fait l’objet d’un avis rectificatif publié au bulletin officiel des annonces de marchés publics (BOAMP) et au journal officiel de l’Union européenne (JOUE).</w:t>
      </w:r>
      <w:r/>
    </w:p>
    <w:p>
      <w:pPr>
        <w:pStyle w:val="997"/>
        <w:keepNext w:val="false"/>
        <w:widowControl w:val="false"/>
        <w:numPr>
          <w:ilvl w:val="1"/>
          <w:numId w:val="16"/>
        </w:numPr>
        <w:pBdr/>
        <w:shd w:val="clear" w:color="auto" w:fill="d8d8d8"/>
        <w:spacing/>
        <w:ind/>
        <w:rPr/>
      </w:pPr>
      <w:r/>
      <w:bookmarkStart w:id="96" w:name="_Toc26451219"/>
      <w:r/>
      <w:bookmarkStart w:id="97" w:name="_Toc206749669"/>
      <w:r/>
      <w:bookmarkEnd w:id="96"/>
      <w:r>
        <w:t xml:space="preserve">Durée de validité des offres</w:t>
      </w:r>
      <w:bookmarkEnd w:id="97"/>
      <w:r/>
      <w:r/>
    </w:p>
    <w:p>
      <w:pPr>
        <w:pStyle w:val="998"/>
        <w:keepNext w:val="false"/>
        <w:widowControl w:val="false"/>
        <w:numPr>
          <w:ilvl w:val="2"/>
          <w:numId w:val="16"/>
        </w:numPr>
        <w:pBdr/>
        <w:spacing/>
        <w:ind/>
        <w:rPr>
          <w:rFonts w:hint="eastAsia"/>
        </w:rPr>
      </w:pPr>
      <w:r/>
      <w:bookmarkStart w:id="98" w:name="_Toc26451220"/>
      <w:r/>
      <w:bookmarkStart w:id="99" w:name="_Toc206749670"/>
      <w:r/>
      <w:bookmarkEnd w:id="98"/>
      <w:r>
        <w:t xml:space="preserve">Durée minimale applicable à la présente consultation</w:t>
      </w:r>
      <w:bookmarkEnd w:id="99"/>
      <w:r/>
      <w:r>
        <w:rPr>
          <w:rFonts w:hint="eastAsia"/>
        </w:rPr>
      </w:r>
    </w:p>
    <w:p>
      <w:pPr>
        <w:widowControl w:val="false"/>
        <w:pBdr/>
        <w:spacing/>
        <w:ind/>
        <w:rPr/>
      </w:pPr>
      <w:r>
        <w:t xml:space="preserve">Les offres sont valables </w:t>
      </w:r>
      <w:r>
        <w:rPr>
          <w:b/>
        </w:rPr>
        <w:t xml:space="preserve">douze (12) mois</w:t>
      </w:r>
      <w:r>
        <w:t xml:space="preserve"> à compter de la date limite de leur réception.</w:t>
      </w:r>
      <w:r/>
    </w:p>
    <w:p>
      <w:pPr>
        <w:pStyle w:val="998"/>
        <w:keepNext w:val="false"/>
        <w:widowControl w:val="false"/>
        <w:numPr>
          <w:ilvl w:val="2"/>
          <w:numId w:val="16"/>
        </w:numPr>
        <w:pBdr/>
        <w:spacing/>
        <w:ind/>
        <w:rPr>
          <w:rFonts w:hint="eastAsia"/>
        </w:rPr>
      </w:pPr>
      <w:r/>
      <w:bookmarkStart w:id="100" w:name="_Toc26451221"/>
      <w:r/>
      <w:bookmarkStart w:id="101" w:name="_Toc206749671"/>
      <w:r/>
      <w:bookmarkEnd w:id="100"/>
      <w:r>
        <w:t xml:space="preserve">Prorogation de la date limite de validité des offres</w:t>
      </w:r>
      <w:bookmarkEnd w:id="101"/>
      <w:r/>
      <w:r>
        <w:rPr>
          <w:rFonts w:hint="eastAsia"/>
        </w:rPr>
      </w:r>
    </w:p>
    <w:p>
      <w:pPr>
        <w:widowControl w:val="false"/>
        <w:pBdr/>
        <w:spacing/>
        <w:ind/>
        <w:rPr/>
      </w:pPr>
      <w:r>
        <w:t xml:space="preserve">La date limite de validité des offres peut être prorogée à la demande de l’administration, à condition que l’ensemble des candidats admis à présenter une offre donnent leur accord.</w:t>
      </w:r>
      <w:r/>
    </w:p>
    <w:p>
      <w:pPr>
        <w:pBdr/>
        <w:spacing w:after="0" w:before="0"/>
        <w:ind/>
        <w:jc w:val="left"/>
        <w:rPr/>
      </w:pPr>
      <w:r>
        <w:br w:type="page" w:clear="all"/>
      </w:r>
      <w:r/>
    </w:p>
    <w:p>
      <w:pPr>
        <w:pStyle w:val="996"/>
        <w:keepNext w:val="false"/>
        <w:keepLines w:val="false"/>
        <w:widowControl w:val="false"/>
        <w:numPr>
          <w:ilvl w:val="0"/>
          <w:numId w:val="16"/>
        </w:numPr>
        <w:pBdr/>
        <w:spacing/>
        <w:ind w:hanging="710"/>
        <w:rPr/>
      </w:pPr>
      <w:r/>
      <w:bookmarkStart w:id="102" w:name="_Ref328991768"/>
      <w:r/>
      <w:bookmarkStart w:id="103" w:name="_Toc26451222"/>
      <w:r/>
      <w:bookmarkStart w:id="104" w:name="_Toc206749672"/>
      <w:r/>
      <w:bookmarkEnd w:id="102"/>
      <w:r/>
      <w:bookmarkEnd w:id="103"/>
      <w:r>
        <w:rPr>
          <w:caps w:val="0"/>
        </w:rPr>
        <w:t xml:space="preserve">CONTENU DU PLI DU CANDIDAT</w:t>
      </w:r>
      <w:bookmarkEnd w:id="104"/>
      <w:r/>
      <w:r/>
    </w:p>
    <w:p>
      <w:pPr>
        <w:pStyle w:val="997"/>
        <w:keepNext w:val="false"/>
        <w:widowControl w:val="false"/>
        <w:numPr>
          <w:ilvl w:val="1"/>
          <w:numId w:val="16"/>
        </w:numPr>
        <w:pBdr/>
        <w:shd w:val="clear" w:color="auto" w:fill="d8d8d8"/>
        <w:spacing/>
        <w:ind/>
        <w:rPr/>
      </w:pPr>
      <w:r/>
      <w:bookmarkStart w:id="105" w:name="_Ref341080073"/>
      <w:r/>
      <w:bookmarkStart w:id="106" w:name="_Toc448937587"/>
      <w:r/>
      <w:bookmarkStart w:id="107" w:name="_Toc26451223"/>
      <w:r/>
      <w:bookmarkStart w:id="108" w:name="_Toc206749673"/>
      <w:r/>
      <w:bookmarkEnd w:id="105"/>
      <w:r/>
      <w:bookmarkEnd w:id="106"/>
      <w:r/>
      <w:bookmarkEnd w:id="107"/>
      <w:r>
        <w:t xml:space="preserve">Eléments de candidature</w:t>
      </w:r>
      <w:bookmarkEnd w:id="108"/>
      <w:r/>
      <w:r/>
    </w:p>
    <w:p>
      <w:pPr>
        <w:pStyle w:val="998"/>
        <w:keepNext w:val="false"/>
        <w:widowControl w:val="false"/>
        <w:numPr>
          <w:ilvl w:val="2"/>
          <w:numId w:val="16"/>
        </w:numPr>
        <w:pBdr/>
        <w:spacing/>
        <w:ind/>
        <w:rPr>
          <w:rFonts w:hint="eastAsia"/>
        </w:rPr>
      </w:pPr>
      <w:r/>
      <w:bookmarkStart w:id="109" w:name="_Toc26451224"/>
      <w:r/>
      <w:bookmarkStart w:id="110" w:name="_Toc206749674"/>
      <w:r/>
      <w:bookmarkEnd w:id="109"/>
      <w:r>
        <w:t xml:space="preserve">Modalités de communication et contenu des éléments de candidature</w:t>
      </w:r>
      <w:bookmarkEnd w:id="110"/>
      <w:r/>
      <w:r>
        <w:rPr>
          <w:rFonts w:hint="eastAsia"/>
        </w:rPr>
      </w:r>
    </w:p>
    <w:p>
      <w:pPr>
        <w:widowControl w:val="false"/>
        <w:pBdr>
          <w:top w:val="single" w:color="00000a" w:sz="4" w:space="1"/>
          <w:left w:val="single" w:color="00000a" w:sz="4" w:space="4"/>
          <w:bottom w:val="single" w:color="00000a" w:sz="4" w:space="1"/>
          <w:right w:val="single" w:color="00000a" w:sz="4" w:space="4"/>
        </w:pBdr>
        <w:spacing/>
        <w:ind/>
        <w:rPr>
          <w:i/>
          <w:color w:val="7030a0"/>
          <w:sz w:val="20"/>
          <w:szCs w:val="20"/>
        </w:rPr>
      </w:pPr>
      <w:r>
        <w:t xml:space="preserve">Pour justifier de sa qualité pour recevoir des commandes de l'Etat et de ses capacités au regard de l'objet de l’accord-cadre, le candidat utilise le(s) support(s) de son choix. Il doit </w:t>
      </w:r>
      <w:r>
        <w:rPr>
          <w:b/>
          <w:smallCaps/>
        </w:rPr>
        <w:t xml:space="preserve">impérativement </w:t>
      </w:r>
      <w:r>
        <w:t xml:space="preserve">présenter sa candidature selon l’une des modalités qui suit.</w:t>
      </w:r>
      <w:r>
        <w:rPr>
          <w:i/>
          <w:color w:val="7030a0"/>
          <w:sz w:val="20"/>
          <w:szCs w:val="20"/>
        </w:rPr>
      </w:r>
    </w:p>
    <w:p>
      <w:pPr>
        <w:pStyle w:val="999"/>
        <w:keepNext w:val="false"/>
        <w:widowControl w:val="false"/>
        <w:numPr>
          <w:ilvl w:val="3"/>
          <w:numId w:val="16"/>
        </w:numPr>
        <w:pBdr/>
        <w:spacing/>
        <w:ind/>
        <w:rPr/>
      </w:pPr>
      <w:r>
        <w:t xml:space="preserve">1</w:t>
      </w:r>
      <w:r>
        <w:rPr>
          <w:vertAlign w:val="superscript"/>
        </w:rPr>
        <w:t xml:space="preserve">ère</w:t>
      </w:r>
      <w:r>
        <w:t xml:space="preserve"> modalité : le soumissionnaire transmet l’ensemble des documents visés ci-après</w:t>
      </w:r>
      <w:r/>
    </w:p>
    <w:p>
      <w:pPr>
        <w:widowControl w:val="false"/>
        <w:pBdr/>
        <w:spacing w:line="20" w:lineRule="atLeast"/>
        <w:ind/>
        <w:rPr/>
      </w:pPr>
      <w:r>
        <w:t xml:space="preserve">Le candidat transmet les documents ci-dessous :</w:t>
      </w:r>
      <w:r/>
    </w:p>
    <w:p>
      <w:pPr>
        <w:pStyle w:val="1085"/>
        <w:widowControl w:val="false"/>
        <w:numPr>
          <w:ilvl w:val="0"/>
          <w:numId w:val="15"/>
        </w:numPr>
        <w:pBdr/>
        <w:spacing/>
        <w:ind/>
        <w:rPr/>
      </w:pPr>
      <w:r>
        <w:t xml:space="preserve">la</w:t>
      </w:r>
      <w:r>
        <w:t xml:space="preserve"> lettre de candidature (formulaire DC1) complétée comportant la déclaration sur l'honneur prévue à l'article R. 2143-3 du code de la commande publique ;</w:t>
      </w:r>
      <w:r/>
    </w:p>
    <w:p>
      <w:pPr>
        <w:pStyle w:val="992"/>
        <w:widowControl w:val="false"/>
        <w:numPr>
          <w:ilvl w:val="0"/>
          <w:numId w:val="14"/>
        </w:numPr>
        <w:pBdr/>
        <w:spacing w:after="0" w:before="0"/>
        <w:ind/>
        <w:jc w:val="both"/>
        <w:rPr>
          <w:bCs/>
        </w:rPr>
      </w:pPr>
      <w:r>
        <w:t xml:space="preserve">la</w:t>
      </w:r>
      <w:r>
        <w:t xml:space="preserve"> déclaration du candidat (formulaire DC2)</w:t>
      </w:r>
      <w:r>
        <w:rPr>
          <w:bCs/>
        </w:rPr>
        <w:t xml:space="preserve"> comportant les renseignements et documents suivants aux fins de vérification de l'aptitude à exercer l'activité professionnelle, de la capacité économique et financière et des capacités techniques et professionnelles du soumissionnaire :</w:t>
      </w:r>
      <w:r>
        <w:rPr>
          <w:bCs/>
        </w:rPr>
      </w:r>
    </w:p>
    <w:p>
      <w:pPr>
        <w:pStyle w:val="992"/>
        <w:widowControl w:val="false"/>
        <w:numPr>
          <w:ilvl w:val="0"/>
          <w:numId w:val="13"/>
        </w:numPr>
        <w:pBdr/>
        <w:spacing w:after="0" w:before="0"/>
        <w:ind/>
        <w:jc w:val="both"/>
        <w:rPr>
          <w:bCs/>
        </w:rPr>
      </w:pPr>
      <w:r>
        <w:rPr>
          <w:bCs/>
        </w:rPr>
        <w:t xml:space="preserve">déclaration</w:t>
      </w:r>
      <w:r>
        <w:rPr>
          <w:bCs/>
        </w:rPr>
        <w:t xml:space="preserve"> concernant le chiffre d'affaires global du</w:t>
      </w:r>
      <w:r>
        <w:rPr>
          <w:bCs/>
        </w:rPr>
        <w:t xml:space="preserve"> soumissionnaire portant sur les trois (3) derniers exercices disponibles en fonction de la date de création de l'entreprise ou du début d'activité de l'opérateur économique, dans la mesure où les informations sur ces chiffres d'affaires sont disponibles. </w:t>
      </w:r>
      <w:r>
        <w:t xml:space="preserve">Le chiffre d’affaires concernant les services objet de l’accord-cadre</w:t>
      </w:r>
      <w:r>
        <w:rPr>
          <w:bCs/>
        </w:rPr>
        <w:t xml:space="preserve"> est précisé ;</w:t>
      </w:r>
      <w:r>
        <w:rPr>
          <w:bCs/>
        </w:rPr>
      </w:r>
    </w:p>
    <w:p>
      <w:pPr>
        <w:pStyle w:val="992"/>
        <w:widowControl w:val="false"/>
        <w:numPr>
          <w:ilvl w:val="0"/>
          <w:numId w:val="13"/>
        </w:numPr>
        <w:pBdr/>
        <w:spacing w:after="0" w:before="0"/>
        <w:ind/>
        <w:jc w:val="both"/>
        <w:rPr>
          <w:bCs/>
        </w:rPr>
      </w:pPr>
      <w:r>
        <w:rPr>
          <w:bCs/>
        </w:rPr>
        <w:t xml:space="preserve">la</w:t>
      </w:r>
      <w:r>
        <w:rPr>
          <w:bCs/>
        </w:rPr>
        <w:t xml:space="preserve"> liste des principales prestations de services effectuées au cours des trois (3) dernières années, indiquant le montant, la date et le destinataire public ou privé. </w:t>
      </w:r>
      <w:r>
        <w:t xml:space="preserve">Les prestations de services sont prouvées par des attestations du destinataire ou, à défaut, par une déclaration de l'opérateur économique</w:t>
      </w:r>
      <w:r>
        <w:rPr>
          <w:bCs/>
        </w:rPr>
        <w:t xml:space="preserve"> ;</w:t>
      </w:r>
      <w:r>
        <w:rPr>
          <w:bCs/>
        </w:rPr>
      </w:r>
    </w:p>
    <w:p>
      <w:pPr>
        <w:pStyle w:val="992"/>
        <w:widowControl w:val="false"/>
        <w:numPr>
          <w:ilvl w:val="0"/>
          <w:numId w:val="13"/>
        </w:numPr>
        <w:pBdr/>
        <w:spacing w:after="0" w:before="0"/>
        <w:ind/>
        <w:jc w:val="both"/>
        <w:rPr>
          <w:b/>
          <w:bCs/>
        </w:rPr>
      </w:pPr>
      <w:r>
        <w:rPr>
          <w:bCs/>
        </w:rPr>
        <w:t xml:space="preserve">une</w:t>
      </w:r>
      <w:r>
        <w:rPr>
          <w:bCs/>
        </w:rPr>
        <w:t xml:space="preserve"> déclaration indiquant les effectifs moyens annuels du soumissionnaire </w:t>
      </w:r>
      <w:r>
        <w:t xml:space="preserve">et l’importance du personnel d’encadrement pour chacune des trois (3) dernières années </w:t>
      </w:r>
      <w:r>
        <w:rPr>
          <w:bCs/>
        </w:rPr>
        <w:t xml:space="preserve">;</w:t>
      </w:r>
      <w:r>
        <w:rPr>
          <w:b/>
          <w:bCs/>
        </w:rPr>
      </w:r>
    </w:p>
    <w:p>
      <w:pPr>
        <w:pStyle w:val="1085"/>
        <w:widowControl w:val="false"/>
        <w:numPr>
          <w:ilvl w:val="0"/>
          <w:numId w:val="15"/>
        </w:numPr>
        <w:pBdr/>
        <w:spacing/>
        <w:ind/>
        <w:rPr/>
      </w:pPr>
      <w:r>
        <w:t xml:space="preserve">le</w:t>
      </w:r>
      <w:r>
        <w:t xml:space="preserve"> cas échéant, les pouvoirs de la personne signataire de l’offre si elle n’est pas un représentant légal de l’entité candidate.</w:t>
      </w:r>
      <w:r/>
    </w:p>
    <w:p>
      <w:pPr>
        <w:pStyle w:val="1085"/>
        <w:widowControl w:val="false"/>
        <w:pBdr/>
        <w:spacing w:before="120" w:line="20" w:lineRule="atLeast"/>
        <w:ind w:left="360"/>
        <w:rPr>
          <w:rFonts w:cs="Arial"/>
        </w:rPr>
      </w:pPr>
      <w:r>
        <w:rPr>
          <w:rFonts w:cs="Arial"/>
        </w:rPr>
        <w:t xml:space="preserve">En outre, l’administration tient à exprimer sa préférence pour qu’en cas de groupement, </w:t>
      </w:r>
      <w:r>
        <w:rPr>
          <w:rFonts w:cs="Arial"/>
          <w:lang w:eastAsia="en-US"/>
        </w:rPr>
        <w:t xml:space="preserve">quelle que soit sa forme, le mandataire prod</w:t>
      </w:r>
      <w:r>
        <w:rPr>
          <w:rFonts w:cs="Arial"/>
          <w:lang w:eastAsia="en-US"/>
        </w:rPr>
        <w:t xml:space="preserve">uise un document d’habilitation, dans lequel figure explicitement le nom et les références de publication de la consultation, signé par chacun des membres du groupement, justifiant de la capacité du mandataire à intervenir en leur nom et pour leur compte, </w:t>
      </w:r>
      <w:bookmarkStart w:id="111" w:name="_Ref341079581"/>
      <w:r/>
      <w:bookmarkEnd w:id="111"/>
      <w:r>
        <w:rPr>
          <w:rFonts w:cs="Arial"/>
        </w:rPr>
        <w:t xml:space="preserve">dès le stade de la remise des éléments de candidature.</w:t>
      </w:r>
      <w:r>
        <w:rPr>
          <w:rFonts w:cs="Arial"/>
        </w:rPr>
      </w:r>
    </w:p>
    <w:p>
      <w:pPr>
        <w:widowControl w:val="false"/>
        <w:pBdr/>
        <w:spacing/>
        <w:ind/>
        <w:rPr/>
      </w:pPr>
      <w:r>
        <w:t xml:space="preserve">Aucun niveau spécifique minimal n’est exigé au titre de la capacité économique, technique et financière</w:t>
      </w:r>
      <w:r/>
    </w:p>
    <w:tbl>
      <w:tblPr>
        <w:tblW w:w="5000" w:type="pct"/>
        <w:jc w:val="center"/>
        <w:tblBorders/>
        <w:tblLayout w:type="fixed"/>
        <w:tblLook w:val="04A0" w:firstRow="1" w:lastRow="0" w:firstColumn="1" w:lastColumn="0" w:noHBand="0" w:noVBand="1"/>
      </w:tblPr>
      <w:tblGrid>
        <w:gridCol w:w="9628"/>
      </w:tblGrid>
      <w:tr>
        <w:trPr>
          <w:jc w:val="center"/>
        </w:trPr>
        <w:tc>
          <w:tcPr>
            <w:shd w:val="clear" w:color="auto" w:fill="d9d9d9"/>
            <w:tcBorders>
              <w:top w:val="single" w:color="00000a" w:sz="4" w:space="0"/>
              <w:left w:val="single" w:color="00000a" w:sz="4" w:space="0"/>
              <w:bottom w:val="single" w:color="00000a" w:sz="4" w:space="0"/>
              <w:right w:val="single" w:color="00000a" w:sz="4" w:space="0"/>
            </w:tcBorders>
            <w:tcW w:w="9638" w:type="dxa"/>
            <w:vAlign w:val="center"/>
            <w:textDirection w:val="lrTb"/>
            <w:noWrap w:val="false"/>
          </w:tcPr>
          <w:p>
            <w:pPr>
              <w:widowControl w:val="false"/>
              <w:pBdr/>
              <w:spacing/>
              <w:ind/>
              <w:rPr>
                <w:b/>
              </w:rPr>
            </w:pPr>
            <w:r>
              <w:rPr>
                <w:b/>
              </w:rPr>
              <w:t xml:space="preserve">Conformément à l’article 2</w:t>
            </w:r>
            <w:r>
              <w:rPr>
                <w:rStyle w:val="951"/>
              </w:rPr>
              <w:t xml:space="preserve"> de l’arrêté du 22 mars 2019 fixant la liste des renseignements et des documents pouvant être demandés aux candidats aux marchés publics</w:t>
            </w:r>
            <w:r>
              <w:rPr>
                <w:b/>
              </w:rPr>
              <w:t xml:space="preserve">, le candidat qui n’est pas en mesure de fournir les éléments demandés ci-dessus, notamment en raison de sa date récente de création, peut prouver sa capacité économique et financière par tout autre moyen considéré comme approprié par l’administration.</w:t>
            </w:r>
            <w:r>
              <w:rPr>
                <w:b/>
              </w:rPr>
            </w:r>
          </w:p>
        </w:tc>
      </w:tr>
    </w:tbl>
    <w:p>
      <w:pPr>
        <w:widowControl w:val="false"/>
        <w:pBdr/>
        <w:spacing w:after="0" w:before="0"/>
        <w:ind/>
        <w:jc w:val="left"/>
        <w:rPr>
          <w:b/>
          <w:smallCaps/>
        </w:rPr>
      </w:pPr>
      <w:r>
        <w:rPr>
          <w:b/>
          <w:smallCaps/>
        </w:rPr>
      </w:r>
      <w:r>
        <w:rPr>
          <w:b/>
          <w:smallCaps/>
        </w:rPr>
      </w:r>
    </w:p>
    <w:p>
      <w:pPr>
        <w:widowControl w:val="false"/>
        <w:pBdr/>
        <w:spacing w:after="0" w:before="0"/>
        <w:ind/>
        <w:jc w:val="left"/>
        <w:rPr>
          <w:b/>
          <w:smallCaps/>
        </w:rPr>
      </w:pPr>
      <w:r>
        <w:rPr>
          <w:b/>
          <w:smallCaps/>
        </w:rPr>
      </w:r>
      <w:r>
        <w:rPr>
          <w:b/>
          <w:smallCaps/>
        </w:rPr>
      </w:r>
    </w:p>
    <w:p>
      <w:pPr>
        <w:pStyle w:val="999"/>
        <w:keepNext w:val="false"/>
        <w:widowControl w:val="false"/>
        <w:numPr>
          <w:ilvl w:val="3"/>
          <w:numId w:val="16"/>
        </w:numPr>
        <w:pBdr/>
        <w:spacing/>
        <w:ind/>
        <w:rPr/>
      </w:pPr>
      <w:r>
        <w:t xml:space="preserve">2</w:t>
      </w:r>
      <w:r>
        <w:rPr>
          <w:vertAlign w:val="superscript"/>
        </w:rPr>
        <w:t xml:space="preserve">ème</w:t>
      </w:r>
      <w:r>
        <w:t xml:space="preserve"> modalité : le soumissionnaire présente sa candidature sous la forme d'un document unique de marché européen (DUME)</w:t>
      </w:r>
      <w:r/>
    </w:p>
    <w:p>
      <w:pPr>
        <w:widowControl w:val="false"/>
        <w:pBdr/>
        <w:spacing/>
        <w:ind/>
        <w:rPr/>
      </w:pPr>
      <w:r>
        <w:rPr>
          <w:bCs/>
        </w:rPr>
        <w:t xml:space="preserve">En application de l’article R. 2143-4 du code de la commande publique</w:t>
      </w:r>
      <w:r>
        <w:t xml:space="preserve">, le candidat peut présenter sa candidature sous la forme d’un document unique de marché européen (ci-après DUME).</w:t>
      </w:r>
      <w:r/>
    </w:p>
    <w:p>
      <w:pPr>
        <w:widowControl w:val="false"/>
        <w:pBdr/>
        <w:spacing/>
        <w:ind/>
        <w:rPr/>
      </w:pPr>
      <w:r>
        <w:rPr>
          <w:bCs/>
        </w:rPr>
        <w:t xml:space="preserve">Dans ce cas, </w:t>
      </w:r>
      <w:r>
        <w:t xml:space="preserve">le soumissionnaire transmet à l’administration un formulaire établi conformément au modèle fixé en annexe 2 du </w:t>
      </w:r>
      <w:r>
        <w:rPr>
          <w:lang w:eastAsia="en-US"/>
        </w:rPr>
        <w:t xml:space="preserve">règlement d’exécution (UE) 2016/7 de la Commission du </w:t>
      </w:r>
      <w:r>
        <w:rPr>
          <w:lang w:eastAsia="en-US"/>
        </w:rPr>
        <w:br/>
        <w:t xml:space="preserve">5 janvier 2016 établissant le formulaire type pour le document unique de marché européen</w:t>
      </w:r>
      <w:r>
        <w:rPr>
          <w:rStyle w:val="953"/>
          <w:lang w:eastAsia="en-US"/>
        </w:rPr>
        <w:footnoteReference w:id="3"/>
      </w:r>
      <w:r>
        <w:rPr>
          <w:lang w:eastAsia="en-US"/>
        </w:rPr>
        <w:t xml:space="preserve">.</w:t>
      </w:r>
      <w:r/>
    </w:p>
    <w:p>
      <w:pPr>
        <w:widowControl w:val="false"/>
        <w:pBdr/>
        <w:spacing/>
        <w:ind/>
        <w:rPr/>
      </w:pPr>
      <w:r>
        <w:t xml:space="preserve">Le DUME doit être rédigé en français.</w:t>
      </w:r>
      <w:r/>
    </w:p>
    <w:p>
      <w:pPr>
        <w:widowControl w:val="false"/>
        <w:pBdr/>
        <w:spacing w:after="240"/>
        <w:ind/>
        <w:rPr/>
      </w:pPr>
      <w:r>
        <w:t xml:space="preserve">Le candidat peut se limiter à indiquer dans le DUME qu'il dispose de l'aptitude et des capacités requises sans fournir d'informations particulières sur celles-ci.</w:t>
      </w:r>
      <w:r/>
    </w:p>
    <w:p>
      <w:pPr>
        <w:widowControl w:val="false"/>
        <w:pBdr/>
        <w:spacing w:before="240"/>
        <w:ind/>
        <w:rPr/>
      </w:pPr>
      <w:r>
        <w:t xml:space="preserve">Le candidat peut réutiliser un DUME qui a déjà été utilisé dans une procédure antérieure, à condition de confirmer que les informations qui y figurent sont toujours valables.</w:t>
      </w:r>
      <w:r/>
    </w:p>
    <w:p>
      <w:pPr>
        <w:pStyle w:val="998"/>
        <w:keepNext w:val="false"/>
        <w:widowControl w:val="false"/>
        <w:numPr>
          <w:ilvl w:val="2"/>
          <w:numId w:val="16"/>
        </w:numPr>
        <w:pBdr/>
        <w:spacing/>
        <w:ind w:hanging="698" w:left="1418"/>
        <w:rPr>
          <w:rFonts w:hint="eastAsia"/>
        </w:rPr>
      </w:pPr>
      <w:r/>
      <w:bookmarkStart w:id="112" w:name="_Toc24013948"/>
      <w:r/>
      <w:bookmarkStart w:id="113" w:name="_Toc25756837"/>
      <w:r/>
      <w:bookmarkStart w:id="114" w:name="_Toc26451225"/>
      <w:r/>
      <w:bookmarkStart w:id="115" w:name="_Toc206749675"/>
      <w:r/>
      <w:bookmarkEnd w:id="112"/>
      <w:r/>
      <w:bookmarkEnd w:id="113"/>
      <w:r/>
      <w:bookmarkEnd w:id="114"/>
      <w:r>
        <w:t xml:space="preserve">Candidatures groupées</w:t>
      </w:r>
      <w:bookmarkEnd w:id="115"/>
      <w:r/>
      <w:r>
        <w:rPr>
          <w:rFonts w:hint="eastAsia"/>
        </w:rPr>
      </w:r>
    </w:p>
    <w:p>
      <w:pPr>
        <w:pStyle w:val="992"/>
        <w:widowControl w:val="false"/>
        <w:pBdr/>
        <w:spacing/>
        <w:ind/>
        <w:jc w:val="both"/>
        <w:rPr/>
      </w:pPr>
      <w:r>
        <w:t xml:space="preserve">Pour justifier des capacités professionnelles, techniques et financières, le candidat, même s'il s'agit d'un groupement, peut demander que soie</w:t>
      </w:r>
      <w:r>
        <w:t xml:space="preserve">nt également prises en compte les capacités techniques, professionnelles et financières d'un ou de plusieurs autres opérateurs économiques. Dans ce cas, les opérateurs économiques concernés devront produire les mêmes documents que ceux exigés par l’adminis</w:t>
      </w:r>
      <w:r>
        <w:t xml:space="preserve">tration. En outre, le candidat devra fournir la preuve par tout moyen du fait qu'il en dispose pour l'exécution de l’accord-cadre, notamment par la production de l'engagement de ces opérateurs économiques de mettre à sa disposition les moyens nécessaires. </w:t>
      </w:r>
      <w:r/>
    </w:p>
    <w:p>
      <w:pPr>
        <w:pStyle w:val="992"/>
        <w:widowControl w:val="false"/>
        <w:pBdr/>
        <w:spacing/>
        <w:ind/>
        <w:jc w:val="both"/>
        <w:rPr/>
      </w:pPr>
      <w:r>
        <w:t xml:space="preserve">Le formulaire DC2 et ses pièces jointes visent à regrouper sur un document unique l’ensemble des renseignements exigibles par la personne publique et permettant d’évaluer les capacités professionnelles, techniques et financières des candidats.</w:t>
      </w:r>
      <w:r/>
    </w:p>
    <w:p>
      <w:pPr>
        <w:pStyle w:val="992"/>
        <w:widowControl w:val="false"/>
        <w:pBdr/>
        <w:spacing/>
        <w:ind/>
        <w:jc w:val="both"/>
        <w:rPr/>
      </w:pPr>
      <w:r>
        <w:t xml:space="preserve">La liste récapitulative des pièces jointes figure à la rubrique F du formulaire. Elles doivent toutes être fournies.</w:t>
      </w:r>
      <w:r/>
    </w:p>
    <w:p>
      <w:pPr>
        <w:pStyle w:val="992"/>
        <w:widowControl w:val="false"/>
        <w:pBdr/>
        <w:spacing/>
        <w:ind/>
        <w:jc w:val="both"/>
        <w:rPr/>
      </w:pPr>
      <w:r>
        <w:t xml:space="preserve">Si le candidat a recours à la sous-traitance, il doit également fo</w:t>
      </w:r>
      <w:r>
        <w:t xml:space="preserve">urnir à ce stade les mêmes documents pour un ou ses sous-traitant(s) que pour lui-même afin de justifier de ses capacités professionnelles, financières et techniques (DC2 et justificatifs afférents), ainsi qu’un engagement écrit du ou des sous-traitant(s).</w:t>
      </w:r>
      <w:r/>
    </w:p>
    <w:p>
      <w:pPr>
        <w:pStyle w:val="998"/>
        <w:keepNext w:val="false"/>
        <w:widowControl w:val="false"/>
        <w:numPr>
          <w:ilvl w:val="2"/>
          <w:numId w:val="16"/>
        </w:numPr>
        <w:pBdr/>
        <w:spacing/>
        <w:ind/>
        <w:rPr>
          <w:rFonts w:hint="eastAsia"/>
        </w:rPr>
      </w:pPr>
      <w:r/>
      <w:bookmarkStart w:id="116" w:name="_Toc26451226"/>
      <w:r/>
      <w:bookmarkStart w:id="117" w:name="_Toc448934211"/>
      <w:r/>
      <w:bookmarkStart w:id="118" w:name="_Toc449435118"/>
      <w:r/>
      <w:bookmarkStart w:id="119" w:name="_Toc206749676"/>
      <w:r/>
      <w:bookmarkEnd w:id="116"/>
      <w:r/>
      <w:bookmarkEnd w:id="117"/>
      <w:r/>
      <w:bookmarkEnd w:id="118"/>
      <w:r>
        <w:t xml:space="preserve">Précisions</w:t>
      </w:r>
      <w:bookmarkEnd w:id="119"/>
      <w:r/>
      <w:r>
        <w:rPr>
          <w:rFonts w:hint="eastAsia"/>
        </w:rPr>
      </w:r>
    </w:p>
    <w:p>
      <w:pPr>
        <w:widowControl w:val="false"/>
        <w:pBdr/>
        <w:spacing w:afterAutospacing="1"/>
        <w:ind/>
        <w:rPr/>
      </w:pPr>
      <w:r>
        <w:t xml:space="preserve">En vertu de l’article R. 2143-13 du code de la commande publique, les candidats ne sont pas tenus de fournir les documents justificatifs et moyens de preuve que l'acheteur peut obtenir directement par le biais :</w:t>
      </w:r>
      <w:r/>
    </w:p>
    <w:p>
      <w:pPr>
        <w:widowControl w:val="false"/>
        <w:pBdr/>
        <w:spacing w:afterAutospacing="1"/>
        <w:ind/>
        <w:rPr/>
      </w:pPr>
      <w:r>
        <w:t xml:space="preserve">1° d'un systèm</w:t>
      </w:r>
      <w:r>
        <w:t xml:space="preserve">e électronique de mise à disposition d'informations administré par un organisme officiel à condition que l'accès à celui-ci soit gratuit et, le cas échéant, que figurent dans le dossier de candidature toutes les informations nécessaires à sa consultation ;</w:t>
      </w:r>
      <w:r/>
    </w:p>
    <w:p>
      <w:pPr>
        <w:widowControl w:val="false"/>
        <w:pBdr/>
        <w:spacing w:afterAutospacing="1"/>
        <w:ind/>
        <w:rPr/>
      </w:pPr>
      <w:r>
        <w:t xml:space="preserve">2° d'un espace de stockage numérique, à condition que figurent dans le dossier de candidature toutes les informations nécessaires à sa consultation et que l'accès à ceux-ci soit gratuit.</w:t>
      </w:r>
      <w:r/>
    </w:p>
    <w:p>
      <w:pPr>
        <w:widowControl w:val="false"/>
        <w:pBdr/>
        <w:spacing/>
        <w:ind/>
        <w:rPr>
          <w:sz w:val="24"/>
        </w:rPr>
      </w:pPr>
      <w:r>
        <w:t xml:space="preserve">En outre, conformément à l'article R. 2143-14 du code de la commande publique, les opérateurs économiques ne sont pas tenus de fournir les documents justificatifs et moyens de preuve qu’ils ont déjà transmis à</w:t>
      </w:r>
      <w:r>
        <w:t xml:space="preserve"> l’administration dans le cadre d'une précédente consultation et qui demeurent valables. Il relève de la responsabilité des opérateurs économiques de s’assurer de la validité de ces informations à la date de remise des offres fixée dans le présent document</w:t>
      </w:r>
      <w:r>
        <w:rPr>
          <w:sz w:val="24"/>
        </w:rPr>
        <w:t xml:space="preserve">.</w:t>
      </w:r>
      <w:r>
        <w:rPr>
          <w:sz w:val="24"/>
        </w:rPr>
      </w:r>
    </w:p>
    <w:p>
      <w:pPr>
        <w:widowControl w:val="false"/>
        <w:pBdr/>
        <w:spacing/>
        <w:ind/>
        <w:rPr>
          <w:sz w:val="24"/>
        </w:rPr>
      </w:pPr>
      <w:r>
        <w:rPr>
          <w:sz w:val="24"/>
        </w:rPr>
      </w:r>
      <w:r>
        <w:rPr>
          <w:sz w:val="24"/>
        </w:rPr>
      </w:r>
    </w:p>
    <w:p>
      <w:pPr>
        <w:widowControl w:val="false"/>
        <w:pBdr/>
        <w:spacing/>
        <w:ind/>
        <w:rPr>
          <w:sz w:val="24"/>
        </w:rPr>
      </w:pPr>
      <w:r>
        <w:rPr>
          <w:sz w:val="24"/>
        </w:rPr>
      </w:r>
      <w:r>
        <w:rPr>
          <w:sz w:val="24"/>
        </w:rPr>
      </w:r>
    </w:p>
    <w:p>
      <w:pPr>
        <w:pStyle w:val="997"/>
        <w:keepNext w:val="false"/>
        <w:widowControl w:val="false"/>
        <w:numPr>
          <w:ilvl w:val="1"/>
          <w:numId w:val="16"/>
        </w:numPr>
        <w:pBdr/>
        <w:shd w:val="clear" w:color="auto" w:fill="d8d8d8"/>
        <w:spacing/>
        <w:ind/>
        <w:rPr/>
      </w:pPr>
      <w:r/>
      <w:bookmarkStart w:id="120" w:name="_Toc26451227"/>
      <w:r/>
      <w:bookmarkStart w:id="121" w:name="_Toc206749677"/>
      <w:r/>
      <w:bookmarkEnd w:id="120"/>
      <w:r>
        <w:t xml:space="preserve">Dossier offre</w:t>
      </w:r>
      <w:bookmarkEnd w:id="121"/>
      <w:r/>
      <w:r/>
    </w:p>
    <w:p>
      <w:pPr>
        <w:widowControl w:val="false"/>
        <w:pBdr/>
        <w:spacing/>
        <w:ind/>
        <w:rPr/>
      </w:pPr>
      <w:r>
        <w:t xml:space="preserve">Le dossier offre du candidat comprend au minimum les éléments suivants.</w:t>
      </w:r>
      <w:r/>
    </w:p>
    <w:p>
      <w:pPr>
        <w:pStyle w:val="998"/>
        <w:keepNext w:val="false"/>
        <w:widowControl w:val="false"/>
        <w:numPr>
          <w:ilvl w:val="2"/>
          <w:numId w:val="16"/>
        </w:numPr>
        <w:pBdr/>
        <w:spacing/>
        <w:ind/>
        <w:rPr>
          <w:rFonts w:hint="eastAsia"/>
        </w:rPr>
      </w:pPr>
      <w:r/>
      <w:bookmarkStart w:id="122" w:name="_Toc206749678"/>
      <w:r>
        <w:t xml:space="preserve">L’acte d'engagement établi conformément au modèle joint (AE) :</w:t>
      </w:r>
      <w:bookmarkEnd w:id="122"/>
      <w:r/>
      <w:r>
        <w:rPr>
          <w:rFonts w:hint="eastAsia"/>
        </w:rPr>
      </w:r>
    </w:p>
    <w:p>
      <w:pPr>
        <w:widowControl w:val="false"/>
        <w:pBdr>
          <w:top w:val="single" w:color="00000a" w:sz="4" w:space="4"/>
          <w:left w:val="single" w:color="00000a" w:sz="4" w:space="4"/>
          <w:bottom w:val="single" w:color="00000a" w:sz="4" w:space="4"/>
          <w:right w:val="single" w:color="00000a" w:sz="4" w:space="4"/>
        </w:pBdr>
        <w:shd w:val="clear" w:color="auto" w:fill="d9d9d9"/>
        <w:spacing/>
        <w:ind/>
        <w:rPr/>
      </w:pPr>
      <w:r>
        <w:t xml:space="preserve">Conformément aux indications de la direction des affaires juridiques (DAJ) figurant dans la notice explicative du formulaire ATTRI1</w:t>
      </w:r>
      <w:r>
        <w:rPr>
          <w:rStyle w:val="953"/>
        </w:rPr>
        <w:footnoteReference w:id="4"/>
      </w:r>
      <w:r>
        <w:t xml:space="preserve">, il n’est pas fait obligation aux candidats de fournir l’acte d’engagement lors du dépôt de leur offre, ce document pouvant n’être produit qu’au terme de la procédure afin de formaliser l’accord-cadre conclu. </w:t>
      </w:r>
      <w:r/>
    </w:p>
    <w:p>
      <w:pPr>
        <w:widowControl w:val="false"/>
        <w:pBdr>
          <w:top w:val="single" w:color="00000a" w:sz="4" w:space="4"/>
          <w:left w:val="single" w:color="00000a" w:sz="4" w:space="4"/>
          <w:bottom w:val="single" w:color="00000a" w:sz="4" w:space="4"/>
          <w:right w:val="single" w:color="00000a" w:sz="4" w:space="4"/>
        </w:pBdr>
        <w:shd w:val="clear" w:color="auto" w:fill="d9d9d9"/>
        <w:spacing/>
        <w:ind/>
        <w:rPr>
          <w:b/>
        </w:rPr>
      </w:pPr>
      <w:r>
        <w:rPr>
          <w:b/>
        </w:rPr>
        <w:t xml:space="preserve">Cependant, pour des raisons de bonne administration, l’administration tient à exprimer sa préférence pour que l’acte d’engagement complété, daté et signé électroniquement par le candidat soit remis dès le dépôt de son offre.</w:t>
      </w:r>
      <w:r>
        <w:rPr>
          <w:b/>
        </w:rPr>
      </w:r>
    </w:p>
    <w:p>
      <w:pPr>
        <w:pStyle w:val="998"/>
        <w:keepNext w:val="false"/>
        <w:widowControl w:val="false"/>
        <w:numPr>
          <w:ilvl w:val="2"/>
          <w:numId w:val="16"/>
        </w:numPr>
        <w:pBdr/>
        <w:spacing/>
        <w:ind/>
        <w:rPr>
          <w:rFonts w:hint="eastAsia"/>
        </w:rPr>
      </w:pPr>
      <w:r/>
      <w:bookmarkStart w:id="123" w:name="_Toc206749679"/>
      <w:r>
        <w:t xml:space="preserve">L’annexe financière</w:t>
      </w:r>
      <w:bookmarkEnd w:id="123"/>
      <w:r>
        <w:t xml:space="preserve"> </w:t>
      </w:r>
      <w:bookmarkStart w:id="124" w:name="_Toc485894330"/>
      <w:r/>
      <w:bookmarkEnd w:id="124"/>
      <w:r/>
      <w:r>
        <w:rPr>
          <w:rFonts w:hint="eastAsia"/>
        </w:rPr>
      </w:r>
    </w:p>
    <w:p>
      <w:pPr>
        <w:widowControl w:val="false"/>
        <w:pBdr/>
        <w:spacing/>
        <w:ind/>
        <w:rPr/>
      </w:pPr>
      <w:r>
        <w:rPr>
          <w:b/>
        </w:rPr>
        <w:t xml:space="preserve">L’annexe financière </w:t>
      </w:r>
      <w:r>
        <w:t xml:space="preserve">est l’annexe 1 à l’acte d’engagement. </w:t>
      </w:r>
      <w:r/>
    </w:p>
    <w:p>
      <w:pPr>
        <w:widowControl w:val="false"/>
        <w:pBdr/>
        <w:spacing/>
        <w:ind/>
        <w:rPr/>
      </w:pPr>
      <w:r>
        <w:rPr>
          <w:b/>
        </w:rPr>
        <w:t xml:space="preserve">L’annexe financière à l'acte d'engagement renseignée par le candidat constitue son offre financière.</w:t>
      </w:r>
      <w:r>
        <w:t xml:space="preserve"> </w:t>
      </w:r>
      <w:r/>
    </w:p>
    <w:p>
      <w:pPr>
        <w:widowControl w:val="false"/>
        <w:pBdr/>
        <w:spacing/>
        <w:ind/>
        <w:rPr/>
      </w:pPr>
      <w:r>
        <w:t xml:space="preserve">Le candidat renseigne l‘annexe financière à l’acte d’engagement en suivant strictement les instructions figurant dans les encadrés.</w:t>
      </w:r>
      <w:r/>
    </w:p>
    <w:p>
      <w:pPr>
        <w:widowControl w:val="false"/>
        <w:pBdr/>
        <w:spacing/>
        <w:ind/>
        <w:rPr>
          <w:bCs/>
          <w:color w:val="000000"/>
          <w:u w:val="single"/>
        </w:rPr>
      </w:pPr>
      <w:r>
        <w:rPr>
          <w:bCs/>
          <w:u w:val="single"/>
        </w:rPr>
        <w:t xml:space="preserve">Le candidat veille à tarifer l’intégralité des prestations de l’accord-cadre</w:t>
      </w:r>
      <w:r>
        <w:rPr>
          <w:u w:val="single"/>
        </w:rPr>
        <w:t xml:space="preserve">.</w:t>
      </w:r>
      <w:r>
        <w:t xml:space="preserve"> </w:t>
      </w:r>
      <w:r>
        <w:rPr>
          <w:bCs/>
          <w:color w:val="000000"/>
          <w:u w:val="single"/>
        </w:rPr>
        <w:t xml:space="preserve">Tout ajout ou suppression entraînera l’irrégularité de l’offre.</w:t>
      </w:r>
      <w:r>
        <w:rPr>
          <w:bCs/>
          <w:color w:val="000000"/>
          <w:u w:val="single"/>
        </w:rPr>
      </w:r>
    </w:p>
    <w:p>
      <w:pPr>
        <w:pStyle w:val="998"/>
        <w:keepNext w:val="false"/>
        <w:widowControl w:val="false"/>
        <w:numPr>
          <w:ilvl w:val="2"/>
          <w:numId w:val="16"/>
        </w:numPr>
        <w:pBdr/>
        <w:spacing/>
        <w:ind/>
        <w:rPr>
          <w:rFonts w:hint="eastAsia"/>
        </w:rPr>
      </w:pPr>
      <w:r/>
      <w:bookmarkStart w:id="125" w:name="_Toc206749680"/>
      <w:r>
        <w:t xml:space="preserve">La simulation financière</w:t>
      </w:r>
      <w:bookmarkEnd w:id="125"/>
      <w:r>
        <w:t xml:space="preserve"> </w:t>
      </w:r>
      <w:r>
        <w:rPr>
          <w:rFonts w:hint="eastAsia"/>
        </w:rPr>
      </w:r>
    </w:p>
    <w:p>
      <w:pPr>
        <w:pBdr/>
        <w:spacing/>
        <w:ind/>
        <w:rPr/>
      </w:pPr>
      <w:r>
        <w:rPr>
          <w:b/>
        </w:rPr>
        <w:t xml:space="preserve">La simulation financière</w:t>
      </w:r>
      <w:r>
        <w:t xml:space="preserve"> est l’annexe VII au présent règlement. </w:t>
      </w:r>
      <w:r/>
    </w:p>
    <w:p>
      <w:pPr>
        <w:widowControl w:val="false"/>
        <w:pBdr/>
        <w:spacing/>
        <w:ind/>
        <w:rPr>
          <w:u w:val="single"/>
          <w:lang w:eastAsia="en-US"/>
        </w:rPr>
      </w:pPr>
      <w:r>
        <w:rPr>
          <w:lang w:eastAsia="en-US"/>
        </w:rPr>
        <w:t xml:space="preserve">Afin de permettre à l'administration de procéder à une analyse des offres sur la base de quantités et de situations réalistes,</w:t>
      </w:r>
      <w:r>
        <w:rPr>
          <w:u w:val="single"/>
          <w:lang w:eastAsia="en-US"/>
        </w:rPr>
        <w:t xml:space="preserve"> il est demandé au candidat de compléter la simulation financière jointe en annexe VIII du présent règlement.</w:t>
      </w:r>
      <w:r>
        <w:rPr>
          <w:u w:val="single"/>
          <w:lang w:eastAsia="en-US"/>
        </w:rPr>
      </w:r>
    </w:p>
    <w:p>
      <w:pPr>
        <w:widowControl w:val="false"/>
        <w:pBdr/>
        <w:spacing/>
        <w:ind/>
        <w:rPr>
          <w:lang w:eastAsia="en-US"/>
        </w:rPr>
      </w:pPr>
      <w:r>
        <w:rPr>
          <w:lang w:eastAsia="en-US"/>
        </w:rPr>
        <w:t xml:space="preserve">Cette simulation n’a pas de caractère contractuel. </w:t>
      </w:r>
      <w:r>
        <w:rPr>
          <w:lang w:eastAsia="en-US"/>
        </w:rPr>
      </w:r>
    </w:p>
    <w:p>
      <w:pPr>
        <w:widowControl w:val="false"/>
        <w:pBdr/>
        <w:spacing/>
        <w:ind/>
        <w:rPr>
          <w:lang w:eastAsia="en-US"/>
        </w:rPr>
      </w:pPr>
      <w:r>
        <w:rPr>
          <w:lang w:eastAsia="en-US"/>
        </w:rPr>
        <w:t xml:space="preserve">La simulation financière a été établie sur la base d'éléments prévisionnels connus au jour de la publication de l’accord-cadre.</w:t>
      </w:r>
      <w:r>
        <w:rPr>
          <w:lang w:eastAsia="en-US"/>
        </w:rPr>
      </w:r>
    </w:p>
    <w:p>
      <w:pPr>
        <w:widowControl w:val="false"/>
        <w:pBdr/>
        <w:spacing/>
        <w:ind/>
        <w:rPr>
          <w:lang w:eastAsia="en-US"/>
        </w:rPr>
      </w:pPr>
      <w:r>
        <w:rPr>
          <w:lang w:eastAsia="en-US"/>
        </w:rPr>
        <w:t xml:space="preserve">La simulation financière est renseignée sur l’unique base des prix proposés par le candidat dans l'annexe financière à l’acte d’engagement.</w:t>
      </w:r>
      <w:r>
        <w:rPr>
          <w:lang w:eastAsia="en-US"/>
        </w:rPr>
      </w:r>
    </w:p>
    <w:p>
      <w:pPr>
        <w:pStyle w:val="998"/>
        <w:keepNext w:val="false"/>
        <w:widowControl w:val="false"/>
        <w:numPr>
          <w:ilvl w:val="2"/>
          <w:numId w:val="16"/>
        </w:numPr>
        <w:pBdr/>
        <w:spacing/>
        <w:ind/>
        <w:rPr>
          <w:rFonts w:hint="eastAsia"/>
        </w:rPr>
      </w:pPr>
      <w:r/>
      <w:bookmarkStart w:id="126" w:name="_Toc22745147"/>
      <w:r/>
      <w:bookmarkStart w:id="127" w:name="_Toc206749681"/>
      <w:r>
        <w:t xml:space="preserve">Le cadre de réponse technique</w:t>
      </w:r>
      <w:bookmarkEnd w:id="126"/>
      <w:r>
        <w:t xml:space="preserve"> (annexe VI au présent règlement)</w:t>
      </w:r>
      <w:bookmarkEnd w:id="127"/>
      <w:r/>
      <w:r>
        <w:rPr>
          <w:rFonts w:hint="eastAsia"/>
        </w:rPr>
      </w:r>
    </w:p>
    <w:p>
      <w:pPr>
        <w:pBdr/>
        <w:spacing/>
        <w:ind/>
        <w:rPr/>
      </w:pPr>
      <w:r>
        <w:rPr>
          <w:b/>
        </w:rPr>
        <w:t xml:space="preserve">Le cadre de réponse technique</w:t>
      </w:r>
      <w:r>
        <w:t xml:space="preserve"> </w:t>
      </w:r>
      <w:r>
        <w:t xml:space="preserve">et environnementale </w:t>
      </w:r>
      <w:r>
        <w:t xml:space="preserve">est l’annexe VI au présent règlement. </w:t>
      </w:r>
      <w:r/>
    </w:p>
    <w:p>
      <w:pPr>
        <w:widowControl w:val="false"/>
        <w:pBdr/>
        <w:spacing/>
        <w:ind/>
        <w:rPr/>
      </w:pPr>
      <w:r>
        <w:t xml:space="preserve">Le cadre de réponse technique (offre technique) constitue la réponse du candidat aux besoins et exigences fixés par l’administration dans le CCTP.</w:t>
      </w:r>
      <w:r/>
    </w:p>
    <w:p>
      <w:pPr>
        <w:widowControl w:val="false"/>
        <w:pBdr/>
        <w:spacing/>
        <w:ind/>
        <w:rPr/>
      </w:pPr>
      <w:r>
        <w:t xml:space="preserve">Les éléments de réponse que le candidat aura fournis seront utilisés dans le cadre de la sélection des offres.</w:t>
      </w:r>
      <w:r/>
    </w:p>
    <w:p>
      <w:pPr>
        <w:widowControl w:val="false"/>
        <w:pBdr/>
        <w:spacing/>
        <w:ind/>
        <w:rPr/>
      </w:pPr>
      <w:r>
        <w:t xml:space="preserve">Pour faciliter la comparaison des offres entre elles, </w:t>
      </w:r>
      <w:r>
        <w:rPr>
          <w:u w:val="single"/>
        </w:rPr>
        <w:t xml:space="preserve">il est demandé au candidat de présenter son offre en se conformant strictement au </w:t>
      </w:r>
      <w:r>
        <w:rPr>
          <w:bCs/>
          <w:u w:val="single"/>
        </w:rPr>
        <w:t xml:space="preserve">cadre de réponse technique</w:t>
      </w:r>
      <w:r>
        <w:rPr>
          <w:b/>
          <w:bCs/>
        </w:rPr>
        <w:t xml:space="preserve"> </w:t>
      </w:r>
      <w:r>
        <w:rPr>
          <w:bCs/>
        </w:rPr>
        <w:t xml:space="preserve">qui fait l’objet de l’annexe VI du présent règlement</w:t>
      </w:r>
      <w:r>
        <w:t xml:space="preserve">. </w:t>
      </w:r>
      <w:r/>
    </w:p>
    <w:p>
      <w:pPr>
        <w:widowControl w:val="false"/>
        <w:pBdr/>
        <w:spacing/>
        <w:ind/>
        <w:rPr>
          <w:b/>
        </w:rPr>
      </w:pPr>
      <w:r>
        <w:rPr>
          <w:b/>
        </w:rPr>
        <w:t xml:space="preserve">A l’appui de son offre technique, le candidat doit également remettre : </w:t>
      </w:r>
      <w:r>
        <w:rPr>
          <w:b/>
        </w:rPr>
      </w:r>
    </w:p>
    <w:p>
      <w:pPr>
        <w:pStyle w:val="1074"/>
        <w:widowControl w:val="false"/>
        <w:numPr>
          <w:ilvl w:val="0"/>
          <w:numId w:val="15"/>
        </w:numPr>
        <w:pBdr/>
        <w:spacing/>
        <w:ind/>
        <w:rPr/>
      </w:pPr>
      <w:r>
        <w:t xml:space="preserve">Un exemple contextualisé de plan d’assurance qualité (PAQ) </w:t>
      </w:r>
      <w:r/>
    </w:p>
    <w:p>
      <w:pPr>
        <w:pStyle w:val="1074"/>
        <w:widowControl w:val="false"/>
        <w:numPr>
          <w:ilvl w:val="0"/>
          <w:numId w:val="15"/>
        </w:numPr>
        <w:pBdr/>
        <w:spacing/>
        <w:ind/>
        <w:rPr/>
      </w:pPr>
      <w:r>
        <w:t xml:space="preserve">Un exemple contextualisé de plan d’assurance sécurité (PAS)</w:t>
      </w:r>
      <w:r/>
    </w:p>
    <w:p>
      <w:pPr>
        <w:pStyle w:val="1074"/>
        <w:widowControl w:val="false"/>
        <w:numPr>
          <w:ilvl w:val="0"/>
          <w:numId w:val="15"/>
        </w:numPr>
        <w:pBdr/>
        <w:spacing/>
        <w:ind/>
        <w:rPr/>
      </w:pPr>
      <w:r>
        <w:t xml:space="preserve">Une fiche profil pour chaque intervenant (formation et compétences) </w:t>
      </w:r>
      <w:r/>
    </w:p>
    <w:p>
      <w:pPr>
        <w:pStyle w:val="998"/>
        <w:keepNext w:val="false"/>
        <w:widowControl w:val="false"/>
        <w:numPr>
          <w:ilvl w:val="2"/>
          <w:numId w:val="16"/>
        </w:numPr>
        <w:pBdr/>
        <w:spacing/>
        <w:ind/>
        <w:rPr>
          <w:rFonts w:hint="eastAsia"/>
        </w:rPr>
      </w:pPr>
      <w:r/>
      <w:bookmarkStart w:id="128" w:name="_Toc206749682"/>
      <w:r>
        <w:t xml:space="preserve">Le cadre de réponse environnementale (annexe VI au présent règlement)</w:t>
      </w:r>
      <w:bookmarkEnd w:id="128"/>
      <w:r/>
      <w:r>
        <w:rPr>
          <w:rFonts w:hint="eastAsia"/>
        </w:rPr>
      </w:r>
    </w:p>
    <w:p>
      <w:pPr>
        <w:pBdr/>
        <w:spacing/>
        <w:ind/>
        <w:rPr/>
      </w:pPr>
      <w:r>
        <w:rPr>
          <w:b/>
        </w:rPr>
        <w:t xml:space="preserve">Le cadre de réponse environnementale est intégré au cadre de réponse technique</w:t>
      </w:r>
      <w:r>
        <w:t xml:space="preserve"> à l’annexe VI au présent règlement. </w:t>
      </w:r>
      <w:r/>
    </w:p>
    <w:p>
      <w:pPr>
        <w:widowControl w:val="false"/>
        <w:pBdr/>
        <w:spacing/>
        <w:ind/>
        <w:rPr/>
      </w:pPr>
      <w:r>
        <w:t xml:space="preserve">Le cadre de réponse environnementale constitue la réponse du candidat aux besoins et exigences fixés par l’administration dans le CCTP sur le volet environnemental.</w:t>
      </w:r>
      <w:r/>
    </w:p>
    <w:p>
      <w:pPr>
        <w:widowControl w:val="false"/>
        <w:pBdr/>
        <w:spacing/>
        <w:ind/>
        <w:rPr/>
      </w:pPr>
      <w:r>
        <w:t xml:space="preserve">Les éléments de réponse que le candidat aura fournis seront utilisés dans le cadre de la sélection des offres.</w:t>
      </w:r>
      <w:r/>
    </w:p>
    <w:p>
      <w:pPr>
        <w:widowControl w:val="false"/>
        <w:pBdr/>
        <w:spacing/>
        <w:ind/>
        <w:rPr/>
      </w:pPr>
      <w:r>
        <w:t xml:space="preserve">Pour faciliter la comparaison des offres entre elles, </w:t>
      </w:r>
      <w:r>
        <w:rPr>
          <w:u w:val="single"/>
        </w:rPr>
        <w:t xml:space="preserve">il est demandé au candidat de présenter son offre en se conformant strictement au </w:t>
      </w:r>
      <w:r>
        <w:rPr>
          <w:bCs/>
          <w:u w:val="single"/>
        </w:rPr>
        <w:t xml:space="preserve">cadre de réponse technique</w:t>
      </w:r>
      <w:r>
        <w:rPr>
          <w:bCs/>
          <w:u w:val="single"/>
        </w:rPr>
        <w:t xml:space="preserve"> et environnementale</w:t>
      </w:r>
      <w:r>
        <w:rPr>
          <w:b/>
          <w:bCs/>
        </w:rPr>
        <w:t xml:space="preserve"> </w:t>
      </w:r>
      <w:r>
        <w:rPr>
          <w:bCs/>
        </w:rPr>
        <w:t xml:space="preserve">qui fait l’objet de l’annexe VI du présent règlement</w:t>
      </w:r>
      <w:r>
        <w:t xml:space="preserve">. </w:t>
      </w:r>
      <w:r/>
    </w:p>
    <w:p>
      <w:pPr>
        <w:pStyle w:val="998"/>
        <w:keepNext w:val="false"/>
        <w:widowControl w:val="false"/>
        <w:numPr>
          <w:ilvl w:val="2"/>
          <w:numId w:val="16"/>
        </w:numPr>
        <w:pBdr/>
        <w:spacing/>
        <w:ind/>
        <w:rPr>
          <w:rFonts w:hint="eastAsia"/>
        </w:rPr>
      </w:pPr>
      <w:r/>
      <w:bookmarkStart w:id="129" w:name="_Toc26451228"/>
      <w:r/>
      <w:bookmarkStart w:id="130" w:name="_Toc413079474"/>
      <w:r/>
      <w:bookmarkStart w:id="131" w:name="_Toc206749683"/>
      <w:r/>
      <w:bookmarkEnd w:id="129"/>
      <w:r/>
      <w:bookmarkEnd w:id="130"/>
      <w:r>
        <w:t xml:space="preserve">La déclaration de sous-traitance concomitante au dépôt de l’offre</w:t>
      </w:r>
      <w:bookmarkEnd w:id="131"/>
      <w:r/>
      <w:r>
        <w:rPr>
          <w:rFonts w:hint="eastAsia"/>
        </w:rPr>
      </w:r>
    </w:p>
    <w:p>
      <w:pPr>
        <w:widowControl w:val="false"/>
        <w:pBdr/>
        <w:spacing/>
        <w:ind/>
        <w:rPr/>
      </w:pPr>
      <w:r>
        <w:t xml:space="preserve">Dans le cas où une demande de sous-traitance intervient au moment du dépôt de l'offre :</w:t>
      </w:r>
      <w:r/>
    </w:p>
    <w:p>
      <w:pPr>
        <w:pStyle w:val="1085"/>
        <w:widowControl w:val="false"/>
        <w:numPr>
          <w:ilvl w:val="0"/>
          <w:numId w:val="5"/>
        </w:numPr>
        <w:pBdr/>
        <w:spacing/>
        <w:ind/>
        <w:rPr>
          <w:lang w:eastAsia="en-US"/>
        </w:rPr>
      </w:pPr>
      <w:r>
        <w:rPr>
          <w:lang w:eastAsia="en-US"/>
        </w:rPr>
        <w:t xml:space="preserve">le</w:t>
      </w:r>
      <w:r>
        <w:rPr>
          <w:lang w:eastAsia="en-US"/>
        </w:rPr>
        <w:t xml:space="preserve"> candidat fournit à l’administration une déclaration</w:t>
      </w:r>
      <w:r>
        <w:rPr>
          <w:vertAlign w:val="superscript"/>
          <w:lang w:eastAsia="en-US"/>
        </w:rPr>
        <w:t xml:space="preserve"> </w:t>
      </w:r>
      <w:r>
        <w:rPr>
          <w:lang w:eastAsia="en-US"/>
        </w:rPr>
        <w:t xml:space="preserve">mentionnant </w:t>
      </w:r>
      <w:r>
        <w:rPr>
          <w:b/>
          <w:lang w:eastAsia="en-US"/>
        </w:rPr>
        <w:t xml:space="preserve">(cette déclaration peut être établie sur le formulaire DC4 constituant l’annexe V au présent RC) </w:t>
      </w:r>
      <w:r>
        <w:rPr>
          <w:lang w:eastAsia="en-US"/>
        </w:rPr>
        <w:t xml:space="preserve">: </w:t>
      </w:r>
      <w:r>
        <w:rPr>
          <w:lang w:eastAsia="en-US"/>
        </w:rPr>
      </w:r>
    </w:p>
    <w:p>
      <w:pPr>
        <w:pStyle w:val="1086"/>
        <w:widowControl w:val="false"/>
        <w:numPr>
          <w:ilvl w:val="0"/>
          <w:numId w:val="6"/>
        </w:numPr>
        <w:pBdr/>
        <w:spacing/>
        <w:ind w:hanging="425" w:left="1276"/>
        <w:rPr/>
      </w:pPr>
      <w:r>
        <w:t xml:space="preserve">la</w:t>
      </w:r>
      <w:r>
        <w:t xml:space="preserve"> désignation précise des prestations sous-traitées ; </w:t>
      </w:r>
      <w:r/>
    </w:p>
    <w:p>
      <w:pPr>
        <w:pStyle w:val="1086"/>
        <w:widowControl w:val="false"/>
        <w:numPr>
          <w:ilvl w:val="0"/>
          <w:numId w:val="6"/>
        </w:numPr>
        <w:pBdr/>
        <w:spacing/>
        <w:ind w:hanging="425" w:left="1276"/>
        <w:rPr/>
      </w:pPr>
      <w:r>
        <w:t xml:space="preserve">le</w:t>
      </w:r>
      <w:r>
        <w:t xml:space="preserve"> nom, la raison ou la dénomination sociale et l'adresse du sous-traitant proposé ; </w:t>
      </w:r>
      <w:r/>
    </w:p>
    <w:p>
      <w:pPr>
        <w:pStyle w:val="1086"/>
        <w:widowControl w:val="false"/>
        <w:numPr>
          <w:ilvl w:val="0"/>
          <w:numId w:val="6"/>
        </w:numPr>
        <w:pBdr/>
        <w:spacing/>
        <w:ind w:hanging="425" w:left="1276"/>
        <w:rPr/>
      </w:pPr>
      <w:r>
        <w:t xml:space="preserve">le</w:t>
      </w:r>
      <w:r>
        <w:t xml:space="preserve"> montant maximum des sommes à verser par paiement direct au sous-traitant ; </w:t>
      </w:r>
      <w:r/>
    </w:p>
    <w:p>
      <w:pPr>
        <w:pStyle w:val="1086"/>
        <w:widowControl w:val="false"/>
        <w:numPr>
          <w:ilvl w:val="0"/>
          <w:numId w:val="6"/>
        </w:numPr>
        <w:pBdr/>
        <w:spacing/>
        <w:ind w:hanging="425" w:left="1276"/>
        <w:rPr/>
      </w:pPr>
      <w:r>
        <w:t xml:space="preserve">les</w:t>
      </w:r>
      <w:r>
        <w:t xml:space="preserve"> conditions de paiement prévues par le projet de contrat de sous-traitance et, le cas échéant, les modalités de variation des prix ; </w:t>
      </w:r>
      <w:r/>
    </w:p>
    <w:p>
      <w:pPr>
        <w:pStyle w:val="1086"/>
        <w:widowControl w:val="false"/>
        <w:numPr>
          <w:ilvl w:val="0"/>
          <w:numId w:val="6"/>
        </w:numPr>
        <w:pBdr/>
        <w:spacing/>
        <w:ind w:hanging="425" w:left="1276"/>
        <w:rPr/>
      </w:pPr>
      <w:r>
        <w:t xml:space="preserve">les</w:t>
      </w:r>
      <w:r>
        <w:t xml:space="preserve"> capacités professionnelles et financières du sous-traitant. </w:t>
      </w:r>
      <w:r/>
    </w:p>
    <w:p>
      <w:pPr>
        <w:pStyle w:val="1085"/>
        <w:widowControl w:val="false"/>
        <w:numPr>
          <w:ilvl w:val="0"/>
          <w:numId w:val="5"/>
        </w:numPr>
        <w:pBdr/>
        <w:spacing/>
        <w:ind/>
        <w:rPr>
          <w:lang w:eastAsia="en-US"/>
        </w:rPr>
      </w:pPr>
      <w:r>
        <w:rPr>
          <w:lang w:eastAsia="en-US"/>
        </w:rPr>
        <w:t xml:space="preserve">le</w:t>
      </w:r>
      <w:r>
        <w:rPr>
          <w:lang w:eastAsia="en-US"/>
        </w:rPr>
        <w:t xml:space="preserve"> candidat remet également une déclaration du sous-traitant indiquant qu'il ne tombe pas sous le coup d'une interdiction d'accéder aux marchés publics. </w:t>
      </w:r>
      <w:r>
        <w:rPr>
          <w:lang w:eastAsia="en-US"/>
        </w:rPr>
      </w:r>
    </w:p>
    <w:p>
      <w:pPr>
        <w:widowControl w:val="false"/>
        <w:pBdr/>
        <w:spacing/>
        <w:ind/>
        <w:rPr/>
      </w:pPr>
      <w:r>
        <w:t xml:space="preserve">La notification de l’accord-cadre emporte acceptation du sous-traitant et agrément des conditions de paiement.</w:t>
      </w:r>
      <w:r/>
    </w:p>
    <w:p>
      <w:pPr>
        <w:pStyle w:val="998"/>
        <w:keepNext w:val="false"/>
        <w:widowControl w:val="false"/>
        <w:numPr>
          <w:ilvl w:val="2"/>
          <w:numId w:val="16"/>
        </w:numPr>
        <w:pBdr/>
        <w:spacing/>
        <w:ind/>
        <w:rPr>
          <w:rFonts w:hint="eastAsia"/>
        </w:rPr>
      </w:pPr>
      <w:r/>
      <w:bookmarkStart w:id="132" w:name="_Toc206749684"/>
      <w:r>
        <w:t xml:space="preserve">Autres documents</w:t>
      </w:r>
      <w:bookmarkEnd w:id="132"/>
      <w:r>
        <w:t xml:space="preserve"> </w:t>
      </w:r>
      <w:r>
        <w:rPr>
          <w:rFonts w:hint="eastAsia"/>
        </w:rPr>
      </w:r>
    </w:p>
    <w:p>
      <w:pPr>
        <w:widowControl w:val="false"/>
        <w:pBdr/>
        <w:spacing/>
        <w:ind/>
        <w:rPr/>
      </w:pPr>
      <w:r>
        <w:t xml:space="preserve">Le candidat transmet dans le cadre de son offre les documents suivants complétés : </w:t>
      </w:r>
      <w:r/>
    </w:p>
    <w:p>
      <w:pPr>
        <w:pStyle w:val="1074"/>
        <w:widowControl w:val="false"/>
        <w:numPr>
          <w:ilvl w:val="0"/>
          <w:numId w:val="15"/>
        </w:numPr>
        <w:pBdr/>
        <w:spacing/>
        <w:ind/>
        <w:rPr/>
      </w:pPr>
      <w:r>
        <w:t xml:space="preserve">L’annexe 3 de l’annexe III du CCAP relative à la protection des données personnelles ; </w:t>
      </w:r>
      <w:r/>
    </w:p>
    <w:p>
      <w:pPr>
        <w:pStyle w:val="1074"/>
        <w:widowControl w:val="false"/>
        <w:numPr>
          <w:ilvl w:val="0"/>
          <w:numId w:val="15"/>
        </w:numPr>
        <w:pBdr/>
        <w:spacing/>
        <w:ind/>
        <w:rPr/>
      </w:pPr>
      <w:r>
        <w:t xml:space="preserve">L’annexe 2 à l’acte d’engagement relative aux clauses sociales </w:t>
      </w:r>
      <w:r/>
    </w:p>
    <w:p>
      <w:pPr>
        <w:pBdr/>
        <w:spacing w:after="0" w:before="0"/>
        <w:ind/>
        <w:jc w:val="left"/>
        <w:rPr/>
      </w:pPr>
      <w:r>
        <w:br w:type="page" w:clear="all"/>
      </w:r>
      <w:r/>
    </w:p>
    <w:p>
      <w:pPr>
        <w:pStyle w:val="996"/>
        <w:keepNext w:val="false"/>
        <w:keepLines w:val="false"/>
        <w:widowControl w:val="false"/>
        <w:numPr>
          <w:ilvl w:val="0"/>
          <w:numId w:val="16"/>
        </w:numPr>
        <w:pBdr/>
        <w:spacing/>
        <w:ind w:hanging="710"/>
        <w:rPr/>
      </w:pPr>
      <w:r/>
      <w:bookmarkStart w:id="133" w:name="_Toc26451229"/>
      <w:r/>
      <w:bookmarkStart w:id="134" w:name="_Toc206749685"/>
      <w:r/>
      <w:bookmarkEnd w:id="133"/>
      <w:r>
        <w:rPr>
          <w:caps w:val="0"/>
        </w:rPr>
        <w:t xml:space="preserve">SELECTION DES CANDIDATURES ET DES OFFRES</w:t>
      </w:r>
      <w:bookmarkEnd w:id="134"/>
      <w:r/>
      <w:r/>
    </w:p>
    <w:p>
      <w:pPr>
        <w:pStyle w:val="997"/>
        <w:keepNext w:val="false"/>
        <w:widowControl w:val="false"/>
        <w:numPr>
          <w:ilvl w:val="1"/>
          <w:numId w:val="16"/>
        </w:numPr>
        <w:pBdr/>
        <w:shd w:val="clear" w:color="auto" w:fill="d8d8d8"/>
        <w:spacing/>
        <w:ind/>
        <w:rPr/>
      </w:pPr>
      <w:r/>
      <w:bookmarkStart w:id="135" w:name="_Toc26451230"/>
      <w:r/>
      <w:bookmarkStart w:id="136" w:name="_Toc206749686"/>
      <w:r/>
      <w:bookmarkEnd w:id="135"/>
      <w:r>
        <w:t xml:space="preserve">Examen des candidatures</w:t>
      </w:r>
      <w:bookmarkEnd w:id="136"/>
      <w:r/>
      <w:r/>
    </w:p>
    <w:p>
      <w:pPr>
        <w:widowControl w:val="false"/>
        <w:pBdr/>
        <w:spacing/>
        <w:ind/>
        <w:rPr/>
      </w:pPr>
      <w:r>
        <w:t xml:space="preserve">Conformément aux dispositions de l’article R. 2144-1 du code de la commande publique, l’administration vérifie les informations qui figurent dans le dossier de candidature </w:t>
      </w:r>
      <w:r>
        <w:rPr>
          <w:lang w:eastAsia="en-US"/>
        </w:rPr>
        <w:t xml:space="preserve">tel que défini à l’article </w:t>
      </w:r>
      <w:r>
        <w:fldChar w:fldCharType="begin"/>
      </w:r>
      <w:r>
        <w:instrText xml:space="preserve">REF _Ref341080073 \r \h</w:instrText>
      </w:r>
      <w:r>
        <w:fldChar w:fldCharType="separate"/>
      </w:r>
      <w:r>
        <w:t xml:space="preserve">IV.1</w:t>
      </w:r>
      <w:r>
        <w:fldChar w:fldCharType="end"/>
      </w:r>
      <w:r>
        <w:rPr>
          <w:lang w:eastAsia="en-US"/>
        </w:rPr>
        <w:t xml:space="preserve"> du présent document</w:t>
      </w:r>
      <w:r>
        <w:t xml:space="preserve">, y compris en ce qui concerne les opérateurs économiques sur les capacités desquels le candidat s'appuie.</w:t>
      </w:r>
      <w:r/>
    </w:p>
    <w:p>
      <w:pPr>
        <w:widowControl w:val="false"/>
        <w:pBdr/>
        <w:spacing/>
        <w:ind/>
        <w:rPr>
          <w:rStyle w:val="963"/>
        </w:rPr>
      </w:pPr>
      <w:r>
        <w:t xml:space="preserve">En vertu de l’article R. 2144-3 du code de la commande publique, la vérification de </w:t>
      </w:r>
      <w:r>
        <w:t xml:space="preserve">l'aptitude à exercer l'activité professionnelle, de la capacité économique et financière et des capacités techniques et professionnelles des candidats peut être effectuée à tout moment de la procédure et au plus tard avant l'attribution de l’accord-cadre. </w:t>
      </w:r>
      <w:r>
        <w:rPr>
          <w:rStyle w:val="963"/>
        </w:rPr>
      </w:r>
    </w:p>
    <w:p>
      <w:pPr>
        <w:widowControl w:val="false"/>
        <w:pBdr/>
        <w:spacing/>
        <w:ind/>
        <w:rPr>
          <w:lang w:eastAsia="en-US"/>
        </w:rPr>
      </w:pPr>
      <w:r>
        <w:t xml:space="preserve">Au vu des éléments de candidature transmis par le candidat dans son pli et, le cas échéant, après demande de complément effectuée en application de l’article R. 2144-2 et/ou de l’article R. 2144-6 du code de la commande publique</w:t>
      </w:r>
      <w:r>
        <w:rPr>
          <w:lang w:eastAsia="en-US"/>
        </w:rPr>
        <w:t xml:space="preserve">, l’administration élimine toute candidature qui ne peut être déclarée recevable conformément aux dispositions de l’article R. 2144-7 du code de la commande publique.</w:t>
      </w:r>
      <w:r>
        <w:rPr>
          <w:lang w:eastAsia="en-US"/>
        </w:rPr>
      </w:r>
    </w:p>
    <w:p>
      <w:pPr>
        <w:pStyle w:val="997"/>
        <w:keepNext w:val="false"/>
        <w:widowControl w:val="false"/>
        <w:numPr>
          <w:ilvl w:val="1"/>
          <w:numId w:val="16"/>
        </w:numPr>
        <w:pBdr/>
        <w:shd w:val="clear" w:color="auto" w:fill="d8d8d8"/>
        <w:spacing/>
        <w:ind/>
        <w:rPr/>
      </w:pPr>
      <w:r/>
      <w:bookmarkStart w:id="137" w:name="_Toc26451231"/>
      <w:r/>
      <w:bookmarkStart w:id="138" w:name="_Toc2868874"/>
      <w:r/>
      <w:bookmarkStart w:id="139" w:name="_Toc2869725"/>
      <w:r/>
      <w:bookmarkStart w:id="140" w:name="_Toc2868875"/>
      <w:r/>
      <w:bookmarkStart w:id="141" w:name="_Toc2869726"/>
      <w:r/>
      <w:bookmarkStart w:id="142" w:name="_Toc206749687"/>
      <w:r/>
      <w:bookmarkEnd w:id="137"/>
      <w:r/>
      <w:bookmarkEnd w:id="138"/>
      <w:r/>
      <w:bookmarkEnd w:id="139"/>
      <w:r/>
      <w:bookmarkEnd w:id="140"/>
      <w:r/>
      <w:bookmarkEnd w:id="141"/>
      <w:r>
        <w:t xml:space="preserve">Analyse des offres</w:t>
      </w:r>
      <w:bookmarkEnd w:id="142"/>
      <w:r/>
      <w:r/>
    </w:p>
    <w:p>
      <w:pPr>
        <w:pStyle w:val="998"/>
        <w:keepNext w:val="false"/>
        <w:widowControl w:val="false"/>
        <w:numPr>
          <w:ilvl w:val="2"/>
          <w:numId w:val="16"/>
        </w:numPr>
        <w:pBdr/>
        <w:spacing/>
        <w:ind/>
        <w:rPr>
          <w:rFonts w:hint="eastAsia"/>
        </w:rPr>
      </w:pPr>
      <w:r/>
      <w:bookmarkStart w:id="143" w:name="_Toc26451232"/>
      <w:r/>
      <w:bookmarkStart w:id="144" w:name="_Toc206749688"/>
      <w:r/>
      <w:bookmarkEnd w:id="143"/>
      <w:r>
        <w:t xml:space="preserve">Choix de l’offre économiquement la plus avantageuse</w:t>
      </w:r>
      <w:bookmarkEnd w:id="144"/>
      <w:r/>
      <w:r>
        <w:rPr>
          <w:rFonts w:hint="eastAsia"/>
        </w:rPr>
      </w:r>
    </w:p>
    <w:p>
      <w:pPr>
        <w:pStyle w:val="999"/>
        <w:keepNext w:val="false"/>
        <w:widowControl w:val="false"/>
        <w:numPr>
          <w:ilvl w:val="3"/>
          <w:numId w:val="16"/>
        </w:numPr>
        <w:pBdr/>
        <w:spacing/>
        <w:ind/>
        <w:rPr/>
      </w:pPr>
      <w:r>
        <w:t xml:space="preserve">Critères</w:t>
      </w:r>
      <w:r/>
    </w:p>
    <w:p>
      <w:pPr>
        <w:widowControl w:val="false"/>
        <w:pBdr/>
        <w:spacing/>
        <w:ind/>
        <w:rPr/>
      </w:pPr>
      <w:r>
        <w:t xml:space="preserve">Les critères d’analyse des offres sont les suivants :</w:t>
      </w:r>
      <w:r/>
    </w:p>
    <w:p>
      <w:pPr>
        <w:pStyle w:val="1089"/>
        <w:widowControl w:val="false"/>
        <w:pBdr/>
        <w:spacing/>
        <w:ind/>
        <w:rPr/>
      </w:pPr>
      <w:r/>
      <w:r/>
    </w:p>
    <w:tbl>
      <w:tblPr>
        <w:tblW w:w="6725" w:type="dxa"/>
        <w:jc w:val="center"/>
        <w:tblBorders/>
        <w:tblLayout w:type="fixed"/>
        <w:tblCellMar>
          <w:left w:w="70" w:type="dxa"/>
          <w:right w:w="70" w:type="dxa"/>
        </w:tblCellMar>
        <w:tblLook w:val="0000" w:firstRow="0" w:lastRow="0" w:firstColumn="0" w:lastColumn="0" w:noHBand="0" w:noVBand="0"/>
      </w:tblPr>
      <w:tblGrid>
        <w:gridCol w:w="2152"/>
        <w:gridCol w:w="1462"/>
        <w:gridCol w:w="3111"/>
      </w:tblGrid>
      <w:tr>
        <w:trPr>
          <w:jc w:val="center"/>
        </w:trPr>
        <w:tc>
          <w:tcPr>
            <w:shd w:val="clear" w:color="auto" w:fill="8db3e2"/>
            <w:tcBorders>
              <w:top w:val="single" w:color="00000a" w:sz="4" w:space="0"/>
              <w:left w:val="single" w:color="00000a" w:sz="4" w:space="0"/>
              <w:bottom w:val="single" w:color="00000a" w:sz="4" w:space="0"/>
              <w:right w:val="single" w:color="00000a" w:sz="4" w:space="0"/>
            </w:tcBorders>
            <w:tcW w:w="2152" w:type="dxa"/>
            <w:textDirection w:val="lrTb"/>
            <w:noWrap w:val="false"/>
          </w:tcPr>
          <w:p>
            <w:pPr>
              <w:widowControl w:val="false"/>
              <w:pBdr/>
              <w:spacing w:after="100" w:before="100"/>
              <w:ind/>
              <w:jc w:val="center"/>
              <w:rPr>
                <w:b/>
                <w:color w:val="000000"/>
              </w:rPr>
            </w:pPr>
            <w:r>
              <w:rPr>
                <w:b/>
                <w:color w:val="000000"/>
              </w:rPr>
              <w:t xml:space="preserve">Critères</w:t>
            </w:r>
            <w:r>
              <w:rPr>
                <w:b/>
                <w:color w:val="000000"/>
              </w:rPr>
            </w:r>
          </w:p>
        </w:tc>
        <w:tc>
          <w:tcPr>
            <w:shd w:val="clear" w:color="auto" w:fill="8db3e2"/>
            <w:tcBorders>
              <w:top w:val="single" w:color="00000a" w:sz="4" w:space="0"/>
              <w:left w:val="single" w:color="00000a" w:sz="4" w:space="0"/>
              <w:bottom w:val="single" w:color="00000a" w:sz="4" w:space="0"/>
              <w:right w:val="single" w:color="00000a" w:sz="4" w:space="0"/>
            </w:tcBorders>
            <w:tcW w:w="1462" w:type="dxa"/>
            <w:vAlign w:val="center"/>
            <w:textDirection w:val="lrTb"/>
            <w:noWrap w:val="false"/>
          </w:tcPr>
          <w:p>
            <w:pPr>
              <w:widowControl w:val="false"/>
              <w:pBdr/>
              <w:spacing w:after="100" w:before="100"/>
              <w:ind/>
              <w:jc w:val="center"/>
              <w:rPr>
                <w:b/>
                <w:color w:val="000000"/>
              </w:rPr>
            </w:pPr>
            <w:r>
              <w:rPr>
                <w:b/>
                <w:color w:val="000000"/>
              </w:rPr>
              <w:t xml:space="preserve">Poids (en %)</w:t>
            </w:r>
            <w:r>
              <w:rPr>
                <w:b/>
                <w:color w:val="000000"/>
              </w:rPr>
            </w:r>
          </w:p>
        </w:tc>
        <w:tc>
          <w:tcPr>
            <w:shd w:val="clear" w:color="auto" w:fill="8db3e2"/>
            <w:tcBorders>
              <w:top w:val="single" w:color="00000a" w:sz="4" w:space="0"/>
              <w:left w:val="single" w:color="00000a" w:sz="4" w:space="0"/>
              <w:bottom w:val="single" w:color="00000a" w:sz="4" w:space="0"/>
              <w:right w:val="single" w:color="00000a" w:sz="4" w:space="0"/>
            </w:tcBorders>
            <w:tcW w:w="3111" w:type="dxa"/>
            <w:textDirection w:val="lrTb"/>
            <w:noWrap w:val="false"/>
          </w:tcPr>
          <w:p>
            <w:pPr>
              <w:widowControl w:val="false"/>
              <w:pBdr/>
              <w:spacing w:after="100" w:before="100"/>
              <w:ind/>
              <w:jc w:val="center"/>
              <w:rPr>
                <w:b/>
                <w:color w:val="000000"/>
              </w:rPr>
            </w:pPr>
            <w:r>
              <w:rPr>
                <w:b/>
                <w:color w:val="000000"/>
              </w:rPr>
              <w:t xml:space="preserve">Poids (en nombre de points)</w:t>
            </w:r>
            <w:r>
              <w:rPr>
                <w:b/>
                <w:color w:val="000000"/>
              </w:rPr>
            </w:r>
          </w:p>
        </w:tc>
      </w:tr>
      <w:tr>
        <w:trPr>
          <w:jc w:val="center"/>
        </w:trPr>
        <w:tc>
          <w:tcPr>
            <w:shd w:val="clear" w:color="auto" w:fill="dbe5f1"/>
            <w:tcBorders>
              <w:top w:val="single" w:color="00000a" w:sz="4" w:space="0"/>
              <w:left w:val="single" w:color="00000a" w:sz="4" w:space="0"/>
              <w:bottom w:val="single" w:color="00000a" w:sz="4" w:space="0"/>
              <w:right w:val="single" w:color="00000a" w:sz="4" w:space="0"/>
            </w:tcBorders>
            <w:tcW w:w="2152" w:type="dxa"/>
            <w:textDirection w:val="lrTb"/>
            <w:noWrap w:val="false"/>
          </w:tcPr>
          <w:p>
            <w:pPr>
              <w:widowControl w:val="false"/>
              <w:pBdr/>
              <w:spacing w:after="100" w:before="100"/>
              <w:ind/>
              <w:jc w:val="center"/>
              <w:rPr>
                <w:color w:val="000000"/>
              </w:rPr>
            </w:pPr>
            <w:r>
              <w:rPr>
                <w:color w:val="000000"/>
              </w:rPr>
              <w:t xml:space="preserve">Valeur technique</w:t>
            </w:r>
            <w:r>
              <w:rPr>
                <w:color w:val="000000"/>
              </w:rPr>
            </w:r>
          </w:p>
        </w:tc>
        <w:tc>
          <w:tcPr>
            <w:shd w:val="clear" w:color="auto" w:fill="dbe5f1"/>
            <w:tcBorders>
              <w:top w:val="single" w:color="00000a" w:sz="4" w:space="0"/>
              <w:left w:val="single" w:color="00000a" w:sz="4" w:space="0"/>
              <w:bottom w:val="single" w:color="00000a" w:sz="4" w:space="0"/>
              <w:right w:val="single" w:color="00000a" w:sz="4" w:space="0"/>
            </w:tcBorders>
            <w:tcW w:w="1462" w:type="dxa"/>
            <w:textDirection w:val="lrTb"/>
            <w:noWrap w:val="false"/>
          </w:tcPr>
          <w:p>
            <w:pPr>
              <w:widowControl w:val="false"/>
              <w:pBdr/>
              <w:spacing w:after="100" w:before="100"/>
              <w:ind/>
              <w:jc w:val="center"/>
              <w:rPr>
                <w:color w:val="000000"/>
              </w:rPr>
            </w:pPr>
            <w:r>
              <w:rPr>
                <w:color w:val="000000"/>
              </w:rPr>
              <w:t xml:space="preserve">6</w:t>
            </w:r>
            <w:r>
              <w:rPr>
                <w:color w:val="000000"/>
              </w:rPr>
              <w:t xml:space="preserve">0 </w:t>
            </w:r>
            <w:r>
              <w:rPr>
                <w:color w:val="000000"/>
              </w:rPr>
              <w:t xml:space="preserve">%</w:t>
            </w:r>
            <w:r>
              <w:rPr>
                <w:color w:val="000000"/>
              </w:rPr>
            </w:r>
          </w:p>
        </w:tc>
        <w:tc>
          <w:tcPr>
            <w:shd w:val="clear" w:color="auto" w:fill="dbe5f1"/>
            <w:tcBorders>
              <w:top w:val="single" w:color="00000a" w:sz="4" w:space="0"/>
              <w:left w:val="single" w:color="00000a" w:sz="4" w:space="0"/>
              <w:bottom w:val="single" w:color="00000a" w:sz="4" w:space="0"/>
              <w:right w:val="single" w:color="00000a" w:sz="4" w:space="0"/>
            </w:tcBorders>
            <w:tcW w:w="3111" w:type="dxa"/>
            <w:textDirection w:val="lrTb"/>
            <w:noWrap w:val="false"/>
          </w:tcPr>
          <w:p>
            <w:pPr>
              <w:widowControl w:val="false"/>
              <w:pBdr/>
              <w:spacing w:after="100" w:before="100"/>
              <w:ind/>
              <w:jc w:val="center"/>
              <w:rPr>
                <w:bCs/>
                <w:color w:val="000000"/>
              </w:rPr>
            </w:pPr>
            <w:r>
              <w:rPr>
                <w:color w:val="000000"/>
              </w:rPr>
              <w:t xml:space="preserve">60</w:t>
            </w:r>
            <w:r>
              <w:rPr>
                <w:bCs/>
                <w:color w:val="000000"/>
              </w:rPr>
              <w:t xml:space="preserve"> </w:t>
            </w:r>
            <w:r>
              <w:rPr>
                <w:bCs/>
                <w:color w:val="000000"/>
              </w:rPr>
              <w:t xml:space="preserve">pts</w:t>
            </w:r>
            <w:r>
              <w:rPr>
                <w:bCs/>
                <w:color w:val="000000"/>
              </w:rPr>
            </w:r>
          </w:p>
        </w:tc>
      </w:tr>
      <w:tr>
        <w:trPr>
          <w:jc w:val="center"/>
        </w:trPr>
        <w:tc>
          <w:tcPr>
            <w:shd w:val="clear" w:color="auto" w:fill="auto"/>
            <w:tcBorders>
              <w:top w:val="single" w:color="00000a" w:sz="4" w:space="0"/>
              <w:left w:val="single" w:color="00000a" w:sz="4" w:space="0"/>
              <w:bottom w:val="single" w:color="00000a" w:sz="4" w:space="0"/>
              <w:right w:val="single" w:color="00000a" w:sz="4" w:space="0"/>
            </w:tcBorders>
            <w:tcW w:w="2152" w:type="dxa"/>
            <w:textDirection w:val="lrTb"/>
            <w:noWrap w:val="false"/>
          </w:tcPr>
          <w:p>
            <w:pPr>
              <w:widowControl w:val="false"/>
              <w:pBdr/>
              <w:spacing w:after="100" w:before="100"/>
              <w:ind/>
              <w:jc w:val="center"/>
              <w:rPr>
                <w:color w:val="000000"/>
              </w:rPr>
            </w:pPr>
            <w:r>
              <w:rPr>
                <w:color w:val="000000"/>
              </w:rPr>
              <w:t xml:space="preserve">Prix</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1462" w:type="dxa"/>
            <w:textDirection w:val="lrTb"/>
            <w:noWrap w:val="false"/>
          </w:tcPr>
          <w:p>
            <w:pPr>
              <w:widowControl w:val="false"/>
              <w:pBdr/>
              <w:spacing w:after="100" w:before="100"/>
              <w:ind/>
              <w:jc w:val="center"/>
              <w:rPr>
                <w:color w:val="000000"/>
              </w:rPr>
            </w:pPr>
            <w:r>
              <w:rPr>
                <w:color w:val="000000"/>
              </w:rPr>
              <w:t xml:space="preserve">30 %</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3111" w:type="dxa"/>
            <w:textDirection w:val="lrTb"/>
            <w:noWrap w:val="false"/>
          </w:tcPr>
          <w:p>
            <w:pPr>
              <w:widowControl w:val="false"/>
              <w:pBdr/>
              <w:spacing w:after="100" w:before="100"/>
              <w:ind/>
              <w:jc w:val="center"/>
              <w:rPr>
                <w:color w:val="000000"/>
              </w:rPr>
            </w:pPr>
            <w:r>
              <w:rPr>
                <w:color w:val="000000"/>
              </w:rPr>
              <w:t xml:space="preserve">30</w:t>
            </w:r>
            <w:r>
              <w:rPr>
                <w:bCs/>
                <w:color w:val="000000"/>
              </w:rPr>
              <w:t xml:space="preserve"> pts</w:t>
            </w:r>
            <w:r>
              <w:rPr>
                <w:color w:val="000000"/>
              </w:rPr>
            </w:r>
          </w:p>
        </w:tc>
      </w:tr>
      <w:tr>
        <w:trPr>
          <w:jc w:val="center"/>
        </w:trPr>
        <w:tc>
          <w:tcPr>
            <w:shd w:val="clear" w:color="auto" w:fill="auto"/>
            <w:tcBorders>
              <w:top w:val="single" w:color="00000a" w:sz="4" w:space="0"/>
              <w:left w:val="single" w:color="00000a" w:sz="4" w:space="0"/>
              <w:bottom w:val="single" w:color="00000a" w:sz="4" w:space="0"/>
              <w:right w:val="single" w:color="00000a" w:sz="4" w:space="0"/>
            </w:tcBorders>
            <w:tcW w:w="2152" w:type="dxa"/>
            <w:textDirection w:val="lrTb"/>
            <w:noWrap w:val="false"/>
          </w:tcPr>
          <w:p>
            <w:pPr>
              <w:widowControl w:val="false"/>
              <w:pBdr/>
              <w:spacing w:after="100" w:before="100"/>
              <w:ind/>
              <w:jc w:val="center"/>
              <w:rPr>
                <w:color w:val="000000"/>
              </w:rPr>
            </w:pPr>
            <w:r>
              <w:rPr>
                <w:color w:val="000000"/>
              </w:rPr>
              <w:t xml:space="preserve">Qualité de la démarche environnementale</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1462" w:type="dxa"/>
            <w:textDirection w:val="lrTb"/>
            <w:noWrap w:val="false"/>
          </w:tcPr>
          <w:p>
            <w:pPr>
              <w:widowControl w:val="false"/>
              <w:pBdr/>
              <w:spacing w:after="100" w:before="100"/>
              <w:ind/>
              <w:jc w:val="center"/>
              <w:rPr>
                <w:color w:val="000000"/>
              </w:rPr>
            </w:pPr>
            <w:r>
              <w:rPr>
                <w:color w:val="000000"/>
              </w:rPr>
              <w:t xml:space="preserve">10 %</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3111" w:type="dxa"/>
            <w:textDirection w:val="lrTb"/>
            <w:noWrap w:val="false"/>
          </w:tcPr>
          <w:p>
            <w:pPr>
              <w:widowControl w:val="false"/>
              <w:pBdr/>
              <w:spacing w:after="100" w:before="100"/>
              <w:ind/>
              <w:jc w:val="center"/>
              <w:rPr>
                <w:color w:val="000000"/>
              </w:rPr>
            </w:pPr>
            <w:r>
              <w:rPr>
                <w:color w:val="000000"/>
              </w:rPr>
              <w:t xml:space="preserve">10 pts</w:t>
            </w:r>
            <w:r>
              <w:rPr>
                <w:color w:val="000000"/>
              </w:rPr>
            </w:r>
          </w:p>
        </w:tc>
      </w:tr>
    </w:tbl>
    <w:p>
      <w:pPr>
        <w:pStyle w:val="1089"/>
        <w:widowControl w:val="false"/>
        <w:pBdr/>
        <w:spacing/>
        <w:ind/>
        <w:rPr/>
      </w:pPr>
      <w:r/>
      <w:r/>
    </w:p>
    <w:p>
      <w:pPr>
        <w:pStyle w:val="999"/>
        <w:keepNext w:val="false"/>
        <w:widowControl w:val="false"/>
        <w:numPr>
          <w:ilvl w:val="3"/>
          <w:numId w:val="16"/>
        </w:numPr>
        <w:pBdr/>
        <w:spacing/>
        <w:ind/>
        <w:rPr/>
      </w:pPr>
      <w:r>
        <w:t xml:space="preserve">Précision sur l’appréciation de la valeur technique</w:t>
      </w:r>
      <w:r/>
    </w:p>
    <w:p>
      <w:pPr>
        <w:widowControl w:val="false"/>
        <w:pBdr/>
        <w:spacing/>
        <w:ind/>
        <w:rPr/>
      </w:pPr>
      <w:r>
        <w:t xml:space="preserve">Le critère « Valeur technique » est lui-même décomposé en cinq sous-critères tels que définis </w:t>
      </w:r>
      <w:r>
        <w:br/>
        <w:t xml:space="preserve">ci-après :</w:t>
      </w:r>
      <w:r/>
    </w:p>
    <w:tbl>
      <w:tblPr>
        <w:tblW w:w="5000" w:type="pct"/>
        <w:jc w:val="center"/>
        <w:tblBorders/>
        <w:tblLayout w:type="fixed"/>
        <w:tblCellMar>
          <w:left w:w="70" w:type="dxa"/>
          <w:right w:w="70" w:type="dxa"/>
        </w:tblCellMar>
        <w:tblLook w:val="0000" w:firstRow="0" w:lastRow="0" w:firstColumn="0" w:lastColumn="0" w:noHBand="0" w:noVBand="0"/>
      </w:tblPr>
      <w:tblGrid>
        <w:gridCol w:w="5340"/>
        <w:gridCol w:w="2364"/>
        <w:gridCol w:w="1924"/>
      </w:tblGrid>
      <w:tr>
        <w:trPr>
          <w:jc w:val="center"/>
          <w:trHeight w:val="696"/>
        </w:trPr>
        <w:tc>
          <w:tcPr>
            <w:shd w:val="clear" w:color="auto" w:fill="8db3e2"/>
            <w:tcBorders>
              <w:top w:val="single" w:color="00000a" w:sz="4" w:space="0"/>
              <w:left w:val="single" w:color="00000a" w:sz="4" w:space="0"/>
              <w:bottom w:val="single" w:color="00000a" w:sz="4" w:space="0"/>
              <w:right w:val="single" w:color="00000a" w:sz="4" w:space="0"/>
            </w:tcBorders>
            <w:tcW w:w="5340" w:type="dxa"/>
            <w:vAlign w:val="center"/>
            <w:textDirection w:val="lrTb"/>
            <w:noWrap w:val="false"/>
          </w:tcPr>
          <w:p>
            <w:pPr>
              <w:widowControl w:val="false"/>
              <w:pBdr/>
              <w:spacing w:after="100" w:before="100"/>
              <w:ind/>
              <w:jc w:val="center"/>
              <w:rPr>
                <w:b/>
                <w:color w:val="000000"/>
              </w:rPr>
            </w:pPr>
            <w:r>
              <w:rPr>
                <w:b/>
                <w:color w:val="000000"/>
              </w:rPr>
              <w:t xml:space="preserve">Sous-critères</w:t>
            </w:r>
            <w:r>
              <w:rPr>
                <w:b/>
                <w:color w:val="000000"/>
              </w:rPr>
            </w:r>
          </w:p>
        </w:tc>
        <w:tc>
          <w:tcPr>
            <w:shd w:val="clear" w:color="auto" w:fill="8db3e2"/>
            <w:tcBorders>
              <w:top w:val="single" w:color="00000a" w:sz="4" w:space="0"/>
              <w:left w:val="single" w:color="00000a" w:sz="4" w:space="0"/>
              <w:bottom w:val="single" w:color="00000a" w:sz="4" w:space="0"/>
              <w:right w:val="single" w:color="00000a" w:sz="4" w:space="0"/>
            </w:tcBorders>
            <w:tcW w:w="2364" w:type="dxa"/>
            <w:vAlign w:val="center"/>
            <w:textDirection w:val="lrTb"/>
            <w:noWrap w:val="false"/>
          </w:tcPr>
          <w:p>
            <w:pPr>
              <w:widowControl w:val="false"/>
              <w:pBdr/>
              <w:spacing w:after="100" w:before="100"/>
              <w:ind/>
              <w:jc w:val="center"/>
              <w:rPr>
                <w:b/>
                <w:color w:val="000000"/>
              </w:rPr>
            </w:pPr>
            <w:r>
              <w:rPr>
                <w:b/>
                <w:color w:val="000000"/>
              </w:rPr>
              <w:t xml:space="preserve">Poids (en % de la note technique)</w:t>
            </w:r>
            <w:r>
              <w:rPr>
                <w:b/>
                <w:color w:val="000000"/>
              </w:rPr>
            </w:r>
          </w:p>
        </w:tc>
        <w:tc>
          <w:tcPr>
            <w:shd w:val="clear" w:color="auto" w:fill="8db3e2"/>
            <w:tcBorders>
              <w:top w:val="single" w:color="00000a" w:sz="4" w:space="0"/>
              <w:left w:val="single" w:color="00000a" w:sz="4" w:space="0"/>
              <w:bottom w:val="single" w:color="00000a" w:sz="4" w:space="0"/>
              <w:right w:val="single" w:color="00000a" w:sz="4" w:space="0"/>
            </w:tcBorders>
            <w:tcW w:w="1924" w:type="dxa"/>
            <w:vAlign w:val="center"/>
            <w:textDirection w:val="lrTb"/>
            <w:noWrap w:val="false"/>
          </w:tcPr>
          <w:p>
            <w:pPr>
              <w:widowControl w:val="false"/>
              <w:pBdr/>
              <w:spacing w:after="100" w:before="100"/>
              <w:ind/>
              <w:jc w:val="center"/>
              <w:rPr>
                <w:b/>
                <w:color w:val="000000"/>
              </w:rPr>
            </w:pPr>
            <w:r>
              <w:rPr>
                <w:b/>
                <w:color w:val="000000"/>
              </w:rPr>
              <w:t xml:space="preserve">Poids (en nombre de points)</w:t>
            </w:r>
            <w:r>
              <w:rPr>
                <w:b/>
                <w:color w:val="000000"/>
              </w:rPr>
            </w:r>
          </w:p>
        </w:tc>
      </w:tr>
      <w:tr>
        <w:trPr>
          <w:jc w:val="center"/>
        </w:trPr>
        <w:tc>
          <w:tcPr>
            <w:shd w:val="clear" w:color="auto" w:fill="dbe5f1"/>
            <w:tcBorders>
              <w:top w:val="single" w:color="00000a" w:sz="4" w:space="0"/>
              <w:left w:val="single" w:color="00000a" w:sz="4" w:space="0"/>
              <w:bottom w:val="single" w:color="00000a" w:sz="4" w:space="0"/>
              <w:right w:val="single" w:color="00000a" w:sz="4" w:space="0"/>
            </w:tcBorders>
            <w:tcW w:w="5340" w:type="dxa"/>
            <w:vAlign w:val="center"/>
            <w:textDirection w:val="lrTb"/>
            <w:noWrap w:val="false"/>
          </w:tcPr>
          <w:p>
            <w:pPr>
              <w:widowControl w:val="false"/>
              <w:pBdr/>
              <w:spacing w:after="100" w:before="100"/>
              <w:ind/>
              <w:jc w:val="center"/>
              <w:rPr>
                <w:color w:val="000000"/>
              </w:rPr>
            </w:pPr>
            <w:r>
              <w:rPr>
                <w:color w:val="000000"/>
              </w:rPr>
              <w:t xml:space="preserve">Sous-critère technique 1 : Qualité de la compréhension des enjeux </w:t>
            </w:r>
            <w:r>
              <w:rPr>
                <w:color w:val="000000"/>
              </w:rPr>
            </w:r>
          </w:p>
        </w:tc>
        <w:tc>
          <w:tcPr>
            <w:shd w:val="clear" w:color="auto" w:fill="dbe5f1"/>
            <w:tcBorders>
              <w:top w:val="single" w:color="00000a" w:sz="4" w:space="0"/>
              <w:left w:val="single" w:color="00000a" w:sz="4" w:space="0"/>
              <w:bottom w:val="single" w:color="00000a" w:sz="4" w:space="0"/>
              <w:right w:val="single" w:color="00000a" w:sz="4" w:space="0"/>
            </w:tcBorders>
            <w:tcW w:w="2364" w:type="dxa"/>
            <w:vAlign w:val="center"/>
            <w:textDirection w:val="lrTb"/>
            <w:noWrap w:val="false"/>
          </w:tcPr>
          <w:p>
            <w:pPr>
              <w:widowControl w:val="false"/>
              <w:pBdr/>
              <w:spacing w:after="100" w:before="100"/>
              <w:ind/>
              <w:jc w:val="center"/>
              <w:rPr>
                <w:color w:val="000000"/>
              </w:rPr>
            </w:pPr>
            <w:r>
              <w:rPr>
                <w:color w:val="000000"/>
              </w:rPr>
              <w:t xml:space="preserve">10 %</w:t>
            </w:r>
            <w:r>
              <w:rPr>
                <w:color w:val="000000"/>
              </w:rPr>
            </w:r>
          </w:p>
        </w:tc>
        <w:tc>
          <w:tcPr>
            <w:shd w:val="clear" w:color="auto" w:fill="dbe5f1"/>
            <w:tcBorders>
              <w:top w:val="single" w:color="00000a" w:sz="4" w:space="0"/>
              <w:left w:val="single" w:color="00000a" w:sz="4" w:space="0"/>
              <w:bottom w:val="single" w:color="00000a" w:sz="4" w:space="0"/>
              <w:right w:val="single" w:color="00000a" w:sz="4" w:space="0"/>
            </w:tcBorders>
            <w:tcW w:w="1924" w:type="dxa"/>
            <w:vAlign w:val="center"/>
            <w:textDirection w:val="lrTb"/>
            <w:noWrap w:val="false"/>
          </w:tcPr>
          <w:p>
            <w:pPr>
              <w:widowControl w:val="false"/>
              <w:pBdr/>
              <w:spacing w:after="100" w:before="100"/>
              <w:ind/>
              <w:jc w:val="center"/>
              <w:rPr>
                <w:color w:val="000000"/>
              </w:rPr>
            </w:pPr>
            <w:r>
              <w:rPr>
                <w:color w:val="000000"/>
              </w:rPr>
              <w:t xml:space="preserve">6</w:t>
            </w:r>
            <w:r>
              <w:rPr>
                <w:color w:val="000000"/>
              </w:rPr>
            </w:r>
          </w:p>
        </w:tc>
      </w:tr>
      <w:tr>
        <w:trPr>
          <w:jc w:val="center"/>
        </w:trPr>
        <w:tc>
          <w:tcPr>
            <w:shd w:val="clear" w:color="auto" w:fill="auto"/>
            <w:tcBorders>
              <w:top w:val="single" w:color="00000a" w:sz="4" w:space="0"/>
              <w:left w:val="single" w:color="00000a" w:sz="4" w:space="0"/>
              <w:bottom w:val="single" w:color="00000a" w:sz="4" w:space="0"/>
              <w:right w:val="single" w:color="00000a" w:sz="4" w:space="0"/>
            </w:tcBorders>
            <w:tcW w:w="5340" w:type="dxa"/>
            <w:vAlign w:val="center"/>
            <w:textDirection w:val="lrTb"/>
            <w:noWrap w:val="false"/>
          </w:tcPr>
          <w:p>
            <w:pPr>
              <w:widowControl w:val="false"/>
              <w:pBdr/>
              <w:spacing w:after="100" w:before="100"/>
              <w:ind/>
              <w:jc w:val="center"/>
              <w:rPr>
                <w:color w:val="000000"/>
              </w:rPr>
            </w:pPr>
            <w:r>
              <w:rPr>
                <w:color w:val="000000"/>
              </w:rPr>
              <w:t xml:space="preserve">Sous-critère technique 2 : Qualité de l’organisation et des processus pour assurer l’exécution des prestations hors maintenance évolutive.</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2364" w:type="dxa"/>
            <w:vAlign w:val="center"/>
            <w:textDirection w:val="lrTb"/>
            <w:noWrap w:val="false"/>
          </w:tcPr>
          <w:p>
            <w:pPr>
              <w:widowControl w:val="false"/>
              <w:pBdr/>
              <w:spacing w:after="100" w:before="100"/>
              <w:ind/>
              <w:jc w:val="center"/>
              <w:rPr>
                <w:color w:val="000000"/>
              </w:rPr>
            </w:pPr>
            <w:r>
              <w:rPr>
                <w:color w:val="000000"/>
              </w:rPr>
              <w:t xml:space="preserve">40 %</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1924" w:type="dxa"/>
            <w:vAlign w:val="center"/>
            <w:textDirection w:val="lrTb"/>
            <w:noWrap w:val="false"/>
          </w:tcPr>
          <w:p>
            <w:pPr>
              <w:widowControl w:val="false"/>
              <w:pBdr/>
              <w:spacing w:after="100" w:before="100"/>
              <w:ind/>
              <w:jc w:val="center"/>
              <w:rPr>
                <w:color w:val="000000"/>
              </w:rPr>
            </w:pPr>
            <w:r>
              <w:rPr>
                <w:color w:val="000000"/>
              </w:rPr>
              <w:t xml:space="preserve">24</w:t>
            </w:r>
            <w:r>
              <w:rPr>
                <w:color w:val="000000"/>
              </w:rPr>
            </w:r>
          </w:p>
        </w:tc>
      </w:tr>
      <w:tr>
        <w:trPr>
          <w:jc w:val="center"/>
        </w:trPr>
        <w:tc>
          <w:tcPr>
            <w:shd w:val="clear" w:color="auto" w:fill="auto"/>
            <w:tcBorders>
              <w:top w:val="single" w:color="00000a" w:sz="4" w:space="0"/>
              <w:left w:val="single" w:color="00000a" w:sz="4" w:space="0"/>
              <w:bottom w:val="single" w:color="00000a" w:sz="4" w:space="0"/>
              <w:right w:val="single" w:color="00000a" w:sz="4" w:space="0"/>
            </w:tcBorders>
            <w:tcW w:w="5340" w:type="dxa"/>
            <w:vAlign w:val="center"/>
            <w:textDirection w:val="lrTb"/>
            <w:noWrap w:val="false"/>
          </w:tcPr>
          <w:p>
            <w:pPr>
              <w:widowControl w:val="false"/>
              <w:pBdr/>
              <w:spacing w:after="100" w:before="100"/>
              <w:ind/>
              <w:jc w:val="center"/>
              <w:rPr>
                <w:color w:val="000000"/>
              </w:rPr>
            </w:pPr>
            <w:r>
              <w:rPr>
                <w:color w:val="000000"/>
              </w:rPr>
              <w:t xml:space="preserve">Sous-critère technique 3 : Qualité de l’organisation et des processus relatif à la prestation de maintenance </w:t>
            </w:r>
            <w:r>
              <w:rPr>
                <w:color w:val="000000"/>
              </w:rPr>
              <w:t xml:space="preserve">évolutive </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2364" w:type="dxa"/>
            <w:vAlign w:val="center"/>
            <w:textDirection w:val="lrTb"/>
            <w:noWrap w:val="false"/>
          </w:tcPr>
          <w:p>
            <w:pPr>
              <w:widowControl w:val="false"/>
              <w:pBdr/>
              <w:spacing w:after="100" w:before="100"/>
              <w:ind/>
              <w:jc w:val="center"/>
              <w:rPr>
                <w:color w:val="000000"/>
              </w:rPr>
            </w:pPr>
            <w:r>
              <w:rPr>
                <w:color w:val="000000"/>
              </w:rPr>
              <w:t xml:space="preserve">30 %</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1924" w:type="dxa"/>
            <w:vAlign w:val="center"/>
            <w:textDirection w:val="lrTb"/>
            <w:noWrap w:val="false"/>
          </w:tcPr>
          <w:p>
            <w:pPr>
              <w:widowControl w:val="false"/>
              <w:pBdr/>
              <w:spacing w:after="100" w:before="100"/>
              <w:ind/>
              <w:jc w:val="center"/>
              <w:rPr>
                <w:color w:val="000000"/>
              </w:rPr>
            </w:pPr>
            <w:r>
              <w:rPr>
                <w:color w:val="000000"/>
              </w:rPr>
              <w:t xml:space="preserve">18</w:t>
            </w:r>
            <w:r>
              <w:rPr>
                <w:color w:val="000000"/>
              </w:rPr>
            </w:r>
          </w:p>
        </w:tc>
      </w:tr>
      <w:tr>
        <w:trPr>
          <w:jc w:val="center"/>
        </w:trPr>
        <w:tc>
          <w:tcPr>
            <w:shd w:val="clear" w:color="auto" w:fill="auto"/>
            <w:tcBorders>
              <w:top w:val="single" w:color="00000a" w:sz="4" w:space="0"/>
              <w:left w:val="single" w:color="00000a" w:sz="4" w:space="0"/>
              <w:bottom w:val="single" w:color="00000a" w:sz="4" w:space="0"/>
              <w:right w:val="single" w:color="00000a" w:sz="4" w:space="0"/>
            </w:tcBorders>
            <w:tcW w:w="5340" w:type="dxa"/>
            <w:vAlign w:val="center"/>
            <w:textDirection w:val="lrTb"/>
            <w:noWrap w:val="false"/>
          </w:tcPr>
          <w:p>
            <w:pPr>
              <w:widowControl w:val="false"/>
              <w:pBdr/>
              <w:spacing w:after="100" w:before="100"/>
              <w:ind/>
              <w:jc w:val="center"/>
              <w:rPr>
                <w:color w:val="000000"/>
              </w:rPr>
            </w:pPr>
            <w:r>
              <w:rPr>
                <w:color w:val="000000"/>
              </w:rPr>
              <w:t xml:space="preserve">Sous-critère technique 4 : Qualité des effectifs dédiés à l’exécution des prestations </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2364" w:type="dxa"/>
            <w:vAlign w:val="center"/>
            <w:textDirection w:val="lrTb"/>
            <w:noWrap w:val="false"/>
          </w:tcPr>
          <w:p>
            <w:pPr>
              <w:widowControl w:val="false"/>
              <w:pBdr/>
              <w:spacing w:after="100" w:before="100"/>
              <w:ind/>
              <w:jc w:val="center"/>
              <w:rPr>
                <w:color w:val="000000"/>
              </w:rPr>
            </w:pPr>
            <w:r>
              <w:rPr>
                <w:color w:val="000000"/>
              </w:rPr>
              <w:t xml:space="preserve">15 %</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1924" w:type="dxa"/>
            <w:vAlign w:val="center"/>
            <w:textDirection w:val="lrTb"/>
            <w:noWrap w:val="false"/>
          </w:tcPr>
          <w:p>
            <w:pPr>
              <w:widowControl w:val="false"/>
              <w:pBdr/>
              <w:spacing w:after="100" w:before="100"/>
              <w:ind/>
              <w:jc w:val="center"/>
              <w:rPr>
                <w:color w:val="000000"/>
              </w:rPr>
            </w:pPr>
            <w:r>
              <w:rPr>
                <w:color w:val="000000"/>
              </w:rPr>
              <w:t xml:space="preserve">9</w:t>
            </w:r>
            <w:r>
              <w:rPr>
                <w:color w:val="000000"/>
              </w:rPr>
            </w:r>
          </w:p>
        </w:tc>
      </w:tr>
      <w:tr>
        <w:trPr>
          <w:jc w:val="center"/>
        </w:trPr>
        <w:tc>
          <w:tcPr>
            <w:shd w:val="clear" w:color="auto" w:fill="auto"/>
            <w:tcBorders>
              <w:top w:val="single" w:color="00000a" w:sz="4" w:space="0"/>
              <w:left w:val="single" w:color="00000a" w:sz="4" w:space="0"/>
              <w:bottom w:val="single" w:color="00000a" w:sz="4" w:space="0"/>
              <w:right w:val="single" w:color="00000a" w:sz="4" w:space="0"/>
            </w:tcBorders>
            <w:tcW w:w="5340" w:type="dxa"/>
            <w:vAlign w:val="center"/>
            <w:textDirection w:val="lrTb"/>
            <w:noWrap w:val="false"/>
          </w:tcPr>
          <w:p>
            <w:pPr>
              <w:widowControl w:val="false"/>
              <w:pBdr/>
              <w:spacing w:after="100" w:before="100"/>
              <w:ind/>
              <w:jc w:val="center"/>
              <w:rPr>
                <w:color w:val="000000"/>
              </w:rPr>
            </w:pPr>
            <w:r>
              <w:rPr>
                <w:color w:val="000000"/>
              </w:rPr>
              <w:t xml:space="preserve">Sous-critère technique 5 : Qualité des processus relatifs à la </w:t>
            </w:r>
            <w:r>
              <w:rPr>
                <w:color w:val="000000"/>
              </w:rPr>
              <w:t xml:space="preserve">cybersécurité</w:t>
            </w:r>
            <w:r>
              <w:rPr>
                <w:color w:val="000000"/>
              </w:rPr>
              <w:t xml:space="preserve"> et à l’homologation. </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2364" w:type="dxa"/>
            <w:vAlign w:val="center"/>
            <w:textDirection w:val="lrTb"/>
            <w:noWrap w:val="false"/>
          </w:tcPr>
          <w:p>
            <w:pPr>
              <w:widowControl w:val="false"/>
              <w:pBdr/>
              <w:spacing w:after="100" w:before="100"/>
              <w:ind/>
              <w:jc w:val="center"/>
              <w:rPr>
                <w:color w:val="000000"/>
              </w:rPr>
            </w:pPr>
            <w:r>
              <w:rPr>
                <w:color w:val="000000"/>
              </w:rPr>
              <w:t xml:space="preserve">5%</w:t>
            </w:r>
            <w:r>
              <w:rPr>
                <w:color w:val="000000"/>
              </w:rPr>
            </w:r>
          </w:p>
        </w:tc>
        <w:tc>
          <w:tcPr>
            <w:shd w:val="clear" w:color="auto" w:fill="auto"/>
            <w:tcBorders>
              <w:top w:val="single" w:color="00000a" w:sz="4" w:space="0"/>
              <w:left w:val="single" w:color="00000a" w:sz="4" w:space="0"/>
              <w:bottom w:val="single" w:color="00000a" w:sz="4" w:space="0"/>
              <w:right w:val="single" w:color="00000a" w:sz="4" w:space="0"/>
            </w:tcBorders>
            <w:tcW w:w="1924" w:type="dxa"/>
            <w:vAlign w:val="center"/>
            <w:textDirection w:val="lrTb"/>
            <w:noWrap w:val="false"/>
          </w:tcPr>
          <w:p>
            <w:pPr>
              <w:widowControl w:val="false"/>
              <w:pBdr/>
              <w:spacing w:after="100" w:before="100"/>
              <w:ind/>
              <w:jc w:val="center"/>
              <w:rPr>
                <w:color w:val="000000"/>
              </w:rPr>
            </w:pPr>
            <w:r>
              <w:rPr>
                <w:color w:val="000000"/>
              </w:rPr>
              <w:t xml:space="preserve">3</w:t>
            </w:r>
            <w:r>
              <w:rPr>
                <w:color w:val="000000"/>
              </w:rPr>
            </w:r>
          </w:p>
        </w:tc>
      </w:tr>
    </w:tbl>
    <w:p>
      <w:pPr>
        <w:pStyle w:val="1065"/>
        <w:pBdr/>
        <w:spacing w:after="0" w:before="0"/>
        <w:ind w:firstLine="0"/>
        <w:rPr>
          <w:rFonts w:ascii="Arial" w:hAnsi="Arial"/>
          <w:sz w:val="20"/>
        </w:rPr>
      </w:pPr>
      <w:r>
        <w:rPr>
          <w:rFonts w:ascii="Arial" w:hAnsi="Arial"/>
          <w:sz w:val="20"/>
        </w:rPr>
      </w:r>
      <w:r>
        <w:rPr>
          <w:rFonts w:ascii="Arial" w:hAnsi="Arial"/>
          <w:sz w:val="20"/>
        </w:rPr>
      </w:r>
    </w:p>
    <w:p>
      <w:pPr>
        <w:pStyle w:val="1065"/>
        <w:pBdr/>
        <w:spacing w:after="0" w:before="0"/>
        <w:ind w:firstLine="0"/>
        <w:rPr>
          <w:rFonts w:ascii="Arial" w:hAnsi="Arial"/>
          <w:sz w:val="20"/>
        </w:rPr>
      </w:pPr>
      <w:r>
        <w:rPr>
          <w:rFonts w:ascii="Arial" w:hAnsi="Arial"/>
          <w:sz w:val="20"/>
        </w:rPr>
      </w:r>
      <w:r>
        <w:rPr>
          <w:rFonts w:ascii="Arial" w:hAnsi="Arial"/>
          <w:sz w:val="20"/>
        </w:rPr>
      </w:r>
    </w:p>
    <w:p>
      <w:pPr>
        <w:widowControl w:val="false"/>
        <w:pBdr/>
        <w:spacing/>
        <w:ind/>
        <w:rPr>
          <w:szCs w:val="22"/>
        </w:rPr>
      </w:pPr>
      <w:r>
        <w:rPr>
          <w:szCs w:val="22"/>
        </w:rPr>
        <w:t xml:space="preserve">La note du critère « valeur technique » est calculée pour chaque candidat (candidat i) selon la formule suivante :</w:t>
      </w:r>
      <w:r>
        <w:rPr>
          <w:szCs w:val="22"/>
        </w:rPr>
      </w:r>
    </w:p>
    <w:p>
      <w:pPr>
        <w:widowControl w:val="false"/>
        <w:pBdr>
          <w:top w:val="single" w:color="00000a" w:sz="4" w:space="4"/>
          <w:left w:val="single" w:color="00000a" w:sz="4" w:space="4"/>
          <w:bottom w:val="single" w:color="00000a" w:sz="4" w:space="4"/>
          <w:right w:val="single" w:color="00000a" w:sz="4" w:space="4"/>
        </w:pBdr>
        <w:spacing w:after="100" w:before="100"/>
        <w:ind/>
        <w:rPr>
          <w:b/>
          <w:szCs w:val="22"/>
        </w:rPr>
      </w:pPr>
      <w:r>
        <w:rPr>
          <w:b/>
          <w:szCs w:val="22"/>
        </w:rPr>
        <w:t xml:space="preserve">Note technique du candidat i = poids du critère </w:t>
      </w:r>
      <w:r>
        <w:rPr>
          <w:b/>
          <w:szCs w:val="22"/>
        </w:rPr>
        <w:t xml:space="preserve">6</w:t>
      </w:r>
      <w:bookmarkStart w:id="145" w:name="_GoBack"/>
      <w:r/>
      <w:bookmarkEnd w:id="145"/>
      <w:r>
        <w:rPr>
          <w:b/>
          <w:szCs w:val="22"/>
        </w:rPr>
        <w:t xml:space="preserve">0 * (nombre total de points du candidat i / nombre total de points du candidat ayant obtenu le plus grand nombre de points)</w:t>
      </w:r>
      <w:r>
        <w:rPr>
          <w:b/>
          <w:szCs w:val="22"/>
        </w:rPr>
      </w:r>
    </w:p>
    <w:p>
      <w:pPr>
        <w:pStyle w:val="999"/>
        <w:keepNext w:val="false"/>
        <w:widowControl w:val="false"/>
        <w:numPr>
          <w:ilvl w:val="3"/>
          <w:numId w:val="16"/>
        </w:numPr>
        <w:pBdr/>
        <w:spacing/>
        <w:ind/>
        <w:rPr/>
      </w:pPr>
      <w:r>
        <w:t xml:space="preserve">Précision sur l’appréciation du prix</w:t>
      </w:r>
      <w:r/>
    </w:p>
    <w:p>
      <w:pPr>
        <w:widowControl w:val="false"/>
        <w:pBdr/>
        <w:spacing/>
        <w:ind/>
        <w:rPr/>
      </w:pPr>
      <w:r>
        <w:t xml:space="preserve">La note financière sur 30 points est calculée pour chaque candidat (candidat i) selon la formule suivante :</w:t>
      </w:r>
      <w:r/>
    </w:p>
    <w:p>
      <w:pPr>
        <w:widowControl w:val="false"/>
        <w:pBdr>
          <w:top w:val="single" w:color="00000a" w:sz="4" w:space="6"/>
          <w:left w:val="single" w:color="00000a" w:sz="4" w:space="4"/>
          <w:bottom w:val="single" w:color="00000a" w:sz="4" w:space="6"/>
          <w:right w:val="single" w:color="00000a" w:sz="4" w:space="4"/>
        </w:pBdr>
        <w:spacing w:after="100" w:before="100"/>
        <w:ind/>
        <w:jc w:val="center"/>
        <w:rPr>
          <w:b/>
        </w:rPr>
      </w:pPr>
      <w:r>
        <w:rPr>
          <w:b/>
        </w:rPr>
        <w:t xml:space="preserve">Note financière du candidat i = poids du critère 30 * (prix du candidat moins disant / prix du candidat i)</w:t>
      </w:r>
      <w:r>
        <w:rPr>
          <w:b/>
        </w:rPr>
      </w:r>
    </w:p>
    <w:p>
      <w:pPr>
        <w:pStyle w:val="999"/>
        <w:keepNext w:val="false"/>
        <w:widowControl w:val="false"/>
        <w:numPr>
          <w:ilvl w:val="3"/>
          <w:numId w:val="16"/>
        </w:numPr>
        <w:pBdr/>
        <w:spacing/>
        <w:ind/>
        <w:rPr/>
      </w:pPr>
      <w:r>
        <w:t xml:space="preserve">Précision sur l’appréciation de la qualité </w:t>
      </w:r>
      <w:r>
        <w:t xml:space="preserve">de la démarche </w:t>
      </w:r>
      <w:r>
        <w:t xml:space="preserve">environnementale</w:t>
      </w:r>
      <w:r/>
    </w:p>
    <w:p>
      <w:pPr>
        <w:pStyle w:val="999"/>
        <w:keepNext w:val="false"/>
        <w:widowControl w:val="false"/>
        <w:pBdr/>
        <w:spacing/>
        <w:ind w:left="1588"/>
        <w:rPr/>
      </w:pPr>
      <w:r/>
      <w:r/>
    </w:p>
    <w:p>
      <w:pPr>
        <w:pBdr/>
        <w:spacing/>
        <w:ind/>
        <w:rPr/>
      </w:pPr>
      <w:r>
        <w:t xml:space="preserve">La note du critère « qualité de la démarche environnementale » est calculée pour chaque candidat (candidat i) selon la formule suivante : </w:t>
      </w:r>
      <w:r/>
    </w:p>
    <w:p>
      <w:pPr>
        <w:widowControl w:val="false"/>
        <w:pBdr>
          <w:top w:val="single" w:color="00000a" w:sz="4" w:space="4"/>
          <w:left w:val="single" w:color="00000a" w:sz="4" w:space="4"/>
          <w:bottom w:val="single" w:color="00000a" w:sz="4" w:space="4"/>
          <w:right w:val="single" w:color="00000a" w:sz="4" w:space="4"/>
        </w:pBdr>
        <w:spacing w:after="100" w:before="100"/>
        <w:ind/>
        <w:rPr>
          <w:b/>
          <w:szCs w:val="22"/>
        </w:rPr>
      </w:pPr>
      <w:r>
        <w:rPr>
          <w:b/>
          <w:szCs w:val="22"/>
        </w:rPr>
        <w:t xml:space="preserve"> </w:t>
      </w:r>
      <w:r>
        <w:rPr>
          <w:b/>
          <w:szCs w:val="22"/>
        </w:rPr>
        <w:t xml:space="preserve">Note </w:t>
      </w:r>
      <w:r>
        <w:rPr>
          <w:b/>
          <w:szCs w:val="22"/>
        </w:rPr>
        <w:t xml:space="preserve">environnementale</w:t>
      </w:r>
      <w:r>
        <w:rPr>
          <w:b/>
          <w:szCs w:val="22"/>
        </w:rPr>
        <w:t xml:space="preserve"> du candidat i = poids du critère 10 * (nombre total de points du candidat i / nombre total de points du candidat ayant obtenu le plus grand nombre de points)</w:t>
      </w:r>
      <w:r>
        <w:rPr>
          <w:b/>
          <w:szCs w:val="22"/>
        </w:rPr>
      </w:r>
    </w:p>
    <w:p>
      <w:pPr>
        <w:pBdr/>
        <w:spacing/>
        <w:ind/>
        <w:rPr/>
      </w:pPr>
      <w:r/>
      <w:r/>
    </w:p>
    <w:p>
      <w:pPr>
        <w:pStyle w:val="999"/>
        <w:keepNext w:val="false"/>
        <w:widowControl w:val="false"/>
        <w:numPr>
          <w:ilvl w:val="3"/>
          <w:numId w:val="16"/>
        </w:numPr>
        <w:pBdr/>
        <w:spacing/>
        <w:ind/>
        <w:rPr/>
      </w:pPr>
      <w:r>
        <w:t xml:space="preserve">Note finale</w:t>
      </w:r>
      <w:r/>
    </w:p>
    <w:p>
      <w:pPr>
        <w:widowControl w:val="false"/>
        <w:pBdr/>
        <w:spacing/>
        <w:ind/>
        <w:rPr/>
      </w:pPr>
      <w:r>
        <w:t xml:space="preserve">La note finale sur 100 points est calculée pour chaque candidat (candidat i) selon la formule suivante :</w:t>
      </w:r>
      <w:r/>
    </w:p>
    <w:tbl>
      <w:tblPr>
        <w:tblW w:w="5000" w:type="pct"/>
        <w:tblBorders/>
        <w:tblLayout w:type="fixed"/>
        <w:tblLook w:val="04A0" w:firstRow="1" w:lastRow="0" w:firstColumn="1" w:lastColumn="0" w:noHBand="0" w:noVBand="1"/>
      </w:tblPr>
      <w:tblGrid>
        <w:gridCol w:w="9628"/>
      </w:tblGrid>
      <w:tr>
        <w:trPr/>
        <w:tc>
          <w:tcPr>
            <w:shd w:val="clear" w:color="auto" w:fill="auto"/>
            <w:tcBorders>
              <w:top w:val="single" w:color="00000a" w:sz="4" w:space="0"/>
              <w:left w:val="single" w:color="00000a" w:sz="4" w:space="0"/>
              <w:bottom w:val="single" w:color="00000a" w:sz="4" w:space="0"/>
              <w:right w:val="single" w:color="00000a" w:sz="4" w:space="0"/>
            </w:tcBorders>
            <w:tcW w:w="9638" w:type="dxa"/>
            <w:textDirection w:val="lrTb"/>
            <w:noWrap w:val="false"/>
          </w:tcPr>
          <w:p>
            <w:pPr>
              <w:widowControl w:val="false"/>
              <w:pBdr/>
              <w:spacing w:after="100" w:before="100"/>
              <w:ind/>
              <w:jc w:val="center"/>
              <w:rPr>
                <w:b/>
              </w:rPr>
            </w:pPr>
            <w:r>
              <w:rPr>
                <w:b/>
              </w:rPr>
              <w:t xml:space="preserve">Note finale du ca</w:t>
            </w:r>
            <w:r>
              <w:rPr>
                <w:b/>
              </w:rPr>
              <w:t xml:space="preserve">ndidat i = note technique sur </w:t>
            </w:r>
            <w:r>
              <w:rPr>
                <w:b/>
              </w:rPr>
              <w:t xml:space="preserve">60 </w:t>
            </w:r>
            <w:r>
              <w:rPr>
                <w:b/>
              </w:rPr>
              <w:t xml:space="preserve">+ note financière sur 30</w:t>
            </w:r>
            <w:r>
              <w:rPr>
                <w:b/>
              </w:rPr>
              <w:t xml:space="preserve">+ note environnementale sur 10</w:t>
            </w:r>
            <w:r>
              <w:rPr>
                <w:b/>
              </w:rPr>
            </w:r>
          </w:p>
        </w:tc>
      </w:tr>
    </w:tbl>
    <w:p>
      <w:pPr>
        <w:pStyle w:val="998"/>
        <w:keepNext w:val="false"/>
        <w:widowControl w:val="false"/>
        <w:numPr>
          <w:ilvl w:val="2"/>
          <w:numId w:val="16"/>
        </w:numPr>
        <w:pBdr/>
        <w:spacing/>
        <w:ind/>
        <w:rPr>
          <w:rFonts w:hint="eastAsia"/>
        </w:rPr>
      </w:pPr>
      <w:r/>
      <w:bookmarkStart w:id="146" w:name="_Toc26451233"/>
      <w:r/>
      <w:bookmarkStart w:id="147" w:name="_Toc449435136"/>
      <w:r/>
      <w:bookmarkStart w:id="148" w:name="_cadre_d’analyse"/>
      <w:r/>
      <w:bookmarkStart w:id="149" w:name="_Toc206749689"/>
      <w:r/>
      <w:bookmarkEnd w:id="146"/>
      <w:r/>
      <w:bookmarkEnd w:id="147"/>
      <w:r/>
      <w:bookmarkEnd w:id="148"/>
      <w:r>
        <w:t xml:space="preserve">Cadre d’analyse</w:t>
      </w:r>
      <w:bookmarkEnd w:id="149"/>
      <w:r/>
      <w:r>
        <w:rPr>
          <w:rFonts w:hint="eastAsia"/>
        </w:rPr>
      </w:r>
    </w:p>
    <w:p>
      <w:pPr>
        <w:pStyle w:val="999"/>
        <w:keepNext w:val="false"/>
        <w:widowControl w:val="false"/>
        <w:numPr>
          <w:ilvl w:val="3"/>
          <w:numId w:val="16"/>
        </w:numPr>
        <w:pBdr/>
        <w:spacing/>
        <w:ind/>
        <w:rPr/>
      </w:pPr>
      <w:r>
        <w:t xml:space="preserve">Cadre d’analyse technique</w:t>
      </w:r>
      <w:r/>
    </w:p>
    <w:p>
      <w:pPr>
        <w:widowControl w:val="false"/>
        <w:pBdr/>
        <w:spacing/>
        <w:ind/>
        <w:rPr>
          <w:lang w:eastAsia="en-US"/>
        </w:rPr>
      </w:pPr>
      <w:r>
        <w:rPr>
          <w:lang w:eastAsia="en-US"/>
        </w:rPr>
        <w:t xml:space="preserve">L’analyse technique est effectuée sur la base des réponses fournies par le candidat dans le cadre de l’offre technique citée à l’article </w:t>
      </w:r>
      <w:r>
        <w:t xml:space="preserve">IV.2.4</w:t>
      </w:r>
      <w:r>
        <w:rPr>
          <w:lang w:eastAsia="en-US"/>
        </w:rPr>
        <w:t xml:space="preserve"> du présent document.</w:t>
      </w:r>
      <w:r>
        <w:rPr>
          <w:lang w:eastAsia="en-US"/>
        </w:rPr>
      </w:r>
    </w:p>
    <w:p>
      <w:pPr>
        <w:pStyle w:val="999"/>
        <w:keepNext w:val="false"/>
        <w:widowControl w:val="false"/>
        <w:numPr>
          <w:ilvl w:val="3"/>
          <w:numId w:val="16"/>
        </w:numPr>
        <w:pBdr/>
        <w:spacing/>
        <w:ind/>
        <w:rPr/>
      </w:pPr>
      <w:r>
        <w:t xml:space="preserve">Cadre d’analyse financière</w:t>
      </w:r>
      <w:r/>
    </w:p>
    <w:p>
      <w:pPr>
        <w:widowControl w:val="false"/>
        <w:pBdr/>
        <w:spacing/>
        <w:ind/>
        <w:rPr>
          <w:lang w:eastAsia="en-US"/>
        </w:rPr>
      </w:pPr>
      <w:r>
        <w:rPr>
          <w:lang w:eastAsia="en-US"/>
        </w:rPr>
        <w:t xml:space="preserve">L’analyse financière est effectuée sur la base des réponses fournies par le candidat dans le cadre de la simulation financière citée à l’article </w:t>
      </w:r>
      <w:r>
        <w:t xml:space="preserve">IV.2.3</w:t>
      </w:r>
      <w:r>
        <w:rPr>
          <w:lang w:eastAsia="en-US"/>
        </w:rPr>
        <w:t xml:space="preserve"> du présent document.</w:t>
      </w:r>
      <w:r>
        <w:rPr>
          <w:lang w:eastAsia="en-US"/>
        </w:rPr>
      </w:r>
    </w:p>
    <w:p>
      <w:pPr>
        <w:pStyle w:val="999"/>
        <w:keepNext w:val="false"/>
        <w:widowControl w:val="false"/>
        <w:numPr>
          <w:ilvl w:val="3"/>
          <w:numId w:val="16"/>
        </w:numPr>
        <w:pBdr/>
        <w:spacing/>
        <w:ind/>
        <w:rPr/>
      </w:pPr>
      <w:r>
        <w:t xml:space="preserve">Cadre d’analyse environnementale</w:t>
      </w:r>
      <w:r/>
    </w:p>
    <w:p>
      <w:pPr>
        <w:widowControl w:val="false"/>
        <w:pBdr/>
        <w:spacing/>
        <w:ind/>
        <w:rPr>
          <w:lang w:eastAsia="en-US"/>
        </w:rPr>
      </w:pPr>
      <w:r>
        <w:rPr>
          <w:lang w:eastAsia="en-US"/>
        </w:rPr>
        <w:t xml:space="preserve">L’analyse </w:t>
      </w:r>
      <w:r>
        <w:rPr>
          <w:lang w:eastAsia="en-US"/>
        </w:rPr>
        <w:t xml:space="preserve">environnementale</w:t>
      </w:r>
      <w:r>
        <w:rPr>
          <w:lang w:eastAsia="en-US"/>
        </w:rPr>
        <w:t xml:space="preserve"> est effectuée sur la base des réponses fournies par le candidat dans le </w:t>
      </w:r>
      <w:r>
        <w:rPr>
          <w:lang w:eastAsia="en-US"/>
        </w:rPr>
        <w:t xml:space="preserve">cadre de l’offre technique citée à l’article </w:t>
      </w:r>
      <w:r>
        <w:t xml:space="preserve">IV.2.5</w:t>
      </w:r>
      <w:r>
        <w:rPr>
          <w:lang w:eastAsia="en-US"/>
        </w:rPr>
        <w:t xml:space="preserve"> </w:t>
      </w:r>
      <w:r>
        <w:rPr>
          <w:lang w:eastAsia="en-US"/>
        </w:rPr>
        <w:t xml:space="preserve">du présent document.</w:t>
      </w:r>
      <w:r>
        <w:rPr>
          <w:lang w:eastAsia="en-US"/>
        </w:rPr>
      </w:r>
    </w:p>
    <w:p>
      <w:pPr>
        <w:pStyle w:val="998"/>
        <w:keepNext w:val="false"/>
        <w:widowControl w:val="false"/>
        <w:numPr>
          <w:ilvl w:val="2"/>
          <w:numId w:val="16"/>
        </w:numPr>
        <w:pBdr/>
        <w:spacing/>
        <w:ind/>
        <w:rPr>
          <w:rFonts w:hint="eastAsia"/>
        </w:rPr>
      </w:pPr>
      <w:r/>
      <w:bookmarkStart w:id="150" w:name="_Toc26451235"/>
      <w:r/>
      <w:bookmarkStart w:id="151" w:name="_Toc26451234"/>
      <w:r/>
      <w:bookmarkStart w:id="152" w:name="_Toc206749690"/>
      <w:r/>
      <w:bookmarkEnd w:id="150"/>
      <w:r/>
      <w:bookmarkEnd w:id="151"/>
      <w:r>
        <w:t xml:space="preserve">Demande de précisions sur la teneur des offres et examen de leur recevabilité</w:t>
      </w:r>
      <w:bookmarkEnd w:id="152"/>
      <w:r/>
      <w:r>
        <w:rPr>
          <w:rFonts w:hint="eastAsia"/>
        </w:rPr>
      </w:r>
    </w:p>
    <w:p>
      <w:pPr>
        <w:widowControl w:val="false"/>
        <w:pBdr/>
        <w:spacing/>
        <w:ind/>
        <w:rPr>
          <w:lang w:eastAsia="en-US"/>
        </w:rPr>
      </w:pPr>
      <w:r>
        <w:rPr>
          <w:lang w:eastAsia="en-US"/>
        </w:rPr>
        <w:t xml:space="preserve">a) Il ne peut y avoir de négociation avec les candidats.</w:t>
      </w:r>
      <w:r>
        <w:rPr>
          <w:lang w:eastAsia="en-US"/>
        </w:rPr>
      </w:r>
    </w:p>
    <w:p>
      <w:pPr>
        <w:widowControl w:val="false"/>
        <w:pBdr/>
        <w:spacing/>
        <w:ind/>
        <w:rPr>
          <w:lang w:eastAsia="en-US"/>
        </w:rPr>
      </w:pPr>
      <w:r>
        <w:rPr>
          <w:lang w:eastAsia="en-US"/>
        </w:rPr>
        <w:t xml:space="preserve">En revanche, l’administration peut, dans le respect de l’égalité de traitement des candidats, demander à un soumissionnaire de préciser la teneur de son offre.</w:t>
      </w:r>
      <w:r>
        <w:rPr>
          <w:lang w:eastAsia="en-US"/>
        </w:rPr>
      </w:r>
    </w:p>
    <w:p>
      <w:pPr>
        <w:widowControl w:val="false"/>
        <w:pBdr/>
        <w:spacing/>
        <w:ind/>
        <w:rPr>
          <w:lang w:eastAsia="en-US"/>
        </w:rPr>
      </w:pPr>
      <w:r>
        <w:rPr>
          <w:lang w:eastAsia="en-US"/>
        </w:rPr>
        <w:t xml:space="preserve">Le candidat répond dans les délais fixés par l’administration dans sa demande de précisions </w:t>
      </w:r>
      <w:r>
        <w:t xml:space="preserve">selon le moyen de correspondance mentionné à l’article I.5 du présent document</w:t>
      </w:r>
      <w:r>
        <w:rPr>
          <w:lang w:eastAsia="en-US"/>
        </w:rPr>
        <w:t xml:space="preserve">.</w:t>
      </w:r>
      <w:r>
        <w:rPr>
          <w:lang w:eastAsia="en-US"/>
        </w:rPr>
      </w:r>
    </w:p>
    <w:p>
      <w:pPr>
        <w:widowControl w:val="false"/>
        <w:pBdr/>
        <w:spacing/>
        <w:ind/>
        <w:rPr>
          <w:lang w:eastAsia="en-US"/>
        </w:rPr>
      </w:pPr>
      <w:r>
        <w:rPr>
          <w:lang w:eastAsia="en-US"/>
        </w:rPr>
        <w:t xml:space="preserve">Les éléments de réponses apportés sont annexés à l’offre du candidat. </w:t>
      </w:r>
      <w:r>
        <w:rPr>
          <w:lang w:eastAsia="en-US"/>
        </w:rPr>
      </w:r>
    </w:p>
    <w:p>
      <w:pPr>
        <w:widowControl w:val="false"/>
        <w:pBdr/>
        <w:spacing/>
        <w:ind/>
        <w:rPr>
          <w:lang w:eastAsia="en-US"/>
        </w:rPr>
      </w:pPr>
      <w:r>
        <w:rPr>
          <w:lang w:eastAsia="en-US"/>
        </w:rPr>
      </w:r>
      <w:r>
        <w:rPr>
          <w:lang w:eastAsia="en-US"/>
        </w:rPr>
      </w:r>
    </w:p>
    <w:p>
      <w:pPr>
        <w:widowControl w:val="false"/>
        <w:pBdr/>
        <w:spacing/>
        <w:ind/>
        <w:rPr>
          <w:lang w:eastAsia="en-US"/>
        </w:rPr>
      </w:pPr>
      <w:r>
        <w:rPr>
          <w:lang w:eastAsia="en-US"/>
        </w:rPr>
        <w:t xml:space="preserve">b) Dans le respect des dispositions des articles L. 2152-5 et L. 2152-6 ainsi que des articles R. 2152-3 à R. 2152-5 du code de la commande publique, si, après v</w:t>
      </w:r>
      <w:r>
        <w:rPr>
          <w:lang w:eastAsia="en-US"/>
        </w:rPr>
        <w:t xml:space="preserve">érification des justifications fournies par le candidat, l’administration établit qu’une offre est anormalement basse, y compris pour la part de l’accord-cadre que le candidat envisage de sous-traiter, l’administration rejette l’offre par décision motivée.</w:t>
      </w:r>
      <w:r>
        <w:rPr>
          <w:lang w:eastAsia="en-US"/>
        </w:rPr>
      </w:r>
    </w:p>
    <w:p>
      <w:pPr>
        <w:widowControl w:val="false"/>
        <w:pBdr/>
        <w:spacing/>
        <w:ind/>
        <w:rPr>
          <w:lang w:eastAsia="en-US"/>
        </w:rPr>
      </w:pPr>
      <w:r>
        <w:rPr>
          <w:lang w:eastAsia="en-US"/>
        </w:rPr>
        <w:t xml:space="preserve">c) Les offres inappropriées, inacceptables ou irrégulières au sens des articles L. 2152-2 à </w:t>
      </w:r>
      <w:r>
        <w:rPr>
          <w:lang w:eastAsia="en-US"/>
        </w:rPr>
        <w:br/>
        <w:t xml:space="preserve">L. 2152-4 sont éliminées. Le cas échéant, il peut s’agir d’offres pour lesquelles des précisions ont été demandées par l’administration. </w:t>
      </w:r>
      <w:r>
        <w:rPr>
          <w:lang w:eastAsia="en-US"/>
        </w:rPr>
      </w:r>
    </w:p>
    <w:p>
      <w:pPr>
        <w:widowControl w:val="false"/>
        <w:pBdr/>
        <w:spacing/>
        <w:ind/>
        <w:rPr>
          <w:color w:val="000000"/>
        </w:rPr>
      </w:pPr>
      <w:r>
        <w:rPr>
          <w:lang w:eastAsia="en-US"/>
        </w:rPr>
        <w:t xml:space="preserve">d) Conformément aux dispositions de l’article R. 2152-2 du code de la commande publique, l’administration peut </w:t>
      </w:r>
      <w:r>
        <w:rPr>
          <w:color w:val="000000"/>
        </w:rPr>
        <w:t xml:space="preserve">autoriser tous les soumissionnaires concernés à régulariser leur offre, dans un délai fixé par l’administration, </w:t>
      </w:r>
      <w:r>
        <w:t xml:space="preserve">à condition que leur offre ne soit pas anormalement basse</w:t>
      </w:r>
      <w:r>
        <w:rPr>
          <w:color w:val="000000"/>
        </w:rPr>
        <w:t xml:space="preserve">.</w:t>
      </w:r>
      <w:r>
        <w:rPr>
          <w:color w:val="000000"/>
        </w:rPr>
      </w:r>
    </w:p>
    <w:p>
      <w:pPr>
        <w:widowControl w:val="false"/>
        <w:pBdr/>
        <w:spacing/>
        <w:ind/>
        <w:rPr>
          <w:lang w:eastAsia="en-US"/>
        </w:rPr>
      </w:pPr>
      <w:r>
        <w:rPr>
          <w:color w:val="000000"/>
        </w:rPr>
        <w:t xml:space="preserve">La régularisation des offres ne peut être l’occasion pour les soumissionnaires d’améliorer leur offre sur des points dont la régularité n’est pas en cause. Les caractéristiques substantielles des offres ne peuvent en aucun cas être modifiées.</w:t>
      </w:r>
      <w:r>
        <w:rPr>
          <w:lang w:eastAsia="en-US"/>
        </w:rPr>
      </w:r>
    </w:p>
    <w:p>
      <w:pPr>
        <w:pStyle w:val="997"/>
        <w:keepNext w:val="false"/>
        <w:widowControl w:val="false"/>
        <w:numPr>
          <w:ilvl w:val="1"/>
          <w:numId w:val="16"/>
        </w:numPr>
        <w:pBdr/>
        <w:shd w:val="clear" w:color="auto" w:fill="d8d8d8"/>
        <w:spacing/>
        <w:ind/>
        <w:rPr/>
      </w:pPr>
      <w:r/>
      <w:bookmarkStart w:id="153" w:name="_Toc26451236"/>
      <w:r/>
      <w:bookmarkStart w:id="154" w:name="_Toc206749691"/>
      <w:r/>
      <w:bookmarkEnd w:id="153"/>
      <w:r>
        <w:t xml:space="preserve">Achèvement de la consultation</w:t>
      </w:r>
      <w:bookmarkEnd w:id="154"/>
      <w:r/>
      <w:r/>
    </w:p>
    <w:p>
      <w:pPr>
        <w:pStyle w:val="998"/>
        <w:keepNext w:val="false"/>
        <w:widowControl w:val="false"/>
        <w:numPr>
          <w:ilvl w:val="2"/>
          <w:numId w:val="16"/>
        </w:numPr>
        <w:pBdr/>
        <w:spacing/>
        <w:ind/>
        <w:rPr>
          <w:rFonts w:hint="eastAsia"/>
        </w:rPr>
      </w:pPr>
      <w:r/>
      <w:bookmarkStart w:id="155" w:name="_Toc26451237"/>
      <w:r/>
      <w:bookmarkStart w:id="156" w:name="_Toc206749692"/>
      <w:r/>
      <w:bookmarkEnd w:id="155"/>
      <w:r>
        <w:t xml:space="preserve">Attribution de l’accord-cadre</w:t>
      </w:r>
      <w:bookmarkEnd w:id="156"/>
      <w:r/>
      <w:r>
        <w:rPr>
          <w:rFonts w:hint="eastAsia"/>
        </w:rPr>
      </w:r>
    </w:p>
    <w:p>
      <w:pPr>
        <w:widowControl w:val="false"/>
        <w:pBdr/>
        <w:spacing/>
        <w:ind/>
        <w:rPr>
          <w:lang w:eastAsia="en-US"/>
        </w:rPr>
      </w:pPr>
      <w:r/>
      <w:bookmarkStart w:id="157" w:name="_Toc24541168"/>
      <w:r/>
      <w:bookmarkStart w:id="158" w:name="_Toc24950292"/>
      <w:r/>
      <w:bookmarkStart w:id="159" w:name="_Toc25563933"/>
      <w:r/>
      <w:bookmarkStart w:id="160" w:name="_Toc38774307"/>
      <w:r/>
      <w:bookmarkEnd w:id="157"/>
      <w:r/>
      <w:bookmarkEnd w:id="158"/>
      <w:r/>
      <w:bookmarkEnd w:id="159"/>
      <w:r/>
      <w:bookmarkEnd w:id="160"/>
      <w:r>
        <w:rPr>
          <w:lang w:eastAsia="en-US"/>
        </w:rPr>
        <w:t xml:space="preserve">Les offres régulières, acceptables et appropriées, et qui n'ont pas été éliminées en raison de leur caractère anormalement bas, sont classées par ordre décroissant. L’offre la mieux classée est ensuite retenue.</w:t>
      </w:r>
      <w:r>
        <w:rPr>
          <w:lang w:eastAsia="en-US"/>
        </w:rPr>
      </w:r>
    </w:p>
    <w:p>
      <w:pPr>
        <w:widowControl w:val="false"/>
        <w:numPr>
          <w:ilvl w:val="0"/>
          <w:numId w:val="8"/>
        </w:numPr>
        <w:pBdr/>
        <w:spacing/>
        <w:ind w:firstLine="284" w:left="0"/>
        <w:rPr/>
      </w:pPr>
      <w:r>
        <w:rPr>
          <w:lang w:eastAsia="en-US"/>
        </w:rPr>
        <w:t xml:space="preserve">Le candidat auquel il est envisagé d’attribuer l’accord-cadre transmet à l’administration </w:t>
      </w:r>
      <w:r>
        <w:rPr>
          <w:b/>
        </w:rPr>
        <w:t xml:space="preserve">l’acte d’engagement complété, daté et signé électroniquement</w:t>
      </w:r>
      <w:r>
        <w:t xml:space="preserve"> ainsi que les délégations de pouvoir appropriées.</w:t>
      </w:r>
      <w:r/>
    </w:p>
    <w:p>
      <w:pPr>
        <w:widowControl w:val="false"/>
        <w:pBdr/>
        <w:spacing/>
        <w:ind/>
        <w:rPr>
          <w:lang w:eastAsia="en-US"/>
        </w:rPr>
      </w:pPr>
      <w:r>
        <w:rPr>
          <w:lang w:eastAsia="en-US"/>
        </w:rPr>
        <w:t xml:space="preserve">Le signataire de l’acte d’engagement est celui dont le nom figure dans le cadre « ENGAGEMENT DU CANDIDAT » du document. </w:t>
      </w:r>
      <w:r>
        <w:rPr>
          <w:lang w:eastAsia="en-US"/>
        </w:rPr>
      </w:r>
    </w:p>
    <w:p>
      <w:pPr>
        <w:widowControl w:val="false"/>
        <w:pBdr/>
        <w:spacing/>
        <w:ind/>
        <w:rPr>
          <w:lang w:eastAsia="en-US"/>
        </w:rPr>
      </w:pPr>
      <w:r>
        <w:rPr>
          <w:lang w:eastAsia="en-US"/>
        </w:rPr>
        <w:t xml:space="preserve">La signature se fait au moyen d’un certificat de signature électronique qui garantit son identification</w:t>
      </w:r>
      <w:r>
        <w:rPr>
          <w:rStyle w:val="953"/>
          <w:lang w:eastAsia="en-US"/>
        </w:rPr>
        <w:footnoteReference w:id="5"/>
      </w:r>
      <w:r>
        <w:t xml:space="preserve">.</w:t>
      </w:r>
      <w:r>
        <w:rPr>
          <w:lang w:eastAsia="en-US"/>
        </w:rPr>
      </w:r>
    </w:p>
    <w:p>
      <w:pPr>
        <w:widowControl w:val="false"/>
        <w:pBdr/>
        <w:spacing/>
        <w:ind/>
        <w:rPr>
          <w:lang w:eastAsia="en-US"/>
        </w:rPr>
      </w:pPr>
      <w:r>
        <w:rPr>
          <w:lang w:eastAsia="en-US"/>
        </w:rPr>
        <w:t xml:space="preserve">Si l’opérateur économique se présente seul, l’acte d’engagement doit être signé par le candidat individuel. </w:t>
      </w:r>
      <w:r>
        <w:rPr>
          <w:lang w:eastAsia="en-US"/>
        </w:rPr>
      </w:r>
    </w:p>
    <w:p>
      <w:pPr>
        <w:widowControl w:val="false"/>
        <w:pBdr/>
        <w:spacing/>
        <w:ind/>
        <w:rPr>
          <w:lang w:eastAsia="en-US"/>
        </w:rPr>
      </w:pPr>
      <w:r>
        <w:rPr>
          <w:lang w:eastAsia="en-US"/>
        </w:rPr>
        <w:t xml:space="preserve">En cas de groupement, l’acte d’engagement doit être signé :</w:t>
      </w:r>
      <w:r>
        <w:rPr>
          <w:lang w:eastAsia="en-US"/>
        </w:rPr>
      </w:r>
    </w:p>
    <w:p>
      <w:pPr>
        <w:widowControl w:val="false"/>
        <w:numPr>
          <w:ilvl w:val="0"/>
          <w:numId w:val="10"/>
        </w:numPr>
        <w:pBdr/>
        <w:tabs>
          <w:tab w:val="left" w:leader="none" w:pos="284"/>
        </w:tabs>
        <w:spacing/>
        <w:ind w:firstLine="0" w:left="0"/>
        <w:rPr>
          <w:lang w:eastAsia="en-US"/>
        </w:rPr>
      </w:pPr>
      <w:r>
        <w:rPr>
          <w:lang w:eastAsia="en-US"/>
        </w:rPr>
        <w:t xml:space="preserve">soit</w:t>
      </w:r>
      <w:r>
        <w:rPr>
          <w:lang w:eastAsia="en-US"/>
        </w:rPr>
        <w:t xml:space="preserve"> par tous les membres du groupement en l’absence de mandataire habilité à signer l’offre du groupement. Dans ce cas, chaque membre du groupement doit fournir les délégations de pouvoirs appropriées ;</w:t>
      </w:r>
      <w:r>
        <w:rPr>
          <w:lang w:eastAsia="en-US"/>
        </w:rPr>
      </w:r>
    </w:p>
    <w:p>
      <w:pPr>
        <w:widowControl w:val="false"/>
        <w:numPr>
          <w:ilvl w:val="0"/>
          <w:numId w:val="10"/>
        </w:numPr>
        <w:pBdr/>
        <w:tabs>
          <w:tab w:val="left" w:leader="none" w:pos="284"/>
        </w:tabs>
        <w:spacing/>
        <w:ind w:firstLine="0" w:left="0"/>
        <w:rPr>
          <w:lang w:eastAsia="en-US"/>
        </w:rPr>
      </w:pPr>
      <w:r>
        <w:rPr>
          <w:lang w:eastAsia="en-US"/>
        </w:rPr>
        <w:t xml:space="preserve">soit</w:t>
      </w:r>
      <w:r>
        <w:rPr>
          <w:lang w:eastAsia="en-US"/>
        </w:rPr>
        <w:t xml:space="preserve"> par le mandataire qui a reçu mandat pour signer l’offre du groupement, et qui produit alors, </w:t>
      </w:r>
      <w:r>
        <w:rPr>
          <w:lang w:eastAsia="en-US"/>
        </w:rPr>
        <w:t xml:space="preserve">en annexe de l’acte d’engagement :</w:t>
      </w:r>
      <w:r>
        <w:rPr>
          <w:lang w:eastAsia="en-US"/>
        </w:rPr>
      </w:r>
    </w:p>
    <w:p>
      <w:pPr>
        <w:widowControl w:val="false"/>
        <w:numPr>
          <w:ilvl w:val="0"/>
          <w:numId w:val="9"/>
        </w:numPr>
        <w:pBdr/>
        <w:tabs>
          <w:tab w:val="left" w:leader="none" w:pos="284"/>
        </w:tabs>
        <w:spacing/>
        <w:ind/>
        <w:rPr>
          <w:lang w:eastAsia="en-US"/>
        </w:rPr>
      </w:pPr>
      <w:r>
        <w:rPr>
          <w:lang w:eastAsia="en-US"/>
        </w:rPr>
        <w:t xml:space="preserve">le</w:t>
      </w:r>
      <w:r>
        <w:rPr>
          <w:lang w:eastAsia="en-US"/>
        </w:rPr>
        <w:t xml:space="preserve"> document d’habilitation signé par chacun des membres du groupement justifiant de la capacité du mandataire à intervenir en leur nom et pour leur compte ;</w:t>
      </w:r>
      <w:r>
        <w:rPr>
          <w:lang w:eastAsia="en-US"/>
        </w:rPr>
      </w:r>
    </w:p>
    <w:p>
      <w:pPr>
        <w:widowControl w:val="false"/>
        <w:numPr>
          <w:ilvl w:val="0"/>
          <w:numId w:val="9"/>
        </w:numPr>
        <w:pBdr/>
        <w:tabs>
          <w:tab w:val="left" w:leader="none" w:pos="284"/>
        </w:tabs>
        <w:spacing/>
        <w:ind/>
        <w:rPr>
          <w:lang w:eastAsia="en-US"/>
        </w:rPr>
      </w:pPr>
      <w:r>
        <w:rPr>
          <w:lang w:eastAsia="en-US"/>
        </w:rPr>
        <w:t xml:space="preserve">les</w:t>
      </w:r>
      <w:r>
        <w:rPr>
          <w:lang w:eastAsia="en-US"/>
        </w:rPr>
        <w:t xml:space="preserve"> délégations de pouvoir de chaque membre du groupement.</w:t>
      </w:r>
      <w:r>
        <w:rPr>
          <w:lang w:eastAsia="en-US"/>
        </w:rPr>
      </w:r>
    </w:p>
    <w:p>
      <w:pPr>
        <w:widowControl w:val="false"/>
        <w:pBdr/>
        <w:tabs>
          <w:tab w:val="left" w:leader="none" w:pos="284"/>
        </w:tabs>
        <w:spacing/>
        <w:ind/>
        <w:rPr>
          <w:lang w:eastAsia="en-US"/>
        </w:rPr>
      </w:pPr>
      <w:r>
        <w:rPr>
          <w:lang w:eastAsia="en-US"/>
        </w:rPr>
        <w:t xml:space="preserve">Le (ou les) signataire(s) de l’acte d’engagement n’est (ne sont) pas tenu(s) de fournir les délégations de pouvoir </w:t>
      </w:r>
      <w:r>
        <w:t xml:space="preserve">qu’il a (ils ont) déjà transmis à l’administration dans le cas </w:t>
      </w:r>
      <w:r>
        <w:rPr>
          <w:lang w:eastAsia="en-US"/>
        </w:rPr>
        <w:t xml:space="preserve">où il a (ils ont) </w:t>
      </w:r>
      <w:r>
        <w:t xml:space="preserve">présenté sa (leur) candidature sous la forme d’un DUME.</w:t>
      </w:r>
      <w:r>
        <w:rPr>
          <w:lang w:eastAsia="en-US"/>
        </w:rPr>
      </w:r>
    </w:p>
    <w:p>
      <w:pPr>
        <w:widowControl w:val="false"/>
        <w:pBdr/>
        <w:spacing/>
        <w:ind/>
        <w:rPr/>
      </w:pPr>
      <w:r>
        <w:t xml:space="preserve">L’acte d’engagement et ses annexes, signés et complétés, le CCAP et ses annexes, le CCTP et ses annexes, constituent, à compter de la notification, les documents contractuels de l’accord-cadre objet de la présente consultation.</w:t>
      </w:r>
      <w:r/>
    </w:p>
    <w:p>
      <w:pPr>
        <w:pStyle w:val="1074"/>
        <w:widowControl w:val="false"/>
        <w:numPr>
          <w:ilvl w:val="0"/>
          <w:numId w:val="12"/>
        </w:numPr>
        <w:pBdr/>
        <w:spacing/>
        <w:ind w:firstLine="284" w:left="0"/>
        <w:rPr>
          <w:rFonts w:eastAsia="Times New Roman"/>
          <w:lang w:eastAsia="en-US"/>
        </w:rPr>
      </w:pPr>
      <w:r>
        <w:rPr>
          <w:rFonts w:eastAsia="Times New Roman"/>
          <w:lang w:eastAsia="en-US"/>
        </w:rPr>
        <w:t xml:space="preserve">Le candidat auquel il est envisagé d’attribuer l’accord-cadre transmet </w:t>
      </w:r>
      <w:r>
        <w:t xml:space="preserve">à l’administration </w:t>
      </w:r>
      <w:r>
        <w:rPr>
          <w:rFonts w:eastAsia="Times New Roman"/>
          <w:lang w:eastAsia="en-US"/>
        </w:rPr>
        <w:t xml:space="preserve">un relevé d’identité bancaire.</w:t>
      </w:r>
      <w:r>
        <w:rPr>
          <w:rFonts w:eastAsia="Times New Roman"/>
          <w:lang w:eastAsia="en-US"/>
        </w:rPr>
      </w:r>
    </w:p>
    <w:p>
      <w:pPr>
        <w:widowControl w:val="false"/>
        <w:numPr>
          <w:ilvl w:val="0"/>
          <w:numId w:val="8"/>
        </w:numPr>
        <w:pBdr/>
        <w:spacing/>
        <w:ind w:firstLine="284" w:left="0"/>
        <w:rPr>
          <w:lang w:eastAsia="en-US"/>
        </w:rPr>
      </w:pPr>
      <w:r>
        <w:rPr>
          <w:lang w:eastAsia="en-US"/>
        </w:rPr>
        <w:t xml:space="preserve">Conformément aux dispositions des articles R. 2143-6 à R. 2143-10 et R. 2144-4 du code de la commande publique, le candidat auquel il est envisagé d’attribuer l’accord-cadre doit également produire les documents ci-après :</w:t>
      </w:r>
      <w:r>
        <w:rPr>
          <w:lang w:eastAsia="en-US"/>
        </w:rPr>
      </w:r>
    </w:p>
    <w:p>
      <w:pPr>
        <w:pStyle w:val="1085"/>
        <w:widowControl w:val="false"/>
        <w:numPr>
          <w:ilvl w:val="0"/>
          <w:numId w:val="5"/>
        </w:numPr>
        <w:pBdr/>
        <w:spacing/>
        <w:ind/>
        <w:rPr>
          <w:lang w:eastAsia="en-US"/>
        </w:rPr>
      </w:pPr>
      <w:r>
        <w:rPr>
          <w:lang w:eastAsia="en-US"/>
        </w:rPr>
        <w:t xml:space="preserve">les</w:t>
      </w:r>
      <w:r>
        <w:rPr>
          <w:lang w:eastAsia="en-US"/>
        </w:rPr>
        <w:t xml:space="preserve"> attestations et certificats délivrés par les administrations et organismes compétents prouvant qu’il a satisfait à ses obligations fiscales et sociales. </w:t>
      </w:r>
      <w:r>
        <w:t xml:space="preserve">Le candidat établi à l'étranger produit un certificat établi par les administrations et organismes de son pays d'origine ou d'établissement traduit en langue française ;</w:t>
      </w:r>
      <w:r>
        <w:rPr>
          <w:lang w:eastAsia="en-US"/>
        </w:rPr>
      </w:r>
    </w:p>
    <w:p>
      <w:pPr>
        <w:pStyle w:val="1085"/>
        <w:widowControl w:val="false"/>
        <w:numPr>
          <w:ilvl w:val="0"/>
          <w:numId w:val="5"/>
        </w:numPr>
        <w:pBdr/>
        <w:spacing/>
        <w:ind/>
        <w:rPr>
          <w:lang w:eastAsia="en-US"/>
        </w:rPr>
      </w:pPr>
      <w:r>
        <w:rPr>
          <w:lang w:eastAsia="en-US"/>
        </w:rPr>
        <w:t xml:space="preserve">le</w:t>
      </w:r>
      <w:r>
        <w:rPr>
          <w:lang w:eastAsia="en-US"/>
        </w:rPr>
        <w:t xml:space="preserve"> cas échéant, les pièces prévues aux articles R. 1263-12, D. 8222-5 ou D. 8222-7 ou D. 8254-2 à D. 8254-5 du code du travail ;</w:t>
      </w:r>
      <w:r>
        <w:rPr>
          <w:lang w:eastAsia="en-US"/>
        </w:rPr>
      </w:r>
    </w:p>
    <w:p>
      <w:pPr>
        <w:pStyle w:val="1085"/>
        <w:widowControl w:val="false"/>
        <w:numPr>
          <w:ilvl w:val="0"/>
          <w:numId w:val="5"/>
        </w:numPr>
        <w:pBdr/>
        <w:spacing/>
        <w:ind/>
        <w:rPr>
          <w:lang w:eastAsia="en-US"/>
        </w:rPr>
      </w:pPr>
      <w:r>
        <w:t xml:space="preserve">un</w:t>
      </w:r>
      <w:r>
        <w:t xml:space="preserve"> extrait du registre pertinent, te</w:t>
      </w:r>
      <w:r>
        <w:t xml:space="preserve">l qu'un extrait K, un extrait K bis, un extrait D1 ou, à défaut, d'un document équivalent délivré par l'autorité judiciaire ou administrative compétente. Lorsque le candidat est en redressement judiciaire, il produit la copie du ou des jugements prononcés.</w:t>
      </w:r>
      <w:r>
        <w:rPr>
          <w:lang w:eastAsia="en-US"/>
        </w:rPr>
      </w:r>
    </w:p>
    <w:p>
      <w:pPr>
        <w:widowControl w:val="false"/>
        <w:pBdr/>
        <w:spacing/>
        <w:ind/>
        <w:rPr>
          <w:lang w:eastAsia="en-US"/>
        </w:rPr>
      </w:pPr>
      <w:r>
        <w:rPr>
          <w:lang w:eastAsia="en-US"/>
        </w:rPr>
        <w:t xml:space="preserve">Lorsque les autorités compétentes du pays d'origine ou d'établissement du candidat</w:t>
      </w:r>
      <w:r>
        <w:rPr>
          <w:lang w:eastAsia="en-US"/>
        </w:rPr>
        <w:t xml:space="preserve"> ne délivrent pas les documents justificatifs équivalents à ceux mentionnés ci-avant, ou lorsque ceux-ci ne mentionnent pas tous les cas d'interdiction de soumissionner, les documents justificatifs peuvent être remplacés par une déclaration sous serment ou</w:t>
      </w:r>
      <w:r>
        <w:rPr>
          <w:lang w:eastAsia="en-US"/>
        </w:rPr>
        <w:t xml:space="preserve">, dans les pays où une telle procédure n'existe pas, par une déclaration solennelle faite par le candidat concerné devant une autorité judiciaire ou administrative, un notaire ou un organisme professionnel qualifié de son pays d'origine ou d'établissement.</w:t>
      </w:r>
      <w:r>
        <w:rPr>
          <w:lang w:eastAsia="en-US"/>
        </w:rPr>
      </w:r>
    </w:p>
    <w:p>
      <w:pPr>
        <w:widowControl w:val="false"/>
        <w:pBdr/>
        <w:spacing/>
        <w:ind/>
        <w:rPr>
          <w:lang w:eastAsia="en-US"/>
        </w:rPr>
      </w:pPr>
      <w:r>
        <w:rPr>
          <w:lang w:eastAsia="en-US"/>
        </w:rPr>
        <w:t xml:space="preserve">Si le candidat retenu ne peut produire les documents ci-dessus et dans le délai fixé par l’administration, sa candidature est déclarée irrecevable et le candidat est éliminé. Le candida</w:t>
      </w:r>
      <w:r>
        <w:rPr>
          <w:lang w:eastAsia="en-US"/>
        </w:rPr>
        <w:t xml:space="preserve">t dont l'offre a été classée immédiatement après la sienne est alors sollicité pour produire les certificats et attestations nécessaires avant que l’accord-cadre ne lui soit attribué. Si nécessaire, cette procédure peut être reproduite tant qu'il subsiste </w:t>
      </w:r>
      <w:r>
        <w:t xml:space="preserve">des candidatures recevables ou</w:t>
      </w:r>
      <w:r>
        <w:rPr>
          <w:lang w:eastAsia="en-US"/>
        </w:rPr>
        <w:t xml:space="preserve"> des offres qui n'ont pas été écartées au motif qu'elles sont inappropriées, irrégulières ou inacceptables.</w:t>
      </w:r>
      <w:r>
        <w:rPr>
          <w:lang w:eastAsia="en-US"/>
        </w:rPr>
      </w:r>
    </w:p>
    <w:p>
      <w:pPr>
        <w:widowControl w:val="false"/>
        <w:pBdr>
          <w:top w:val="single" w:color="00000a" w:sz="4" w:space="1"/>
          <w:left w:val="single" w:color="00000a" w:sz="4" w:space="4"/>
          <w:bottom w:val="single" w:color="00000a" w:sz="4" w:space="1"/>
          <w:right w:val="single" w:color="00000a" w:sz="4" w:space="4"/>
        </w:pBdr>
        <w:shd w:val="clear" w:color="auto" w:fill="bfbfbf" w:themeFill="background1" w:themeFillShade="BF"/>
        <w:spacing/>
        <w:ind/>
        <w:rPr>
          <w:b/>
        </w:rPr>
      </w:pPr>
      <w:r>
        <w:rPr>
          <w:b/>
        </w:rPr>
        <w:t xml:space="preserve">Conformément à l’article D. 113-14 du code des relations entre le public et l’administration, le candidat retenu n’est pas tenu de produire les pièces listées ci-dessus, si elles peuvent être obtenues directement auprès d’une autre administration.</w:t>
      </w:r>
      <w:r>
        <w:rPr>
          <w:b/>
        </w:rPr>
      </w:r>
    </w:p>
    <w:p>
      <w:pPr>
        <w:widowControl w:val="false"/>
        <w:pBdr>
          <w:top w:val="single" w:color="00000a" w:sz="4" w:space="1"/>
          <w:left w:val="single" w:color="00000a" w:sz="4" w:space="4"/>
          <w:bottom w:val="single" w:color="00000a" w:sz="4" w:space="1"/>
          <w:right w:val="single" w:color="00000a" w:sz="4" w:space="4"/>
        </w:pBdr>
        <w:shd w:val="clear" w:color="auto" w:fill="bfbfbf" w:themeFill="background1" w:themeFillShade="BF"/>
        <w:spacing/>
        <w:ind/>
        <w:rPr>
          <w:b/>
        </w:rPr>
      </w:pPr>
      <w:r>
        <w:rPr>
          <w:b/>
        </w:rPr>
        <w:t xml:space="preserve">A l’instar des pièces relatives aux capacités des candidats, et conforméme</w:t>
      </w:r>
      <w:r>
        <w:rPr>
          <w:b/>
        </w:rPr>
        <w:t xml:space="preserve">nt aux articles R. 2143-13 et R. 2143-14 du code de la commande publique, le candidat retenu n’est pas tenu de fournir les documents justificatifs et moyens de preuve que l'acheteur peut obtenir par les moyens cités à l’article IV.1.2 du présent règlement.</w:t>
      </w:r>
      <w:r>
        <w:rPr>
          <w:b/>
        </w:rPr>
      </w:r>
    </w:p>
    <w:p>
      <w:pPr>
        <w:pStyle w:val="998"/>
        <w:keepNext w:val="false"/>
        <w:widowControl w:val="false"/>
        <w:numPr>
          <w:ilvl w:val="2"/>
          <w:numId w:val="16"/>
        </w:numPr>
        <w:pBdr/>
        <w:spacing/>
        <w:ind/>
        <w:rPr>
          <w:rFonts w:hint="eastAsia"/>
        </w:rPr>
      </w:pPr>
      <w:r/>
      <w:bookmarkStart w:id="161" w:name="_Toc26451238"/>
      <w:r/>
      <w:bookmarkStart w:id="162" w:name="_Toc206749693"/>
      <w:r/>
      <w:bookmarkEnd w:id="161"/>
      <w:r>
        <w:t xml:space="preserve">Mise au point des composantes de l’accord-cadre</w:t>
      </w:r>
      <w:bookmarkEnd w:id="162"/>
      <w:r/>
      <w:r>
        <w:rPr>
          <w:rFonts w:hint="eastAsia"/>
        </w:rPr>
      </w:r>
    </w:p>
    <w:p>
      <w:pPr>
        <w:widowControl w:val="false"/>
        <w:pBdr/>
        <w:spacing/>
        <w:ind/>
        <w:rPr/>
      </w:pPr>
      <w:r>
        <w:t xml:space="preserve">Conformément à l'article R. 2152-13 du code de la commande publique</w:t>
      </w:r>
      <w:r>
        <w:rPr>
          <w:lang w:eastAsia="en-US"/>
        </w:rPr>
        <w:t xml:space="preserve">, </w:t>
      </w:r>
      <w:r>
        <w:t xml:space="preserve">l’administration peut, en accord avec le candidat retenu, procéder à une mise au point des composantes de l’accord-cadre </w:t>
      </w:r>
      <w:r>
        <w:t xml:space="preserve">avant sa signature sans que cette mise au point puisse avoir pour effet de modifier des caractéristiques substantielles de l'offre ou de l’accord-cadre.</w:t>
      </w:r>
      <w:r/>
    </w:p>
    <w:p>
      <w:pPr>
        <w:pStyle w:val="998"/>
        <w:keepNext w:val="false"/>
        <w:widowControl w:val="false"/>
        <w:numPr>
          <w:ilvl w:val="2"/>
          <w:numId w:val="16"/>
        </w:numPr>
        <w:pBdr/>
        <w:spacing/>
        <w:ind/>
        <w:rPr>
          <w:rFonts w:hint="eastAsia"/>
        </w:rPr>
      </w:pPr>
      <w:r/>
      <w:bookmarkStart w:id="163" w:name="_Toc26451239"/>
      <w:r/>
      <w:bookmarkStart w:id="164" w:name="_Toc206749694"/>
      <w:r/>
      <w:bookmarkEnd w:id="163"/>
      <w:r>
        <w:t xml:space="preserve">Candidatures et offres non retenues</w:t>
      </w:r>
      <w:bookmarkEnd w:id="164"/>
      <w:r/>
      <w:r>
        <w:rPr>
          <w:rFonts w:hint="eastAsia"/>
        </w:rPr>
      </w:r>
    </w:p>
    <w:p>
      <w:pPr>
        <w:widowControl w:val="false"/>
        <w:pBdr/>
        <w:spacing/>
        <w:ind/>
        <w:rPr/>
      </w:pPr>
      <w:r>
        <w:t xml:space="preserve">Dès qu'il a fait son choix, l’administration notifie à tous les autres candidats le rejet de leur candidature ou de leur offre, en leur indiquant les motifs de ce rejet. </w:t>
      </w:r>
      <w:r/>
    </w:p>
    <w:p>
      <w:pPr>
        <w:widowControl w:val="false"/>
        <w:pBdr/>
        <w:spacing/>
        <w:ind/>
        <w:rPr/>
      </w:pPr>
      <w:r>
        <w:t xml:space="preserve">Cette notification précise le nom de l'a</w:t>
      </w:r>
      <w:r>
        <w:t xml:space="preserve">ttributaire et les motifs qui ont conduit au choix de son offre. Cette notification est faite aux candidats ayant soumis une offre et à ceux n'ayant pas encore eu communication du rejet de leur candidature. Cette notification de rejet se fait via la PLACE.</w:t>
      </w:r>
      <w:r/>
    </w:p>
    <w:p>
      <w:pPr>
        <w:widowControl w:val="false"/>
        <w:pBdr/>
        <w:spacing/>
        <w:ind/>
        <w:rPr/>
      </w:pPr>
      <w:r>
        <w:t xml:space="preserve">Les offres des candidats non retenus sont archivées par l’administration pendant une durée de cinq (5) ans.</w:t>
      </w:r>
      <w:r/>
    </w:p>
    <w:p>
      <w:pPr>
        <w:widowControl w:val="false"/>
        <w:pBdr/>
        <w:spacing/>
        <w:ind/>
        <w:rPr/>
      </w:pPr>
      <w:r>
        <w:t xml:space="preserve">C</w:t>
      </w:r>
      <w:r>
        <w:t xml:space="preserve">onformément aux dispositions de l’article R. 2183-1 du code de la commande publique, l’administration envoie pour publication, dans un délai maximal de trente (30) jours à compter de la signature de l’accord-cadre un avis d'attribution au BOAMP et au JOUE.</w:t>
      </w:r>
      <w:r/>
    </w:p>
    <w:p>
      <w:pPr>
        <w:pStyle w:val="998"/>
        <w:keepNext w:val="false"/>
        <w:widowControl w:val="false"/>
        <w:numPr>
          <w:ilvl w:val="2"/>
          <w:numId w:val="16"/>
        </w:numPr>
        <w:pBdr/>
        <w:spacing/>
        <w:ind/>
        <w:rPr>
          <w:rFonts w:hint="eastAsia"/>
        </w:rPr>
      </w:pPr>
      <w:r/>
      <w:bookmarkStart w:id="165" w:name="_Toc26451240"/>
      <w:r/>
      <w:bookmarkStart w:id="166" w:name="_Toc206749695"/>
      <w:r/>
      <w:bookmarkEnd w:id="165"/>
      <w:r>
        <w:t xml:space="preserve">Notification de l’accord-cadre</w:t>
      </w:r>
      <w:bookmarkEnd w:id="166"/>
      <w:r/>
      <w:r>
        <w:rPr>
          <w:rFonts w:hint="eastAsia"/>
        </w:rPr>
      </w:r>
    </w:p>
    <w:p>
      <w:pPr>
        <w:widowControl w:val="false"/>
        <w:pBdr/>
        <w:spacing/>
        <w:ind/>
        <w:rPr/>
      </w:pPr>
      <w:r>
        <w:t xml:space="preserve">La décision d’attribution n’emporte pas notification de l’accord-cadre.</w:t>
      </w:r>
      <w:r/>
    </w:p>
    <w:p>
      <w:pPr>
        <w:widowControl w:val="false"/>
        <w:pBdr/>
        <w:spacing/>
        <w:ind/>
        <w:rPr/>
      </w:pPr>
      <w:r>
        <w:t xml:space="preserve">L’accord-cadre est notifié avant tout commencement d'exécution. La date de notification correspond à la date d’effet</w:t>
      </w:r>
      <w:r>
        <w:rPr>
          <w:rStyle w:val="953"/>
        </w:rPr>
        <w:footnoteReference w:id="6"/>
      </w:r>
      <w:r>
        <w:t xml:space="preserve"> de l’accord-cadre. </w:t>
      </w:r>
      <w:r/>
    </w:p>
    <w:p>
      <w:pPr>
        <w:widowControl w:val="false"/>
        <w:pBdr/>
        <w:spacing/>
        <w:ind/>
        <w:rPr/>
      </w:pPr>
      <w:r>
        <w:t xml:space="preserve">La notification se déroule via la PLACE.</w:t>
      </w:r>
      <w:r/>
    </w:p>
    <w:p>
      <w:pPr>
        <w:pStyle w:val="998"/>
        <w:keepNext w:val="false"/>
        <w:widowControl w:val="false"/>
        <w:numPr>
          <w:ilvl w:val="2"/>
          <w:numId w:val="16"/>
        </w:numPr>
        <w:pBdr/>
        <w:spacing/>
        <w:ind/>
        <w:rPr>
          <w:rFonts w:hint="eastAsia"/>
        </w:rPr>
      </w:pPr>
      <w:r/>
      <w:bookmarkStart w:id="167" w:name="_Toc26451241"/>
      <w:r/>
      <w:bookmarkStart w:id="168" w:name="_Toc206749696"/>
      <w:r/>
      <w:bookmarkEnd w:id="167"/>
      <w:r>
        <w:t xml:space="preserve">Abandon de la procédure</w:t>
      </w:r>
      <w:bookmarkEnd w:id="168"/>
      <w:r/>
      <w:r>
        <w:rPr>
          <w:rFonts w:hint="eastAsia"/>
        </w:rPr>
      </w:r>
    </w:p>
    <w:p>
      <w:pPr>
        <w:widowControl w:val="false"/>
        <w:pBdr/>
        <w:spacing/>
        <w:ind/>
        <w:rPr/>
      </w:pPr>
      <w:r>
        <w:rPr>
          <w:lang w:eastAsia="en-US"/>
        </w:rPr>
        <w:t xml:space="preserve">Conformément à l’article R. 2185-1 du code de la commande publique, </w:t>
      </w:r>
      <w:r>
        <w:t xml:space="preserve">l’administration peut,</w:t>
      </w:r>
      <w:r>
        <w:rPr>
          <w:lang w:eastAsia="en-US"/>
        </w:rPr>
        <w:t xml:space="preserve"> à tout moment, déclarer la procédure sans suite.</w:t>
      </w:r>
      <w:r/>
    </w:p>
    <w:p>
      <w:pPr>
        <w:widowControl w:val="false"/>
        <w:pBdr/>
        <w:spacing/>
        <w:ind/>
        <w:rPr/>
      </w:pPr>
      <w:r>
        <w:t xml:space="preserve">Dans ce cas, l’administration communique dans les plus brefs délais les motifs de sa décision de ne pas attribuer l’accord-cadre ou de recommencer la procédure aux opérateurs économiques y ayant participé.</w:t>
      </w:r>
      <w:r/>
    </w:p>
    <w:p>
      <w:pPr>
        <w:pBdr/>
        <w:spacing w:after="0" w:before="0"/>
        <w:ind/>
        <w:jc w:val="left"/>
        <w:rPr/>
      </w:pPr>
      <w:r>
        <w:br w:type="page" w:clear="all"/>
      </w:r>
      <w:r/>
    </w:p>
    <w:p>
      <w:pPr>
        <w:pStyle w:val="996"/>
        <w:keepNext w:val="false"/>
        <w:keepLines w:val="false"/>
        <w:widowControl w:val="false"/>
        <w:pBdr/>
        <w:spacing/>
        <w:ind/>
        <w:rPr/>
      </w:pPr>
      <w:r/>
      <w:bookmarkStart w:id="169" w:name="_Toc26451242"/>
      <w:r/>
      <w:bookmarkStart w:id="170" w:name="_Toc24541172"/>
      <w:r/>
      <w:bookmarkStart w:id="171" w:name="_Toc24950296"/>
      <w:r/>
      <w:bookmarkStart w:id="172" w:name="_Toc25563937"/>
      <w:r/>
      <w:bookmarkStart w:id="173" w:name="_Toc38774311"/>
      <w:r/>
      <w:bookmarkStart w:id="174" w:name="_Toc206749697"/>
      <w:r/>
      <w:bookmarkEnd w:id="169"/>
      <w:r/>
      <w:bookmarkEnd w:id="170"/>
      <w:r/>
      <w:bookmarkEnd w:id="171"/>
      <w:r/>
      <w:bookmarkEnd w:id="172"/>
      <w:r/>
      <w:bookmarkEnd w:id="173"/>
      <w:r>
        <w:t xml:space="preserve">ANNEXE I – </w:t>
      </w:r>
      <w:r>
        <w:rPr>
          <w:caps w:val="0"/>
        </w:rPr>
        <w:t xml:space="preserve">MODALITES DE RETRAIT DU DOSSIER DE CONSULTATION ET DE REMISE DU PLI</w:t>
      </w:r>
      <w:bookmarkEnd w:id="174"/>
      <w:r/>
      <w:r/>
    </w:p>
    <w:p>
      <w:pPr>
        <w:widowControl w:val="false"/>
        <w:pBdr/>
        <w:spacing/>
        <w:ind/>
        <w:rPr>
          <w:b/>
        </w:rPr>
      </w:pPr>
      <w:r/>
      <w:bookmarkStart w:id="175" w:name="_Toc464652757"/>
      <w:r/>
      <w:bookmarkStart w:id="176" w:name="_Toc26451244"/>
      <w:r/>
      <w:bookmarkStart w:id="177" w:name="_Toc448934238"/>
      <w:r/>
      <w:bookmarkStart w:id="178" w:name="_Toc464652756"/>
      <w:r/>
      <w:bookmarkStart w:id="179" w:name="_Toc26451243"/>
      <w:r/>
      <w:bookmarkEnd w:id="175"/>
      <w:r/>
      <w:bookmarkEnd w:id="176"/>
      <w:r/>
      <w:bookmarkEnd w:id="177"/>
      <w:r/>
      <w:bookmarkEnd w:id="178"/>
      <w:r/>
      <w:bookmarkEnd w:id="179"/>
      <w:r>
        <w:rPr>
          <w:b/>
        </w:rPr>
        <w:t xml:space="preserve">Modalités de retrait du dossier de consultation : </w:t>
      </w:r>
      <w:r>
        <w:rPr>
          <w:b/>
        </w:rPr>
      </w:r>
    </w:p>
    <w:p>
      <w:pPr>
        <w:widowControl w:val="false"/>
        <w:pBdr/>
        <w:spacing/>
        <w:ind/>
        <w:rPr/>
      </w:pPr>
      <w:r>
        <w:t xml:space="preserve">Le candidat télécharge le dossier de consultation sur PLACE « marches-publics.gouv.fr » en se connectant au site de la PLACE à partir de l’adresse électronique ci-après : </w:t>
      </w:r>
      <w:r/>
    </w:p>
    <w:p>
      <w:pPr>
        <w:widowControl w:val="false"/>
        <w:pBdr/>
        <w:spacing/>
        <w:ind/>
        <w:rPr/>
      </w:pPr>
      <w:r/>
      <w:hyperlink r:id="rId18" w:tooltip="https://www.marches-publics.gouv.fr/entreprise" w:history="1">
        <w:r>
          <w:rPr>
            <w:rStyle w:val="949"/>
          </w:rPr>
          <w:t xml:space="preserve">https://www.marches-publics.gouv.fr/entreprise</w:t>
        </w:r>
      </w:hyperlink>
      <w:r>
        <w:t xml:space="preserve"> </w:t>
      </w:r>
      <w:r/>
    </w:p>
    <w:p>
      <w:pPr>
        <w:widowControl w:val="false"/>
        <w:pBdr/>
        <w:spacing/>
        <w:ind/>
        <w:rPr>
          <w:b/>
        </w:rPr>
      </w:pPr>
      <w:r>
        <w:rPr>
          <w:b/>
        </w:rPr>
        <w:t xml:space="preserve">Remise du pli : </w:t>
      </w:r>
      <w:r>
        <w:rPr>
          <w:b/>
        </w:rPr>
      </w:r>
    </w:p>
    <w:p>
      <w:pPr>
        <w:widowControl w:val="false"/>
        <w:pBdr/>
        <w:spacing/>
        <w:ind/>
        <w:rPr/>
      </w:pPr>
      <w:r>
        <w:t xml:space="preserve">Le candidat remet son dossier offre par dépôt sur la PLACE « marches-publics.gouv.fr »</w:t>
      </w:r>
      <w:bookmarkStart w:id="180" w:name="_Toc464652758"/>
      <w:r/>
      <w:bookmarkStart w:id="181" w:name="_Toc26451245"/>
      <w:r/>
      <w:bookmarkEnd w:id="180"/>
      <w:r/>
      <w:bookmarkEnd w:id="181"/>
      <w:r>
        <w:t xml:space="preserve"> en se connectant au site de la PLACEA à partir de l’adresse électronique ci-après : </w:t>
      </w:r>
      <w:r/>
    </w:p>
    <w:p>
      <w:pPr>
        <w:widowControl w:val="false"/>
        <w:pBdr/>
        <w:spacing/>
        <w:ind/>
        <w:rPr/>
      </w:pPr>
      <w:r/>
      <w:hyperlink r:id="rId19" w:tooltip="https://www.marches-publics.gouv.fr/entreprise" w:history="1">
        <w:r>
          <w:rPr>
            <w:rStyle w:val="949"/>
          </w:rPr>
          <w:t xml:space="preserve">https://www.marches-publics.gouv.fr/entreprise</w:t>
        </w:r>
      </w:hyperlink>
      <w:r>
        <w:t xml:space="preserve"> </w:t>
      </w:r>
      <w:r/>
    </w:p>
    <w:p>
      <w:pPr>
        <w:widowControl w:val="false"/>
        <w:pBdr/>
        <w:spacing/>
        <w:ind/>
        <w:rPr>
          <w:b/>
        </w:rPr>
      </w:pPr>
      <w:r>
        <w:rPr>
          <w:b/>
        </w:rPr>
        <w:t xml:space="preserve">Forme du pli : </w:t>
      </w:r>
      <w:r>
        <w:rPr>
          <w:b/>
        </w:rPr>
      </w:r>
    </w:p>
    <w:p>
      <w:pPr>
        <w:widowControl w:val="false"/>
        <w:pBdr/>
        <w:spacing/>
        <w:ind/>
        <w:rPr/>
      </w:pPr>
      <w:r>
        <w:t xml:space="preserve">Le candidat doit déposer sur la PLACE un dossier unique comprenant les éléments de candidature et les éléments de l’offre. L’administration ne souhaite qu’un seul exemplaire électronique dudit dossier. </w:t>
      </w:r>
      <w:r/>
    </w:p>
    <w:p>
      <w:pPr>
        <w:widowControl w:val="false"/>
        <w:pBdr/>
        <w:spacing/>
        <w:ind/>
        <w:rPr/>
      </w:pPr>
      <w:r>
        <w:t xml:space="preserve">Conformément à l’arrêté du 22 mars 2019 fixant les modalités de mise à disposition des documents de la consultation et de la copie de sauvegarde, le candidat peut adresser à l’administration une copie de sauvegarde de ce dossier :</w:t>
      </w:r>
      <w:r/>
    </w:p>
    <w:p>
      <w:pPr>
        <w:widowControl w:val="false"/>
        <w:pBdr/>
        <w:spacing/>
        <w:ind/>
        <w:rPr/>
      </w:pPr>
      <w:r>
        <w:rPr>
          <w:rFonts w:ascii="Symbol" w:hAnsi="Symbol" w:eastAsia="Symbol" w:cs="Symbol"/>
        </w:rPr>
        <w:t xml:space="preserve"></w:t>
      </w:r>
      <w:r>
        <w:t xml:space="preserve"> soit sur support papier ;</w:t>
      </w:r>
      <w:r/>
    </w:p>
    <w:p>
      <w:pPr>
        <w:widowControl w:val="false"/>
        <w:pBdr/>
        <w:spacing/>
        <w:ind/>
        <w:rPr/>
      </w:pPr>
      <w:r>
        <w:rPr>
          <w:rFonts w:ascii="Symbol" w:hAnsi="Symbol" w:eastAsia="Symbol" w:cs="Symbol"/>
        </w:rPr>
        <w:t xml:space="preserve"></w:t>
      </w:r>
      <w:r>
        <w:t xml:space="preserve"> soit sur support physique électronique : CD-ROM, DVD-ROM, clé USB, etc. La copie</w:t>
      </w:r>
      <w:r/>
    </w:p>
    <w:p>
      <w:pPr>
        <w:widowControl w:val="false"/>
        <w:pBdr/>
        <w:spacing/>
        <w:ind/>
        <w:rPr/>
      </w:pPr>
      <w:r>
        <w:t xml:space="preserve">remise</w:t>
      </w:r>
      <w:r>
        <w:t xml:space="preserve"> doit alors se présenter sous la même forme que le dossier remis sur la PLACE.</w:t>
      </w:r>
      <w:r/>
    </w:p>
    <w:p>
      <w:pPr>
        <w:widowControl w:val="false"/>
        <w:pBdr/>
        <w:spacing/>
        <w:ind/>
        <w:rPr/>
      </w:pPr>
      <w:r>
        <w:t xml:space="preserve">Quel que soit le type de support retenu, cette copie doit parvenir à l’administration dans le délai imparti pour la remise des offres, mentionné à l’article III.2.1 du présent règlement, selon l’un des modes de transmission ci-après :</w:t>
      </w:r>
      <w:r/>
    </w:p>
    <w:p>
      <w:pPr>
        <w:widowControl w:val="false"/>
        <w:pBdr/>
        <w:spacing/>
        <w:ind/>
        <w:rPr/>
      </w:pPr>
      <w:r>
        <w:rPr>
          <w:rFonts w:ascii="Symbol" w:hAnsi="Symbol" w:eastAsia="Symbol" w:cs="Symbol"/>
        </w:rPr>
        <w:t xml:space="preserve"></w:t>
      </w:r>
      <w:r>
        <w:t xml:space="preserve"> soit par voie postale, en recommandé avec avis de réception, à l’adresse suivante :</w:t>
      </w:r>
      <w:r/>
    </w:p>
    <w:p>
      <w:pPr>
        <w:widowControl w:val="false"/>
        <w:pBdr/>
        <w:spacing/>
        <w:ind/>
        <w:jc w:val="center"/>
        <w:rPr/>
      </w:pPr>
      <w:r>
        <w:t xml:space="preserve">MINISTERE DE L'INTERIEUR SECRETARIAT GENERAL</w:t>
      </w:r>
      <w:r/>
    </w:p>
    <w:p>
      <w:pPr>
        <w:widowControl w:val="false"/>
        <w:pBdr/>
        <w:spacing/>
        <w:ind/>
        <w:jc w:val="center"/>
        <w:rPr/>
      </w:pPr>
      <w:r>
        <w:t xml:space="preserve">DIRECTION DE L’EVALUATION, DE LA PERFORMANCE, DE L’ACHAT, DES FINANCES ET DE L’IMMOBILIER</w:t>
      </w:r>
      <w:r/>
    </w:p>
    <w:p>
      <w:pPr>
        <w:widowControl w:val="false"/>
        <w:pBdr/>
        <w:spacing/>
        <w:ind/>
        <w:jc w:val="center"/>
        <w:rPr/>
      </w:pPr>
      <w:r>
        <w:t xml:space="preserve">SOUS-DIRECTION DE L’ACHAT ET DU SUIVI DE L’EXECUTION DES MARCHES</w:t>
      </w:r>
      <w:r/>
    </w:p>
    <w:p>
      <w:pPr>
        <w:widowControl w:val="false"/>
        <w:pBdr/>
        <w:spacing/>
        <w:ind/>
        <w:jc w:val="center"/>
        <w:rPr/>
      </w:pPr>
      <w:r>
        <w:t xml:space="preserve">BUREAU DES MARCHES SIC ET CONSEIL PLACE BEAUVAU – IMMEUBLE LUMIERE 75800 – PARIS CEDEX 08</w:t>
      </w:r>
      <w:r/>
    </w:p>
    <w:p>
      <w:pPr>
        <w:widowControl w:val="false"/>
        <w:pBdr/>
        <w:spacing/>
        <w:ind/>
        <w:jc w:val="center"/>
        <w:rPr/>
      </w:pPr>
      <w:r>
        <w:t xml:space="preserve">A l’attention de M. Frédéric LEVITRE</w:t>
      </w:r>
      <w:r/>
    </w:p>
    <w:p>
      <w:pPr>
        <w:widowControl w:val="false"/>
        <w:pBdr/>
        <w:spacing/>
        <w:ind/>
        <w:rPr/>
      </w:pPr>
      <w:r>
        <w:rPr>
          <w:rFonts w:ascii="Symbol" w:hAnsi="Symbol" w:eastAsia="Symbol" w:cs="Symbol"/>
        </w:rPr>
        <w:t xml:space="preserve"></w:t>
      </w:r>
      <w:r>
        <w:t xml:space="preserve"> soit par dépôt ph</w:t>
      </w:r>
      <w:r>
        <w:t xml:space="preserve">ysique dans les locaux du ministère de l’intérieur, à l’attention de Monsieur Frédéric LEVITRE contre remise d’un récépissé, du lundi au vendredi de 9 heures 30 à 17 heures 00 (interruption des dépôts de 12 heures 00 à 14 heures 00), à l’adresse ci-après :</w:t>
      </w:r>
      <w:r/>
    </w:p>
    <w:p>
      <w:pPr>
        <w:widowControl w:val="false"/>
        <w:pBdr/>
        <w:spacing/>
        <w:ind/>
        <w:jc w:val="center"/>
        <w:rPr/>
      </w:pPr>
      <w:r>
        <w:t xml:space="preserve">MINISTERE DE L'INTERIEUR SECRETARIAT GENERAL</w:t>
      </w:r>
      <w:r/>
    </w:p>
    <w:p>
      <w:pPr>
        <w:widowControl w:val="false"/>
        <w:pBdr/>
        <w:spacing/>
        <w:ind/>
        <w:jc w:val="center"/>
        <w:rPr/>
      </w:pPr>
      <w:r>
        <w:t xml:space="preserve">DIRECTION DE L’EVALUATION, DE LA PERFORMANCE, DE L’ACHAT, DES FINANCES ET DE L’IMMOBILIER</w:t>
      </w:r>
      <w:r/>
    </w:p>
    <w:p>
      <w:pPr>
        <w:widowControl w:val="false"/>
        <w:pBdr/>
        <w:spacing/>
        <w:ind/>
        <w:jc w:val="center"/>
        <w:rPr/>
      </w:pPr>
      <w:r>
        <w:t xml:space="preserve">SOUS-DIRECTION DE L’ACHAT ET DU SUIVI DE L’EXECUTION DES MARCHES BUREAU DES ACHATS NUMERIQUES</w:t>
      </w:r>
      <w:r/>
    </w:p>
    <w:p>
      <w:pPr>
        <w:widowControl w:val="false"/>
        <w:pBdr/>
        <w:spacing/>
        <w:ind/>
        <w:jc w:val="center"/>
        <w:rPr/>
      </w:pPr>
      <w:r>
        <w:t xml:space="preserve">40, AVENUE DES TERROIRS DE FRANCE- 75012 – PARIS</w:t>
      </w:r>
      <w:r/>
    </w:p>
    <w:p>
      <w:pPr>
        <w:widowControl w:val="false"/>
        <w:pBdr/>
        <w:spacing/>
        <w:ind/>
        <w:rPr/>
      </w:pPr>
      <w:r>
        <w:t xml:space="preserve">La copie de sauvegarde doit être placée dans un pli scellé comportant la mention lisible « </w:t>
      </w:r>
      <w:r>
        <w:rPr>
          <w:i/>
          <w:iCs/>
        </w:rPr>
        <w:t xml:space="preserve">copie de sauvegarde </w:t>
      </w:r>
      <w:r>
        <w:t xml:space="preserve">».Elle</w:t>
      </w:r>
      <w:r>
        <w:t xml:space="preserve"> n’est ouverte que dans les cas suivants :</w:t>
      </w:r>
      <w:r/>
    </w:p>
    <w:p>
      <w:pPr>
        <w:widowControl w:val="false"/>
        <w:pBdr/>
        <w:spacing/>
        <w:ind/>
        <w:rPr/>
      </w:pPr>
      <w:r>
        <w:rPr>
          <w:rFonts w:ascii="Symbol" w:hAnsi="Symbol" w:eastAsia="Symbol" w:cs="Symbol"/>
        </w:rPr>
        <w:t xml:space="preserve"></w:t>
      </w:r>
      <w:r>
        <w:t xml:space="preserve"> lorsqu’un programme informatique malveillant est détecté dans les candidatures ou les offres transmises par voie électronique. La trace de cette malveillance est conservée ;</w:t>
      </w:r>
      <w:r/>
    </w:p>
    <w:p>
      <w:pPr>
        <w:widowControl w:val="false"/>
        <w:pBdr/>
        <w:spacing/>
        <w:ind/>
        <w:rPr/>
      </w:pPr>
      <w:r>
        <w:rPr>
          <w:rFonts w:ascii="Symbol" w:hAnsi="Symbol" w:eastAsia="Symbol" w:cs="Symbol"/>
        </w:rPr>
        <w:t xml:space="preserve"></w:t>
      </w:r>
      <w:r>
        <w:t xml:space="preserve"> lorsqu'une c</w:t>
      </w:r>
      <w:r>
        <w:t xml:space="preserve">andidature ou une offre électronique est reçue de façon incomplète, hors délais ou n'a pu être ouverte, sous réserve que la transmission de la candidature ou de l'offre électronique ait commencé avant la clôture de la remise des candidatures ou des offres.</w:t>
      </w:r>
      <w:r/>
    </w:p>
    <w:p>
      <w:pPr>
        <w:widowControl w:val="false"/>
        <w:pBdr/>
        <w:spacing/>
        <w:ind/>
        <w:rPr/>
      </w:pPr>
      <w:r>
        <w:t xml:space="preserve">Lorsqu'un programme inform</w:t>
      </w:r>
      <w:r>
        <w:t xml:space="preserve">atique malveillant est détecté dans la copie de sauvegarde, celle-ci est écartée par l’administration. Si le pli n’est pas ouvert ou a été écarté pour détection de programme malveillant dans la copie de sauvegarde, il est détruit à l’issue de la procédure.</w:t>
      </w:r>
      <w:r/>
    </w:p>
    <w:p>
      <w:pPr>
        <w:widowControl w:val="false"/>
        <w:pBdr/>
        <w:spacing/>
        <w:ind/>
        <w:rPr/>
      </w:pPr>
      <w:r>
        <w:br w:type="page" w:clear="all"/>
      </w:r>
      <w:r/>
    </w:p>
    <w:p>
      <w:pPr>
        <w:pStyle w:val="996"/>
        <w:keepNext w:val="false"/>
        <w:keepLines w:val="false"/>
        <w:widowControl w:val="false"/>
        <w:pBdr/>
        <w:spacing/>
        <w:ind/>
        <w:rPr/>
      </w:pPr>
      <w:r/>
      <w:bookmarkStart w:id="182" w:name="_Toc464652759"/>
      <w:r/>
      <w:bookmarkStart w:id="183" w:name="_Toc26451246"/>
      <w:r/>
      <w:bookmarkStart w:id="184" w:name="_Toc206749698"/>
      <w:r/>
      <w:bookmarkEnd w:id="182"/>
      <w:r/>
      <w:bookmarkEnd w:id="183"/>
      <w:r>
        <w:t xml:space="preserve">ANNEXE II – </w:t>
      </w:r>
      <w:r>
        <w:rPr>
          <w:caps w:val="0"/>
        </w:rPr>
        <w:t xml:space="preserve">MODALITES DE SIGNATURE ELECTRONIQUE</w:t>
      </w:r>
      <w:bookmarkEnd w:id="184"/>
      <w:r/>
      <w:r/>
    </w:p>
    <w:p>
      <w:pPr>
        <w:pStyle w:val="997"/>
        <w:keepNext w:val="false"/>
        <w:widowControl w:val="false"/>
        <w:pBdr/>
        <w:shd w:val="clear" w:color="auto" w:fill="d8d8d8"/>
        <w:spacing/>
        <w:ind/>
        <w:rPr/>
      </w:pPr>
      <w:r/>
      <w:bookmarkStart w:id="185" w:name="_Toc463878287"/>
      <w:r/>
      <w:bookmarkStart w:id="186" w:name="_Toc464652760"/>
      <w:r/>
      <w:bookmarkStart w:id="187" w:name="_Toc26451247"/>
      <w:r/>
      <w:bookmarkStart w:id="188" w:name="_Toc206749699"/>
      <w:r>
        <w:t xml:space="preserve">A. </w:t>
      </w:r>
      <w:bookmarkEnd w:id="185"/>
      <w:r>
        <w:t xml:space="preserve">Généralités</w:t>
      </w:r>
      <w:bookmarkEnd w:id="186"/>
      <w:r/>
      <w:bookmarkEnd w:id="187"/>
      <w:r/>
      <w:bookmarkEnd w:id="188"/>
      <w:r>
        <w:t xml:space="preserve"> </w:t>
      </w:r>
      <w:r/>
    </w:p>
    <w:p>
      <w:pPr>
        <w:widowControl w:val="false"/>
        <w:pBdr>
          <w:top w:val="single" w:color="00000a" w:sz="4" w:space="4"/>
          <w:left w:val="single" w:color="00000a" w:sz="4" w:space="2"/>
          <w:bottom w:val="single" w:color="00000a" w:sz="4" w:space="4"/>
          <w:right w:val="single" w:color="00000a" w:sz="4" w:space="4"/>
        </w:pBdr>
        <w:shd w:val="clear" w:color="auto" w:fill="cccccc"/>
        <w:spacing/>
        <w:ind/>
        <w:rPr>
          <w:b/>
        </w:rPr>
      </w:pPr>
      <w:r>
        <w:t xml:space="preserve">Un zip signé ne vaut pas signature des documents qu’il contient. En cas de fichier zippé, </w:t>
      </w:r>
      <w:r>
        <w:rPr>
          <w:b/>
          <w:bCs/>
        </w:rPr>
        <w:t xml:space="preserve">chaque document pour lequel une signature est requise doit être signé séparément.</w:t>
      </w:r>
      <w:r>
        <w:rPr>
          <w:b/>
        </w:rPr>
        <w:t xml:space="preserve"> </w:t>
      </w:r>
      <w:r>
        <w:rPr>
          <w:b/>
        </w:rPr>
      </w:r>
    </w:p>
    <w:p>
      <w:pPr>
        <w:widowControl w:val="false"/>
        <w:pBdr>
          <w:top w:val="single" w:color="00000a" w:sz="4" w:space="4"/>
          <w:left w:val="single" w:color="00000a" w:sz="4" w:space="2"/>
          <w:bottom w:val="single" w:color="00000a" w:sz="4" w:space="4"/>
          <w:right w:val="single" w:color="00000a" w:sz="4" w:space="4"/>
        </w:pBdr>
        <w:shd w:val="clear" w:color="auto" w:fill="cccccc"/>
        <w:spacing/>
        <w:ind/>
        <w:rPr/>
      </w:pPr>
      <w:r>
        <w:t xml:space="preserve">Une signature manuscrite scannée n’a pas d’autre valeur que celle d’une copie et ne peut pas remplacer la signature électronique.</w:t>
      </w:r>
      <w:r/>
    </w:p>
    <w:p>
      <w:pPr>
        <w:widowControl w:val="false"/>
        <w:pBdr/>
        <w:spacing/>
        <w:ind/>
        <w:rPr/>
      </w:pPr>
      <w:r>
        <w:t xml:space="preserve">Par application de l’arrêté du 22 mars 2019 relatif à la signature électronique des contrats de la commande publique, le candidat doit respecter les conditions relatives :</w:t>
      </w:r>
      <w:r/>
    </w:p>
    <w:p>
      <w:pPr>
        <w:pStyle w:val="1085"/>
        <w:widowControl w:val="false"/>
        <w:numPr>
          <w:ilvl w:val="0"/>
          <w:numId w:val="5"/>
        </w:numPr>
        <w:pBdr/>
        <w:spacing/>
        <w:ind/>
        <w:rPr>
          <w:lang w:eastAsia="en-US"/>
        </w:rPr>
      </w:pPr>
      <w:r>
        <w:rPr>
          <w:lang w:eastAsia="en-US"/>
        </w:rPr>
        <w:t xml:space="preserve">au</w:t>
      </w:r>
      <w:r>
        <w:rPr>
          <w:lang w:eastAsia="en-US"/>
        </w:rPr>
        <w:t xml:space="preserve"> certificat de signature du signataire ;</w:t>
      </w:r>
      <w:r>
        <w:rPr>
          <w:lang w:eastAsia="en-US"/>
        </w:rPr>
      </w:r>
    </w:p>
    <w:p>
      <w:pPr>
        <w:pStyle w:val="1085"/>
        <w:widowControl w:val="false"/>
        <w:numPr>
          <w:ilvl w:val="0"/>
          <w:numId w:val="5"/>
        </w:numPr>
        <w:pBdr/>
        <w:spacing/>
        <w:ind/>
        <w:rPr>
          <w:lang w:eastAsia="en-US"/>
        </w:rPr>
      </w:pPr>
      <w:r>
        <w:rPr>
          <w:lang w:eastAsia="en-US"/>
        </w:rPr>
        <w:t xml:space="preserve">au dispositif de création de signature électronique utilisé (logiciel, service en ligne, parapheur le cas échéant), devant produire des jetons de signature</w:t>
      </w:r>
      <w:r>
        <w:rPr>
          <w:rStyle w:val="953"/>
          <w:lang w:eastAsia="en-US"/>
        </w:rPr>
        <w:footnoteReference w:id="7"/>
      </w:r>
      <w:r>
        <w:rPr>
          <w:lang w:eastAsia="en-US"/>
        </w:rPr>
        <w:t xml:space="preserve"> conformes aux formats réglementaires dans l’un des trois formats acceptés.</w:t>
      </w:r>
      <w:r>
        <w:rPr>
          <w:lang w:eastAsia="en-US"/>
        </w:rPr>
      </w:r>
    </w:p>
    <w:p>
      <w:pPr>
        <w:widowControl w:val="false"/>
        <w:pBdr/>
        <w:spacing/>
        <w:ind/>
        <w:rPr/>
      </w:pPr>
      <w:r>
        <w:rPr>
          <w:lang w:eastAsia="en-US"/>
        </w:rPr>
        <w:t xml:space="preserve">Le candidat doit utiliser une </w:t>
      </w:r>
      <w:r>
        <w:rPr>
          <w:b/>
          <w:lang w:eastAsia="en-US"/>
        </w:rPr>
        <w:t xml:space="preserve">signature électronique avancée</w:t>
      </w:r>
      <w:r>
        <w:rPr>
          <w:lang w:eastAsia="en-US"/>
        </w:rPr>
        <w:t xml:space="preserve"> reposant sur un </w:t>
      </w:r>
      <w:r>
        <w:rPr>
          <w:b/>
          <w:lang w:eastAsia="en-US"/>
        </w:rPr>
        <w:t xml:space="preserve">certificat qualifié</w:t>
      </w:r>
      <w:r>
        <w:rPr>
          <w:lang w:eastAsia="en-US"/>
        </w:rPr>
        <w:t xml:space="preserve"> au sens </w:t>
      </w:r>
      <w:r>
        <w:t xml:space="preserve">du règlement n° 910/2014 du Parlement européen et du Conseil du 23 juillet 2014 sur l'identification électronique et les services de confiance pour les transactions électroniques au sein du marché intérieur (</w:t>
      </w:r>
      <w:r>
        <w:t xml:space="preserve">eIDAS</w:t>
      </w:r>
      <w:r>
        <w:t xml:space="preserve">).</w:t>
      </w:r>
      <w:r/>
    </w:p>
    <w:p>
      <w:pPr>
        <w:widowControl w:val="false"/>
        <w:pBdr/>
        <w:spacing/>
        <w:ind/>
        <w:rPr>
          <w:lang w:eastAsia="en-US"/>
        </w:rPr>
      </w:pPr>
      <w:r>
        <w:t xml:space="preserve">Conformément à l’article 10 de l’arrêté du 22 mars 2019 précité, </w:t>
      </w:r>
      <w:r>
        <w:rPr>
          <w:b/>
        </w:rPr>
        <w:t xml:space="preserve">les certificats qualifiés de signature électronique délivrés en application de l'arrêté du 15 juin 2012 relatif à la signature électronique dans les marchés publics demeurent régis par ses dispositions jusqu'à leur expiration</w:t>
      </w:r>
      <w:r>
        <w:t xml:space="preserve">.</w:t>
      </w:r>
      <w:r>
        <w:rPr>
          <w:lang w:eastAsia="en-US"/>
        </w:rPr>
      </w:r>
    </w:p>
    <w:p>
      <w:pPr>
        <w:pStyle w:val="997"/>
        <w:keepNext w:val="false"/>
        <w:widowControl w:val="false"/>
        <w:pBdr/>
        <w:shd w:val="clear" w:color="auto" w:fill="d8d8d8"/>
        <w:spacing/>
        <w:ind/>
        <w:rPr/>
      </w:pPr>
      <w:r/>
      <w:bookmarkStart w:id="189" w:name="_Toc463878288"/>
      <w:r/>
      <w:bookmarkStart w:id="190" w:name="_Toc464652761"/>
      <w:r/>
      <w:bookmarkStart w:id="191" w:name="_Toc26451248"/>
      <w:r/>
      <w:bookmarkStart w:id="192" w:name="_Toc206749700"/>
      <w:r/>
      <w:bookmarkEnd w:id="189"/>
      <w:r/>
      <w:bookmarkEnd w:id="190"/>
      <w:r/>
      <w:bookmarkEnd w:id="191"/>
      <w:r>
        <w:t xml:space="preserve">B. Conditions relatives aux certificats de signature électronique</w:t>
      </w:r>
      <w:bookmarkEnd w:id="192"/>
      <w:r/>
      <w:r/>
    </w:p>
    <w:p>
      <w:pPr>
        <w:widowControl w:val="false"/>
        <w:pBdr/>
        <w:spacing/>
        <w:ind/>
        <w:rPr/>
      </w:pPr>
      <w:r>
        <w:t xml:space="preserve">Le certificat de signature électronique du signataire respecte au moins le niveau de sécurité</w:t>
      </w:r>
      <w:r>
        <w:rPr>
          <w:b/>
        </w:rPr>
        <w:t xml:space="preserve"> </w:t>
      </w:r>
      <w:r>
        <w:t xml:space="preserve">préconisé.</w:t>
      </w:r>
      <w:r/>
    </w:p>
    <w:p>
      <w:pPr>
        <w:widowControl w:val="false"/>
        <w:numPr>
          <w:ilvl w:val="0"/>
          <w:numId w:val="11"/>
        </w:numPr>
        <w:pBdr/>
        <w:spacing/>
        <w:ind/>
        <w:rPr>
          <w:b/>
          <w:u w:val="single"/>
        </w:rPr>
      </w:pPr>
      <w:r/>
      <w:bookmarkStart w:id="193" w:name="_Toc464036572"/>
      <w:r/>
      <w:bookmarkStart w:id="194" w:name="_Toc464051666"/>
      <w:r>
        <w:rPr>
          <w:b/>
          <w:u w:val="single"/>
        </w:rPr>
        <w:t xml:space="preserve">1er cas : le certificat est </w:t>
      </w:r>
      <w:bookmarkEnd w:id="193"/>
      <w:r/>
      <w:bookmarkEnd w:id="194"/>
      <w:r>
        <w:rPr>
          <w:b/>
          <w:u w:val="single"/>
        </w:rPr>
        <w:t xml:space="preserve">délivré par un prestataire de service de confiance qualifié</w:t>
      </w:r>
      <w:r>
        <w:rPr>
          <w:b/>
          <w:u w:val="single"/>
        </w:rPr>
      </w:r>
    </w:p>
    <w:p>
      <w:pPr>
        <w:widowControl w:val="false"/>
        <w:pBdr/>
        <w:spacing/>
        <w:ind/>
        <w:rPr/>
      </w:pPr>
      <w:r>
        <w:t xml:space="preserve">Le certificat de signature est délivré par un prestataire de service de confiance qualifié au sens du règlement européen du 23 juillet 2014 précité.</w:t>
      </w:r>
      <w:r/>
    </w:p>
    <w:p>
      <w:pPr>
        <w:widowControl w:val="false"/>
        <w:pBdr/>
        <w:spacing/>
        <w:ind/>
        <w:rPr/>
      </w:pPr>
      <w:r>
        <w:t xml:space="preserve">Les prestataires qualifiés sont mentionnés :</w:t>
      </w:r>
      <w:r/>
    </w:p>
    <w:p>
      <w:pPr>
        <w:pStyle w:val="1083"/>
        <w:widowControl w:val="false"/>
        <w:numPr>
          <w:ilvl w:val="0"/>
          <w:numId w:val="3"/>
        </w:numPr>
        <w:pBdr/>
        <w:spacing w:after="0" w:before="120"/>
        <w:ind/>
        <w:rPr/>
      </w:pPr>
      <w:r>
        <w:t xml:space="preserve">dans</w:t>
      </w:r>
      <w:r>
        <w:t xml:space="preserve"> la liste de confiance suivante : </w:t>
      </w:r>
      <w:r/>
    </w:p>
    <w:p>
      <w:pPr>
        <w:pStyle w:val="1083"/>
        <w:widowControl w:val="false"/>
        <w:pBdr/>
        <w:spacing w:after="0" w:before="120"/>
        <w:ind/>
        <w:rPr/>
      </w:pPr>
      <w:r/>
      <w:hyperlink r:id="rId20" w:tooltip="https://www.ssi.gouv.fr/entreprise/qualifications/prestataires-de-services-de-confiance-qualifies/" w:history="1">
        <w:r>
          <w:rPr>
            <w:rStyle w:val="949"/>
          </w:rPr>
          <w:t xml:space="preserve">https://www.ssi.gouv.fr/entreprise/qualifications/prestataires-de-services-de-confiance-qualifies/</w:t>
        </w:r>
      </w:hyperlink>
      <w:r>
        <w:t xml:space="preserve"> </w:t>
      </w:r>
      <w:r/>
    </w:p>
    <w:p>
      <w:pPr>
        <w:pStyle w:val="1083"/>
        <w:widowControl w:val="false"/>
        <w:numPr>
          <w:ilvl w:val="0"/>
          <w:numId w:val="3"/>
        </w:numPr>
        <w:pBdr/>
        <w:spacing w:before="120"/>
        <w:ind/>
        <w:rPr/>
      </w:pPr>
      <w:r>
        <w:t xml:space="preserve">dans</w:t>
      </w:r>
      <w:r>
        <w:t xml:space="preserve"> la liste de confiance établie par la Commission européenne. </w:t>
      </w:r>
      <w:r/>
    </w:p>
    <w:p>
      <w:pPr>
        <w:widowControl w:val="false"/>
        <w:pBdr/>
        <w:spacing w:before="0"/>
        <w:ind w:left="425"/>
        <w:rPr>
          <w:i/>
          <w:u w:val="single"/>
        </w:rPr>
      </w:pPr>
      <w:r>
        <w:rPr>
          <w:i/>
          <w:u w:val="single"/>
        </w:rPr>
      </w:r>
      <w:r>
        <w:rPr>
          <w:i/>
          <w:u w:val="single"/>
        </w:rPr>
      </w:r>
    </w:p>
    <w:p>
      <w:pPr>
        <w:widowControl w:val="false"/>
        <w:pBdr>
          <w:top w:val="single" w:color="00000a" w:sz="4" w:space="4"/>
          <w:left w:val="single" w:color="00000a" w:sz="4" w:space="4"/>
          <w:bottom w:val="single" w:color="00000a" w:sz="4" w:space="4"/>
          <w:right w:val="single" w:color="00000a" w:sz="4" w:space="4"/>
        </w:pBdr>
        <w:shd w:val="clear" w:color="auto" w:fill="cccccc"/>
        <w:spacing/>
        <w:ind/>
        <w:rPr/>
      </w:pPr>
      <w:r>
        <w:t xml:space="preserve">Dans ce cas, le candidat n'a aucun justificatif à fournir sur le certificat de signature utilisé pour signer sa réponse.</w:t>
      </w:r>
      <w:r/>
    </w:p>
    <w:p>
      <w:pPr>
        <w:widowControl w:val="false"/>
        <w:pBdr/>
        <w:spacing/>
        <w:ind/>
        <w:rPr>
          <w:rStyle w:val="951"/>
        </w:rPr>
      </w:pPr>
      <w:r>
        <w:br w:type="page" w:clear="all"/>
      </w:r>
      <w:r>
        <w:rPr>
          <w:rStyle w:val="951"/>
        </w:rPr>
      </w:r>
    </w:p>
    <w:p>
      <w:pPr>
        <w:widowControl w:val="false"/>
        <w:numPr>
          <w:ilvl w:val="0"/>
          <w:numId w:val="11"/>
        </w:numPr>
        <w:pBdr/>
        <w:spacing/>
        <w:ind/>
        <w:rPr>
          <w:b/>
          <w:u w:val="single"/>
        </w:rPr>
      </w:pPr>
      <w:r/>
      <w:bookmarkStart w:id="195" w:name="_Toc464036573"/>
      <w:r/>
      <w:bookmarkStart w:id="196" w:name="_Toc464051667"/>
      <w:r>
        <w:rPr>
          <w:b/>
          <w:u w:val="single"/>
        </w:rPr>
        <w:t xml:space="preserve">2ème cas : le certificat n’est pas </w:t>
      </w:r>
      <w:bookmarkEnd w:id="195"/>
      <w:r/>
      <w:bookmarkEnd w:id="196"/>
      <w:r>
        <w:rPr>
          <w:b/>
          <w:u w:val="single"/>
        </w:rPr>
        <w:t xml:space="preserve">délivré par un prestataire qualifié </w:t>
      </w:r>
      <w:r>
        <w:rPr>
          <w:b/>
          <w:u w:val="single"/>
        </w:rPr>
      </w:r>
    </w:p>
    <w:p>
      <w:pPr>
        <w:pStyle w:val="1037"/>
        <w:widowControl w:val="false"/>
        <w:pBdr/>
        <w:spacing/>
        <w:ind/>
        <w:rPr/>
      </w:pPr>
      <w:r>
        <w:t xml:space="preserve">Sont autorisés tous les certificats délivrés par une autorité de certification, française ou étrangère, qui répondent aux exigences équivalentes à l’annexe I du règlement européen du 23 juillet 2014.</w:t>
      </w:r>
      <w:r/>
    </w:p>
    <w:p>
      <w:pPr>
        <w:widowControl w:val="false"/>
        <w:pBdr>
          <w:top w:val="single" w:color="00000a" w:sz="4" w:space="4"/>
          <w:left w:val="single" w:color="00000a" w:sz="4" w:space="4"/>
          <w:bottom w:val="single" w:color="00000a" w:sz="4" w:space="4"/>
          <w:right w:val="single" w:color="00000a" w:sz="4" w:space="4"/>
        </w:pBdr>
        <w:shd w:val="clear" w:color="auto" w:fill="cccccc"/>
        <w:spacing/>
        <w:ind/>
        <w:rPr/>
      </w:pPr>
      <w:r>
        <w:t xml:space="preserve">Le candidat s’assure que le certificat qu’il utilise est au moins conforme au niveau de sécurité préconisé sur le profil d’acheteur, et donne tous les éléments nécessaires à la vérification de cette conformité par l’acheteur. </w:t>
      </w:r>
      <w:r/>
    </w:p>
    <w:p>
      <w:pPr>
        <w:pStyle w:val="1089"/>
        <w:widowControl w:val="false"/>
        <w:pBdr/>
        <w:spacing/>
        <w:ind/>
        <w:rPr/>
      </w:pPr>
      <w:r/>
      <w:r/>
    </w:p>
    <w:p>
      <w:pPr>
        <w:pStyle w:val="1084"/>
        <w:widowControl w:val="false"/>
        <w:numPr>
          <w:ilvl w:val="0"/>
          <w:numId w:val="4"/>
        </w:numPr>
        <w:pBdr/>
        <w:spacing/>
        <w:ind/>
        <w:rPr>
          <w:b/>
        </w:rPr>
      </w:pPr>
      <w:r>
        <w:rPr>
          <w:b/>
        </w:rPr>
        <w:t xml:space="preserve">Justificatifs de conformité à produire</w:t>
      </w:r>
      <w:r>
        <w:rPr>
          <w:b/>
        </w:rPr>
      </w:r>
    </w:p>
    <w:p>
      <w:pPr>
        <w:pStyle w:val="992"/>
        <w:widowControl w:val="false"/>
        <w:pBdr/>
        <w:spacing/>
        <w:ind/>
        <w:jc w:val="both"/>
        <w:rPr/>
      </w:pPr>
      <w:r>
        <w:t xml:space="preserve">Le signataire transmet gratuitement les informations suivantes lors du dépôt du document signé :</w:t>
      </w:r>
      <w:r/>
    </w:p>
    <w:p>
      <w:pPr>
        <w:pStyle w:val="992"/>
        <w:widowControl w:val="false"/>
        <w:numPr>
          <w:ilvl w:val="0"/>
          <w:numId w:val="1"/>
        </w:numPr>
        <w:pBdr/>
        <w:tabs>
          <w:tab w:val="left" w:leader="none" w:pos="1069"/>
        </w:tabs>
        <w:spacing/>
        <w:ind w:left="1069"/>
        <w:jc w:val="both"/>
        <w:rPr/>
      </w:pPr>
      <w:r>
        <w:t xml:space="preserve">la</w:t>
      </w:r>
      <w:r>
        <w:t xml:space="preserve"> procédure permettant la vérification de la qualité et du niveau de sécurité du certificat de signature utilisé : preuve de la qualification de l'autorité de certification, la politique de certification, </w:t>
      </w:r>
      <w:r>
        <w:rPr>
          <w:i/>
        </w:rPr>
        <w:t xml:space="preserve">etc</w:t>
      </w:r>
      <w:r>
        <w:t xml:space="preserve">. ;</w:t>
      </w:r>
      <w:r/>
    </w:p>
    <w:p>
      <w:pPr>
        <w:pStyle w:val="992"/>
        <w:widowControl w:val="false"/>
        <w:numPr>
          <w:ilvl w:val="0"/>
          <w:numId w:val="1"/>
        </w:numPr>
        <w:pBdr/>
        <w:tabs>
          <w:tab w:val="left" w:leader="none" w:pos="1069"/>
        </w:tabs>
        <w:spacing/>
        <w:ind w:left="1069"/>
        <w:jc w:val="both"/>
        <w:rPr/>
      </w:pPr>
      <w:r>
        <w:t xml:space="preserve">le</w:t>
      </w:r>
      <w:r>
        <w:t xml:space="preserve"> candidat fournit notamment les outils techniques de vérification du certificat : chaîne de certification complète jusqu’à l’AC racine, adresse de téléchargement de la dernière mise à jour de la liste de révocation ;</w:t>
      </w:r>
      <w:r/>
    </w:p>
    <w:p>
      <w:pPr>
        <w:pStyle w:val="992"/>
        <w:widowControl w:val="false"/>
        <w:numPr>
          <w:ilvl w:val="0"/>
          <w:numId w:val="1"/>
        </w:numPr>
        <w:pBdr/>
        <w:tabs>
          <w:tab w:val="left" w:leader="none" w:pos="1069"/>
        </w:tabs>
        <w:spacing/>
        <w:ind w:left="1069"/>
        <w:jc w:val="both"/>
        <w:rPr/>
      </w:pPr>
      <w:r>
        <w:t xml:space="preserve">l'adresse</w:t>
      </w:r>
      <w:r>
        <w:t xml:space="preserve"> du site internet du référence</w:t>
      </w:r>
      <w:r>
        <w:t xml:space="preserve">ment du prestataire par le pays d'établissement ou, à défaut, les données publiques relatives au certificat du signataire, qui comportent, au moins, la liste de révocation et le certificat du prestataire de services de certification électronique émetteur. </w:t>
      </w:r>
      <w:r/>
    </w:p>
    <w:p>
      <w:pPr>
        <w:pStyle w:val="997"/>
        <w:keepNext w:val="false"/>
        <w:widowControl w:val="false"/>
        <w:pBdr/>
        <w:shd w:val="clear" w:color="auto" w:fill="d8d8d8"/>
        <w:spacing/>
        <w:ind/>
        <w:rPr/>
      </w:pPr>
      <w:r/>
      <w:bookmarkStart w:id="197" w:name="_Toc463878289"/>
      <w:r/>
      <w:bookmarkStart w:id="198" w:name="_Toc464652762"/>
      <w:r/>
      <w:bookmarkStart w:id="199" w:name="_Toc26451249"/>
      <w:r/>
      <w:bookmarkStart w:id="200" w:name="_Toc206749701"/>
      <w:r/>
      <w:bookmarkEnd w:id="197"/>
      <w:r/>
      <w:bookmarkEnd w:id="198"/>
      <w:r/>
      <w:bookmarkEnd w:id="199"/>
      <w:r>
        <w:t xml:space="preserve">C. Conditions relatives aux dispositifs de création de signature electronique utilisés pour signer les fichiers</w:t>
      </w:r>
      <w:bookmarkEnd w:id="200"/>
      <w:r/>
      <w:r/>
    </w:p>
    <w:p>
      <w:pPr>
        <w:widowControl w:val="false"/>
        <w:pBdr/>
        <w:spacing/>
        <w:ind/>
        <w:rPr/>
      </w:pPr>
      <w:r>
        <w:t xml:space="preserve">Conformément à l’article 4 de </w:t>
      </w:r>
      <w:r>
        <w:rPr>
          <w:rFonts w:eastAsia="MS Mincho"/>
        </w:rPr>
        <w:t xml:space="preserve">l’arrêté du 22 mars 2019 précité</w:t>
      </w:r>
      <w:r>
        <w:t xml:space="preserve">, le candidat utilise le dispositif de création de signature électronique de son choix. </w:t>
      </w:r>
      <w:r/>
    </w:p>
    <w:p>
      <w:pPr>
        <w:widowControl w:val="false"/>
        <w:numPr>
          <w:ilvl w:val="0"/>
          <w:numId w:val="11"/>
        </w:numPr>
        <w:pBdr/>
        <w:spacing/>
        <w:ind/>
        <w:rPr>
          <w:b/>
          <w:u w:val="single"/>
        </w:rPr>
      </w:pPr>
      <w:r/>
      <w:bookmarkStart w:id="201" w:name="_Toc464036574"/>
      <w:r/>
      <w:bookmarkStart w:id="202" w:name="_Toc464051669"/>
      <w:r/>
      <w:bookmarkEnd w:id="201"/>
      <w:r/>
      <w:bookmarkEnd w:id="202"/>
      <w:r>
        <w:rPr>
          <w:b/>
          <w:u w:val="single"/>
        </w:rPr>
        <w:t xml:space="preserve">1er cas : utilisation de l’outil de signature de la PLACE</w:t>
      </w:r>
      <w:r>
        <w:rPr>
          <w:b/>
          <w:u w:val="single"/>
        </w:rPr>
      </w:r>
    </w:p>
    <w:p>
      <w:pPr>
        <w:widowControl w:val="false"/>
        <w:pBdr/>
        <w:spacing/>
        <w:ind/>
        <w:rPr>
          <w:bCs/>
        </w:rPr>
      </w:pPr>
      <w:r>
        <w:rPr>
          <w:bCs/>
        </w:rPr>
        <w:t xml:space="preserve">Dans ce cas, </w:t>
      </w:r>
      <w:r>
        <w:t xml:space="preserve">le soumissionnaire est dispensé de fournir tout mode d’emploi ou information.</w:t>
      </w:r>
      <w:r>
        <w:rPr>
          <w:bCs/>
        </w:rPr>
      </w:r>
    </w:p>
    <w:p>
      <w:pPr>
        <w:widowControl w:val="false"/>
        <w:numPr>
          <w:ilvl w:val="0"/>
          <w:numId w:val="11"/>
        </w:numPr>
        <w:pBdr/>
        <w:spacing/>
        <w:ind/>
        <w:rPr>
          <w:b/>
          <w:u w:val="single"/>
        </w:rPr>
      </w:pPr>
      <w:r/>
      <w:bookmarkStart w:id="203" w:name="_Toc464036575"/>
      <w:r/>
      <w:bookmarkStart w:id="204" w:name="_Toc464051670"/>
      <w:r/>
      <w:bookmarkEnd w:id="203"/>
      <w:r/>
      <w:bookmarkEnd w:id="204"/>
      <w:r>
        <w:rPr>
          <w:b/>
          <w:u w:val="single"/>
        </w:rPr>
        <w:t xml:space="preserve">2ème cas : utilisation d’un autre outil de signature que celui proposé sur la PLACE</w:t>
      </w:r>
      <w:r>
        <w:rPr>
          <w:b/>
          <w:u w:val="single"/>
        </w:rPr>
      </w:r>
    </w:p>
    <w:p>
      <w:pPr>
        <w:widowControl w:val="false"/>
        <w:pBdr/>
        <w:spacing/>
        <w:ind/>
        <w:rPr>
          <w:bCs/>
        </w:rPr>
      </w:pPr>
      <w:r>
        <w:rPr>
          <w:bCs/>
        </w:rPr>
        <w:t xml:space="preserve">Dans ce cas, </w:t>
      </w:r>
      <w:r>
        <w:t xml:space="preserve">le soumissionnaire doit respecter les deux obligations suivantes</w:t>
      </w:r>
      <w:r>
        <w:rPr>
          <w:bCs/>
        </w:rPr>
        <w:t xml:space="preserve"> :</w:t>
      </w:r>
      <w:r>
        <w:rPr>
          <w:bCs/>
        </w:rPr>
      </w:r>
    </w:p>
    <w:p>
      <w:pPr>
        <w:pStyle w:val="1084"/>
        <w:widowControl w:val="false"/>
        <w:numPr>
          <w:ilvl w:val="0"/>
          <w:numId w:val="4"/>
        </w:numPr>
        <w:pBdr/>
        <w:spacing/>
        <w:ind/>
        <w:rPr/>
      </w:pPr>
      <w:r>
        <w:t xml:space="preserve">produire</w:t>
      </w:r>
      <w:r>
        <w:t xml:space="preserve"> des formats de signature </w:t>
      </w:r>
      <w:r>
        <w:t xml:space="preserve">XAdES</w:t>
      </w:r>
      <w:r>
        <w:t xml:space="preserve">, </w:t>
      </w:r>
      <w:r>
        <w:t xml:space="preserve">CAdES</w:t>
      </w:r>
      <w:r>
        <w:t xml:space="preserve"> ou </w:t>
      </w:r>
      <w:r>
        <w:t xml:space="preserve">PadES</w:t>
      </w:r>
      <w:r>
        <w:t xml:space="preserve"> ;</w:t>
      </w:r>
      <w:r/>
    </w:p>
    <w:p>
      <w:pPr>
        <w:pStyle w:val="1084"/>
        <w:widowControl w:val="false"/>
        <w:numPr>
          <w:ilvl w:val="0"/>
          <w:numId w:val="4"/>
        </w:numPr>
        <w:pBdr/>
        <w:spacing/>
        <w:ind/>
        <w:rPr/>
      </w:pPr>
      <w:r>
        <w:t xml:space="preserve">permettre</w:t>
      </w:r>
      <w:r>
        <w:t xml:space="preserve"> la vérification en transmettant en parallèle les éléments nécessaires pour procéder à la vérification de la validité de la signature et de l’intégrité du document, et ce, gratuitement.</w:t>
      </w:r>
      <w:r/>
    </w:p>
    <w:p>
      <w:pPr>
        <w:pStyle w:val="992"/>
        <w:widowControl w:val="false"/>
        <w:pBdr/>
        <w:shd w:val="clear" w:color="auto" w:fill="ffffff"/>
        <w:spacing/>
        <w:ind w:left="709"/>
        <w:jc w:val="both"/>
        <w:rPr>
          <w:bCs/>
        </w:rPr>
      </w:pPr>
      <w:r>
        <w:rPr>
          <w:bCs/>
        </w:rPr>
        <w:t xml:space="preserve">Dans ce cas, le signataire indique la procédure permettant la vérification de la validité de la signature en fournissant notamment :</w:t>
      </w:r>
      <w:r>
        <w:rPr>
          <w:bCs/>
        </w:rPr>
      </w:r>
    </w:p>
    <w:p>
      <w:pPr>
        <w:pStyle w:val="1090"/>
        <w:widowControl w:val="false"/>
        <w:numPr>
          <w:ilvl w:val="0"/>
          <w:numId w:val="7"/>
        </w:numPr>
        <w:pBdr/>
        <w:spacing/>
        <w:ind w:hanging="284" w:left="1135"/>
        <w:rPr/>
      </w:pPr>
      <w:r>
        <w:t xml:space="preserve">le</w:t>
      </w:r>
      <w:r>
        <w:t xml:space="preserve"> lien sur lequel l’outil de vérification de signature peut être récupéré, avec une notice d’explication et les </w:t>
      </w:r>
      <w:r>
        <w:t xml:space="preserve">pré-requis</w:t>
      </w:r>
      <w:r>
        <w:t xml:space="preserve"> d’installation (type d’exécutable, systèmes d’exploitation supportés, etc.). La fourniture d’une notice en français est souhaitée ;</w:t>
      </w:r>
      <w:r/>
    </w:p>
    <w:p>
      <w:pPr>
        <w:pStyle w:val="1090"/>
        <w:widowControl w:val="false"/>
        <w:numPr>
          <w:ilvl w:val="0"/>
          <w:numId w:val="7"/>
        </w:numPr>
        <w:pBdr/>
        <w:spacing/>
        <w:ind w:hanging="284" w:left="1135"/>
        <w:rPr/>
      </w:pPr>
      <w:r>
        <w:t xml:space="preserve">le</w:t>
      </w:r>
      <w:r>
        <w:t xml:space="preserve"> mode de vérification alternatif en cas d’installation impossible pour l’acheteur (contact à joindre, support distant, support sur site, </w:t>
      </w:r>
      <w:r>
        <w:rPr>
          <w:i/>
        </w:rPr>
        <w:t xml:space="preserve">etc</w:t>
      </w:r>
      <w:r>
        <w:t xml:space="preserve">.). </w:t>
      </w:r>
      <w:r/>
    </w:p>
    <w:p>
      <w:pPr>
        <w:pStyle w:val="1090"/>
        <w:widowControl w:val="false"/>
        <w:pBdr/>
        <w:spacing/>
        <w:ind w:firstLine="0" w:left="720"/>
        <w:rPr/>
      </w:pPr>
      <w:r/>
      <w:r/>
    </w:p>
    <w:p>
      <w:pPr>
        <w:pStyle w:val="1074"/>
        <w:widowControl w:val="false"/>
        <w:pBdr>
          <w:top w:val="single" w:color="00000a" w:sz="4" w:space="4"/>
          <w:left w:val="single" w:color="00000a" w:sz="4" w:space="4"/>
          <w:bottom w:val="single" w:color="00000a" w:sz="4" w:space="4"/>
          <w:right w:val="single" w:color="00000a" w:sz="4" w:space="4"/>
        </w:pBdr>
        <w:shd w:val="clear" w:color="auto" w:fill="d9d9d9"/>
        <w:spacing/>
        <w:ind w:right="284" w:left="720"/>
        <w:rPr>
          <w:b/>
        </w:rPr>
      </w:pPr>
      <w:r>
        <w:rPr>
          <w:b/>
        </w:rPr>
        <w:t xml:space="preserve">Attention, si le dispositif de création de signature électronique utilisé ne comporte pas de fonctionnalité d’horodatage, le document doit être daté avant d’être signé électroniquement. </w:t>
      </w:r>
      <w:r>
        <w:rPr>
          <w:b/>
        </w:rPr>
      </w:r>
    </w:p>
    <w:p>
      <w:pPr>
        <w:pStyle w:val="1090"/>
        <w:widowControl w:val="false"/>
        <w:pBdr/>
        <w:spacing/>
        <w:ind/>
        <w:rPr/>
      </w:pPr>
      <w:r/>
      <w:r/>
    </w:p>
    <w:p>
      <w:pPr>
        <w:pStyle w:val="1090"/>
        <w:widowControl w:val="false"/>
        <w:pBdr/>
        <w:spacing/>
        <w:ind/>
        <w:rPr/>
      </w:pPr>
      <w:r/>
      <w:r/>
    </w:p>
    <w:p>
      <w:pPr>
        <w:pStyle w:val="996"/>
        <w:keepNext w:val="false"/>
        <w:keepLines w:val="false"/>
        <w:pageBreakBefore w:val="false"/>
        <w:widowControl w:val="false"/>
        <w:pBdr/>
        <w:spacing/>
        <w:ind/>
        <w:rPr/>
      </w:pPr>
      <w:r/>
      <w:bookmarkStart w:id="205" w:name="_Toc26451250"/>
      <w:r/>
      <w:bookmarkStart w:id="206" w:name="_Toc206749702"/>
      <w:r/>
      <w:bookmarkEnd w:id="205"/>
      <w:r>
        <w:t xml:space="preserve">ANNEXE III – </w:t>
      </w:r>
      <w:r>
        <w:rPr>
          <w:caps w:val="0"/>
        </w:rPr>
        <w:t xml:space="preserve">FORMULAIRE DC1</w:t>
      </w:r>
      <w:bookmarkEnd w:id="206"/>
      <w:r/>
      <w:r/>
    </w:p>
    <w:p>
      <w:pPr>
        <w:pStyle w:val="1037"/>
        <w:widowControl w:val="false"/>
        <w:pBdr/>
        <w:spacing/>
        <w:ind/>
        <w:rPr/>
      </w:pPr>
      <w:r>
        <w:t xml:space="preserve">Les éléments relatifs à l’annexe III et à sa notice explicative font l’objet d’un document séparé du présent règlement de la consultation.</w:t>
      </w:r>
      <w:r/>
    </w:p>
    <w:p>
      <w:pPr>
        <w:pBdr/>
        <w:spacing w:after="0" w:before="0"/>
        <w:ind/>
        <w:jc w:val="left"/>
        <w:rPr>
          <w:rFonts w:cs="Times New Roman"/>
          <w:lang w:eastAsia="en-US"/>
        </w:rPr>
      </w:pPr>
      <w:r>
        <w:br w:type="page" w:clear="all"/>
      </w:r>
      <w:r>
        <w:rPr>
          <w:rFonts w:cs="Times New Roman"/>
          <w:lang w:eastAsia="en-US"/>
        </w:rPr>
      </w:r>
    </w:p>
    <w:p>
      <w:pPr>
        <w:pStyle w:val="996"/>
        <w:keepNext w:val="false"/>
        <w:keepLines w:val="false"/>
        <w:widowControl w:val="false"/>
        <w:pBdr/>
        <w:spacing/>
        <w:ind/>
        <w:rPr/>
      </w:pPr>
      <w:r/>
      <w:bookmarkStart w:id="207" w:name="_Toc26451251"/>
      <w:r/>
      <w:bookmarkStart w:id="208" w:name="_Toc206749703"/>
      <w:r/>
      <w:bookmarkEnd w:id="207"/>
      <w:r>
        <w:t xml:space="preserve">ANNEXE IV </w:t>
      </w:r>
      <w:r>
        <w:rPr>
          <w:caps w:val="0"/>
        </w:rPr>
        <w:t xml:space="preserve">– FORMULAIRE DC2</w:t>
      </w:r>
      <w:bookmarkEnd w:id="208"/>
      <w:r/>
      <w:r/>
    </w:p>
    <w:p>
      <w:pPr>
        <w:pStyle w:val="1037"/>
        <w:widowControl w:val="false"/>
        <w:pBdr/>
        <w:spacing w:after="100" w:before="100"/>
        <w:ind/>
        <w:rPr/>
      </w:pPr>
      <w:r>
        <w:t xml:space="preserve">Les éléments relatifs à l’annexe IV et à sa notice explicative font l’objet d’un document séparé du présent règlement de la consultation.</w:t>
      </w:r>
      <w:r/>
    </w:p>
    <w:p>
      <w:pPr>
        <w:widowControl w:val="false"/>
        <w:pBdr/>
        <w:spacing/>
        <w:ind/>
        <w:rPr>
          <w:lang w:eastAsia="en-US"/>
        </w:rPr>
      </w:pPr>
      <w:r>
        <w:rPr>
          <w:lang w:eastAsia="en-US"/>
        </w:rPr>
      </w:r>
      <w:r>
        <w:rPr>
          <w:lang w:eastAsia="en-US"/>
        </w:rPr>
      </w:r>
    </w:p>
    <w:p>
      <w:pPr>
        <w:widowControl w:val="false"/>
        <w:pBdr/>
        <w:spacing/>
        <w:ind/>
        <w:rPr>
          <w:lang w:eastAsia="en-US"/>
        </w:rPr>
      </w:pPr>
      <w:r>
        <w:rPr>
          <w:lang w:eastAsia="en-US"/>
        </w:rPr>
      </w:r>
      <w:r>
        <w:rPr>
          <w:lang w:eastAsia="en-US"/>
        </w:rPr>
      </w:r>
    </w:p>
    <w:p>
      <w:pPr>
        <w:widowControl w:val="false"/>
        <w:pBdr/>
        <w:spacing/>
        <w:ind/>
        <w:rPr>
          <w:lang w:eastAsia="en-US"/>
        </w:rPr>
      </w:pPr>
      <w:r>
        <w:rPr>
          <w:lang w:eastAsia="en-US"/>
        </w:rPr>
      </w:r>
      <w:r>
        <w:rPr>
          <w:lang w:eastAsia="en-US"/>
        </w:rPr>
      </w:r>
    </w:p>
    <w:p>
      <w:pPr>
        <w:widowControl w:val="false"/>
        <w:pBdr/>
        <w:spacing/>
        <w:ind/>
        <w:rPr>
          <w:lang w:eastAsia="en-US"/>
        </w:rPr>
      </w:pPr>
      <w:r>
        <w:rPr>
          <w:lang w:eastAsia="en-US"/>
        </w:rPr>
      </w:r>
      <w:r>
        <w:rPr>
          <w:lang w:eastAsia="en-US"/>
        </w:rPr>
      </w:r>
    </w:p>
    <w:p>
      <w:pPr>
        <w:widowControl w:val="false"/>
        <w:pBdr/>
        <w:spacing/>
        <w:ind/>
        <w:rPr>
          <w:lang w:eastAsia="en-US"/>
        </w:rPr>
      </w:pPr>
      <w:r>
        <w:rPr>
          <w:lang w:eastAsia="en-US"/>
        </w:rPr>
      </w:r>
      <w:r>
        <w:rPr>
          <w:lang w:eastAsia="en-US"/>
        </w:rPr>
      </w:r>
    </w:p>
    <w:p>
      <w:pPr>
        <w:widowControl w:val="false"/>
        <w:pBdr/>
        <w:spacing/>
        <w:ind/>
        <w:rPr>
          <w:lang w:eastAsia="en-US"/>
        </w:rPr>
      </w:pPr>
      <w:r>
        <w:rPr>
          <w:lang w:eastAsia="en-US"/>
        </w:rPr>
      </w:r>
      <w:r>
        <w:rPr>
          <w:lang w:eastAsia="en-US"/>
        </w:rPr>
      </w:r>
    </w:p>
    <w:p>
      <w:pPr>
        <w:widowControl w:val="false"/>
        <w:pBdr/>
        <w:tabs>
          <w:tab w:val="left" w:leader="none" w:pos="1358"/>
        </w:tabs>
        <w:spacing/>
        <w:ind/>
        <w:rPr>
          <w:lang w:eastAsia="en-US"/>
        </w:rPr>
      </w:pPr>
      <w:r>
        <w:rPr>
          <w:lang w:eastAsia="en-US"/>
        </w:rPr>
        <w:tab/>
      </w:r>
      <w:r>
        <w:rPr>
          <w:lang w:eastAsia="en-US"/>
        </w:rPr>
      </w:r>
    </w:p>
    <w:p>
      <w:pPr>
        <w:widowControl w:val="false"/>
        <w:pBdr/>
        <w:tabs>
          <w:tab w:val="left" w:leader="none" w:pos="1358"/>
        </w:tabs>
        <w:spacing/>
        <w:ind/>
        <w:rPr>
          <w:lang w:eastAsia="en-US"/>
        </w:rPr>
      </w:pPr>
      <w:r>
        <w:rPr>
          <w:lang w:eastAsia="en-US"/>
        </w:rPr>
      </w:r>
      <w:r>
        <w:rPr>
          <w:lang w:eastAsia="en-US"/>
        </w:rPr>
      </w:r>
    </w:p>
    <w:p>
      <w:pPr>
        <w:pBdr/>
        <w:spacing w:after="0" w:before="0"/>
        <w:ind/>
        <w:jc w:val="left"/>
        <w:rPr>
          <w:lang w:eastAsia="en-US"/>
        </w:rPr>
      </w:pPr>
      <w:r>
        <w:br w:type="page" w:clear="all"/>
      </w:r>
      <w:r>
        <w:rPr>
          <w:lang w:eastAsia="en-US"/>
        </w:rPr>
      </w:r>
    </w:p>
    <w:p>
      <w:pPr>
        <w:pStyle w:val="996"/>
        <w:keepNext w:val="false"/>
        <w:keepLines w:val="false"/>
        <w:widowControl w:val="false"/>
        <w:pBdr/>
        <w:spacing/>
        <w:ind/>
        <w:rPr/>
      </w:pPr>
      <w:r/>
      <w:bookmarkStart w:id="209" w:name="_Toc26451252"/>
      <w:r/>
      <w:bookmarkStart w:id="210" w:name="_Toc206749704"/>
      <w:r/>
      <w:bookmarkEnd w:id="209"/>
      <w:r>
        <w:t xml:space="preserve">ANNEXE </w:t>
      </w:r>
      <w:r>
        <w:rPr>
          <w:caps w:val="0"/>
        </w:rPr>
        <w:t xml:space="preserve">V – FORMULAIRE DC4</w:t>
      </w:r>
      <w:bookmarkEnd w:id="210"/>
      <w:r/>
      <w:r/>
    </w:p>
    <w:p>
      <w:pPr>
        <w:pStyle w:val="1037"/>
        <w:widowControl w:val="false"/>
        <w:pBdr/>
        <w:spacing w:after="100" w:before="100"/>
        <w:ind/>
        <w:rPr/>
      </w:pPr>
      <w:r>
        <w:t xml:space="preserve">Les éléments relatifs à l’annexe V et à sa notice explicative font l’objet d’un document séparé du présent règlement de la consultation.</w:t>
      </w:r>
      <w:r/>
    </w:p>
    <w:p>
      <w:pPr>
        <w:pBdr/>
        <w:spacing w:after="0" w:before="0"/>
        <w:ind/>
        <w:jc w:val="left"/>
        <w:rPr>
          <w:rFonts w:cs="Times New Roman"/>
          <w:lang w:eastAsia="en-US"/>
        </w:rPr>
      </w:pPr>
      <w:r>
        <w:br w:type="page" w:clear="all"/>
      </w:r>
      <w:r>
        <w:rPr>
          <w:rFonts w:cs="Times New Roman"/>
          <w:lang w:eastAsia="en-US"/>
        </w:rPr>
      </w:r>
    </w:p>
    <w:p>
      <w:pPr>
        <w:pStyle w:val="996"/>
        <w:keepNext w:val="false"/>
        <w:keepLines w:val="false"/>
        <w:widowControl w:val="false"/>
        <w:pBdr/>
        <w:spacing/>
        <w:ind/>
        <w:rPr/>
      </w:pPr>
      <w:r/>
      <w:bookmarkStart w:id="211" w:name="_Toc26451253"/>
      <w:r/>
      <w:bookmarkStart w:id="212" w:name="_Toc206749705"/>
      <w:r/>
      <w:bookmarkEnd w:id="211"/>
      <w:r>
        <w:t xml:space="preserve">ANNEXE VI </w:t>
      </w:r>
      <w:r>
        <w:rPr>
          <w:caps w:val="0"/>
        </w:rPr>
        <w:t xml:space="preserve">– CADRE DE REPONSE TECHNIQUE</w:t>
      </w:r>
      <w:bookmarkEnd w:id="212"/>
      <w:r/>
      <w:r/>
    </w:p>
    <w:p>
      <w:pPr>
        <w:pStyle w:val="1037"/>
        <w:widowControl w:val="false"/>
        <w:pBdr/>
        <w:spacing w:after="100" w:before="100"/>
        <w:ind/>
        <w:rPr/>
      </w:pPr>
      <w:r>
        <w:t xml:space="preserve">Pour faciliter la comparaison des offres techniques entre elles, il est demandé au candidat de présenter son offre technique en se conformant au cadre de réponse technique</w:t>
      </w:r>
      <w:r>
        <w:t xml:space="preserve"> et environnementale</w:t>
      </w:r>
      <w:r>
        <w:t xml:space="preserve">, objet d’un document séparé du présent règlement de la consultation.</w:t>
      </w:r>
      <w:r/>
    </w:p>
    <w:p>
      <w:pPr>
        <w:widowControl w:val="false"/>
        <w:pBdr/>
        <w:spacing/>
        <w:ind/>
        <w:rPr>
          <w:lang w:eastAsia="en-US"/>
        </w:rPr>
      </w:pPr>
      <w:r>
        <w:rPr>
          <w:lang w:eastAsia="en-US"/>
        </w:rPr>
      </w:r>
      <w:r>
        <w:rPr>
          <w:lang w:eastAsia="en-US"/>
        </w:rPr>
      </w:r>
    </w:p>
    <w:p>
      <w:pPr>
        <w:widowControl w:val="false"/>
        <w:pBdr/>
        <w:spacing/>
        <w:ind/>
        <w:rPr>
          <w:lang w:eastAsia="en-US"/>
        </w:rPr>
      </w:pPr>
      <w:r>
        <w:rPr>
          <w:lang w:eastAsia="en-US"/>
        </w:rPr>
      </w:r>
      <w:r>
        <w:rPr>
          <w:lang w:eastAsia="en-US"/>
        </w:rPr>
      </w:r>
    </w:p>
    <w:p>
      <w:pPr>
        <w:pBdr/>
        <w:spacing w:after="0" w:before="0"/>
        <w:ind/>
        <w:jc w:val="left"/>
        <w:rPr>
          <w:lang w:eastAsia="en-US"/>
        </w:rPr>
      </w:pPr>
      <w:r>
        <w:br w:type="page" w:clear="all"/>
      </w:r>
      <w:r>
        <w:rPr>
          <w:lang w:eastAsia="en-US"/>
        </w:rPr>
      </w:r>
    </w:p>
    <w:p>
      <w:pPr>
        <w:pStyle w:val="996"/>
        <w:keepNext w:val="false"/>
        <w:keepLines w:val="false"/>
        <w:widowControl w:val="false"/>
        <w:pBdr/>
        <w:spacing/>
        <w:ind/>
        <w:rPr/>
      </w:pPr>
      <w:r/>
      <w:bookmarkStart w:id="213" w:name="_Toc26451254"/>
      <w:r/>
      <w:bookmarkStart w:id="214" w:name="_Toc206749706"/>
      <w:r/>
      <w:bookmarkEnd w:id="213"/>
      <w:r>
        <w:rPr>
          <w:caps w:val="0"/>
        </w:rPr>
        <w:t xml:space="preserve">ANNEXE VII – SIMULATION FINANCIERE</w:t>
      </w:r>
      <w:bookmarkEnd w:id="214"/>
      <w:r/>
      <w:r/>
    </w:p>
    <w:p>
      <w:pPr>
        <w:widowControl w:val="false"/>
        <w:pBdr/>
        <w:spacing w:after="100" w:before="100"/>
        <w:ind/>
        <w:rPr>
          <w:highlight w:val="yellow"/>
        </w:rPr>
      </w:pPr>
      <w:r>
        <w:t xml:space="preserve">La simulation financière fait l’objet d’un document séparé du présent règlement de la consultation.</w:t>
      </w:r>
      <w:r>
        <w:rPr>
          <w:highlight w:val="yellow"/>
        </w:rPr>
      </w:r>
    </w:p>
    <w:p>
      <w:pPr>
        <w:widowControl w:val="false"/>
        <w:pBdr/>
        <w:spacing w:after="100" w:before="100"/>
        <w:ind/>
        <w:rPr/>
      </w:pPr>
      <w:r/>
      <w:r/>
    </w:p>
    <w:p>
      <w:pPr>
        <w:pBdr/>
        <w:spacing w:after="0" w:before="0"/>
        <w:ind/>
        <w:jc w:val="left"/>
        <w:rPr/>
      </w:pPr>
      <w:r>
        <w:br w:type="page" w:clear="all"/>
      </w:r>
      <w:r/>
    </w:p>
    <w:p>
      <w:pPr>
        <w:pStyle w:val="996"/>
        <w:keepNext w:val="false"/>
        <w:keepLines w:val="false"/>
        <w:widowControl w:val="false"/>
        <w:pBdr/>
        <w:spacing/>
        <w:ind/>
        <w:rPr/>
      </w:pPr>
      <w:r/>
      <w:bookmarkStart w:id="215" w:name="_Toc26451255"/>
      <w:r/>
      <w:bookmarkStart w:id="216" w:name="_Toc206749707"/>
      <w:r/>
      <w:bookmarkEnd w:id="215"/>
      <w:r>
        <w:rPr>
          <w:caps w:val="0"/>
        </w:rPr>
        <w:t xml:space="preserve">ANNEXE VIII – CHARTE DE DEONTOLOGIE</w:t>
      </w:r>
      <w:bookmarkEnd w:id="216"/>
      <w:r/>
      <w:r/>
    </w:p>
    <w:p>
      <w:pPr>
        <w:pStyle w:val="1037"/>
        <w:widowControl w:val="false"/>
        <w:pBdr/>
        <w:spacing w:after="100" w:before="100"/>
        <w:ind/>
        <w:rPr/>
      </w:pPr>
      <w:r>
        <w:t xml:space="preserve">La charte de déontologie fait l’objet d’un document séparé du présent règlement de la consultation.</w:t>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1037"/>
        <w:widowControl w:val="false"/>
        <w:pBdr/>
        <w:spacing w:after="100" w:before="100"/>
        <w:ind/>
        <w:rPr/>
      </w:pPr>
      <w:r/>
      <w:r/>
    </w:p>
    <w:p>
      <w:pPr>
        <w:pStyle w:val="996"/>
        <w:keepNext w:val="false"/>
        <w:keepLines w:val="false"/>
        <w:pageBreakBefore w:val="false"/>
        <w:widowControl w:val="false"/>
        <w:pBdr/>
        <w:spacing/>
        <w:ind/>
        <w:rPr/>
      </w:pPr>
      <w:r/>
      <w:bookmarkStart w:id="217" w:name="_Toc206749708"/>
      <w:r>
        <w:rPr>
          <w:caps w:val="0"/>
        </w:rPr>
        <w:t xml:space="preserve">ANNEXE IX – Engagement de confidentialité</w:t>
      </w:r>
      <w:bookmarkEnd w:id="217"/>
      <w:r>
        <w:rPr>
          <w:caps w:val="0"/>
        </w:rPr>
        <w:t xml:space="preserve"> </w:t>
      </w:r>
      <w:r/>
    </w:p>
    <w:p>
      <w:pPr>
        <w:pStyle w:val="1037"/>
        <w:widowControl w:val="false"/>
        <w:pBdr/>
        <w:spacing w:after="100" w:before="100"/>
        <w:ind/>
        <w:rPr/>
      </w:pPr>
      <w:r>
        <w:t xml:space="preserve">Ce document fait l’objet d’un document séparé du présent règlement de la consultation.</w:t>
      </w:r>
      <w:r/>
    </w:p>
    <w:p>
      <w:pPr>
        <w:pStyle w:val="1037"/>
        <w:widowControl w:val="false"/>
        <w:pBdr/>
        <w:spacing w:after="100" w:before="100"/>
        <w:ind/>
        <w:rPr/>
      </w:pPr>
      <w:r/>
      <w:r/>
    </w:p>
    <w:sectPr>
      <w:headerReference w:type="default" r:id="rId10"/>
      <w:headerReference w:type="first" r:id="rId11"/>
      <w:footerReference w:type="default" r:id="rId13"/>
      <w:footerReference w:type="first" r:id="rId14"/>
      <w:footnotePr>
        <w:numRestart w:val="eachPage"/>
      </w:footnotePr>
      <w:endnotePr/>
      <w:type w:val="nextPage"/>
      <w:pgSz w:h="16838" w:orient="portrait" w:w="11906"/>
      <w:pgMar w:top="851" w:right="1134" w:bottom="851" w:left="1134" w:header="720" w:footer="720"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before="0"/>
        <w:ind/>
        <w:rPr/>
      </w:pPr>
      <w:r>
        <w:separator/>
      </w:r>
      <w:r/>
    </w:p>
  </w:endnote>
  <w:endnote w:type="continuationSeparator" w:id="0">
    <w:p>
      <w:pPr>
        <w:pBdr/>
        <w:spacing w:after="0" w:before="0"/>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font>
  <w:font w:name="Symbol">
    <w:panose1 w:val="05010000000000000000"/>
  </w:font>
  <w:font w:name="Courier New">
    <w:panose1 w:val="02070309020205020404"/>
  </w:font>
  <w:font w:name="Calibri">
    <w:panose1 w:val="020F0502020204030204"/>
  </w:font>
  <w:font w:name="Times New Roman">
    <w:panose1 w:val="02020603050405020304"/>
  </w:font>
  <w:font w:name="Microsoft YaHei">
    <w:panose1 w:val="020B0503020204020204"/>
  </w:font>
  <w:font w:name="Wingdings">
    <w:panose1 w:val="05000000000000000000"/>
  </w:font>
  <w:font w:name="Liberation Sans">
    <w:panose1 w:val="020B0604020202020204"/>
  </w:font>
  <w:font w:name="Arial Gras">
    <w:panose1 w:val="020B0604020202020204"/>
  </w:font>
  <w:font w:name="Marianne">
    <w:panose1 w:val="02000000000000000000"/>
  </w:font>
  <w:font w:name="CG Times (WN)">
    <w:panose1 w:val="020B0502040504020204"/>
  </w:font>
  <w:font w:name="Tahoma">
    <w:panose1 w:val="020B0604030504040204"/>
  </w:font>
  <w:font w:name="MS Mincho">
    <w:panose1 w:val="02020603050405090304"/>
  </w:font>
  <w:font w:name="Verdana">
    <w:panose1 w:val="020B0604030504040204"/>
  </w:font>
  <w:font w:name="Arial Unicode MS">
    <w:panose1 w:val="020B06040202020202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9"/>
      <w:pBdr>
        <w:top w:val="single" w:color="00000a" w:sz="4" w:space="1"/>
      </w:pBdr>
      <w:tabs>
        <w:tab w:val="left" w:leader="none" w:pos="-426"/>
        <w:tab w:val="left" w:leader="none" w:pos="2552"/>
      </w:tabs>
      <w:spacing/>
      <w:ind w:right="-1"/>
      <w:jc w:val="center"/>
      <w:rPr/>
    </w:pPr>
    <w:r>
      <w:rPr>
        <w:smallCaps/>
        <w:szCs w:val="16"/>
      </w:rPr>
      <w:t xml:space="preserve">MI/SG/DEPAFI/SAILMI/SDASEM/BAN</w:t>
    </w:r>
    <w:r>
      <w:rPr>
        <w:szCs w:val="16"/>
      </w:rPr>
      <w:tab/>
    </w:r>
    <w:r>
      <w:rPr>
        <w:sz w:val="14"/>
      </w:rPr>
      <w:t xml:space="preserve">reproduction du document à un tiers interdite</w:t>
    </w:r>
    <w:r>
      <w:rPr>
        <w:smallCaps/>
        <w:sz w:val="14"/>
      </w:rPr>
      <w:tab/>
    </w:r>
    <w:r>
      <w:rPr>
        <w:smallCaps/>
        <w:sz w:val="14"/>
      </w:rPr>
      <w:tab/>
    </w:r>
    <w:r>
      <w:fldChar w:fldCharType="begin"/>
    </w:r>
    <w:r>
      <w:instrText xml:space="preserve">PAGE</w:instrText>
    </w:r>
    <w:r>
      <w:fldChar w:fldCharType="separate"/>
    </w:r>
    <w:r>
      <w:t xml:space="preserve">1</w:t>
    </w:r>
    <w:r>
      <w:fldChar w:fldCharType="end"/>
    </w:r>
    <w:r>
      <w:rPr>
        <w:rStyle w:val="948"/>
      </w:rPr>
      <w:t xml:space="preserve">/</w:t>
    </w:r>
    <w:r>
      <w:fldChar w:fldCharType="begin"/>
    </w:r>
    <w:r>
      <w:instrText xml:space="preserve">NUMPAGES</w:instrText>
    </w:r>
    <w:r>
      <w:fldChar w:fldCharType="separate"/>
    </w:r>
    <w:r>
      <w:t xml:space="preserve">31</w:t>
    </w:r>
    <w:r>
      <w:fldChar w:fldCharType="end"/>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9"/>
      <w:pBdr>
        <w:top w:val="single" w:color="00000a" w:sz="4" w:space="1"/>
      </w:pBdr>
      <w:tabs>
        <w:tab w:val="left" w:leader="none" w:pos="-426"/>
        <w:tab w:val="left" w:leader="none" w:pos="2552"/>
      </w:tabs>
      <w:spacing/>
      <w:ind w:right="-1"/>
      <w:jc w:val="center"/>
      <w:rPr/>
    </w:pPr>
    <w:r>
      <w:rPr>
        <w:smallCaps/>
        <w:szCs w:val="16"/>
      </w:rPr>
      <w:t xml:space="preserve">MI/SG/DEPAFI/SAILMI/SDASEM/BAN</w:t>
    </w:r>
    <w:r>
      <w:rPr>
        <w:smallCaps/>
        <w:sz w:val="14"/>
      </w:rPr>
      <w:tab/>
      <w:t xml:space="preserve">                                      </w:t>
    </w:r>
    <w:r>
      <w:rPr>
        <w:sz w:val="14"/>
      </w:rPr>
      <w:t xml:space="preserve">reproduction du document à un tiers interdite</w:t>
    </w:r>
    <w:r>
      <w:rPr>
        <w:smallCaps/>
        <w:sz w:val="14"/>
      </w:rPr>
      <w:tab/>
    </w:r>
    <w:r>
      <w:fldChar w:fldCharType="begin"/>
    </w:r>
    <w:r>
      <w:instrText xml:space="preserve">PAGE</w:instrText>
    </w:r>
    <w:r>
      <w:fldChar w:fldCharType="separate"/>
    </w:r>
    <w:r>
      <w:t xml:space="preserve">31</w:t>
    </w:r>
    <w:r>
      <w:fldChar w:fldCharType="end"/>
    </w:r>
    <w:r>
      <w:rPr>
        <w:rStyle w:val="948"/>
      </w:rPr>
      <w:t xml:space="preserve">/</w:t>
    </w:r>
    <w:r>
      <w:fldChar w:fldCharType="begin"/>
    </w:r>
    <w:r>
      <w:instrText xml:space="preserve">NUMPAGES</w:instrText>
    </w:r>
    <w:r>
      <w:fldChar w:fldCharType="separate"/>
    </w:r>
    <w:r>
      <w:t xml:space="preserve">31</w:t>
    </w:r>
    <w:r>
      <w:fldChar w:fldCharType="end"/>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9"/>
      <w:pBdr>
        <w:top w:val="single" w:color="00000a" w:sz="4" w:space="1"/>
      </w:pBdr>
      <w:tabs>
        <w:tab w:val="left" w:leader="none" w:pos="-426"/>
        <w:tab w:val="left" w:leader="none" w:pos="2552"/>
      </w:tabs>
      <w:spacing/>
      <w:ind w:right="-1"/>
      <w:jc w:val="center"/>
      <w:rPr/>
    </w:pPr>
    <w:r>
      <w:rPr>
        <w:smallCaps/>
        <w:szCs w:val="16"/>
      </w:rPr>
      <w:t xml:space="preserve">MI/SG/DEPAFI/SAILMI/SDASEM/BAN</w:t>
    </w:r>
    <w:r>
      <w:rPr>
        <w:szCs w:val="16"/>
      </w:rPr>
      <w:tab/>
    </w:r>
    <w:r>
      <w:rPr>
        <w:sz w:val="14"/>
      </w:rPr>
      <w:t xml:space="preserve">reproduction du document à un tiers interdite</w:t>
    </w:r>
    <w:r>
      <w:rPr>
        <w:smallCaps/>
        <w:sz w:val="14"/>
      </w:rPr>
      <w:tab/>
    </w:r>
    <w:r>
      <w:rPr>
        <w:smallCaps/>
        <w:sz w:val="14"/>
      </w:rPr>
      <w:tab/>
    </w:r>
    <w:r>
      <w:fldChar w:fldCharType="begin"/>
    </w:r>
    <w:r>
      <w:instrText xml:space="preserve">PAGE</w:instrText>
    </w:r>
    <w:r>
      <w:fldChar w:fldCharType="separate"/>
    </w:r>
    <w:r>
      <w:t xml:space="preserve">2</w:t>
    </w:r>
    <w:r>
      <w:fldChar w:fldCharType="end"/>
    </w:r>
    <w:r>
      <w:rPr>
        <w:rStyle w:val="948"/>
      </w:rPr>
      <w:t xml:space="preserve">/</w:t>
    </w:r>
    <w:r>
      <w:fldChar w:fldCharType="begin"/>
    </w:r>
    <w:r>
      <w:instrText xml:space="preserve">NUMPAGES</w:instrText>
    </w:r>
    <w:r>
      <w:fldChar w:fldCharType="separate"/>
    </w:r>
    <w:r>
      <w:t xml:space="preserve">31</w:t>
    </w:r>
    <w: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sz w:val="12"/>
        </w:rPr>
      </w:pPr>
      <w:r>
        <w:separator/>
      </w:r>
      <w:r>
        <w:rPr>
          <w:sz w:val="12"/>
        </w:rPr>
      </w:r>
    </w:p>
  </w:footnote>
  <w:footnote w:type="continuationSeparator" w:id="0">
    <w:p>
      <w:pPr>
        <w:pBdr/>
        <w:spacing/>
        <w:ind/>
        <w:rPr>
          <w:sz w:val="12"/>
        </w:rPr>
      </w:pPr>
      <w:r>
        <w:continuationSeparator/>
      </w:r>
      <w:r>
        <w:rPr>
          <w:sz w:val="12"/>
        </w:rPr>
      </w:r>
    </w:p>
  </w:footnote>
  <w:footnote w:id="2">
    <w:p>
      <w:pPr>
        <w:pBdr/>
        <w:spacing w:before="60"/>
        <w:ind/>
        <w:rPr/>
      </w:pPr>
      <w:r>
        <w:rPr>
          <w:rStyle w:val="986"/>
        </w:rPr>
        <w:footnoteRef/>
      </w:r>
      <w:r>
        <w:rPr>
          <w:rStyle w:val="954"/>
          <w:sz w:val="18"/>
          <w:szCs w:val="18"/>
        </w:rPr>
        <w:tab/>
      </w:r>
      <w:r>
        <w:rPr>
          <w:rStyle w:val="954"/>
          <w:sz w:val="18"/>
          <w:szCs w:val="18"/>
          <w:vertAlign w:val="baseline"/>
        </w:rPr>
        <w:t xml:space="preserve"> Pour ce faire, le candidat se réfère au Guide d’utilisation de la plateforme des achats de l’Etat accessible à l’adresse internet suivante : </w:t>
      </w:r>
      <w:hyperlink r:id="rId1" w:tooltip="https://www.marches-publics.gouv.fr/?page=entreprise.EntrepriseGuide" w:history="1">
        <w:r>
          <w:rPr>
            <w:rStyle w:val="949"/>
            <w:sz w:val="18"/>
            <w:szCs w:val="18"/>
          </w:rPr>
          <w:t xml:space="preserve">https://www.marches-publics.gouv.fr/?page=entreprise.EntrepriseGuide</w:t>
        </w:r>
      </w:hyperlink>
      <w:r>
        <w:rPr>
          <w:sz w:val="18"/>
          <w:szCs w:val="18"/>
        </w:rPr>
        <w:t xml:space="preserve">.</w:t>
      </w:r>
      <w:r/>
    </w:p>
  </w:footnote>
  <w:footnote w:id="3">
    <w:p>
      <w:pPr>
        <w:pStyle w:val="1023"/>
        <w:pBdr/>
        <w:spacing/>
        <w:ind/>
        <w:rPr/>
      </w:pPr>
      <w:r>
        <w:rPr>
          <w:rStyle w:val="986"/>
        </w:rPr>
        <w:footnoteRef/>
      </w:r>
      <w:r>
        <w:rPr>
          <w:rStyle w:val="954"/>
        </w:rPr>
        <w:tab/>
      </w:r>
      <w:r>
        <w:t xml:space="preserve"> </w:t>
      </w:r>
      <w:hyperlink r:id="rId2" w:tooltip="https://dume.chorus-pro.gouv.fr/#/operateur-economique" w:anchor="/operateur-economique" w:history="1">
        <w:r>
          <w:rPr>
            <w:rStyle w:val="949"/>
          </w:rPr>
          <w:t xml:space="preserve">https://dume.chorus-pro.gouv.fr/#/operateur-economique</w:t>
        </w:r>
      </w:hyperlink>
      <w:r>
        <w:t xml:space="preserve">.</w:t>
      </w:r>
      <w:r/>
    </w:p>
  </w:footnote>
  <w:footnote w:id="4">
    <w:p>
      <w:pPr>
        <w:pStyle w:val="1023"/>
        <w:widowControl w:val="false"/>
        <w:pBdr/>
        <w:spacing/>
        <w:ind/>
        <w:rPr/>
      </w:pPr>
      <w:r>
        <w:rPr>
          <w:rStyle w:val="986"/>
        </w:rPr>
        <w:footnoteRef/>
      </w:r>
      <w:r/>
    </w:p>
  </w:footnote>
  <w:footnote w:id="5">
    <w:p>
      <w:pPr>
        <w:pStyle w:val="1023"/>
        <w:pBdr/>
        <w:spacing/>
        <w:ind/>
        <w:rPr/>
      </w:pPr>
      <w:r>
        <w:rPr>
          <w:rStyle w:val="986"/>
        </w:rPr>
        <w:footnoteRef/>
      </w:r>
      <w:r>
        <w:rPr>
          <w:rStyle w:val="954"/>
          <w:sz w:val="18"/>
          <w:szCs w:val="18"/>
        </w:rPr>
        <w:tab/>
      </w:r>
      <w:r>
        <w:rPr>
          <w:sz w:val="18"/>
          <w:szCs w:val="18"/>
        </w:rPr>
        <w:t xml:space="preserve"> Voir annexe II relative aux modalités de signature électronique.</w:t>
      </w:r>
      <w:r/>
    </w:p>
  </w:footnote>
  <w:footnote w:id="6">
    <w:p>
      <w:pPr>
        <w:pStyle w:val="1023"/>
        <w:pBdr/>
        <w:spacing w:before="0"/>
        <w:ind/>
        <w:rPr/>
      </w:pPr>
      <w:r>
        <w:rPr>
          <w:rStyle w:val="986"/>
        </w:rPr>
        <w:footnoteRef/>
      </w:r>
      <w:r>
        <w:rPr>
          <w:rStyle w:val="954"/>
          <w:sz w:val="18"/>
          <w:szCs w:val="18"/>
        </w:rPr>
        <w:tab/>
      </w:r>
      <w:r>
        <w:rPr>
          <w:sz w:val="18"/>
          <w:szCs w:val="18"/>
        </w:rPr>
        <w:t xml:space="preserve"> Il s’agit de la date à partir de laquelle l’exigibilité des obligations contractuelles est possible. Cette date ne s’identifie pas nécessairement à la date de commencement d’exécution des prestations de l’accord-cadre.</w:t>
      </w:r>
      <w:r/>
    </w:p>
  </w:footnote>
  <w:footnote w:id="7">
    <w:p>
      <w:pPr>
        <w:pStyle w:val="1023"/>
        <w:pBdr/>
        <w:spacing/>
        <w:ind/>
        <w:rPr/>
      </w:pPr>
      <w:r>
        <w:rPr>
          <w:rStyle w:val="986"/>
        </w:rPr>
        <w:footnoteRef/>
      </w:r>
      <w:r>
        <w:rPr>
          <w:rStyle w:val="954"/>
        </w:rPr>
        <w:tab/>
      </w:r>
      <w:r>
        <w:t xml:space="preserve"> </w:t>
      </w:r>
      <w:r>
        <w:rPr>
          <w:sz w:val="18"/>
          <w:szCs w:val="18"/>
        </w:rPr>
        <w:t xml:space="preserve">Le jeton d’horodatage peut être enveloppé dans le fichier d’origine ou bien apparaître sous la forme d’un fichier autonome (non enveloppé).</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8"/>
      <w:pBdr/>
      <w:spacing/>
      <w:ind/>
      <w:jc w:val="center"/>
      <w:rPr>
        <w:i w:val="0"/>
        <w:smallCaps/>
        <w:lang w:val="en-GB"/>
      </w:rPr>
    </w:pPr>
    <w:r>
      <w:rPr>
        <w:i w:val="0"/>
        <w:smallCaps/>
        <w:lang w:val="en-GB"/>
      </w:rPr>
    </w:r>
    <w:r>
      <w:rPr>
        <w:i w:val="0"/>
        <w:smallCaps/>
        <w:lang w:val="en-GB"/>
      </w:rPr>
    </w:r>
  </w:p>
  <w:p>
    <w:pPr>
      <w:pStyle w:val="1028"/>
      <w:pBdr/>
      <w:spacing/>
      <w:ind/>
      <w:jc w:val="center"/>
      <w:rPr>
        <w:i w:val="0"/>
        <w:smallCaps/>
        <w:lang w:val="en-GB"/>
      </w:rPr>
    </w:pPr>
    <w:r>
      <w:rPr>
        <w:i w:val="0"/>
        <w:smallCaps/>
        <w:lang w:val="en-GB"/>
      </w:rPr>
    </w:r>
    <w:r>
      <w:rPr>
        <w:i w:val="0"/>
        <w:smallCaps/>
        <w:lang w:val="en-GB"/>
      </w:rPr>
    </w:r>
  </w:p>
  <w:p>
    <w:pPr>
      <w:pStyle w:val="1028"/>
      <w:pBdr/>
      <w:spacing/>
      <w:ind/>
      <w:jc w:val="center"/>
      <w:rPr>
        <w:i w:val="0"/>
        <w:smallCaps/>
        <w:lang w:val="en-GB"/>
      </w:rPr>
    </w:pPr>
    <w:r>
      <w:rPr>
        <w:i w:val="0"/>
        <w:smallCaps/>
        <w:lang w:val="en-GB"/>
      </w:rPr>
    </w:r>
    <w:r>
      <w:rPr>
        <w:i w:val="0"/>
        <w:smallCaps/>
        <w:lang w:val="en-GB"/>
      </w:rPr>
    </w:r>
  </w:p>
  <w:p>
    <w:pPr>
      <w:pStyle w:val="1028"/>
      <w:pBdr/>
      <w:spacing/>
      <w:ind/>
      <w:jc w:val="center"/>
      <w:rPr>
        <w:i w:val="0"/>
        <w:smallCaps/>
        <w:lang w:val="en-GB"/>
      </w:rPr>
    </w:pPr>
    <w:r>
      <w:rPr>
        <w:i w:val="0"/>
        <w:smallCaps/>
        <w:lang w:val="en-GB"/>
      </w:rPr>
    </w:r>
    <w:r>
      <w:rPr>
        <w:i w:val="0"/>
        <w:smallCaps/>
        <w:lang w:val="en-GB"/>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8"/>
      <w:pBdr/>
      <w:spacing/>
      <w:ind/>
      <w:jc w:val="center"/>
      <w:rPr>
        <w:lang w:val="en-GB"/>
      </w:rPr>
    </w:pPr>
    <w:r>
      <w:rPr>
        <w:lang w:val="en-GB"/>
      </w:rPr>
    </w:r>
    <w:r>
      <w:rPr>
        <w:lang w:val="en-GB"/>
      </w:rPr>
    </w:r>
  </w:p>
  <w:p>
    <w:pPr>
      <w:pStyle w:val="1028"/>
      <w:pBdr/>
      <w:spacing/>
      <w:ind/>
      <w:jc w:val="center"/>
      <w:rPr>
        <w:lang w:val="en-GB"/>
      </w:rPr>
    </w:pPr>
    <w:r>
      <w:rPr>
        <w:lang w:val="en-GB"/>
      </w:rPr>
    </w:r>
    <w:r>
      <w:rPr>
        <w:lang w:val="en-GB"/>
      </w:rPr>
    </w:r>
  </w:p>
  <w:p>
    <w:pPr>
      <w:pStyle w:val="1028"/>
      <w:pBdr/>
      <w:spacing/>
      <w:ind/>
      <w:jc w:val="center"/>
      <w:rPr>
        <w:lang w:val="en-GB"/>
      </w:rPr>
    </w:pPr>
    <w:r>
      <w:rPr>
        <w:lang w:val="en-GB"/>
      </w:rPr>
    </w:r>
    <w:r>
      <w:rPr>
        <w:lang w:val="en-GB"/>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8"/>
      <w:pBdr/>
      <w:spacing/>
      <w:ind/>
      <w:jc w:val="center"/>
      <w:rPr>
        <w:i w:val="0"/>
        <w:smallCaps/>
        <w:lang w:val="en-GB"/>
      </w:rPr>
    </w:pPr>
    <w:r>
      <w:rPr>
        <w:i w:val="0"/>
        <w:smallCaps/>
        <w:lang w:val="en-GB"/>
      </w:rPr>
    </w:r>
    <w:r>
      <w:rPr>
        <w:i w:val="0"/>
        <w:smallCaps/>
        <w:lang w:val="en-GB"/>
      </w:rPr>
    </w:r>
  </w:p>
  <w:p>
    <w:pPr>
      <w:pStyle w:val="1028"/>
      <w:pBdr/>
      <w:spacing/>
      <w:ind/>
      <w:jc w:val="center"/>
      <w:rPr>
        <w:i w:val="0"/>
        <w:smallCaps/>
        <w:lang w:val="en-GB"/>
      </w:rPr>
    </w:pPr>
    <w:r>
      <w:rPr>
        <w:i w:val="0"/>
        <w:smallCaps/>
        <w:lang w:val="en-GB"/>
      </w:rPr>
    </w:r>
    <w:r>
      <w:rPr>
        <w:i w:val="0"/>
        <w:smallCaps/>
        <w:lang w:val="en-GB"/>
      </w:rPr>
    </w:r>
  </w:p>
  <w:p>
    <w:pPr>
      <w:pStyle w:val="1028"/>
      <w:pBdr/>
      <w:spacing/>
      <w:ind/>
      <w:jc w:val="center"/>
      <w:rPr>
        <w:i w:val="0"/>
        <w:smallCaps/>
        <w:lang w:val="en-GB"/>
      </w:rPr>
    </w:pPr>
    <w:r>
      <w:rPr>
        <w:i w:val="0"/>
        <w:smallCaps/>
        <w:lang w:val="en-GB"/>
      </w:rPr>
    </w:r>
    <w:r>
      <w:rPr>
        <w:i w:val="0"/>
        <w:smallCaps/>
        <w:lang w:val="en-GB"/>
      </w:rPr>
    </w:r>
  </w:p>
  <w:p>
    <w:pPr>
      <w:pStyle w:val="1028"/>
      <w:pBdr/>
      <w:spacing/>
      <w:ind/>
      <w:jc w:val="center"/>
      <w:rPr>
        <w:i w:val="0"/>
        <w:smallCaps/>
        <w:lang w:val="en-GB"/>
      </w:rPr>
    </w:pPr>
    <w:r>
      <w:rPr>
        <w:i w:val="0"/>
        <w:smallCaps/>
        <w:lang w:val="en-GB"/>
      </w:rPr>
    </w:r>
    <w:r>
      <w:rPr>
        <w:i w:val="0"/>
        <w:smallCaps/>
        <w:lang w:val="en-GB"/>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Article %1."/>
      <w:numFmt w:val="upperRoman"/>
      <w:pPr>
        <w:pBdr/>
        <w:tabs>
          <w:tab w:val="num" w:leader="none" w:pos="0"/>
        </w:tabs>
        <w:spacing/>
        <w:ind w:firstLine="0" w:left="710"/>
      </w:pPr>
      <w:rPr>
        <w:b/>
        <w:bCs w:val="0"/>
        <w:i w:val="0"/>
        <w:iCs w:val="0"/>
        <w:caps/>
        <w:strike w:val="0"/>
        <w:vanish w:val="0"/>
        <w:color w:val="000000"/>
        <w:spacing w:val="0"/>
        <w:position w:val="0"/>
        <w:sz w:val="28"/>
        <w:szCs w:val="28"/>
        <w:u w:val="none"/>
        <w:vertAlign w:val="baseline"/>
      </w:rPr>
      <w:start w:val="1"/>
      <w:suff w:val="space"/>
    </w:lvl>
    <w:lvl w:ilvl="1">
      <w:isLgl w:val="false"/>
      <w:lvlJc w:val="left"/>
      <w:lvlText w:val="%1.%2"/>
      <w:numFmt w:val="decimal"/>
      <w:pPr>
        <w:pBdr/>
        <w:tabs>
          <w:tab w:val="num" w:leader="none" w:pos="720"/>
        </w:tabs>
        <w:spacing/>
        <w:ind w:firstLine="0" w:left="0"/>
      </w:pPr>
      <w:rPr>
        <w:rFonts w:cs="Arial"/>
        <w:b/>
        <w:i w:val="0"/>
        <w:sz w:val="26"/>
        <w:u w:val="none"/>
      </w:rPr>
      <w:start w:val="1"/>
      <w:suff w:val="tab"/>
    </w:lvl>
    <w:lvl w:ilvl="2">
      <w:isLgl w:val="false"/>
      <w:lvlJc w:val="left"/>
      <w:lvlText w:val="%1.%2.%3"/>
      <w:numFmt w:val="decimal"/>
      <w:pPr>
        <w:pBdr/>
        <w:tabs>
          <w:tab w:val="num" w:leader="none" w:pos="1440"/>
        </w:tabs>
        <w:spacing/>
        <w:ind w:hanging="432" w:left="1152"/>
      </w:pPr>
      <w:rPr>
        <w:b w:val="0"/>
        <w:bCs w:val="0"/>
        <w:i w:val="0"/>
        <w:iCs w:val="0"/>
        <w:caps w:val="0"/>
        <w:smallCaps w:val="0"/>
        <w:strike w:val="0"/>
        <w:vanish w:val="0"/>
        <w:color w:val="000000"/>
        <w:spacing w:val="0"/>
        <w:position w:val="0"/>
        <w:sz w:val="22"/>
        <w:u w:val="none"/>
        <w:vertAlign w:val="baseline"/>
      </w:rPr>
      <w:start w:val="1"/>
      <w:suff w:val="tab"/>
    </w:lvl>
    <w:lvl w:ilvl="3">
      <w:isLgl w:val="false"/>
      <w:lvlJc w:val="right"/>
      <w:lvlText w:val="%1.%2.%3.%4"/>
      <w:numFmt w:val="decimal"/>
      <w:pPr>
        <w:pBdr/>
        <w:tabs>
          <w:tab w:val="num" w:leader="none" w:pos="1948"/>
        </w:tabs>
        <w:spacing/>
        <w:ind w:firstLine="724" w:left="864"/>
      </w:pPr>
      <w:rPr>
        <w:rFonts w:cs="Times New Roman"/>
        <w:b w:val="0"/>
        <w:sz w:val="22"/>
      </w:rPr>
      <w:start w:val="1"/>
      <w:suff w:val="tab"/>
    </w:lvl>
    <w:lvl w:ilvl="4">
      <w:isLgl w:val="false"/>
      <w:lvlJc w:val="left"/>
      <w:lvlText w:val="%5)"/>
      <w:numFmt w:val="decimal"/>
      <w:pPr>
        <w:pBdr/>
        <w:tabs>
          <w:tab w:val="num" w:leader="none" w:pos="936"/>
        </w:tabs>
        <w:spacing/>
        <w:ind w:hanging="360" w:left="936"/>
      </w:pPr>
      <w:rPr/>
      <w:start w:val="1"/>
      <w:suff w:val="tab"/>
    </w:lvl>
    <w:lvl w:ilvl="5">
      <w:isLgl w:val="false"/>
      <w:lvlJc w:val="left"/>
      <w:lvlText w:val="%6)"/>
      <w:numFmt w:val="lowerLetter"/>
      <w:pPr>
        <w:pBdr/>
        <w:tabs>
          <w:tab w:val="num" w:leader="none" w:pos="1440"/>
        </w:tabs>
        <w:spacing/>
        <w:ind w:hanging="432" w:left="1152"/>
      </w:pPr>
      <w:rPr/>
      <w:start w:val="1"/>
      <w:suff w:val="tab"/>
    </w:lvl>
    <w:lvl w:ilvl="6">
      <w:isLgl w:val="false"/>
      <w:lvlJc w:val="right"/>
      <w:lvlText w:val="%7)"/>
      <w:numFmt w:val="lowerRoman"/>
      <w:pPr>
        <w:pBdr/>
        <w:tabs>
          <w:tab w:val="num" w:leader="none" w:pos="1296"/>
        </w:tabs>
        <w:spacing/>
        <w:ind w:hanging="288" w:left="1296"/>
      </w:pPr>
      <w:rPr/>
      <w:start w:val="1"/>
      <w:suff w:val="tab"/>
    </w:lvl>
    <w:lvl w:ilvl="7">
      <w:isLgl w:val="false"/>
      <w:lvlJc w:val="left"/>
      <w:lvlText w:val="%8."/>
      <w:numFmt w:val="lowerLetter"/>
      <w:pPr>
        <w:pBdr/>
        <w:tabs>
          <w:tab w:val="num" w:leader="none" w:pos="1440"/>
        </w:tabs>
        <w:spacing/>
        <w:ind w:hanging="432" w:left="1440"/>
      </w:pPr>
      <w:rPr/>
      <w:start w:val="1"/>
      <w:suff w:val="tab"/>
    </w:lvl>
    <w:lvl w:ilvl="8">
      <w:isLgl w:val="false"/>
      <w:lvlJc w:val="right"/>
      <w:lvlText w:val="%9."/>
      <w:numFmt w:val="lowerRoman"/>
      <w:pPr>
        <w:pBdr/>
        <w:tabs>
          <w:tab w:val="num" w:leader="none" w:pos="1584"/>
        </w:tabs>
        <w:spacing/>
        <w:ind w:hanging="144" w:left="1584"/>
      </w:pPr>
      <w:rPr/>
      <w:start w:val="1"/>
      <w:suff w:val="tab"/>
    </w:lvl>
  </w:abstractNum>
  <w:abstractNum w:abstractNumId="1">
    <w:lvl w:ilvl="0">
      <w:isLgl w:val="false"/>
      <w:lvlJc w:val="left"/>
      <w:lvlText w:val="-"/>
      <w:numFmt w:val="bullet"/>
      <w:pPr>
        <w:pBdr/>
        <w:tabs>
          <w:tab w:val="num" w:leader="none" w:pos="0"/>
        </w:tabs>
        <w:spacing/>
        <w:ind w:hanging="360" w:left="720"/>
      </w:pPr>
      <w:rPr>
        <w:rFonts w:hint="default" w:ascii="Arial" w:hAnsi="Arial" w:cs="Arial"/>
      </w:rPr>
      <w:start w:val="6"/>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2">
    <w:lvl w:ilvl="0">
      <w:isLgl w:val="false"/>
      <w:lvlJc w:val="left"/>
      <w:lvlText w:val=""/>
      <w:numFmt w:val="bullet"/>
      <w:pPr>
        <w:pBdr/>
        <w:tabs>
          <w:tab w:val="num" w:leader="none" w:pos="0"/>
        </w:tabs>
        <w:spacing/>
        <w:ind w:hanging="360" w:left="720"/>
      </w:pPr>
      <w:rPr>
        <w:rFonts w:hint="default" w:ascii="Wingdings" w:hAnsi="Wingdings" w:cs="Wingdings"/>
        <w:sz w:val="16"/>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3">
    <w:lvl w:ilvl="0">
      <w:isLgl w:val="false"/>
      <w:lvlJc w:val="left"/>
      <w:lvlText w:val=""/>
      <w:numFmt w:val="bullet"/>
      <w:pPr>
        <w:pBdr/>
        <w:tabs>
          <w:tab w:val="num" w:leader="none" w:pos="0"/>
        </w:tabs>
        <w:spacing/>
        <w:ind w:hanging="360" w:left="720"/>
      </w:pPr>
      <w:rPr>
        <w:rFonts w:hint="default" w:ascii="Wingdings" w:hAnsi="Wingdings" w:cs="Wingdings"/>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4">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5">
    <w:lvl w:ilvl="0">
      <w:isLgl w:val="false"/>
      <w:lvlJc w:val="left"/>
      <w:lvlText w:val=""/>
      <w:numFmt w:val="bullet"/>
      <w:pPr>
        <w:pBdr/>
        <w:tabs>
          <w:tab w:val="num" w:leader="none" w:pos="0"/>
        </w:tabs>
        <w:spacing/>
        <w:ind w:hanging="360" w:left="720"/>
      </w:pPr>
      <w:rPr>
        <w:rFonts w:hint="default" w:ascii="Wingdings" w:hAnsi="Wingdings" w:cs="Wingdings"/>
        <w:sz w:val="16"/>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6">
    <w:lvl w:ilvl="0">
      <w:isLgl w:val="false"/>
      <w:lvlJc w:val="left"/>
      <w:lvlText w:val="Article %1."/>
      <w:numFmt w:val="upperRoman"/>
      <w:pPr>
        <w:pBdr/>
        <w:tabs>
          <w:tab w:val="num" w:leader="none" w:pos="0"/>
        </w:tabs>
        <w:spacing/>
        <w:ind w:firstLine="0" w:left="710"/>
      </w:pPr>
      <w:rPr>
        <w:b/>
        <w:bCs w:val="0"/>
        <w:i w:val="0"/>
        <w:iCs w:val="0"/>
        <w:caps/>
        <w:strike w:val="0"/>
        <w:vanish w:val="0"/>
        <w:color w:val="000000"/>
        <w:spacing w:val="0"/>
        <w:position w:val="0"/>
        <w:sz w:val="28"/>
        <w:szCs w:val="28"/>
        <w:u w:val="none"/>
        <w:vertAlign w:val="baseline"/>
      </w:rPr>
      <w:start w:val="1"/>
      <w:suff w:val="space"/>
    </w:lvl>
    <w:lvl w:ilvl="1">
      <w:isLgl w:val="false"/>
      <w:lvlJc w:val="left"/>
      <w:lvlText w:val="%1.%2"/>
      <w:numFmt w:val="decimal"/>
      <w:pPr>
        <w:pBdr/>
        <w:tabs>
          <w:tab w:val="num" w:leader="none" w:pos="720"/>
        </w:tabs>
        <w:spacing/>
        <w:ind w:firstLine="0" w:left="0"/>
      </w:pPr>
      <w:rPr>
        <w:rFonts w:cs="Arial"/>
        <w:b/>
        <w:i w:val="0"/>
        <w:sz w:val="26"/>
        <w:u w:val="none"/>
      </w:rPr>
      <w:start w:val="1"/>
      <w:suff w:val="tab"/>
    </w:lvl>
    <w:lvl w:ilvl="2">
      <w:isLgl w:val="false"/>
      <w:lvlJc w:val="left"/>
      <w:lvlText w:val="%1.%2.%3"/>
      <w:numFmt w:val="decimal"/>
      <w:pPr>
        <w:pBdr/>
        <w:tabs>
          <w:tab w:val="num" w:leader="none" w:pos="1440"/>
        </w:tabs>
        <w:spacing/>
        <w:ind w:hanging="432" w:left="1152"/>
      </w:pPr>
      <w:rPr>
        <w:b w:val="0"/>
        <w:bCs w:val="0"/>
        <w:i w:val="0"/>
        <w:iCs w:val="0"/>
        <w:caps w:val="0"/>
        <w:smallCaps w:val="0"/>
        <w:strike w:val="0"/>
        <w:vanish w:val="0"/>
        <w:color w:val="000000"/>
        <w:spacing w:val="0"/>
        <w:position w:val="0"/>
        <w:sz w:val="22"/>
        <w:u w:val="none"/>
        <w:vertAlign w:val="baseline"/>
      </w:rPr>
      <w:start w:val="1"/>
      <w:suff w:val="tab"/>
    </w:lvl>
    <w:lvl w:ilvl="3">
      <w:isLgl w:val="false"/>
      <w:lvlJc w:val="right"/>
      <w:lvlText w:val="%1.%2.%3.%4"/>
      <w:numFmt w:val="decimal"/>
      <w:pPr>
        <w:pBdr/>
        <w:tabs>
          <w:tab w:val="num" w:leader="none" w:pos="1948"/>
        </w:tabs>
        <w:spacing/>
        <w:ind w:firstLine="724" w:left="864"/>
      </w:pPr>
      <w:rPr>
        <w:rFonts w:cs="Times New Roman"/>
        <w:b w:val="0"/>
        <w:sz w:val="22"/>
      </w:rPr>
      <w:start w:val="1"/>
      <w:suff w:val="tab"/>
    </w:lvl>
    <w:lvl w:ilvl="4">
      <w:isLgl w:val="false"/>
      <w:lvlJc w:val="left"/>
      <w:lvlText w:val="%5)"/>
      <w:numFmt w:val="decimal"/>
      <w:pPr>
        <w:pBdr/>
        <w:tabs>
          <w:tab w:val="num" w:leader="none" w:pos="936"/>
        </w:tabs>
        <w:spacing/>
        <w:ind w:hanging="360" w:left="936"/>
      </w:pPr>
      <w:rPr/>
      <w:start w:val="1"/>
      <w:suff w:val="tab"/>
    </w:lvl>
    <w:lvl w:ilvl="5">
      <w:isLgl w:val="false"/>
      <w:lvlJc w:val="left"/>
      <w:lvlText w:val="%6)"/>
      <w:numFmt w:val="lowerLetter"/>
      <w:pPr>
        <w:pBdr/>
        <w:tabs>
          <w:tab w:val="num" w:leader="none" w:pos="1440"/>
        </w:tabs>
        <w:spacing/>
        <w:ind w:hanging="432" w:left="1152"/>
      </w:pPr>
      <w:rPr/>
      <w:start w:val="1"/>
      <w:suff w:val="tab"/>
    </w:lvl>
    <w:lvl w:ilvl="6">
      <w:isLgl w:val="false"/>
      <w:lvlJc w:val="right"/>
      <w:lvlText w:val="%7)"/>
      <w:numFmt w:val="lowerRoman"/>
      <w:pPr>
        <w:pBdr/>
        <w:tabs>
          <w:tab w:val="num" w:leader="none" w:pos="1296"/>
        </w:tabs>
        <w:spacing/>
        <w:ind w:hanging="288" w:left="1296"/>
      </w:pPr>
      <w:rPr/>
      <w:start w:val="1"/>
      <w:suff w:val="tab"/>
    </w:lvl>
    <w:lvl w:ilvl="7">
      <w:isLgl w:val="false"/>
      <w:lvlJc w:val="left"/>
      <w:lvlText w:val="%8."/>
      <w:numFmt w:val="lowerLetter"/>
      <w:pPr>
        <w:pBdr/>
        <w:tabs>
          <w:tab w:val="num" w:leader="none" w:pos="1440"/>
        </w:tabs>
        <w:spacing/>
        <w:ind w:hanging="432" w:left="1440"/>
      </w:pPr>
      <w:rPr/>
      <w:start w:val="1"/>
      <w:suff w:val="tab"/>
    </w:lvl>
    <w:lvl w:ilvl="8">
      <w:isLgl w:val="false"/>
      <w:lvlJc w:val="right"/>
      <w:lvlText w:val="%9."/>
      <w:numFmt w:val="lowerRoman"/>
      <w:pPr>
        <w:pBdr/>
        <w:tabs>
          <w:tab w:val="num" w:leader="none" w:pos="1584"/>
        </w:tabs>
        <w:spacing/>
        <w:ind w:hanging="144" w:left="1584"/>
      </w:pPr>
      <w:rPr/>
      <w:start w:val="1"/>
      <w:suff w:val="tab"/>
    </w:lvl>
  </w:abstractNum>
  <w:abstractNum w:abstractNumId="7">
    <w:lvl w:ilvl="0">
      <w:isLgl w:val="false"/>
      <w:lvlJc w:val="left"/>
      <w:lvlText w:val=""/>
      <w:numFmt w:val="bullet"/>
      <w:pPr>
        <w:pBdr/>
        <w:tabs>
          <w:tab w:val="num" w:leader="none" w:pos="360"/>
        </w:tabs>
        <w:spacing/>
        <w:ind w:hanging="360" w:left="360"/>
      </w:pPr>
      <w:rPr>
        <w:rFonts w:hint="default" w:ascii="Wingdings" w:hAnsi="Wingdings" w:cs="Wingdings"/>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8">
    <w:lvl w:ilvl="0">
      <w:isLgl w:val="false"/>
      <w:lvlJc w:val="left"/>
      <w:lvlText w:val="-"/>
      <w:numFmt w:val="bullet"/>
      <w:pPr>
        <w:pBdr/>
        <w:tabs>
          <w:tab w:val="num" w:leader="none" w:pos="0"/>
        </w:tabs>
        <w:spacing/>
        <w:ind w:hanging="360" w:left="720"/>
      </w:pPr>
      <w:rPr>
        <w:rFonts w:hint="default" w:ascii="Times" w:hAnsi="Times" w:cs="Times"/>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9">
    <w:lvl w:ilvl="0">
      <w:isLgl w:val="false"/>
      <w:lvlJc w:val="left"/>
      <w:lvlText w:val=""/>
      <w:numFmt w:val="bullet"/>
      <w:pPr>
        <w:pBdr/>
        <w:tabs>
          <w:tab w:val="num" w:leader="none" w:pos="0"/>
        </w:tabs>
        <w:spacing/>
        <w:ind w:hanging="360" w:left="720"/>
      </w:pPr>
      <w:rPr>
        <w:rFonts w:hint="default" w:ascii="Wingdings" w:hAnsi="Wingdings" w:cs="Wingdings"/>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0">
    <w:lvl w:ilvl="0">
      <w:isLgl w:val="false"/>
      <w:lvlJc w:val="left"/>
      <w:lvlText w:val="Article %1."/>
      <w:numFmt w:val="upperRoman"/>
      <w:pPr>
        <w:pBdr/>
        <w:tabs>
          <w:tab w:val="num" w:leader="none" w:pos="0"/>
        </w:tabs>
        <w:spacing/>
        <w:ind w:firstLine="0" w:left="710"/>
      </w:pPr>
      <w:rPr>
        <w:b/>
        <w:bCs w:val="0"/>
        <w:i w:val="0"/>
        <w:iCs w:val="0"/>
        <w:caps/>
        <w:strike w:val="0"/>
        <w:vanish w:val="0"/>
        <w:color w:val="000000"/>
        <w:spacing w:val="0"/>
        <w:position w:val="0"/>
        <w:sz w:val="28"/>
        <w:szCs w:val="28"/>
        <w:u w:val="none"/>
        <w:vertAlign w:val="baseline"/>
      </w:rPr>
      <w:start w:val="1"/>
      <w:suff w:val="space"/>
    </w:lvl>
    <w:lvl w:ilvl="1">
      <w:isLgl w:val="false"/>
      <w:lvlJc w:val="left"/>
      <w:lvlText w:val="%1.%2"/>
      <w:numFmt w:val="decimal"/>
      <w:pPr>
        <w:pBdr/>
        <w:tabs>
          <w:tab w:val="num" w:leader="none" w:pos="720"/>
        </w:tabs>
        <w:spacing/>
        <w:ind w:firstLine="0" w:left="0"/>
      </w:pPr>
      <w:rPr>
        <w:rFonts w:cs="Arial"/>
        <w:b/>
        <w:i w:val="0"/>
        <w:sz w:val="26"/>
        <w:u w:val="none"/>
      </w:rPr>
      <w:start w:val="1"/>
      <w:suff w:val="tab"/>
    </w:lvl>
    <w:lvl w:ilvl="2">
      <w:isLgl w:val="false"/>
      <w:lvlJc w:val="left"/>
      <w:lvlText w:val="%1.%2.%3"/>
      <w:numFmt w:val="decimal"/>
      <w:pPr>
        <w:pBdr/>
        <w:tabs>
          <w:tab w:val="num" w:leader="none" w:pos="1440"/>
        </w:tabs>
        <w:spacing/>
        <w:ind w:hanging="432" w:left="1152"/>
      </w:pPr>
      <w:rPr>
        <w:b w:val="0"/>
        <w:bCs w:val="0"/>
        <w:i w:val="0"/>
        <w:iCs w:val="0"/>
        <w:caps w:val="0"/>
        <w:smallCaps w:val="0"/>
        <w:strike w:val="0"/>
        <w:vanish w:val="0"/>
        <w:color w:val="000000"/>
        <w:spacing w:val="0"/>
        <w:position w:val="0"/>
        <w:sz w:val="22"/>
        <w:u w:val="none"/>
        <w:vertAlign w:val="baseline"/>
      </w:rPr>
      <w:start w:val="1"/>
      <w:suff w:val="tab"/>
    </w:lvl>
    <w:lvl w:ilvl="3">
      <w:isLgl w:val="false"/>
      <w:lvlJc w:val="right"/>
      <w:lvlText w:val="%1.%2.%3.%4"/>
      <w:numFmt w:val="decimal"/>
      <w:pPr>
        <w:pBdr/>
        <w:tabs>
          <w:tab w:val="num" w:leader="none" w:pos="1948"/>
        </w:tabs>
        <w:spacing/>
        <w:ind w:firstLine="724" w:left="864"/>
      </w:pPr>
      <w:rPr>
        <w:rFonts w:cs="Times New Roman"/>
        <w:b w:val="0"/>
      </w:rPr>
      <w:start w:val="1"/>
      <w:suff w:val="tab"/>
    </w:lvl>
    <w:lvl w:ilvl="4">
      <w:isLgl w:val="false"/>
      <w:lvlJc w:val="left"/>
      <w:lvlText w:val="%5)"/>
      <w:numFmt w:val="decimal"/>
      <w:pPr>
        <w:pBdr/>
        <w:tabs>
          <w:tab w:val="num" w:leader="none" w:pos="936"/>
        </w:tabs>
        <w:spacing/>
        <w:ind w:hanging="360" w:left="936"/>
      </w:pPr>
      <w:rPr/>
      <w:start w:val="1"/>
      <w:suff w:val="tab"/>
    </w:lvl>
    <w:lvl w:ilvl="5">
      <w:isLgl w:val="false"/>
      <w:lvlJc w:val="left"/>
      <w:lvlText w:val="%6)"/>
      <w:numFmt w:val="lowerLetter"/>
      <w:pPr>
        <w:pBdr/>
        <w:tabs>
          <w:tab w:val="num" w:leader="none" w:pos="1440"/>
        </w:tabs>
        <w:spacing/>
        <w:ind w:hanging="432" w:left="1152"/>
      </w:pPr>
      <w:rPr/>
      <w:start w:val="1"/>
      <w:suff w:val="tab"/>
    </w:lvl>
    <w:lvl w:ilvl="6">
      <w:isLgl w:val="false"/>
      <w:lvlJc w:val="right"/>
      <w:lvlText w:val="%7)"/>
      <w:numFmt w:val="lowerRoman"/>
      <w:pPr>
        <w:pBdr/>
        <w:tabs>
          <w:tab w:val="num" w:leader="none" w:pos="1296"/>
        </w:tabs>
        <w:spacing/>
        <w:ind w:hanging="288" w:left="1296"/>
      </w:pPr>
      <w:rPr/>
      <w:start w:val="1"/>
      <w:suff w:val="tab"/>
    </w:lvl>
    <w:lvl w:ilvl="7">
      <w:isLgl w:val="false"/>
      <w:lvlJc w:val="left"/>
      <w:lvlText w:val="%8."/>
      <w:numFmt w:val="lowerLetter"/>
      <w:pPr>
        <w:pBdr/>
        <w:tabs>
          <w:tab w:val="num" w:leader="none" w:pos="1440"/>
        </w:tabs>
        <w:spacing/>
        <w:ind w:hanging="432" w:left="1440"/>
      </w:pPr>
      <w:rPr/>
      <w:start w:val="1"/>
      <w:suff w:val="tab"/>
    </w:lvl>
    <w:lvl w:ilvl="8">
      <w:isLgl w:val="false"/>
      <w:lvlJc w:val="right"/>
      <w:lvlText w:val="%9."/>
      <w:numFmt w:val="lowerRoman"/>
      <w:pPr>
        <w:pBdr/>
        <w:tabs>
          <w:tab w:val="num" w:leader="none" w:pos="1584"/>
        </w:tabs>
        <w:spacing/>
        <w:ind w:hanging="144" w:left="1584"/>
      </w:pPr>
      <w:rPr/>
      <w:start w:val="1"/>
      <w:suff w:val="tab"/>
    </w:lvl>
  </w:abstractNum>
  <w:abstractNum w:abstractNumId="11">
    <w:lvl w:ilvl="0">
      <w:isLgl w:val="false"/>
      <w:lvlJc w:val="left"/>
      <w:lvlText w:val="-"/>
      <w:numFmt w:val="bullet"/>
      <w:pPr>
        <w:pBdr/>
        <w:tabs>
          <w:tab w:val="num" w:leader="none" w:pos="0"/>
        </w:tabs>
        <w:spacing/>
        <w:ind w:hanging="360" w:left="720"/>
      </w:pPr>
      <w:rPr>
        <w:rFonts w:hint="default" w:ascii="Arial" w:hAnsi="Arial" w:cs="Arial"/>
      </w:rPr>
      <w:start w:val="14"/>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2">
    <w:lvl w:ilvl="0">
      <w:isLgl w:val="false"/>
      <w:lvlJc w:val="left"/>
      <w:lvlText w:val=""/>
      <w:numFmt w:val="bullet"/>
      <w:pPr>
        <w:pBdr/>
        <w:tabs>
          <w:tab w:val="num" w:leader="none" w:pos="0"/>
        </w:tabs>
        <w:spacing/>
        <w:ind w:hanging="360" w:left="720"/>
      </w:pPr>
      <w:rPr>
        <w:rFonts w:hint="default" w:ascii="Wingdings" w:hAnsi="Wingdings" w:cs="Wingdings"/>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3">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4">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5">
    <w:lvl w:ilvl="0">
      <w:isLgl w:val="false"/>
      <w:lvlJc w:val="left"/>
      <w:lvlText/>
      <w:numFmt w:val="none"/>
      <w:pPr>
        <w:pBdr/>
        <w:tabs>
          <w:tab w:val="num" w:leader="none" w:pos="0"/>
        </w:tabs>
        <w:spacing/>
        <w:ind w:firstLine="0" w:left="0"/>
      </w:pPr>
      <w:rPr/>
      <w:start w:val="1"/>
      <w:suff w:val="nothing"/>
    </w:lvl>
    <w:lvl w:ilvl="1">
      <w:isLgl w:val="false"/>
      <w:lvlJc w:val="left"/>
      <w:lvlText/>
      <w:numFmt w:val="none"/>
      <w:pPr>
        <w:pBdr/>
        <w:tabs>
          <w:tab w:val="num" w:leader="none" w:pos="0"/>
        </w:tabs>
        <w:spacing/>
        <w:ind w:firstLine="0" w:left="0"/>
      </w:pPr>
      <w:rPr/>
      <w:start w:val="1"/>
      <w:suff w:val="nothing"/>
    </w:lvl>
    <w:lvl w:ilvl="2">
      <w:isLgl w:val="false"/>
      <w:lvlJc w:val="left"/>
      <w:lvlText/>
      <w:numFmt w:val="none"/>
      <w:pPr>
        <w:pBdr/>
        <w:tabs>
          <w:tab w:val="num" w:leader="none" w:pos="0"/>
        </w:tabs>
        <w:spacing/>
        <w:ind w:firstLine="0" w:left="0"/>
      </w:pPr>
      <w:rPr/>
      <w:start w:val="1"/>
      <w:suff w:val="nothing"/>
    </w:lvl>
    <w:lvl w:ilvl="3">
      <w:isLgl w:val="false"/>
      <w:lvlJc w:val="left"/>
      <w:lvlText/>
      <w:numFmt w:val="none"/>
      <w:pPr>
        <w:pBdr/>
        <w:tabs>
          <w:tab w:val="num" w:leader="none" w:pos="0"/>
        </w:tabs>
        <w:spacing/>
        <w:ind w:firstLine="0" w:left="0"/>
      </w:pPr>
      <w:rPr/>
      <w:start w:val="1"/>
      <w:suff w:val="nothing"/>
    </w:lvl>
    <w:lvl w:ilvl="4">
      <w:isLgl w:val="false"/>
      <w:lvlJc w:val="left"/>
      <w:lvlText/>
      <w:numFmt w:val="none"/>
      <w:pPr>
        <w:pBdr/>
        <w:tabs>
          <w:tab w:val="num" w:leader="none" w:pos="0"/>
        </w:tabs>
        <w:spacing/>
        <w:ind w:firstLine="0" w:left="0"/>
      </w:pPr>
      <w:rPr/>
      <w:start w:val="1"/>
      <w:suff w:val="nothing"/>
    </w:lvl>
    <w:lvl w:ilvl="5">
      <w:isLgl w:val="false"/>
      <w:lvlJc w:val="left"/>
      <w:lvlText/>
      <w:numFmt w:val="none"/>
      <w:pPr>
        <w:pBdr/>
        <w:tabs>
          <w:tab w:val="num" w:leader="none" w:pos="0"/>
        </w:tabs>
        <w:spacing/>
        <w:ind w:firstLine="0" w:left="0"/>
      </w:pPr>
      <w:rPr/>
      <w:start w:val="1"/>
      <w:suff w:val="nothing"/>
    </w:lvl>
    <w:lvl w:ilvl="6">
      <w:isLgl w:val="false"/>
      <w:lvlJc w:val="left"/>
      <w:lvlText/>
      <w:numFmt w:val="none"/>
      <w:pPr>
        <w:pBdr/>
        <w:tabs>
          <w:tab w:val="num" w:leader="none" w:pos="0"/>
        </w:tabs>
        <w:spacing/>
        <w:ind w:firstLine="0" w:left="0"/>
      </w:pPr>
      <w:rPr/>
      <w:start w:val="1"/>
      <w:suff w:val="nothing"/>
    </w:lvl>
    <w:lvl w:ilvl="7">
      <w:isLgl w:val="false"/>
      <w:lvlJc w:val="left"/>
      <w:lvlText/>
      <w:numFmt w:val="none"/>
      <w:pPr>
        <w:pBdr/>
        <w:tabs>
          <w:tab w:val="num" w:leader="none" w:pos="0"/>
        </w:tabs>
        <w:spacing/>
        <w:ind w:firstLine="0" w:left="0"/>
      </w:pPr>
      <w:rPr/>
      <w:start w:val="1"/>
      <w:suff w:val="nothing"/>
    </w:lvl>
    <w:lvl w:ilvl="8">
      <w:isLgl w:val="false"/>
      <w:lvlJc w:val="left"/>
      <w:lvlText/>
      <w:numFmt w:val="none"/>
      <w:pPr>
        <w:pBdr/>
        <w:tabs>
          <w:tab w:val="num" w:leader="none" w:pos="0"/>
        </w:tabs>
        <w:spacing/>
        <w:ind w:firstLine="0" w:left="0"/>
      </w:pPr>
      <w:rPr/>
      <w:start w:val="1"/>
      <w:suff w:val="nothing"/>
    </w:lvl>
  </w:abstractNum>
  <w:abstractNum w:abstractNumId="16">
    <w:lvl w:ilvl="0">
      <w:isLgl w:val="false"/>
      <w:lvlJc w:val="left"/>
      <w:lvlText w:val="-"/>
      <w:numFmt w:val="bullet"/>
      <w:pPr>
        <w:pBdr/>
        <w:tabs>
          <w:tab w:val="num" w:leader="none" w:pos="0"/>
        </w:tabs>
        <w:spacing/>
        <w:ind w:hanging="360" w:left="720"/>
      </w:pPr>
      <w:rPr>
        <w:rFonts w:hint="default" w:ascii="Times" w:hAnsi="Times" w:cs="Times"/>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7">
    <w:lvl w:ilvl="0">
      <w:isLgl w:val="false"/>
      <w:lvlJc w:val="left"/>
      <w:lvlText w:val="o"/>
      <w:numFmt w:val="bullet"/>
      <w:pPr>
        <w:pBdr/>
        <w:tabs>
          <w:tab w:val="num" w:leader="none" w:pos="0"/>
        </w:tabs>
        <w:spacing/>
        <w:ind w:hanging="360" w:left="1080"/>
      </w:pPr>
      <w:rPr>
        <w:rFonts w:hint="default" w:ascii="Courier New" w:hAnsi="Courier New" w:cs="Courier New"/>
        <w:b/>
        <w:color w:val="00000a"/>
        <w:sz w:val="24"/>
        <w:szCs w:val="24"/>
      </w:rPr>
      <w:start w:val="1"/>
      <w:suff w:val="tab"/>
    </w:lvl>
    <w:lvl w:ilvl="1">
      <w:isLgl w:val="false"/>
      <w:lvlJc w:val="left"/>
      <w:lvlText w:val="-"/>
      <w:numFmt w:val="bullet"/>
      <w:pPr>
        <w:pBdr/>
        <w:tabs>
          <w:tab w:val="num" w:leader="none" w:pos="0"/>
        </w:tabs>
        <w:spacing/>
        <w:ind w:hanging="360" w:left="1800"/>
      </w:pPr>
      <w:rPr>
        <w:rFonts w:hint="default" w:ascii="Arial" w:hAnsi="Arial" w:cs="Arial"/>
      </w:rPr>
      <w:start w:val="100"/>
      <w:suff w:val="tab"/>
    </w:lvl>
    <w:lvl w:ilvl="2">
      <w:isLgl w:val="false"/>
      <w:lvlJc w:val="left"/>
      <w:lvlText w:val=""/>
      <w:numFmt w:val="bullet"/>
      <w:pPr>
        <w:pBdr/>
        <w:tabs>
          <w:tab w:val="num" w:leader="none" w:pos="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0"/>
        </w:tabs>
        <w:spacing/>
        <w:ind w:hanging="360" w:left="3240"/>
      </w:pPr>
      <w:rPr>
        <w:rFonts w:hint="default" w:ascii="Symbol" w:hAnsi="Symbol" w:cs="Symbol"/>
      </w:rPr>
      <w:start w:val="1"/>
      <w:suff w:val="tab"/>
    </w:lvl>
    <w:lvl w:ilvl="4">
      <w:isLgl w:val="false"/>
      <w:lvlJc w:val="left"/>
      <w:lvlText w:val="o"/>
      <w:numFmt w:val="bullet"/>
      <w:pPr>
        <w:pBdr/>
        <w:tabs>
          <w:tab w:val="num" w:leader="none" w:pos="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0"/>
        </w:tabs>
        <w:spacing/>
        <w:ind w:hanging="360" w:left="5400"/>
      </w:pPr>
      <w:rPr>
        <w:rFonts w:hint="default" w:ascii="Symbol" w:hAnsi="Symbol" w:cs="Symbol"/>
      </w:rPr>
      <w:start w:val="1"/>
      <w:suff w:val="tab"/>
    </w:lvl>
    <w:lvl w:ilvl="7">
      <w:isLgl w:val="false"/>
      <w:lvlJc w:val="left"/>
      <w:lvlText w:val="o"/>
      <w:numFmt w:val="bullet"/>
      <w:pPr>
        <w:pBdr/>
        <w:tabs>
          <w:tab w:val="num" w:leader="none" w:pos="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840"/>
      </w:pPr>
      <w:rPr>
        <w:rFonts w:hint="default" w:ascii="Wingdings" w:hAnsi="Wingdings" w:cs="Wingdings"/>
      </w:rPr>
      <w:start w:val="1"/>
      <w:suff w:val="tab"/>
    </w:lvl>
  </w:abstractNum>
  <w:abstractNum w:abstractNumId="18">
    <w:lvl w:ilvl="0">
      <w:isLgl w:val="false"/>
      <w:lvlJc w:val="left"/>
      <w:lvlText w:val="-"/>
      <w:numFmt w:val="bullet"/>
      <w:pPr>
        <w:pBdr/>
        <w:tabs>
          <w:tab w:val="num" w:leader="none" w:pos="0"/>
        </w:tabs>
        <w:spacing/>
        <w:ind w:hanging="360" w:left="720"/>
      </w:pPr>
      <w:rPr>
        <w:rFonts w:hint="default" w:ascii="Times New Roman" w:hAnsi="Times New Roman" w:cs="Times New Roman"/>
        <w:b/>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9">
    <w:lvl w:ilvl="0">
      <w:isLgl w:val="false"/>
      <w:lvlJc w:val="left"/>
      <w:lvlText w:val="Article %1."/>
      <w:numFmt w:val="upperRoman"/>
      <w:pPr>
        <w:pBdr/>
        <w:tabs>
          <w:tab w:val="num" w:leader="none" w:pos="0"/>
        </w:tabs>
        <w:spacing/>
        <w:ind w:firstLine="0" w:left="710"/>
      </w:pPr>
      <w:rPr>
        <w:b/>
        <w:bCs w:val="0"/>
        <w:i w:val="0"/>
        <w:iCs w:val="0"/>
        <w:caps/>
        <w:strike w:val="0"/>
        <w:vanish w:val="0"/>
        <w:color w:val="000000"/>
        <w:spacing w:val="0"/>
        <w:position w:val="0"/>
        <w:sz w:val="28"/>
        <w:szCs w:val="28"/>
        <w:u w:val="none"/>
        <w:vertAlign w:val="baseline"/>
      </w:rPr>
      <w:start w:val="1"/>
      <w:suff w:val="space"/>
    </w:lvl>
    <w:lvl w:ilvl="1">
      <w:isLgl w:val="false"/>
      <w:lvlJc w:val="left"/>
      <w:lvlText w:val="%1.%2"/>
      <w:numFmt w:val="decimal"/>
      <w:pPr>
        <w:pBdr/>
        <w:tabs>
          <w:tab w:val="num" w:leader="none" w:pos="720"/>
        </w:tabs>
        <w:spacing/>
        <w:ind w:firstLine="0" w:left="0"/>
      </w:pPr>
      <w:rPr>
        <w:rFonts w:cs="Arial"/>
        <w:b/>
        <w:i w:val="0"/>
        <w:sz w:val="26"/>
        <w:u w:val="none"/>
      </w:rPr>
      <w:start w:val="1"/>
      <w:suff w:val="tab"/>
    </w:lvl>
    <w:lvl w:ilvl="2">
      <w:isLgl w:val="false"/>
      <w:lvlJc w:val="left"/>
      <w:lvlText w:val="%1.%2.%3"/>
      <w:numFmt w:val="decimal"/>
      <w:pPr>
        <w:pBdr/>
        <w:tabs>
          <w:tab w:val="num" w:leader="none" w:pos="1440"/>
        </w:tabs>
        <w:spacing/>
        <w:ind w:hanging="432" w:left="1152"/>
      </w:pPr>
      <w:rPr>
        <w:b w:val="0"/>
        <w:bCs w:val="0"/>
        <w:i w:val="0"/>
        <w:iCs w:val="0"/>
        <w:caps w:val="0"/>
        <w:smallCaps w:val="0"/>
        <w:strike w:val="0"/>
        <w:vanish w:val="0"/>
        <w:color w:val="000000"/>
        <w:spacing w:val="0"/>
        <w:position w:val="0"/>
        <w:sz w:val="22"/>
        <w:u w:val="none"/>
        <w:vertAlign w:val="baseline"/>
      </w:rPr>
      <w:start w:val="1"/>
      <w:suff w:val="tab"/>
    </w:lvl>
    <w:lvl w:ilvl="3">
      <w:isLgl w:val="false"/>
      <w:lvlJc w:val="right"/>
      <w:lvlText w:val="%1.%2.%3.%4"/>
      <w:numFmt w:val="decimal"/>
      <w:pPr>
        <w:pBdr/>
        <w:tabs>
          <w:tab w:val="num" w:leader="none" w:pos="1948"/>
        </w:tabs>
        <w:spacing/>
        <w:ind w:firstLine="724" w:left="864"/>
      </w:pPr>
      <w:rPr>
        <w:rFonts w:cs="Times New Roman"/>
        <w:b w:val="0"/>
        <w:sz w:val="22"/>
      </w:rPr>
      <w:start w:val="1"/>
      <w:suff w:val="tab"/>
    </w:lvl>
    <w:lvl w:ilvl="4">
      <w:isLgl w:val="false"/>
      <w:lvlJc w:val="left"/>
      <w:lvlText w:val="%5)"/>
      <w:numFmt w:val="decimal"/>
      <w:pPr>
        <w:pBdr/>
        <w:tabs>
          <w:tab w:val="num" w:leader="none" w:pos="936"/>
        </w:tabs>
        <w:spacing/>
        <w:ind w:hanging="360" w:left="936"/>
      </w:pPr>
      <w:rPr/>
      <w:start w:val="1"/>
      <w:suff w:val="tab"/>
    </w:lvl>
    <w:lvl w:ilvl="5">
      <w:isLgl w:val="false"/>
      <w:lvlJc w:val="left"/>
      <w:lvlText w:val="%6)"/>
      <w:numFmt w:val="lowerLetter"/>
      <w:pPr>
        <w:pBdr/>
        <w:tabs>
          <w:tab w:val="num" w:leader="none" w:pos="1440"/>
        </w:tabs>
        <w:spacing/>
        <w:ind w:hanging="432" w:left="1152"/>
      </w:pPr>
      <w:rPr/>
      <w:start w:val="1"/>
      <w:suff w:val="tab"/>
    </w:lvl>
    <w:lvl w:ilvl="6">
      <w:isLgl w:val="false"/>
      <w:lvlJc w:val="right"/>
      <w:lvlText w:val="%7)"/>
      <w:numFmt w:val="lowerRoman"/>
      <w:pPr>
        <w:pBdr/>
        <w:tabs>
          <w:tab w:val="num" w:leader="none" w:pos="1296"/>
        </w:tabs>
        <w:spacing/>
        <w:ind w:hanging="288" w:left="1296"/>
      </w:pPr>
      <w:rPr/>
      <w:start w:val="1"/>
      <w:suff w:val="tab"/>
    </w:lvl>
    <w:lvl w:ilvl="7">
      <w:isLgl w:val="false"/>
      <w:lvlJc w:val="left"/>
      <w:lvlText w:val="%8."/>
      <w:numFmt w:val="lowerLetter"/>
      <w:pPr>
        <w:pBdr/>
        <w:tabs>
          <w:tab w:val="num" w:leader="none" w:pos="1440"/>
        </w:tabs>
        <w:spacing/>
        <w:ind w:hanging="432" w:left="1440"/>
      </w:pPr>
      <w:rPr/>
      <w:start w:val="1"/>
      <w:suff w:val="tab"/>
    </w:lvl>
    <w:lvl w:ilvl="8">
      <w:isLgl w:val="false"/>
      <w:lvlJc w:val="right"/>
      <w:lvlText w:val="%9."/>
      <w:numFmt w:val="lowerRoman"/>
      <w:pPr>
        <w:pBdr/>
        <w:tabs>
          <w:tab w:val="num" w:leader="none" w:pos="1584"/>
        </w:tabs>
        <w:spacing/>
        <w:ind w:hanging="144" w:left="1584"/>
      </w:pPr>
      <w:rPr/>
      <w:start w:val="1"/>
      <w:suff w:val="tab"/>
    </w:lvl>
  </w:abstractNum>
  <w:num w:numId="1">
    <w:abstractNumId w:val="7"/>
  </w:num>
  <w:num w:numId="2">
    <w:abstractNumId w:val="10"/>
  </w:num>
  <w:num w:numId="3">
    <w:abstractNumId w:val="16"/>
  </w:num>
  <w:num w:numId="4">
    <w:abstractNumId w:val="9"/>
  </w:num>
  <w:num w:numId="5">
    <w:abstractNumId w:val="4"/>
  </w:num>
  <w:num w:numId="6">
    <w:abstractNumId w:val="5"/>
  </w:num>
  <w:num w:numId="7">
    <w:abstractNumId w:val="2"/>
  </w:num>
  <w:num w:numId="8">
    <w:abstractNumId w:val="12"/>
  </w:num>
  <w:num w:numId="9">
    <w:abstractNumId w:val="8"/>
  </w:num>
  <w:num w:numId="10">
    <w:abstractNumId w:val="14"/>
  </w:num>
  <w:num w:numId="11">
    <w:abstractNumId w:val="13"/>
  </w:num>
  <w:num w:numId="12">
    <w:abstractNumId w:val="3"/>
  </w:num>
  <w:num w:numId="13">
    <w:abstractNumId w:val="17"/>
  </w:num>
  <w:num w:numId="14">
    <w:abstractNumId w:val="18"/>
  </w:num>
  <w:num w:numId="15">
    <w:abstractNumId w:val="11"/>
  </w:num>
  <w:num w:numId="16">
    <w:abstractNumId w:val="0"/>
  </w:num>
  <w:num w:numId="17">
    <w:abstractNumId w:val="1"/>
  </w:num>
  <w:num w:numId="18">
    <w:abstractNumId w:val="15"/>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8"/>
  <w:autoHyphenation w:val="true"/>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94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94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945"/>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94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94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94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945"/>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94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94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94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94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94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94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94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94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94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94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94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94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94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94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94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94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94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94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94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94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945"/>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94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94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94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94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94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94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94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94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94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94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94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94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94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945"/>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94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94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94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94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94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94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945"/>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94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94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94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94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94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94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94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94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94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94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94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94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94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945"/>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94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94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94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94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94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94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94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94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94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94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94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94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94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94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94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94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94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94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94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94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945"/>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94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94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94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94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94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94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945"/>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94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94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94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94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94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94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945"/>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94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94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94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94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94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94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94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94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94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94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94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94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94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945"/>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945"/>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945"/>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945"/>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945"/>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945"/>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945"/>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945"/>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94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94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94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94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94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94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8">
    <w:name w:val="Heading 1"/>
    <w:basedOn w:val="943"/>
    <w:next w:val="943"/>
    <w:link w:val="149"/>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39">
    <w:name w:val="Heading 2"/>
    <w:basedOn w:val="943"/>
    <w:next w:val="943"/>
    <w:link w:val="150"/>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40">
    <w:name w:val="Heading 3"/>
    <w:basedOn w:val="943"/>
    <w:next w:val="943"/>
    <w:link w:val="151"/>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41">
    <w:name w:val="Heading 4"/>
    <w:basedOn w:val="943"/>
    <w:next w:val="943"/>
    <w:link w:val="15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42">
    <w:name w:val="Heading 5"/>
    <w:basedOn w:val="943"/>
    <w:next w:val="943"/>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943"/>
    <w:next w:val="943"/>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943"/>
    <w:next w:val="943"/>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943"/>
    <w:next w:val="943"/>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943"/>
    <w:next w:val="943"/>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944"/>
    <w:link w:val="138"/>
    <w:uiPriority w:val="9"/>
    <w:pPr>
      <w:pBdr/>
      <w:spacing/>
      <w:ind/>
    </w:pPr>
    <w:rPr>
      <w:rFonts w:ascii="Arial" w:hAnsi="Arial" w:eastAsia="Arial" w:cs="Arial"/>
      <w:color w:val="0f4761" w:themeColor="accent1" w:themeShade="BF"/>
      <w:sz w:val="40"/>
      <w:szCs w:val="40"/>
    </w:rPr>
  </w:style>
  <w:style w:type="character" w:styleId="150">
    <w:name w:val="Heading 2 Char"/>
    <w:basedOn w:val="944"/>
    <w:link w:val="139"/>
    <w:uiPriority w:val="9"/>
    <w:pPr>
      <w:pBdr/>
      <w:spacing/>
      <w:ind/>
    </w:pPr>
    <w:rPr>
      <w:rFonts w:ascii="Arial" w:hAnsi="Arial" w:eastAsia="Arial" w:cs="Arial"/>
      <w:color w:val="0f4761" w:themeColor="accent1" w:themeShade="BF"/>
      <w:sz w:val="32"/>
      <w:szCs w:val="32"/>
    </w:rPr>
  </w:style>
  <w:style w:type="character" w:styleId="151">
    <w:name w:val="Heading 3 Char"/>
    <w:basedOn w:val="944"/>
    <w:link w:val="140"/>
    <w:uiPriority w:val="9"/>
    <w:pPr>
      <w:pBdr/>
      <w:spacing/>
      <w:ind/>
    </w:pPr>
    <w:rPr>
      <w:rFonts w:ascii="Arial" w:hAnsi="Arial" w:eastAsia="Arial" w:cs="Arial"/>
      <w:color w:val="0f4761" w:themeColor="accent1" w:themeShade="BF"/>
      <w:sz w:val="28"/>
      <w:szCs w:val="28"/>
    </w:rPr>
  </w:style>
  <w:style w:type="character" w:styleId="152">
    <w:name w:val="Heading 4 Char"/>
    <w:basedOn w:val="944"/>
    <w:link w:val="141"/>
    <w:uiPriority w:val="9"/>
    <w:pPr>
      <w:pBdr/>
      <w:spacing/>
      <w:ind/>
    </w:pPr>
    <w:rPr>
      <w:rFonts w:ascii="Arial" w:hAnsi="Arial" w:eastAsia="Arial" w:cs="Arial"/>
      <w:i/>
      <w:iCs/>
      <w:color w:val="0f4761" w:themeColor="accent1" w:themeShade="BF"/>
    </w:rPr>
  </w:style>
  <w:style w:type="character" w:styleId="153">
    <w:name w:val="Heading 5 Char"/>
    <w:basedOn w:val="944"/>
    <w:link w:val="142"/>
    <w:uiPriority w:val="9"/>
    <w:pPr>
      <w:pBdr/>
      <w:spacing/>
      <w:ind/>
    </w:pPr>
    <w:rPr>
      <w:rFonts w:ascii="Arial" w:hAnsi="Arial" w:eastAsia="Arial" w:cs="Arial"/>
      <w:color w:val="0f4761" w:themeColor="accent1" w:themeShade="BF"/>
    </w:rPr>
  </w:style>
  <w:style w:type="character" w:styleId="154">
    <w:name w:val="Heading 6 Char"/>
    <w:basedOn w:val="944"/>
    <w:link w:val="143"/>
    <w:uiPriority w:val="9"/>
    <w:pPr>
      <w:pBdr/>
      <w:spacing/>
      <w:ind/>
    </w:pPr>
    <w:rPr>
      <w:rFonts w:ascii="Arial" w:hAnsi="Arial" w:eastAsia="Arial" w:cs="Arial"/>
      <w:i/>
      <w:iCs/>
      <w:color w:val="595959" w:themeColor="text1" w:themeTint="A6"/>
    </w:rPr>
  </w:style>
  <w:style w:type="character" w:styleId="155">
    <w:name w:val="Heading 7 Char"/>
    <w:basedOn w:val="944"/>
    <w:link w:val="144"/>
    <w:uiPriority w:val="9"/>
    <w:pPr>
      <w:pBdr/>
      <w:spacing/>
      <w:ind/>
    </w:pPr>
    <w:rPr>
      <w:rFonts w:ascii="Arial" w:hAnsi="Arial" w:eastAsia="Arial" w:cs="Arial"/>
      <w:color w:val="595959" w:themeColor="text1" w:themeTint="A6"/>
    </w:rPr>
  </w:style>
  <w:style w:type="character" w:styleId="156">
    <w:name w:val="Heading 8 Char"/>
    <w:basedOn w:val="944"/>
    <w:link w:val="145"/>
    <w:uiPriority w:val="9"/>
    <w:pPr>
      <w:pBdr/>
      <w:spacing/>
      <w:ind/>
    </w:pPr>
    <w:rPr>
      <w:rFonts w:ascii="Arial" w:hAnsi="Arial" w:eastAsia="Arial" w:cs="Arial"/>
      <w:i/>
      <w:iCs/>
      <w:color w:val="272727" w:themeColor="text1" w:themeTint="D8"/>
    </w:rPr>
  </w:style>
  <w:style w:type="character" w:styleId="157">
    <w:name w:val="Heading 9 Char"/>
    <w:basedOn w:val="944"/>
    <w:link w:val="146"/>
    <w:uiPriority w:val="9"/>
    <w:pPr>
      <w:pBdr/>
      <w:spacing/>
      <w:ind/>
    </w:pPr>
    <w:rPr>
      <w:rFonts w:ascii="Arial" w:hAnsi="Arial" w:eastAsia="Arial" w:cs="Arial"/>
      <w:i/>
      <w:iCs/>
      <w:color w:val="272727" w:themeColor="text1" w:themeTint="D8"/>
    </w:rPr>
  </w:style>
  <w:style w:type="character" w:styleId="159">
    <w:name w:val="Title Char"/>
    <w:basedOn w:val="944"/>
    <w:link w:val="991"/>
    <w:uiPriority w:val="10"/>
    <w:pPr>
      <w:pBdr/>
      <w:spacing/>
      <w:ind/>
    </w:pPr>
    <w:rPr>
      <w:rFonts w:ascii="Arial" w:hAnsi="Arial" w:eastAsia="Arial" w:cs="Arial"/>
      <w:spacing w:val="-10"/>
      <w:sz w:val="56"/>
      <w:szCs w:val="56"/>
    </w:rPr>
  </w:style>
  <w:style w:type="character" w:styleId="161">
    <w:name w:val="Subtitle Char"/>
    <w:basedOn w:val="944"/>
    <w:link w:val="1082"/>
    <w:uiPriority w:val="11"/>
    <w:pPr>
      <w:pBdr/>
      <w:spacing/>
      <w:ind/>
    </w:pPr>
    <w:rPr>
      <w:color w:val="595959" w:themeColor="text1" w:themeTint="A6"/>
      <w:spacing w:val="15"/>
      <w:sz w:val="28"/>
      <w:szCs w:val="28"/>
    </w:rPr>
  </w:style>
  <w:style w:type="paragraph" w:styleId="162">
    <w:name w:val="Quote"/>
    <w:basedOn w:val="943"/>
    <w:next w:val="943"/>
    <w:link w:val="163"/>
    <w:uiPriority w:val="29"/>
    <w:qFormat/>
    <w:pPr>
      <w:pBdr/>
      <w:spacing w:before="160"/>
      <w:ind/>
      <w:jc w:val="center"/>
    </w:pPr>
    <w:rPr>
      <w:i/>
      <w:iCs/>
      <w:color w:val="404040" w:themeColor="text1" w:themeTint="BF"/>
    </w:rPr>
  </w:style>
  <w:style w:type="character" w:styleId="163">
    <w:name w:val="Quote Char"/>
    <w:basedOn w:val="944"/>
    <w:link w:val="162"/>
    <w:uiPriority w:val="29"/>
    <w:pPr>
      <w:pBdr/>
      <w:spacing/>
      <w:ind/>
    </w:pPr>
    <w:rPr>
      <w:i/>
      <w:iCs/>
      <w:color w:val="404040" w:themeColor="text1" w:themeTint="BF"/>
    </w:rPr>
  </w:style>
  <w:style w:type="character" w:styleId="165">
    <w:name w:val="Intense Emphasis"/>
    <w:basedOn w:val="944"/>
    <w:uiPriority w:val="21"/>
    <w:qFormat/>
    <w:pPr>
      <w:pBdr/>
      <w:spacing/>
      <w:ind/>
    </w:pPr>
    <w:rPr>
      <w:i/>
      <w:iCs/>
      <w:color w:val="0f4761" w:themeColor="accent1" w:themeShade="BF"/>
    </w:rPr>
  </w:style>
  <w:style w:type="paragraph" w:styleId="166">
    <w:name w:val="Intense Quote"/>
    <w:basedOn w:val="943"/>
    <w:next w:val="943"/>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944"/>
    <w:link w:val="166"/>
    <w:uiPriority w:val="30"/>
    <w:pPr>
      <w:pBdr/>
      <w:spacing/>
      <w:ind/>
    </w:pPr>
    <w:rPr>
      <w:i/>
      <w:iCs/>
      <w:color w:val="0f4761" w:themeColor="accent1" w:themeShade="BF"/>
    </w:rPr>
  </w:style>
  <w:style w:type="character" w:styleId="168">
    <w:name w:val="Intense Reference"/>
    <w:basedOn w:val="944"/>
    <w:uiPriority w:val="32"/>
    <w:qFormat/>
    <w:pPr>
      <w:pBdr/>
      <w:spacing/>
      <w:ind/>
    </w:pPr>
    <w:rPr>
      <w:b/>
      <w:bCs/>
      <w:smallCaps/>
      <w:color w:val="0f4761" w:themeColor="accent1" w:themeShade="BF"/>
      <w:spacing w:val="5"/>
    </w:rPr>
  </w:style>
  <w:style w:type="paragraph" w:styleId="169">
    <w:name w:val="No Spacing"/>
    <w:basedOn w:val="943"/>
    <w:uiPriority w:val="1"/>
    <w:qFormat/>
    <w:pPr>
      <w:pBdr/>
      <w:spacing w:after="0" w:line="240" w:lineRule="auto"/>
      <w:ind/>
    </w:pPr>
  </w:style>
  <w:style w:type="character" w:styleId="170">
    <w:name w:val="Subtle Emphasis"/>
    <w:basedOn w:val="944"/>
    <w:uiPriority w:val="19"/>
    <w:qFormat/>
    <w:pPr>
      <w:pBdr/>
      <w:spacing/>
      <w:ind/>
    </w:pPr>
    <w:rPr>
      <w:i/>
      <w:iCs/>
      <w:color w:val="404040" w:themeColor="text1" w:themeTint="BF"/>
    </w:rPr>
  </w:style>
  <w:style w:type="character" w:styleId="171">
    <w:name w:val="Emphasis"/>
    <w:basedOn w:val="944"/>
    <w:uiPriority w:val="20"/>
    <w:qFormat/>
    <w:pPr>
      <w:pBdr/>
      <w:spacing/>
      <w:ind/>
    </w:pPr>
    <w:rPr>
      <w:i/>
      <w:iCs/>
    </w:rPr>
  </w:style>
  <w:style w:type="character" w:styleId="173">
    <w:name w:val="Subtle Reference"/>
    <w:basedOn w:val="944"/>
    <w:uiPriority w:val="31"/>
    <w:qFormat/>
    <w:pPr>
      <w:pBdr/>
      <w:spacing/>
      <w:ind/>
    </w:pPr>
    <w:rPr>
      <w:smallCaps/>
      <w:color w:val="5a5a5a" w:themeColor="text1" w:themeTint="A5"/>
    </w:rPr>
  </w:style>
  <w:style w:type="character" w:styleId="174">
    <w:name w:val="Book Title"/>
    <w:basedOn w:val="944"/>
    <w:uiPriority w:val="33"/>
    <w:qFormat/>
    <w:pPr>
      <w:pBdr/>
      <w:spacing/>
      <w:ind/>
    </w:pPr>
    <w:rPr>
      <w:b/>
      <w:bCs/>
      <w:i/>
      <w:iCs/>
      <w:spacing w:val="5"/>
    </w:rPr>
  </w:style>
  <w:style w:type="character" w:styleId="176">
    <w:name w:val="Header Char"/>
    <w:basedOn w:val="944"/>
    <w:link w:val="1098"/>
    <w:uiPriority w:val="99"/>
    <w:pPr>
      <w:pBdr/>
      <w:spacing/>
      <w:ind/>
    </w:pPr>
  </w:style>
  <w:style w:type="character" w:styleId="178">
    <w:name w:val="Footer Char"/>
    <w:basedOn w:val="944"/>
    <w:link w:val="1099"/>
    <w:uiPriority w:val="99"/>
    <w:pPr>
      <w:pBdr/>
      <w:spacing/>
      <w:ind/>
    </w:pPr>
  </w:style>
  <w:style w:type="character" w:styleId="181">
    <w:name w:val="Footnote Text Char"/>
    <w:basedOn w:val="944"/>
    <w:link w:val="1023"/>
    <w:uiPriority w:val="99"/>
    <w:semiHidden/>
    <w:pPr>
      <w:pBdr/>
      <w:spacing/>
      <w:ind/>
    </w:pPr>
    <w:rPr>
      <w:sz w:val="20"/>
      <w:szCs w:val="20"/>
    </w:rPr>
  </w:style>
  <w:style w:type="character" w:styleId="182">
    <w:name w:val="footnote reference"/>
    <w:basedOn w:val="944"/>
    <w:uiPriority w:val="99"/>
    <w:semiHidden/>
    <w:unhideWhenUsed/>
    <w:pPr>
      <w:pBdr/>
      <w:spacing/>
      <w:ind/>
    </w:pPr>
    <w:rPr>
      <w:vertAlign w:val="superscript"/>
    </w:rPr>
  </w:style>
  <w:style w:type="character" w:styleId="184">
    <w:name w:val="Endnote Text Char"/>
    <w:basedOn w:val="944"/>
    <w:link w:val="1073"/>
    <w:uiPriority w:val="99"/>
    <w:semiHidden/>
    <w:pPr>
      <w:pBdr/>
      <w:spacing/>
      <w:ind/>
    </w:pPr>
    <w:rPr>
      <w:sz w:val="20"/>
      <w:szCs w:val="20"/>
    </w:rPr>
  </w:style>
  <w:style w:type="character" w:styleId="185">
    <w:name w:val="endnote reference"/>
    <w:basedOn w:val="944"/>
    <w:uiPriority w:val="99"/>
    <w:semiHidden/>
    <w:unhideWhenUsed/>
    <w:pPr>
      <w:pBdr/>
      <w:spacing/>
      <w:ind/>
    </w:pPr>
    <w:rPr>
      <w:vertAlign w:val="superscript"/>
    </w:rPr>
  </w:style>
  <w:style w:type="character" w:styleId="187">
    <w:name w:val="FollowedHyperlink"/>
    <w:basedOn w:val="944"/>
    <w:uiPriority w:val="99"/>
    <w:semiHidden/>
    <w:unhideWhenUsed/>
    <w:pPr>
      <w:pBdr/>
      <w:spacing/>
      <w:ind/>
    </w:pPr>
    <w:rPr>
      <w:color w:val="954f72" w:themeColor="followedHyperlink"/>
      <w:u w:val="single"/>
    </w:rPr>
  </w:style>
  <w:style w:type="paragraph" w:styleId="206">
    <w:name w:val="TOC Heading"/>
    <w:uiPriority w:val="39"/>
    <w:unhideWhenUsed/>
    <w:pPr>
      <w:pBdr/>
      <w:spacing/>
      <w:ind/>
    </w:pPr>
  </w:style>
  <w:style w:type="paragraph" w:styleId="207">
    <w:name w:val="table of figures"/>
    <w:basedOn w:val="943"/>
    <w:next w:val="943"/>
    <w:uiPriority w:val="99"/>
    <w:unhideWhenUsed/>
    <w:pPr>
      <w:pBdr/>
      <w:spacing w:after="0" w:afterAutospacing="0"/>
      <w:ind/>
    </w:pPr>
  </w:style>
  <w:style w:type="paragraph" w:styleId="943" w:default="1">
    <w:name w:val="Normal"/>
    <w:uiPriority w:val="3"/>
    <w:qFormat/>
    <w:pPr>
      <w:pBdr/>
      <w:spacing w:after="120" w:before="120"/>
      <w:ind/>
      <w:jc w:val="both"/>
    </w:pPr>
    <w:rPr>
      <w:rFonts w:ascii="Arial" w:hAnsi="Arial" w:cs="Arial"/>
      <w:sz w:val="22"/>
      <w:szCs w:val="24"/>
    </w:rPr>
  </w:style>
  <w:style w:type="character" w:styleId="944" w:default="1">
    <w:name w:val="Default Paragraph Font"/>
    <w:uiPriority w:val="1"/>
    <w:semiHidden/>
    <w:unhideWhenUsed/>
    <w:pPr>
      <w:pBdr/>
      <w:spacing/>
      <w:ind/>
    </w:pPr>
  </w:style>
  <w:style w:type="table" w:styleId="94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946" w:default="1">
    <w:name w:val="No List"/>
    <w:uiPriority w:val="99"/>
    <w:semiHidden/>
    <w:unhideWhenUsed/>
    <w:pPr>
      <w:pBdr/>
      <w:spacing/>
      <w:ind/>
    </w:pPr>
  </w:style>
  <w:style w:type="character" w:styleId="947">
    <w:name w:val="annotation reference"/>
    <w:uiPriority w:val="99"/>
    <w:qFormat/>
    <w:pPr>
      <w:pBdr/>
      <w:spacing/>
      <w:ind/>
    </w:pPr>
    <w:rPr>
      <w:sz w:val="16"/>
    </w:rPr>
  </w:style>
  <w:style w:type="character" w:styleId="948">
    <w:name w:val="page number"/>
    <w:semiHidden/>
    <w:qFormat/>
    <w:pPr>
      <w:pBdr/>
      <w:spacing/>
      <w:ind/>
    </w:pPr>
    <w:rPr>
      <w:rFonts w:ascii="Verdana" w:hAnsi="Verdana"/>
    </w:rPr>
  </w:style>
  <w:style w:type="character" w:styleId="949" w:customStyle="1">
    <w:name w:val="Lien Internet"/>
    <w:uiPriority w:val="99"/>
    <w:pPr>
      <w:pBdr/>
      <w:spacing/>
      <w:ind/>
    </w:pPr>
    <w:rPr>
      <w:color w:val="0000ff"/>
      <w:u w:val="single"/>
    </w:rPr>
  </w:style>
  <w:style w:type="character" w:styleId="950" w:customStyle="1">
    <w:name w:val="Lien Internet visité"/>
    <w:semiHidden/>
    <w:qFormat/>
    <w:pPr>
      <w:pBdr/>
      <w:spacing/>
      <w:ind/>
    </w:pPr>
    <w:rPr>
      <w:color w:val="800080"/>
      <w:u w:val="single"/>
    </w:rPr>
  </w:style>
  <w:style w:type="character" w:styleId="951">
    <w:name w:val="Strong"/>
    <w:uiPriority w:val="22"/>
    <w:qFormat/>
    <w:pPr>
      <w:pBdr/>
      <w:spacing/>
      <w:ind/>
    </w:pPr>
    <w:rPr>
      <w:b/>
      <w:bCs/>
    </w:rPr>
  </w:style>
  <w:style w:type="character" w:styleId="952" w:customStyle="1">
    <w:name w:val="code"/>
    <w:basedOn w:val="944"/>
    <w:qFormat/>
    <w:pPr>
      <w:pBdr/>
      <w:spacing/>
      <w:ind/>
    </w:pPr>
  </w:style>
  <w:style w:type="character" w:styleId="953" w:customStyle="1">
    <w:name w:val="Ancre de note de bas de page"/>
    <w:pPr>
      <w:pBdr/>
      <w:spacing/>
      <w:ind/>
    </w:pPr>
    <w:rPr>
      <w:vertAlign w:val="superscript"/>
    </w:rPr>
  </w:style>
  <w:style w:type="character" w:styleId="954" w:customStyle="1">
    <w:name w:val="Footnote Characters"/>
    <w:uiPriority w:val="18"/>
    <w:semiHidden/>
    <w:qFormat/>
    <w:pPr>
      <w:pBdr/>
      <w:spacing/>
      <w:ind/>
    </w:pPr>
    <w:rPr>
      <w:vertAlign w:val="superscript"/>
    </w:rPr>
  </w:style>
  <w:style w:type="character" w:styleId="955" w:customStyle="1">
    <w:name w:val="Car Car"/>
    <w:semiHidden/>
    <w:qFormat/>
    <w:pPr>
      <w:pBdr/>
      <w:spacing/>
      <w:ind/>
    </w:pPr>
    <w:rPr>
      <w:rFonts w:ascii="Arial" w:hAnsi="Arial"/>
    </w:rPr>
  </w:style>
  <w:style w:type="character" w:styleId="956" w:customStyle="1">
    <w:name w:val="Ancre de note de fin"/>
    <w:pPr>
      <w:pBdr/>
      <w:spacing/>
      <w:ind/>
    </w:pPr>
    <w:rPr>
      <w:vertAlign w:val="superscript"/>
    </w:rPr>
  </w:style>
  <w:style w:type="character" w:styleId="957" w:customStyle="1">
    <w:name w:val="Endnote Characters"/>
    <w:semiHidden/>
    <w:unhideWhenUsed/>
    <w:qFormat/>
    <w:pPr>
      <w:pBdr/>
      <w:spacing/>
      <w:ind/>
    </w:pPr>
    <w:rPr>
      <w:vertAlign w:val="superscript"/>
    </w:rPr>
  </w:style>
  <w:style w:type="character" w:styleId="958" w:customStyle="1">
    <w:name w:val="Titre 4 Car"/>
    <w:link w:val="999"/>
    <w:qFormat/>
    <w:pPr>
      <w:pBdr/>
      <w:spacing/>
      <w:ind/>
    </w:pPr>
    <w:rPr>
      <w:rFonts w:ascii="Arial" w:hAnsi="Arial" w:eastAsia="MS Mincho"/>
      <w:iCs/>
      <w:spacing w:val="20"/>
      <w:sz w:val="22"/>
      <w:szCs w:val="23"/>
      <w:u w:val="single"/>
    </w:rPr>
  </w:style>
  <w:style w:type="character" w:styleId="959" w:customStyle="1">
    <w:name w:val="TITRE 4 Car"/>
    <w:qFormat/>
    <w:pPr>
      <w:pBdr/>
      <w:spacing/>
      <w:ind/>
    </w:pPr>
    <w:rPr>
      <w:rFonts w:ascii="Arial" w:hAnsi="Arial" w:eastAsia="MS Mincho" w:cs="Arial"/>
      <w:iCs/>
      <w:spacing w:val="20"/>
      <w:sz w:val="22"/>
      <w:szCs w:val="23"/>
      <w:u w:val="single"/>
    </w:rPr>
  </w:style>
  <w:style w:type="character" w:styleId="960" w:customStyle="1">
    <w:name w:val="Style2 Car"/>
    <w:basedOn w:val="959"/>
    <w:link w:val="1075"/>
    <w:qFormat/>
    <w:pPr>
      <w:pBdr/>
      <w:spacing/>
      <w:ind/>
    </w:pPr>
    <w:rPr>
      <w:rFonts w:ascii="Arial" w:hAnsi="Arial" w:eastAsia="MS Mincho" w:cs="Arial"/>
      <w:iCs/>
      <w:spacing w:val="20"/>
      <w:sz w:val="22"/>
      <w:szCs w:val="23"/>
      <w:u w:val="single"/>
    </w:rPr>
  </w:style>
  <w:style w:type="character" w:styleId="961" w:customStyle="1">
    <w:name w:val="cattexte"/>
    <w:basedOn w:val="944"/>
    <w:qFormat/>
    <w:pPr>
      <w:pBdr/>
      <w:spacing/>
      <w:ind/>
    </w:pPr>
  </w:style>
  <w:style w:type="character" w:styleId="962" w:customStyle="1">
    <w:name w:val="Style3 Car"/>
    <w:basedOn w:val="959"/>
    <w:link w:val="1076"/>
    <w:qFormat/>
    <w:pPr>
      <w:pBdr/>
      <w:spacing/>
      <w:ind/>
    </w:pPr>
    <w:rPr>
      <w:rFonts w:ascii="Arial" w:hAnsi="Arial" w:eastAsia="MS Mincho" w:cs="Arial"/>
      <w:iCs/>
      <w:spacing w:val="20"/>
      <w:sz w:val="22"/>
      <w:szCs w:val="23"/>
      <w:u w:val="single"/>
    </w:rPr>
  </w:style>
  <w:style w:type="character" w:styleId="963" w:customStyle="1">
    <w:name w:val="Commentaire BAJ Car"/>
    <w:link w:val="1078"/>
    <w:qFormat/>
    <w:pPr>
      <w:pBdr/>
      <w:spacing/>
      <w:ind/>
    </w:pPr>
    <w:rPr>
      <w:rFonts w:ascii="Arial" w:hAnsi="Arial" w:cs="Arial"/>
      <w:i/>
      <w:color w:val="7030a0"/>
      <w:sz w:val="22"/>
      <w:szCs w:val="24"/>
    </w:rPr>
  </w:style>
  <w:style w:type="character" w:styleId="964" w:customStyle="1">
    <w:name w:val="Adresse Car"/>
    <w:link w:val="1080"/>
    <w:uiPriority w:val="4"/>
    <w:qFormat/>
    <w:pPr>
      <w:pBdr/>
      <w:spacing/>
      <w:ind/>
    </w:pPr>
    <w:rPr>
      <w:rFonts w:ascii="Arial" w:hAnsi="Arial" w:cs="Arial"/>
      <w:caps/>
      <w:sz w:val="22"/>
      <w:szCs w:val="24"/>
    </w:rPr>
  </w:style>
  <w:style w:type="character" w:styleId="965" w:customStyle="1">
    <w:name w:val="Commentaire violet Car"/>
    <w:link w:val="1081"/>
    <w:uiPriority w:val="5"/>
    <w:qFormat/>
    <w:pPr>
      <w:pBdr/>
      <w:spacing/>
      <w:ind/>
    </w:pPr>
    <w:rPr>
      <w:rFonts w:ascii="Arial" w:hAnsi="Arial" w:eastAsia="MS Mincho" w:cs="Arial"/>
      <w:i/>
      <w:color w:val="7030a0"/>
      <w:sz w:val="22"/>
      <w:szCs w:val="24"/>
    </w:rPr>
  </w:style>
  <w:style w:type="character" w:styleId="966" w:customStyle="1">
    <w:name w:val="Titre 2 Car"/>
    <w:link w:val="997"/>
    <w:qFormat/>
    <w:pPr>
      <w:pBdr/>
      <w:spacing/>
      <w:ind/>
    </w:pPr>
    <w:rPr>
      <w:rFonts w:ascii="Arial" w:hAnsi="Arial" w:eastAsia="MS Mincho"/>
      <w:b/>
      <w:bCs/>
      <w:caps/>
      <w:sz w:val="22"/>
      <w:szCs w:val="26"/>
      <w:shd w:val="clear" w:color="auto" w:fill="d8d8d8"/>
    </w:rPr>
  </w:style>
  <w:style w:type="character" w:styleId="967" w:customStyle="1">
    <w:name w:val="Sous-titre Car"/>
    <w:qFormat/>
    <w:pPr>
      <w:pBdr/>
      <w:spacing/>
      <w:ind/>
    </w:pPr>
    <w:rPr>
      <w:rFonts w:ascii="Arial" w:hAnsi="Arial" w:cs="Arial"/>
      <w:sz w:val="22"/>
      <w:szCs w:val="24"/>
    </w:rPr>
  </w:style>
  <w:style w:type="character" w:styleId="968" w:customStyle="1">
    <w:name w:val="2 Liste tirets Car"/>
    <w:link w:val="1083"/>
    <w:qFormat/>
    <w:pPr>
      <w:pBdr/>
      <w:spacing/>
      <w:ind/>
    </w:pPr>
    <w:rPr>
      <w:rFonts w:ascii="Arial" w:hAnsi="Arial" w:cs="Arial"/>
      <w:sz w:val="22"/>
      <w:szCs w:val="24"/>
    </w:rPr>
  </w:style>
  <w:style w:type="character" w:styleId="969" w:customStyle="1">
    <w:name w:val="2 Liste flèches Car"/>
    <w:link w:val="1084"/>
    <w:qFormat/>
    <w:pPr>
      <w:pBdr/>
      <w:spacing/>
      <w:ind/>
    </w:pPr>
    <w:rPr>
      <w:rFonts w:ascii="Arial" w:hAnsi="Arial" w:cs="Arial"/>
      <w:sz w:val="22"/>
      <w:szCs w:val="24"/>
    </w:rPr>
  </w:style>
  <w:style w:type="character" w:styleId="970" w:customStyle="1">
    <w:name w:val="2 Liste points Car"/>
    <w:link w:val="1085"/>
    <w:qFormat/>
    <w:pPr>
      <w:pBdr/>
      <w:spacing/>
      <w:ind/>
    </w:pPr>
    <w:rPr>
      <w:rFonts w:ascii="Arial" w:hAnsi="Arial" w:cs="Arial"/>
      <w:sz w:val="22"/>
      <w:szCs w:val="24"/>
    </w:rPr>
  </w:style>
  <w:style w:type="character" w:styleId="971" w:customStyle="1">
    <w:name w:val="2 Liste carrés Car"/>
    <w:link w:val="1086"/>
    <w:qFormat/>
    <w:pPr>
      <w:pBdr/>
      <w:spacing/>
      <w:ind/>
    </w:pPr>
    <w:rPr>
      <w:rFonts w:ascii="Arial" w:hAnsi="Arial" w:cs="Arial"/>
      <w:sz w:val="22"/>
      <w:szCs w:val="24"/>
    </w:rPr>
  </w:style>
  <w:style w:type="character" w:styleId="972" w:customStyle="1">
    <w:name w:val="Titre page de garde Car"/>
    <w:link w:val="1087"/>
    <w:uiPriority w:val="3"/>
    <w:qFormat/>
    <w:pPr>
      <w:pBdr/>
      <w:spacing/>
      <w:ind/>
    </w:pPr>
    <w:rPr>
      <w:rFonts w:ascii="Arial Gras" w:hAnsi="Arial Gras" w:cs="Arial"/>
      <w:b/>
      <w:caps/>
      <w:sz w:val="40"/>
      <w:szCs w:val="40"/>
    </w:rPr>
  </w:style>
  <w:style w:type="character" w:styleId="973" w:customStyle="1">
    <w:name w:val="Internet adresse Car"/>
    <w:link w:val="1088"/>
    <w:uiPriority w:val="3"/>
    <w:qFormat/>
    <w:pPr>
      <w:pBdr/>
      <w:spacing/>
      <w:ind/>
    </w:pPr>
    <w:rPr>
      <w:rFonts w:ascii="Arial" w:hAnsi="Arial" w:cs="Arial"/>
      <w:color w:val="0000ff"/>
      <w:sz w:val="22"/>
      <w:szCs w:val="24"/>
      <w:u w:val="single"/>
    </w:rPr>
  </w:style>
  <w:style w:type="character" w:styleId="974" w:customStyle="1">
    <w:name w:val="2 Centré Car"/>
    <w:link w:val="1089"/>
    <w:uiPriority w:val="3"/>
    <w:qFormat/>
    <w:pPr>
      <w:pBdr/>
      <w:spacing/>
      <w:ind/>
    </w:pPr>
    <w:rPr>
      <w:rFonts w:ascii="Arial" w:hAnsi="Arial" w:eastAsia="MS Mincho" w:cs="Arial"/>
      <w:sz w:val="22"/>
      <w:szCs w:val="24"/>
    </w:rPr>
  </w:style>
  <w:style w:type="character" w:styleId="975" w:customStyle="1">
    <w:name w:val="2 Liste petits carrés Car"/>
    <w:basedOn w:val="971"/>
    <w:link w:val="1090"/>
    <w:uiPriority w:val="3"/>
    <w:qFormat/>
    <w:pPr>
      <w:pBdr/>
      <w:spacing/>
      <w:ind/>
    </w:pPr>
    <w:rPr>
      <w:rFonts w:ascii="Arial" w:hAnsi="Arial" w:cs="Arial"/>
      <w:sz w:val="22"/>
      <w:szCs w:val="24"/>
    </w:rPr>
  </w:style>
  <w:style w:type="character" w:styleId="976" w:customStyle="1">
    <w:name w:val="Style Première ligne : 063 cm Car"/>
    <w:link w:val="1037"/>
    <w:qFormat/>
    <w:pPr>
      <w:pBdr/>
      <w:spacing/>
      <w:ind/>
    </w:pPr>
    <w:rPr>
      <w:rFonts w:ascii="Arial" w:hAnsi="Arial" w:cs="Arial"/>
      <w:sz w:val="22"/>
      <w:szCs w:val="24"/>
      <w:lang w:eastAsia="en-US"/>
    </w:rPr>
  </w:style>
  <w:style w:type="character" w:styleId="977" w:customStyle="1">
    <w:name w:val="Titre ANNEXE Car"/>
    <w:link w:val="1091"/>
    <w:uiPriority w:val="3"/>
    <w:qFormat/>
    <w:pPr>
      <w:pBdr/>
      <w:spacing/>
      <w:ind/>
    </w:pPr>
    <w:rPr>
      <w:rFonts w:ascii="Arial Gras" w:hAnsi="Arial Gras" w:eastAsia="MS Mincho" w:cs="Arial"/>
      <w:bCs/>
      <w:caps/>
      <w:sz w:val="28"/>
      <w:szCs w:val="28"/>
      <w:lang w:eastAsia="en-US"/>
    </w:rPr>
  </w:style>
  <w:style w:type="character" w:styleId="978" w:customStyle="1">
    <w:name w:val="ANNEXE Car"/>
    <w:link w:val="1092"/>
    <w:uiPriority w:val="3"/>
    <w:qFormat/>
    <w:pPr>
      <w:pBdr/>
      <w:spacing/>
      <w:ind/>
    </w:pPr>
    <w:rPr>
      <w:rFonts w:ascii="Arial Gras" w:hAnsi="Arial Gras" w:cs="Arial"/>
      <w:b/>
      <w:caps/>
      <w:sz w:val="28"/>
      <w:szCs w:val="28"/>
      <w:lang w:eastAsia="en-US"/>
    </w:rPr>
  </w:style>
  <w:style w:type="character" w:styleId="979" w:customStyle="1">
    <w:name w:val="fontstyle01"/>
    <w:qFormat/>
    <w:pPr>
      <w:pBdr/>
      <w:spacing/>
      <w:ind/>
    </w:pPr>
    <w:rPr>
      <w:rFonts w:ascii="Arial" w:hAnsi="Arial" w:cs="Arial"/>
      <w:b w:val="0"/>
      <w:bCs w:val="0"/>
      <w:i w:val="0"/>
      <w:iCs w:val="0"/>
      <w:color w:val="000000"/>
      <w:sz w:val="20"/>
      <w:szCs w:val="20"/>
    </w:rPr>
  </w:style>
  <w:style w:type="character" w:styleId="980" w:customStyle="1">
    <w:name w:val="fontstyle21"/>
    <w:qFormat/>
    <w:pPr>
      <w:pBdr/>
      <w:spacing/>
      <w:ind/>
    </w:pPr>
    <w:rPr>
      <w:rFonts w:ascii="Arial" w:hAnsi="Arial" w:cs="Arial"/>
      <w:b/>
      <w:bCs/>
      <w:i/>
      <w:iCs/>
      <w:color w:val="000000"/>
      <w:sz w:val="20"/>
      <w:szCs w:val="20"/>
    </w:rPr>
  </w:style>
  <w:style w:type="character" w:styleId="981" w:customStyle="1">
    <w:name w:val="surlignage"/>
    <w:basedOn w:val="944"/>
    <w:qFormat/>
    <w:pPr>
      <w:pBdr/>
      <w:spacing/>
      <w:ind/>
    </w:pPr>
  </w:style>
  <w:style w:type="character" w:styleId="982" w:customStyle="1">
    <w:name w:val="En-tête Car"/>
    <w:basedOn w:val="944"/>
    <w:uiPriority w:val="99"/>
    <w:qFormat/>
    <w:pPr>
      <w:pBdr/>
      <w:spacing/>
      <w:ind/>
    </w:pPr>
    <w:rPr>
      <w:rFonts w:ascii="Arial" w:hAnsi="Arial" w:cs="Arial"/>
      <w:i/>
      <w:sz w:val="16"/>
      <w:szCs w:val="24"/>
    </w:rPr>
  </w:style>
  <w:style w:type="character" w:styleId="983" w:customStyle="1">
    <w:name w:val="Explorateur de documents Car"/>
    <w:basedOn w:val="944"/>
    <w:link w:val="1093"/>
    <w:uiPriority w:val="99"/>
    <w:semiHidden/>
    <w:qFormat/>
    <w:pPr>
      <w:pBdr/>
      <w:spacing/>
      <w:ind/>
    </w:pPr>
    <w:rPr>
      <w:rFonts w:ascii="Tahoma" w:hAnsi="Tahoma" w:cs="Tahoma"/>
      <w:sz w:val="16"/>
      <w:szCs w:val="16"/>
    </w:rPr>
  </w:style>
  <w:style w:type="character" w:styleId="984" w:customStyle="1">
    <w:name w:val="Commentaire Car"/>
    <w:link w:val="1019"/>
    <w:uiPriority w:val="99"/>
    <w:qFormat/>
    <w:pPr>
      <w:pBdr/>
      <w:spacing/>
      <w:ind/>
    </w:pPr>
    <w:rPr>
      <w:rFonts w:ascii="Arial" w:hAnsi="Arial" w:cs="Arial"/>
      <w:sz w:val="22"/>
      <w:szCs w:val="24"/>
    </w:rPr>
  </w:style>
  <w:style w:type="character" w:styleId="985" w:customStyle="1">
    <w:name w:val="Service Info Header Car"/>
    <w:basedOn w:val="944"/>
    <w:link w:val="1094"/>
    <w:qFormat/>
    <w:pPr>
      <w:pBdr/>
      <w:spacing/>
      <w:ind/>
    </w:pPr>
    <w:rPr>
      <w:rFonts w:ascii="Arial" w:hAnsi="Arial" w:eastAsia="Arial" w:cs="Arial"/>
      <w:b/>
      <w:bCs/>
      <w:sz w:val="24"/>
      <w:szCs w:val="24"/>
    </w:rPr>
  </w:style>
  <w:style w:type="character" w:styleId="986" w:customStyle="1">
    <w:name w:val="Caractères de note de bas de page"/>
    <w:qFormat/>
    <w:pPr>
      <w:pBdr/>
      <w:spacing/>
      <w:ind/>
    </w:pPr>
  </w:style>
  <w:style w:type="character" w:styleId="987" w:customStyle="1">
    <w:name w:val="Caractères de note de fin"/>
    <w:qFormat/>
    <w:pPr>
      <w:pBdr/>
      <w:spacing/>
      <w:ind/>
    </w:pPr>
  </w:style>
  <w:style w:type="character" w:styleId="988" w:customStyle="1">
    <w:name w:val="En-tête Car1"/>
    <w:basedOn w:val="944"/>
    <w:uiPriority w:val="99"/>
    <w:qFormat/>
    <w:pPr>
      <w:pBdr/>
      <w:spacing/>
      <w:ind/>
    </w:pPr>
    <w:rPr>
      <w:rFonts w:ascii="Arial" w:hAnsi="Arial" w:cs="Arial"/>
      <w:sz w:val="22"/>
      <w:szCs w:val="24"/>
    </w:rPr>
  </w:style>
  <w:style w:type="character" w:styleId="989" w:customStyle="1">
    <w:name w:val="Pied de page Car"/>
    <w:basedOn w:val="944"/>
    <w:link w:val="1099"/>
    <w:uiPriority w:val="99"/>
    <w:qFormat/>
    <w:pPr>
      <w:pBdr/>
      <w:spacing/>
      <w:ind/>
    </w:pPr>
    <w:rPr>
      <w:rFonts w:ascii="Arial" w:hAnsi="Arial" w:cs="Arial"/>
      <w:sz w:val="22"/>
      <w:szCs w:val="24"/>
    </w:rPr>
  </w:style>
  <w:style w:type="character" w:styleId="990" w:customStyle="1">
    <w:name w:val="Saut d'index"/>
    <w:qFormat/>
    <w:pPr>
      <w:pBdr/>
      <w:spacing/>
      <w:ind/>
    </w:pPr>
  </w:style>
  <w:style w:type="paragraph" w:styleId="991">
    <w:name w:val="Title"/>
    <w:basedOn w:val="943"/>
    <w:next w:val="992"/>
    <w:qFormat/>
    <w:pPr>
      <w:keepNext w:val="true"/>
      <w:pBdr/>
      <w:spacing w:before="240"/>
      <w:ind/>
    </w:pPr>
    <w:rPr>
      <w:rFonts w:ascii="Liberation Sans" w:hAnsi="Liberation Sans" w:eastAsia="Microsoft YaHei" w:cs="Arial Unicode MS"/>
      <w:sz w:val="28"/>
      <w:szCs w:val="28"/>
    </w:rPr>
  </w:style>
  <w:style w:type="paragraph" w:styleId="992">
    <w:name w:val="Body Text"/>
    <w:basedOn w:val="943"/>
    <w:semiHidden/>
    <w:pPr>
      <w:pBdr/>
      <w:spacing/>
      <w:ind/>
      <w:jc w:val="center"/>
    </w:pPr>
  </w:style>
  <w:style w:type="paragraph" w:styleId="993">
    <w:name w:val="List"/>
    <w:basedOn w:val="992"/>
    <w:pPr>
      <w:pBdr/>
      <w:spacing/>
      <w:ind/>
    </w:pPr>
    <w:rPr>
      <w:rFonts w:cs="Arial Unicode MS"/>
    </w:rPr>
  </w:style>
  <w:style w:type="paragraph" w:styleId="994">
    <w:name w:val="Caption"/>
    <w:basedOn w:val="943"/>
    <w:next w:val="943"/>
    <w:qFormat/>
    <w:pPr>
      <w:pBdr/>
      <w:spacing/>
      <w:ind/>
    </w:pPr>
    <w:rPr>
      <w:b/>
    </w:rPr>
  </w:style>
  <w:style w:type="paragraph" w:styleId="995" w:customStyle="1">
    <w:name w:val="Index"/>
    <w:basedOn w:val="943"/>
    <w:qFormat/>
    <w:pPr>
      <w:suppressLineNumbers w:val="true"/>
      <w:pBdr/>
      <w:spacing/>
      <w:ind/>
    </w:pPr>
    <w:rPr>
      <w:rFonts w:cs="Arial Unicode MS"/>
    </w:rPr>
  </w:style>
  <w:style w:type="paragraph" w:styleId="996" w:customStyle="1">
    <w:name w:val="Titre 11"/>
    <w:basedOn w:val="943"/>
    <w:next w:val="943"/>
    <w:qFormat/>
    <w:pPr>
      <w:keepNext w:val="true"/>
      <w:keepLines w:val="true"/>
      <w:pageBreakBefore w:val="true"/>
      <w:pBdr>
        <w:top w:val="single" w:color="00000a" w:sz="4" w:space="2"/>
        <w:bottom w:val="single" w:color="00000a" w:sz="4" w:space="2"/>
      </w:pBdr>
      <w:spacing w:after="240" w:before="0"/>
      <w:ind/>
      <w:jc w:val="center"/>
      <w:outlineLvl w:val="0"/>
    </w:pPr>
    <w:rPr>
      <w:rFonts w:eastAsia="MS Mincho"/>
      <w:b/>
      <w:bCs/>
      <w:caps/>
      <w:sz w:val="28"/>
      <w:szCs w:val="28"/>
    </w:rPr>
  </w:style>
  <w:style w:type="paragraph" w:styleId="997" w:customStyle="1">
    <w:name w:val="Titre 21"/>
    <w:basedOn w:val="943"/>
    <w:next w:val="943"/>
    <w:link w:val="966"/>
    <w:qFormat/>
    <w:pPr>
      <w:keepNext w:val="true"/>
      <w:pBdr/>
      <w:shd w:val="pct15" w:color="auto" w:fill="auto"/>
      <w:spacing w:before="240"/>
      <w:ind/>
      <w:outlineLvl w:val="1"/>
    </w:pPr>
    <w:rPr>
      <w:rFonts w:eastAsia="MS Mincho" w:cs="Times New Roman"/>
      <w:b/>
      <w:bCs/>
      <w:caps/>
      <w:szCs w:val="26"/>
    </w:rPr>
  </w:style>
  <w:style w:type="paragraph" w:styleId="998" w:customStyle="1">
    <w:name w:val="Titre 31"/>
    <w:basedOn w:val="943"/>
    <w:next w:val="943"/>
    <w:qFormat/>
    <w:pPr>
      <w:keepNext w:val="true"/>
      <w:pBdr/>
      <w:spacing w:before="240"/>
      <w:ind/>
      <w:outlineLvl w:val="2"/>
    </w:pPr>
    <w:rPr>
      <w:rFonts w:ascii="Arial Gras" w:hAnsi="Arial Gras" w:eastAsia="MS Mincho"/>
      <w:b/>
      <w:bCs/>
      <w:szCs w:val="26"/>
      <w:u w:val="single"/>
    </w:rPr>
  </w:style>
  <w:style w:type="paragraph" w:styleId="999" w:customStyle="1">
    <w:name w:val="Titre 41"/>
    <w:basedOn w:val="943"/>
    <w:next w:val="943"/>
    <w:link w:val="958"/>
    <w:qFormat/>
    <w:pPr>
      <w:keepNext w:val="true"/>
      <w:pBdr/>
      <w:spacing w:before="240"/>
      <w:ind/>
      <w:outlineLvl w:val="3"/>
    </w:pPr>
    <w:rPr>
      <w:rFonts w:eastAsia="MS Mincho" w:cs="Times New Roman"/>
      <w:iCs/>
      <w:spacing w:val="20"/>
      <w:szCs w:val="23"/>
      <w:u w:val="single"/>
    </w:rPr>
  </w:style>
  <w:style w:type="paragraph" w:styleId="1000" w:customStyle="1">
    <w:name w:val="Titre 51"/>
    <w:basedOn w:val="943"/>
    <w:next w:val="943"/>
    <w:qFormat/>
    <w:pPr>
      <w:pBdr/>
      <w:tabs>
        <w:tab w:val="left" w:leader="none" w:pos="1588"/>
      </w:tabs>
      <w:spacing w:after="160" w:before="160"/>
      <w:ind w:left="710"/>
    </w:pPr>
    <w:rPr>
      <w:i/>
      <w:u w:val="single"/>
    </w:rPr>
  </w:style>
  <w:style w:type="paragraph" w:styleId="1001" w:customStyle="1">
    <w:name w:val="Titre 61"/>
    <w:basedOn w:val="943"/>
    <w:next w:val="943"/>
    <w:qFormat/>
    <w:pPr>
      <w:pBdr/>
      <w:spacing w:after="240" w:before="240"/>
      <w:ind/>
      <w:outlineLvl w:val="5"/>
    </w:pPr>
    <w:rPr>
      <w:i/>
      <w:sz w:val="24"/>
    </w:rPr>
  </w:style>
  <w:style w:type="paragraph" w:styleId="1002" w:customStyle="1">
    <w:name w:val="Titre 71"/>
    <w:basedOn w:val="943"/>
    <w:next w:val="943"/>
    <w:qFormat/>
    <w:pPr>
      <w:keepNext w:val="true"/>
      <w:pBdr/>
      <w:spacing w:before="720"/>
      <w:ind/>
      <w:jc w:val="center"/>
      <w:outlineLvl w:val="6"/>
    </w:pPr>
    <w:rPr>
      <w:b/>
      <w:i/>
      <w:sz w:val="24"/>
    </w:rPr>
  </w:style>
  <w:style w:type="paragraph" w:styleId="1003" w:customStyle="1">
    <w:name w:val="Titre 81"/>
    <w:basedOn w:val="943"/>
    <w:next w:val="943"/>
    <w:qFormat/>
    <w:pPr>
      <w:pBdr/>
      <w:spacing w:after="60" w:before="240"/>
      <w:ind/>
      <w:outlineLvl w:val="7"/>
    </w:pPr>
    <w:rPr>
      <w:rFonts w:ascii="Times New Roman" w:hAnsi="Times New Roman"/>
      <w:i/>
      <w:sz w:val="24"/>
    </w:rPr>
  </w:style>
  <w:style w:type="paragraph" w:styleId="1004" w:customStyle="1">
    <w:name w:val="Titre 91"/>
    <w:basedOn w:val="943"/>
    <w:next w:val="943"/>
    <w:qFormat/>
    <w:pPr>
      <w:keepNext w:val="true"/>
      <w:pBdr/>
      <w:spacing w:before="1200"/>
      <w:ind/>
      <w:jc w:val="center"/>
      <w:outlineLvl w:val="8"/>
    </w:pPr>
    <w:rPr>
      <w:b/>
      <w:smallCaps/>
      <w:sz w:val="28"/>
    </w:rPr>
  </w:style>
  <w:style w:type="paragraph" w:styleId="1005" w:customStyle="1">
    <w:name w:val="Légende1"/>
    <w:basedOn w:val="943"/>
    <w:qFormat/>
    <w:pPr>
      <w:suppressLineNumbers w:val="true"/>
      <w:pBdr/>
      <w:spacing/>
      <w:ind/>
    </w:pPr>
    <w:rPr>
      <w:rFonts w:cs="Arial Unicode MS"/>
      <w:i/>
      <w:iCs/>
      <w:sz w:val="24"/>
    </w:rPr>
  </w:style>
  <w:style w:type="paragraph" w:styleId="1006" w:customStyle="1">
    <w:name w:val="Annexe 1"/>
    <w:basedOn w:val="943"/>
    <w:next w:val="943"/>
    <w:qFormat/>
    <w:pPr>
      <w:pBdr/>
      <w:spacing/>
      <w:ind/>
      <w:jc w:val="center"/>
      <w:outlineLvl w:val="0"/>
    </w:pPr>
    <w:rPr>
      <w:b/>
      <w:smallCaps/>
      <w:sz w:val="28"/>
    </w:rPr>
  </w:style>
  <w:style w:type="paragraph" w:styleId="1007" w:customStyle="1">
    <w:name w:val="Annexe 2"/>
    <w:basedOn w:val="1006"/>
    <w:next w:val="943"/>
    <w:qFormat/>
    <w:pPr>
      <w:pBdr/>
      <w:spacing/>
      <w:ind/>
      <w:outlineLvl w:val="1"/>
    </w:pPr>
    <w:rPr>
      <w:sz w:val="20"/>
    </w:rPr>
  </w:style>
  <w:style w:type="paragraph" w:styleId="1008" w:customStyle="1">
    <w:name w:val="Annexe 3"/>
    <w:basedOn w:val="1007"/>
    <w:next w:val="943"/>
    <w:qFormat/>
    <w:pPr>
      <w:pBdr/>
      <w:spacing/>
      <w:ind/>
      <w:outlineLvl w:val="2"/>
    </w:pPr>
    <w:rPr>
      <w:b w:val="0"/>
      <w:i/>
    </w:rPr>
  </w:style>
  <w:style w:type="paragraph" w:styleId="1009">
    <w:name w:val="List Number"/>
    <w:basedOn w:val="943"/>
    <w:semiHidden/>
    <w:qFormat/>
    <w:pPr>
      <w:pBdr/>
      <w:spacing/>
      <w:ind/>
    </w:pPr>
    <w:rPr>
      <w:sz w:val="24"/>
    </w:rPr>
  </w:style>
  <w:style w:type="paragraph" w:styleId="1010">
    <w:name w:val="List Number 2"/>
    <w:basedOn w:val="943"/>
    <w:semiHidden/>
    <w:qFormat/>
    <w:pPr>
      <w:pBdr/>
      <w:spacing/>
      <w:ind/>
    </w:pPr>
  </w:style>
  <w:style w:type="paragraph" w:styleId="1011">
    <w:name w:val="List Number 3"/>
    <w:basedOn w:val="943"/>
    <w:semiHidden/>
    <w:qFormat/>
    <w:pPr>
      <w:pBdr/>
      <w:spacing/>
      <w:ind/>
    </w:pPr>
    <w:rPr>
      <w:sz w:val="24"/>
    </w:rPr>
  </w:style>
  <w:style w:type="paragraph" w:styleId="1012">
    <w:name w:val="List Number 4"/>
    <w:basedOn w:val="943"/>
    <w:semiHidden/>
    <w:qFormat/>
    <w:pPr>
      <w:pBdr/>
      <w:spacing/>
      <w:ind/>
    </w:pPr>
    <w:rPr>
      <w:sz w:val="24"/>
    </w:rPr>
  </w:style>
  <w:style w:type="paragraph" w:styleId="1013">
    <w:name w:val="List Number 5"/>
    <w:basedOn w:val="943"/>
    <w:semiHidden/>
    <w:qFormat/>
    <w:pPr>
      <w:pBdr/>
      <w:spacing/>
      <w:ind/>
    </w:pPr>
    <w:rPr>
      <w:sz w:val="24"/>
    </w:rPr>
  </w:style>
  <w:style w:type="paragraph" w:styleId="1014">
    <w:name w:val="List Bullet 3"/>
    <w:basedOn w:val="943"/>
    <w:semiHidden/>
    <w:qFormat/>
    <w:pPr>
      <w:pBdr/>
      <w:spacing w:before="0"/>
      <w:ind w:hanging="567" w:left="1418"/>
    </w:pPr>
    <w:rPr>
      <w:lang w:eastAsia="en-US"/>
    </w:rPr>
  </w:style>
  <w:style w:type="paragraph" w:styleId="1015">
    <w:name w:val="List Bullet 4"/>
    <w:basedOn w:val="943"/>
    <w:semiHidden/>
    <w:qFormat/>
    <w:pPr>
      <w:pBdr/>
      <w:spacing/>
      <w:ind/>
    </w:pPr>
    <w:rPr>
      <w:sz w:val="24"/>
    </w:rPr>
  </w:style>
  <w:style w:type="paragraph" w:styleId="1016">
    <w:name w:val="List Bullet 5"/>
    <w:basedOn w:val="943"/>
    <w:semiHidden/>
    <w:qFormat/>
    <w:pPr>
      <w:pBdr/>
      <w:spacing/>
      <w:ind/>
    </w:pPr>
    <w:rPr>
      <w:sz w:val="24"/>
    </w:rPr>
  </w:style>
  <w:style w:type="paragraph" w:styleId="1017">
    <w:name w:val="List Bullet 2"/>
    <w:basedOn w:val="943"/>
    <w:semiHidden/>
    <w:qFormat/>
    <w:pPr>
      <w:pBdr/>
      <w:tabs>
        <w:tab w:val="left" w:leader="none" w:pos="426"/>
      </w:tabs>
      <w:spacing w:before="240"/>
      <w:ind w:left="425"/>
    </w:pPr>
    <w:rPr>
      <w:b/>
      <w:u w:val="single"/>
      <w:lang w:eastAsia="en-US"/>
    </w:rPr>
  </w:style>
  <w:style w:type="paragraph" w:styleId="1018" w:customStyle="1">
    <w:name w:val="Liste à puces 1"/>
    <w:basedOn w:val="943"/>
    <w:qFormat/>
    <w:pPr>
      <w:pBdr/>
      <w:spacing w:after="60" w:before="60"/>
      <w:ind/>
    </w:pPr>
  </w:style>
  <w:style w:type="paragraph" w:styleId="1019">
    <w:name w:val="annotation text"/>
    <w:basedOn w:val="943"/>
    <w:link w:val="984"/>
    <w:uiPriority w:val="99"/>
    <w:qFormat/>
    <w:pPr>
      <w:pBdr/>
      <w:spacing/>
      <w:ind/>
    </w:pPr>
  </w:style>
  <w:style w:type="paragraph" w:styleId="1020" w:customStyle="1">
    <w:name w:val="TM 11"/>
    <w:basedOn w:val="943"/>
    <w:next w:val="943"/>
    <w:uiPriority w:val="39"/>
    <w:qFormat/>
    <w:pPr>
      <w:pBdr/>
      <w:tabs>
        <w:tab w:val="left" w:leader="none" w:pos="1440"/>
        <w:tab w:val="right" w:leader="none" w:pos="9639"/>
      </w:tabs>
      <w:spacing/>
      <w:ind/>
      <w:jc w:val="left"/>
    </w:pPr>
    <w:rPr>
      <w:smallCaps/>
      <w:sz w:val="18"/>
    </w:rPr>
  </w:style>
  <w:style w:type="paragraph" w:styleId="1021" w:customStyle="1">
    <w:name w:val="TM 21"/>
    <w:basedOn w:val="943"/>
    <w:next w:val="943"/>
    <w:uiPriority w:val="39"/>
    <w:qFormat/>
    <w:pPr>
      <w:pBdr/>
      <w:tabs>
        <w:tab w:val="left" w:leader="none" w:pos="709"/>
        <w:tab w:val="left" w:leader="none" w:pos="800"/>
        <w:tab w:val="left" w:leader="none" w:pos="880"/>
        <w:tab w:val="right" w:leader="none" w:pos="9639"/>
      </w:tabs>
      <w:spacing w:after="0" w:before="0"/>
      <w:ind w:right="284" w:hanging="709" w:left="709"/>
      <w:jc w:val="left"/>
    </w:pPr>
    <w:rPr>
      <w:smallCaps/>
      <w:sz w:val="18"/>
      <w:szCs w:val="22"/>
    </w:rPr>
  </w:style>
  <w:style w:type="paragraph" w:styleId="1022" w:customStyle="1">
    <w:name w:val="TM 31"/>
    <w:basedOn w:val="943"/>
    <w:next w:val="943"/>
    <w:uiPriority w:val="39"/>
    <w:qFormat/>
    <w:pPr>
      <w:pBdr/>
      <w:tabs>
        <w:tab w:val="left" w:leader="none" w:pos="709"/>
        <w:tab w:val="right" w:leader="none" w:pos="9639"/>
      </w:tabs>
      <w:spacing w:after="0" w:before="0"/>
      <w:ind/>
      <w:jc w:val="left"/>
    </w:pPr>
    <w:rPr>
      <w:i/>
      <w:smallCaps/>
      <w:sz w:val="18"/>
      <w:szCs w:val="22"/>
    </w:rPr>
  </w:style>
  <w:style w:type="paragraph" w:styleId="1023">
    <w:name w:val="footnote text"/>
    <w:basedOn w:val="943"/>
    <w:semiHidden/>
    <w:qFormat/>
    <w:pPr>
      <w:pBdr/>
      <w:spacing/>
      <w:ind/>
    </w:pPr>
    <w:rPr>
      <w:sz w:val="16"/>
    </w:rPr>
  </w:style>
  <w:style w:type="paragraph" w:styleId="1024">
    <w:name w:val="Body Text Indent"/>
    <w:basedOn w:val="943"/>
    <w:semiHidden/>
    <w:pPr>
      <w:pBdr/>
      <w:spacing/>
      <w:ind/>
    </w:pPr>
    <w:rPr>
      <w:sz w:val="24"/>
    </w:rPr>
  </w:style>
  <w:style w:type="paragraph" w:styleId="1025">
    <w:name w:val="Normal Indent"/>
    <w:basedOn w:val="943"/>
    <w:semiHidden/>
    <w:qFormat/>
    <w:pPr>
      <w:pBdr/>
      <w:tabs>
        <w:tab w:val="left" w:leader="none" w:pos="567"/>
        <w:tab w:val="left" w:leader="none" w:pos="1134"/>
        <w:tab w:val="left" w:leader="none" w:pos="1701"/>
      </w:tabs>
      <w:spacing/>
      <w:ind w:hanging="282" w:left="993"/>
    </w:pPr>
  </w:style>
  <w:style w:type="paragraph" w:styleId="1026">
    <w:name w:val="annotation subject"/>
    <w:basedOn w:val="1019"/>
    <w:qFormat/>
    <w:pPr>
      <w:pBdr/>
      <w:spacing w:after="60" w:before="60" w:line="312" w:lineRule="auto"/>
      <w:ind/>
    </w:pPr>
    <w:rPr>
      <w:b/>
      <w:sz w:val="20"/>
    </w:rPr>
  </w:style>
  <w:style w:type="paragraph" w:styleId="1027">
    <w:name w:val="Body Text 3"/>
    <w:basedOn w:val="943"/>
    <w:qFormat/>
    <w:pPr>
      <w:pBdr/>
      <w:spacing/>
      <w:ind/>
    </w:pPr>
    <w:rPr>
      <w:caps/>
      <w:sz w:val="24"/>
    </w:rPr>
  </w:style>
  <w:style w:type="paragraph" w:styleId="1028" w:customStyle="1">
    <w:name w:val="En-tête1"/>
    <w:basedOn w:val="943"/>
    <w:uiPriority w:val="99"/>
    <w:qFormat/>
    <w:pPr>
      <w:pBdr/>
      <w:tabs>
        <w:tab w:val="center" w:leader="none" w:pos="4536"/>
        <w:tab w:val="right" w:leader="none" w:pos="9072"/>
      </w:tabs>
      <w:spacing w:after="40" w:before="40"/>
      <w:ind/>
    </w:pPr>
    <w:rPr>
      <w:i/>
      <w:sz w:val="16"/>
    </w:rPr>
  </w:style>
  <w:style w:type="paragraph" w:styleId="1029" w:customStyle="1">
    <w:name w:val="Pied de page1"/>
    <w:basedOn w:val="943"/>
    <w:semiHidden/>
    <w:qFormat/>
    <w:pPr>
      <w:pBdr/>
      <w:tabs>
        <w:tab w:val="center" w:leader="none" w:pos="4536"/>
        <w:tab w:val="right" w:leader="none" w:pos="9072"/>
      </w:tabs>
      <w:spacing w:after="40" w:before="40"/>
      <w:ind/>
    </w:pPr>
    <w:rPr>
      <w:i/>
      <w:sz w:val="16"/>
    </w:rPr>
  </w:style>
  <w:style w:type="paragraph" w:styleId="1030">
    <w:name w:val="Body Text Indent 2"/>
    <w:basedOn w:val="943"/>
    <w:semiHidden/>
    <w:qFormat/>
    <w:pPr>
      <w:pBdr/>
      <w:spacing/>
      <w:ind w:firstLine="708"/>
    </w:pPr>
    <w:rPr>
      <w:rFonts w:ascii="Times New Roman" w:hAnsi="Times New Roman"/>
      <w:sz w:val="24"/>
    </w:rPr>
  </w:style>
  <w:style w:type="paragraph" w:styleId="1031" w:customStyle="1">
    <w:name w:val="n"/>
    <w:basedOn w:val="943"/>
    <w:qFormat/>
    <w:pPr>
      <w:pBdr/>
      <w:spacing/>
      <w:ind/>
    </w:pPr>
    <w:rPr>
      <w:rFonts w:ascii="Times New Roman" w:hAnsi="Times New Roman"/>
      <w:sz w:val="24"/>
    </w:rPr>
  </w:style>
  <w:style w:type="paragraph" w:styleId="1032">
    <w:name w:val="List Bullet"/>
    <w:basedOn w:val="943"/>
    <w:semiHidden/>
    <w:qFormat/>
    <w:pPr>
      <w:pBdr/>
      <w:spacing w:after="20" w:before="20"/>
      <w:ind w:hanging="357" w:left="357"/>
    </w:pPr>
  </w:style>
  <w:style w:type="paragraph" w:styleId="1033" w:customStyle="1">
    <w:name w:val="Corps de texte 21"/>
    <w:basedOn w:val="943"/>
    <w:qFormat/>
    <w:pPr>
      <w:pBdr/>
      <w:spacing/>
      <w:ind/>
    </w:pPr>
    <w:rPr>
      <w:sz w:val="24"/>
    </w:rPr>
  </w:style>
  <w:style w:type="paragraph" w:styleId="1034">
    <w:name w:val="Body Text Indent 3"/>
    <w:basedOn w:val="943"/>
    <w:semiHidden/>
    <w:qFormat/>
    <w:pPr>
      <w:pBdr/>
      <w:spacing/>
      <w:ind w:left="426"/>
    </w:pPr>
    <w:rPr>
      <w:sz w:val="20"/>
    </w:rPr>
  </w:style>
  <w:style w:type="paragraph" w:styleId="1035" w:customStyle="1">
    <w:name w:val="Enum1 Titre"/>
    <w:basedOn w:val="943"/>
    <w:qFormat/>
    <w:pPr>
      <w:pBdr/>
      <w:spacing/>
      <w:ind/>
    </w:pPr>
  </w:style>
  <w:style w:type="paragraph" w:styleId="1036">
    <w:name w:val="Normal (Web)"/>
    <w:basedOn w:val="943"/>
    <w:semiHidden/>
    <w:qFormat/>
    <w:pPr>
      <w:pBdr/>
      <w:spacing w:after="119" w:beforeAutospacing="1"/>
      <w:ind/>
      <w:jc w:val="left"/>
    </w:pPr>
    <w:rPr>
      <w:rFonts w:ascii="Times New Roman" w:hAnsi="Times New Roman"/>
      <w:sz w:val="24"/>
    </w:rPr>
  </w:style>
  <w:style w:type="paragraph" w:styleId="1037" w:customStyle="1">
    <w:name w:val="Style Première ligne : 063 cm"/>
    <w:basedOn w:val="943"/>
    <w:link w:val="976"/>
    <w:qFormat/>
    <w:pPr>
      <w:pBdr/>
      <w:spacing/>
      <w:ind/>
    </w:pPr>
    <w:rPr>
      <w:rFonts w:cs="Times New Roman"/>
      <w:lang w:eastAsia="en-US"/>
    </w:rPr>
  </w:style>
  <w:style w:type="paragraph" w:styleId="1038">
    <w:name w:val="Body Text 2"/>
    <w:basedOn w:val="943"/>
    <w:semiHidden/>
    <w:qFormat/>
    <w:pPr>
      <w:pBdr/>
      <w:spacing/>
      <w:ind/>
    </w:pPr>
  </w:style>
  <w:style w:type="paragraph" w:styleId="1039" w:customStyle="1">
    <w:name w:val="EF"/>
    <w:basedOn w:val="943"/>
    <w:qFormat/>
    <w:pPr>
      <w:pBdr/>
      <w:tabs>
        <w:tab w:val="left" w:leader="none" w:pos="1260"/>
      </w:tabs>
      <w:spacing w:after="240" w:before="240"/>
      <w:ind w:firstLine="540" w:left="180"/>
    </w:pPr>
    <w:rPr>
      <w:rFonts w:ascii="Times New Roman" w:hAnsi="Times New Roman"/>
      <w:bCs/>
      <w:sz w:val="24"/>
    </w:rPr>
  </w:style>
  <w:style w:type="paragraph" w:styleId="1040" w:customStyle="1">
    <w:name w:val="TITRE 4"/>
    <w:basedOn w:val="999"/>
    <w:qFormat/>
    <w:pPr>
      <w:pBdr/>
      <w:spacing/>
      <w:ind/>
      <w:outlineLvl w:val="9"/>
    </w:pPr>
  </w:style>
  <w:style w:type="paragraph" w:styleId="1041" w:customStyle="1">
    <w:name w:val="TM 41"/>
    <w:basedOn w:val="943"/>
    <w:next w:val="943"/>
    <w:semiHidden/>
    <w:qFormat/>
    <w:pPr>
      <w:pBdr/>
      <w:spacing w:after="0" w:before="0"/>
      <w:ind w:left="720"/>
      <w:jc w:val="left"/>
    </w:pPr>
    <w:rPr>
      <w:rFonts w:ascii="Times New Roman" w:hAnsi="Times New Roman"/>
      <w:sz w:val="24"/>
    </w:rPr>
  </w:style>
  <w:style w:type="paragraph" w:styleId="1042" w:customStyle="1">
    <w:name w:val="TM 51"/>
    <w:basedOn w:val="943"/>
    <w:next w:val="943"/>
    <w:semiHidden/>
    <w:qFormat/>
    <w:pPr>
      <w:pBdr/>
      <w:spacing w:after="0" w:before="0"/>
      <w:ind w:left="960"/>
      <w:jc w:val="left"/>
    </w:pPr>
    <w:rPr>
      <w:rFonts w:ascii="Times New Roman" w:hAnsi="Times New Roman"/>
      <w:sz w:val="24"/>
    </w:rPr>
  </w:style>
  <w:style w:type="paragraph" w:styleId="1043" w:customStyle="1">
    <w:name w:val="TM 61"/>
    <w:basedOn w:val="943"/>
    <w:next w:val="943"/>
    <w:semiHidden/>
    <w:qFormat/>
    <w:pPr>
      <w:pBdr/>
      <w:spacing w:after="0" w:before="0"/>
      <w:ind w:left="1200"/>
      <w:jc w:val="left"/>
    </w:pPr>
    <w:rPr>
      <w:rFonts w:ascii="Times New Roman" w:hAnsi="Times New Roman"/>
      <w:sz w:val="24"/>
    </w:rPr>
  </w:style>
  <w:style w:type="paragraph" w:styleId="1044" w:customStyle="1">
    <w:name w:val="TM 71"/>
    <w:basedOn w:val="943"/>
    <w:next w:val="943"/>
    <w:semiHidden/>
    <w:qFormat/>
    <w:pPr>
      <w:pBdr/>
      <w:spacing w:after="0" w:before="0"/>
      <w:ind w:left="1440"/>
      <w:jc w:val="left"/>
    </w:pPr>
    <w:rPr>
      <w:rFonts w:ascii="Times New Roman" w:hAnsi="Times New Roman"/>
      <w:sz w:val="24"/>
    </w:rPr>
  </w:style>
  <w:style w:type="paragraph" w:styleId="1045" w:customStyle="1">
    <w:name w:val="TM 81"/>
    <w:basedOn w:val="943"/>
    <w:next w:val="943"/>
    <w:semiHidden/>
    <w:qFormat/>
    <w:pPr>
      <w:pBdr/>
      <w:spacing w:after="0" w:before="0"/>
      <w:ind w:left="1680"/>
      <w:jc w:val="left"/>
    </w:pPr>
    <w:rPr>
      <w:rFonts w:ascii="Times New Roman" w:hAnsi="Times New Roman"/>
      <w:sz w:val="24"/>
    </w:rPr>
  </w:style>
  <w:style w:type="paragraph" w:styleId="1046" w:customStyle="1">
    <w:name w:val="TM 91"/>
    <w:basedOn w:val="943"/>
    <w:next w:val="943"/>
    <w:semiHidden/>
    <w:qFormat/>
    <w:pPr>
      <w:pBdr/>
      <w:spacing w:after="0" w:before="0"/>
      <w:ind w:left="1920"/>
      <w:jc w:val="left"/>
    </w:pPr>
    <w:rPr>
      <w:rFonts w:ascii="Times New Roman" w:hAnsi="Times New Roman"/>
      <w:sz w:val="24"/>
    </w:rPr>
  </w:style>
  <w:style w:type="paragraph" w:styleId="1047" w:customStyle="1">
    <w:name w:val="Titre Article"/>
    <w:basedOn w:val="943"/>
    <w:qFormat/>
    <w:pPr>
      <w:pageBreakBefore w:val="true"/>
      <w:pBdr>
        <w:top w:val="single" w:color="00000a" w:sz="4" w:space="15"/>
        <w:bottom w:val="single" w:color="00000a" w:sz="4" w:space="15"/>
      </w:pBdr>
      <w:tabs>
        <w:tab w:val="left" w:leader="none" w:pos="1209"/>
        <w:tab w:val="left" w:leader="none" w:pos="1260"/>
      </w:tabs>
      <w:spacing w:after="500" w:before="240"/>
      <w:ind w:hanging="360" w:left="1209"/>
      <w:jc w:val="center"/>
    </w:pPr>
    <w:rPr>
      <w:rFonts w:ascii="Times New Roman" w:hAnsi="Times New Roman"/>
      <w:b/>
      <w:smallCaps/>
      <w:sz w:val="26"/>
      <w:szCs w:val="26"/>
    </w:rPr>
  </w:style>
  <w:style w:type="paragraph" w:styleId="1048" w:customStyle="1">
    <w:name w:val="TITRE 6"/>
    <w:basedOn w:val="1000"/>
    <w:qFormat/>
    <w:pPr>
      <w:pBdr/>
      <w:tabs>
        <w:tab w:val="left" w:leader="none" w:pos="1418"/>
      </w:tabs>
      <w:spacing/>
      <w:ind w:left="0"/>
    </w:pPr>
    <w:rPr>
      <w:i w:val="0"/>
    </w:rPr>
  </w:style>
  <w:style w:type="paragraph" w:styleId="1049">
    <w:name w:val="Balloon Text"/>
    <w:basedOn w:val="943"/>
    <w:semiHidden/>
    <w:qFormat/>
    <w:pPr>
      <w:pBdr/>
      <w:spacing/>
      <w:ind/>
    </w:pPr>
    <w:rPr>
      <w:rFonts w:ascii="Tahoma" w:hAnsi="Tahoma" w:cs="Wingdings"/>
      <w:sz w:val="16"/>
      <w:szCs w:val="16"/>
    </w:rPr>
  </w:style>
  <w:style w:type="paragraph" w:styleId="1050" w:customStyle="1">
    <w:name w:val="Style1"/>
    <w:basedOn w:val="996"/>
    <w:qFormat/>
    <w:pPr>
      <w:pBdr/>
      <w:spacing/>
      <w:ind w:hanging="113" w:left="113"/>
      <w:outlineLvl w:val="9"/>
    </w:pPr>
  </w:style>
  <w:style w:type="paragraph" w:styleId="1051">
    <w:name w:val="Date"/>
    <w:basedOn w:val="943"/>
    <w:next w:val="943"/>
    <w:semiHidden/>
    <w:qFormat/>
    <w:pPr>
      <w:pBdr/>
      <w:spacing w:after="100" w:before="100"/>
      <w:ind w:firstLine="709"/>
    </w:pPr>
    <w:rPr>
      <w:rFonts w:ascii="Times New Roman" w:hAnsi="Times New Roman"/>
      <w:sz w:val="24"/>
    </w:rPr>
  </w:style>
  <w:style w:type="paragraph" w:styleId="1052" w:customStyle="1">
    <w:name w:val="Répertoire"/>
    <w:basedOn w:val="943"/>
    <w:qFormat/>
    <w:pPr>
      <w:suppressLineNumbers w:val="true"/>
      <w:pBdr/>
      <w:spacing w:after="100" w:before="100"/>
      <w:ind w:firstLine="709"/>
    </w:pPr>
    <w:rPr>
      <w:rFonts w:ascii="Times New Roman" w:hAnsi="Times New Roman" w:cs="Wingdings"/>
      <w:sz w:val="24"/>
      <w:lang w:eastAsia="ar-SA"/>
    </w:rPr>
  </w:style>
  <w:style w:type="paragraph" w:styleId="1053">
    <w:name w:val="envelope return"/>
    <w:basedOn w:val="943"/>
    <w:semiHidden/>
    <w:qFormat/>
    <w:pPr>
      <w:pBdr/>
      <w:spacing w:after="100" w:before="100"/>
      <w:ind w:firstLine="709"/>
    </w:pPr>
  </w:style>
  <w:style w:type="paragraph" w:styleId="1054" w:customStyle="1">
    <w:name w:val="rdo 1"/>
    <w:basedOn w:val="996"/>
    <w:qFormat/>
    <w:pPr>
      <w:keepNext w:val="false"/>
      <w:pBdr>
        <w:top w:val="single" w:color="00000a" w:sz="4" w:space="12"/>
        <w:bottom w:val="single" w:color="00000a" w:sz="4" w:space="12"/>
      </w:pBdr>
      <w:spacing w:after="360" w:before="360"/>
      <w:ind/>
      <w:outlineLvl w:val="9"/>
    </w:pPr>
    <w:rPr>
      <w:sz w:val="30"/>
    </w:rPr>
  </w:style>
  <w:style w:type="paragraph" w:styleId="1055" w:customStyle="1">
    <w:name w:val="Paragraphe"/>
    <w:basedOn w:val="943"/>
    <w:qFormat/>
    <w:pPr>
      <w:pBdr/>
      <w:spacing w:after="0"/>
      <w:ind w:left="567"/>
    </w:pPr>
    <w:rPr>
      <w:rFonts w:ascii="Times New Roman" w:hAnsi="Times New Roman"/>
      <w:sz w:val="24"/>
    </w:rPr>
  </w:style>
  <w:style w:type="paragraph" w:styleId="1056" w:customStyle="1">
    <w:name w:val="espav1"/>
    <w:basedOn w:val="943"/>
    <w:qFormat/>
    <w:pPr>
      <w:pBdr/>
      <w:spacing w:afterAutospacing="1" w:beforeAutospacing="1"/>
      <w:ind/>
      <w:jc w:val="left"/>
    </w:pPr>
    <w:rPr>
      <w:rFonts w:ascii="Times New Roman" w:hAnsi="Times New Roman"/>
      <w:sz w:val="24"/>
    </w:rPr>
  </w:style>
  <w:style w:type="paragraph" w:styleId="1057" w:customStyle="1">
    <w:name w:val="EspAv 0.5"/>
    <w:basedOn w:val="943"/>
    <w:qFormat/>
    <w:pPr>
      <w:keepLines w:val="true"/>
      <w:pBdr/>
      <w:spacing w:after="0"/>
      <w:ind/>
    </w:pPr>
    <w:rPr>
      <w:rFonts w:ascii="Times New Roman" w:hAnsi="Times New Roman"/>
      <w:sz w:val="24"/>
    </w:rPr>
  </w:style>
  <w:style w:type="paragraph" w:styleId="1058" w:customStyle="1">
    <w:name w:val="puces"/>
    <w:basedOn w:val="943"/>
    <w:qFormat/>
    <w:pPr>
      <w:pBdr/>
      <w:spacing w:after="80" w:before="80"/>
      <w:ind/>
    </w:pPr>
  </w:style>
  <w:style w:type="paragraph" w:styleId="1059" w:customStyle="1">
    <w:name w:val="Standard"/>
    <w:qFormat/>
    <w:pPr>
      <w:pBdr/>
      <w:spacing/>
      <w:ind w:firstLine="709"/>
      <w:jc w:val="both"/>
    </w:pPr>
    <w:rPr>
      <w:sz w:val="24"/>
      <w:lang w:eastAsia="zh-CN"/>
    </w:rPr>
  </w:style>
  <w:style w:type="paragraph" w:styleId="1060" w:customStyle="1">
    <w:name w:val="N1"/>
    <w:basedOn w:val="943"/>
    <w:qFormat/>
    <w:pPr>
      <w:pBdr/>
      <w:spacing w:after="0" w:before="0"/>
      <w:ind w:firstLine="709"/>
    </w:pPr>
    <w:rPr>
      <w:rFonts w:ascii="Times New Roman" w:hAnsi="Times New Roman"/>
      <w:sz w:val="24"/>
      <w:lang w:eastAsia="ar-SA"/>
    </w:rPr>
  </w:style>
  <w:style w:type="paragraph" w:styleId="1061" w:customStyle="1">
    <w:name w:val="Item 2"/>
    <w:basedOn w:val="943"/>
    <w:qFormat/>
    <w:pPr>
      <w:pBdr/>
      <w:tabs>
        <w:tab w:val="left" w:leader="none" w:pos="360"/>
        <w:tab w:val="left" w:leader="none" w:pos="993"/>
      </w:tabs>
      <w:spacing w:before="50"/>
      <w:ind w:hanging="360" w:left="360"/>
    </w:pPr>
    <w:rPr>
      <w:rFonts w:ascii="Times New Roman" w:hAnsi="Times New Roman"/>
      <w:sz w:val="24"/>
    </w:rPr>
  </w:style>
  <w:style w:type="paragraph" w:styleId="1062" w:customStyle="1">
    <w:name w:val="Corps de texte 31"/>
    <w:basedOn w:val="943"/>
    <w:qFormat/>
    <w:pPr>
      <w:pBdr/>
      <w:spacing w:after="80" w:before="80"/>
      <w:ind/>
      <w:jc w:val="left"/>
    </w:pPr>
    <w:rPr>
      <w:rFonts w:ascii="Times New Roman" w:hAnsi="Times New Roman"/>
      <w:caps/>
      <w:sz w:val="24"/>
    </w:rPr>
  </w:style>
  <w:style w:type="paragraph" w:styleId="1063">
    <w:name w:val="toa heading"/>
    <w:basedOn w:val="943"/>
    <w:next w:val="943"/>
    <w:semiHidden/>
    <w:qFormat/>
    <w:pPr>
      <w:pBdr/>
      <w:spacing w:after="100"/>
      <w:ind w:firstLine="709"/>
    </w:pPr>
    <w:rPr>
      <w:b/>
      <w:sz w:val="24"/>
    </w:rPr>
  </w:style>
  <w:style w:type="paragraph" w:styleId="1064">
    <w:name w:val="Block Text"/>
    <w:basedOn w:val="943"/>
    <w:semiHidden/>
    <w:qFormat/>
    <w:pPr>
      <w:pBdr/>
      <w:spacing/>
      <w:ind w:right="708" w:left="567"/>
    </w:pPr>
    <w:rPr>
      <w:i/>
      <w:iCs/>
    </w:rPr>
  </w:style>
  <w:style w:type="paragraph" w:styleId="1065" w:customStyle="1">
    <w:name w:val="Body Text 21"/>
    <w:basedOn w:val="943"/>
    <w:qFormat/>
    <w:pPr>
      <w:widowControl w:val="false"/>
      <w:pBdr/>
      <w:spacing w:after="80" w:before="80"/>
      <w:ind w:firstLine="709"/>
    </w:pPr>
    <w:rPr>
      <w:rFonts w:ascii="Times New Roman" w:hAnsi="Times New Roman"/>
      <w:sz w:val="24"/>
    </w:rPr>
  </w:style>
  <w:style w:type="paragraph" w:styleId="1066" w:customStyle="1">
    <w:name w:val="Normal 2"/>
    <w:basedOn w:val="943"/>
    <w:qFormat/>
    <w:pPr>
      <w:pBdr/>
      <w:spacing w:after="0" w:before="0"/>
      <w:ind/>
      <w:jc w:val="left"/>
    </w:pPr>
    <w:rPr>
      <w:rFonts w:ascii="Times New Roman" w:hAnsi="Times New Roman"/>
    </w:rPr>
  </w:style>
  <w:style w:type="paragraph" w:styleId="1067" w:customStyle="1">
    <w:name w:val="Faux paragraphe"/>
    <w:basedOn w:val="943"/>
    <w:qFormat/>
    <w:pPr>
      <w:widowControl w:val="false"/>
      <w:pBdr/>
      <w:spacing w:after="0" w:before="0"/>
      <w:ind/>
    </w:pPr>
    <w:rPr>
      <w:rFonts w:ascii="CG Times (WN)" w:hAnsi="CG Times (WN)"/>
      <w:sz w:val="24"/>
    </w:rPr>
  </w:style>
  <w:style w:type="paragraph" w:styleId="1068" w:customStyle="1">
    <w:name w:val="EntLogo"/>
    <w:basedOn w:val="943"/>
    <w:next w:val="943"/>
    <w:qFormat/>
    <w:pPr>
      <w:pBdr/>
      <w:spacing w:after="0" w:before="0"/>
      <w:ind/>
    </w:pPr>
    <w:rPr>
      <w:rFonts w:ascii="Times New Roman" w:hAnsi="Times New Roman"/>
      <w:bCs/>
      <w:sz w:val="24"/>
    </w:rPr>
  </w:style>
  <w:style w:type="paragraph" w:styleId="1069" w:customStyle="1">
    <w:name w:val="Page de garde 1"/>
    <w:basedOn w:val="943"/>
    <w:next w:val="943"/>
    <w:qFormat/>
    <w:pPr>
      <w:pBdr/>
      <w:spacing w:before="0"/>
      <w:ind/>
    </w:pPr>
    <w:rPr>
      <w:rFonts w:ascii="Times New Roman" w:hAnsi="Times New Roman"/>
      <w:bCs/>
      <w:smallCaps/>
      <w:sz w:val="16"/>
      <w:szCs w:val="16"/>
    </w:rPr>
  </w:style>
  <w:style w:type="paragraph" w:styleId="1070" w:customStyle="1">
    <w:name w:val="puce 1"/>
    <w:basedOn w:val="943"/>
    <w:qFormat/>
    <w:pPr>
      <w:keepLines w:val="true"/>
      <w:widowControl w:val="false"/>
      <w:pBdr/>
      <w:spacing/>
      <w:ind/>
    </w:pPr>
    <w:rPr>
      <w:rFonts w:ascii="Times New Roman" w:hAnsi="Times New Roman"/>
    </w:rPr>
  </w:style>
  <w:style w:type="paragraph" w:styleId="1071" w:customStyle="1">
    <w:name w:val="Default"/>
    <w:qFormat/>
    <w:pPr>
      <w:pBdr/>
      <w:spacing/>
      <w:ind/>
    </w:pPr>
    <w:rPr>
      <w:color w:val="000000"/>
      <w:sz w:val="24"/>
    </w:rPr>
  </w:style>
  <w:style w:type="paragraph" w:styleId="1072">
    <w:name w:val="HTML Preformatted"/>
    <w:basedOn w:val="943"/>
    <w:semiHidden/>
    <w:qFormat/>
    <w:pPr>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ind/>
      <w:jc w:val="left"/>
    </w:pPr>
    <w:rPr>
      <w:rFonts w:ascii="Arial Unicode MS" w:hAnsi="Arial Unicode MS" w:eastAsia="Arial Unicode MS" w:cs="Arial Unicode MS"/>
    </w:rPr>
  </w:style>
  <w:style w:type="paragraph" w:styleId="1073">
    <w:name w:val="endnote text"/>
    <w:basedOn w:val="943"/>
    <w:semiHidden/>
    <w:unhideWhenUsed/>
    <w:qFormat/>
    <w:pPr>
      <w:pBdr/>
      <w:spacing/>
      <w:ind/>
    </w:pPr>
  </w:style>
  <w:style w:type="paragraph" w:styleId="1074">
    <w:name w:val="List Paragraph"/>
    <w:basedOn w:val="943"/>
    <w:uiPriority w:val="34"/>
    <w:qFormat/>
    <w:pPr>
      <w:pBdr/>
      <w:spacing/>
      <w:ind w:left="708"/>
    </w:pPr>
    <w:rPr>
      <w:rFonts w:eastAsia="Calibri"/>
    </w:rPr>
  </w:style>
  <w:style w:type="paragraph" w:styleId="1075" w:customStyle="1">
    <w:name w:val="Style2"/>
    <w:basedOn w:val="1040"/>
    <w:link w:val="960"/>
    <w:qFormat/>
    <w:pPr>
      <w:pBdr/>
      <w:spacing/>
      <w:ind/>
    </w:pPr>
  </w:style>
  <w:style w:type="paragraph" w:styleId="1076" w:customStyle="1">
    <w:name w:val="Style3"/>
    <w:basedOn w:val="1040"/>
    <w:link w:val="962"/>
    <w:qFormat/>
    <w:pPr>
      <w:pBdr/>
      <w:spacing/>
      <w:ind/>
    </w:pPr>
  </w:style>
  <w:style w:type="paragraph" w:styleId="1077">
    <w:name w:val="Revision"/>
    <w:uiPriority w:val="99"/>
    <w:semiHidden/>
    <w:qFormat/>
    <w:pPr>
      <w:pBdr/>
      <w:spacing/>
      <w:ind/>
    </w:pPr>
    <w:rPr>
      <w:rFonts w:ascii="Arial" w:hAnsi="Arial"/>
      <w:sz w:val="22"/>
    </w:rPr>
  </w:style>
  <w:style w:type="paragraph" w:styleId="1078" w:customStyle="1">
    <w:name w:val="Commentaire BAJ"/>
    <w:basedOn w:val="943"/>
    <w:link w:val="963"/>
    <w:qFormat/>
    <w:pPr>
      <w:pBdr/>
      <w:spacing w:after="0" w:before="0"/>
      <w:ind/>
    </w:pPr>
    <w:rPr>
      <w:rFonts w:cs="Times New Roman"/>
      <w:i/>
      <w:color w:val="7030a0"/>
    </w:rPr>
  </w:style>
  <w:style w:type="paragraph" w:styleId="1079" w:customStyle="1">
    <w:name w:val="western"/>
    <w:basedOn w:val="943"/>
    <w:qFormat/>
    <w:pPr>
      <w:pBdr/>
      <w:spacing w:after="62" w:before="62" w:line="312" w:lineRule="auto"/>
      <w:ind/>
      <w:jc w:val="center"/>
    </w:pPr>
    <w:rPr>
      <w:b/>
      <w:bCs/>
      <w:color w:val="000000"/>
      <w:sz w:val="28"/>
      <w:szCs w:val="28"/>
    </w:rPr>
  </w:style>
  <w:style w:type="paragraph" w:styleId="1080" w:customStyle="1">
    <w:name w:val="Adresse"/>
    <w:basedOn w:val="943"/>
    <w:link w:val="964"/>
    <w:uiPriority w:val="4"/>
    <w:qFormat/>
    <w:pPr>
      <w:pBdr/>
      <w:spacing w:after="0" w:before="0"/>
      <w:ind w:left="567"/>
      <w:jc w:val="center"/>
    </w:pPr>
    <w:rPr>
      <w:rFonts w:cs="Times New Roman"/>
      <w:caps/>
    </w:rPr>
  </w:style>
  <w:style w:type="paragraph" w:styleId="1081" w:customStyle="1">
    <w:name w:val="Commentaire violet"/>
    <w:basedOn w:val="943"/>
    <w:link w:val="965"/>
    <w:uiPriority w:val="5"/>
    <w:qFormat/>
    <w:pPr>
      <w:pBdr/>
      <w:spacing w:after="0" w:before="0"/>
      <w:ind/>
    </w:pPr>
    <w:rPr>
      <w:rFonts w:eastAsia="MS Mincho" w:cs="Times New Roman"/>
      <w:i/>
      <w:color w:val="7030a0"/>
    </w:rPr>
  </w:style>
  <w:style w:type="paragraph" w:styleId="1082">
    <w:name w:val="Subtitle"/>
    <w:basedOn w:val="943"/>
    <w:qFormat/>
    <w:pPr>
      <w:pBdr/>
      <w:spacing w:after="60"/>
      <w:ind/>
      <w:jc w:val="center"/>
      <w:outlineLvl w:val="1"/>
    </w:pPr>
    <w:rPr>
      <w:rFonts w:cs="Times New Roman"/>
    </w:rPr>
  </w:style>
  <w:style w:type="paragraph" w:styleId="1083" w:customStyle="1">
    <w:name w:val="2 Liste tirets"/>
    <w:basedOn w:val="943"/>
    <w:link w:val="968"/>
    <w:qFormat/>
    <w:pPr>
      <w:pBdr/>
      <w:spacing w:before="0"/>
      <w:ind/>
    </w:pPr>
    <w:rPr>
      <w:rFonts w:cs="Times New Roman"/>
    </w:rPr>
  </w:style>
  <w:style w:type="paragraph" w:styleId="1084" w:customStyle="1">
    <w:name w:val="2 Liste flèches"/>
    <w:basedOn w:val="943"/>
    <w:link w:val="969"/>
    <w:qFormat/>
    <w:pPr>
      <w:pBdr/>
      <w:spacing w:before="0"/>
      <w:ind/>
    </w:pPr>
    <w:rPr>
      <w:rFonts w:cs="Times New Roman"/>
    </w:rPr>
  </w:style>
  <w:style w:type="paragraph" w:styleId="1085" w:customStyle="1">
    <w:name w:val="2 Liste points"/>
    <w:basedOn w:val="943"/>
    <w:link w:val="970"/>
    <w:qFormat/>
    <w:pPr>
      <w:pBdr/>
      <w:spacing w:before="0"/>
      <w:ind/>
    </w:pPr>
    <w:rPr>
      <w:rFonts w:cs="Times New Roman"/>
    </w:rPr>
  </w:style>
  <w:style w:type="paragraph" w:styleId="1086" w:customStyle="1">
    <w:name w:val="2 Liste carrés"/>
    <w:basedOn w:val="943"/>
    <w:link w:val="971"/>
    <w:qFormat/>
    <w:pPr>
      <w:pBdr/>
      <w:spacing/>
      <w:ind w:hanging="425" w:left="1276"/>
    </w:pPr>
    <w:rPr>
      <w:rFonts w:cs="Times New Roman"/>
    </w:rPr>
  </w:style>
  <w:style w:type="paragraph" w:styleId="1087" w:customStyle="1">
    <w:name w:val="CCAP"/>
    <w:basedOn w:val="1027"/>
    <w:link w:val="972"/>
    <w:uiPriority w:val="3"/>
    <w:qFormat/>
    <w:pPr>
      <w:pBdr/>
      <w:spacing w:after="0"/>
      <w:ind/>
      <w:jc w:val="center"/>
    </w:pPr>
    <w:rPr>
      <w:rFonts w:ascii="Arial Gras" w:hAnsi="Arial Gras" w:cs="Times New Roman"/>
      <w:b/>
      <w:sz w:val="40"/>
      <w:szCs w:val="40"/>
    </w:rPr>
  </w:style>
  <w:style w:type="paragraph" w:styleId="1088" w:customStyle="1">
    <w:name w:val="Internet adresse"/>
    <w:basedOn w:val="943"/>
    <w:link w:val="973"/>
    <w:uiPriority w:val="3"/>
    <w:qFormat/>
    <w:pPr>
      <w:pBdr/>
      <w:spacing/>
      <w:ind/>
      <w:jc w:val="center"/>
    </w:pPr>
    <w:rPr>
      <w:rFonts w:cs="Times New Roman"/>
      <w:color w:val="0000ff"/>
      <w:u w:val="single"/>
    </w:rPr>
  </w:style>
  <w:style w:type="paragraph" w:styleId="1089" w:customStyle="1">
    <w:name w:val="2 Centré"/>
    <w:basedOn w:val="943"/>
    <w:link w:val="974"/>
    <w:uiPriority w:val="3"/>
    <w:qFormat/>
    <w:pPr>
      <w:pBdr/>
      <w:spacing w:after="0" w:before="0"/>
      <w:ind/>
      <w:jc w:val="center"/>
    </w:pPr>
    <w:rPr>
      <w:rFonts w:eastAsia="MS Mincho" w:cs="Times New Roman"/>
    </w:rPr>
  </w:style>
  <w:style w:type="paragraph" w:styleId="1090" w:customStyle="1">
    <w:name w:val="2 Liste petits carrés"/>
    <w:basedOn w:val="1086"/>
    <w:link w:val="975"/>
    <w:uiPriority w:val="3"/>
    <w:qFormat/>
    <w:pPr>
      <w:pBdr/>
      <w:spacing w:before="0"/>
      <w:ind w:hanging="284" w:left="1135"/>
    </w:pPr>
  </w:style>
  <w:style w:type="paragraph" w:styleId="1091" w:customStyle="1">
    <w:name w:val="Titre ANNEXE"/>
    <w:basedOn w:val="996"/>
    <w:link w:val="977"/>
    <w:uiPriority w:val="3"/>
    <w:qFormat/>
    <w:pPr>
      <w:pBdr/>
      <w:spacing w:after="100" w:before="100"/>
      <w:ind/>
      <w:outlineLvl w:val="9"/>
    </w:pPr>
    <w:rPr>
      <w:rFonts w:ascii="Arial Gras" w:hAnsi="Arial Gras" w:cs="Times New Roman"/>
      <w:b w:val="0"/>
      <w:lang w:eastAsia="en-US"/>
    </w:rPr>
  </w:style>
  <w:style w:type="paragraph" w:styleId="1092" w:customStyle="1">
    <w:name w:val="ANNEXE"/>
    <w:basedOn w:val="943"/>
    <w:link w:val="978"/>
    <w:uiPriority w:val="3"/>
    <w:qFormat/>
    <w:pPr>
      <w:pageBreakBefore w:val="true"/>
      <w:pBdr>
        <w:top w:val="single" w:color="00000a" w:sz="4" w:space="2"/>
        <w:bottom w:val="single" w:color="00000a" w:sz="4" w:space="2"/>
      </w:pBdr>
      <w:spacing w:after="100" w:before="100"/>
      <w:ind/>
      <w:jc w:val="center"/>
    </w:pPr>
    <w:rPr>
      <w:rFonts w:ascii="Arial Gras" w:hAnsi="Arial Gras" w:cs="Times New Roman"/>
      <w:b/>
      <w:caps/>
      <w:sz w:val="28"/>
      <w:szCs w:val="28"/>
      <w:lang w:eastAsia="en-US"/>
    </w:rPr>
  </w:style>
  <w:style w:type="paragraph" w:styleId="1093">
    <w:name w:val="Document Map"/>
    <w:basedOn w:val="943"/>
    <w:link w:val="983"/>
    <w:uiPriority w:val="99"/>
    <w:semiHidden/>
    <w:unhideWhenUsed/>
    <w:qFormat/>
    <w:pPr>
      <w:pBdr/>
      <w:spacing/>
      <w:ind/>
    </w:pPr>
    <w:rPr>
      <w:rFonts w:ascii="Tahoma" w:hAnsi="Tahoma" w:cs="Tahoma"/>
      <w:sz w:val="16"/>
      <w:szCs w:val="16"/>
    </w:rPr>
  </w:style>
  <w:style w:type="paragraph" w:styleId="1094" w:customStyle="1">
    <w:name w:val="Service Info Header"/>
    <w:basedOn w:val="943"/>
    <w:link w:val="985"/>
    <w:qFormat/>
    <w:pPr>
      <w:widowControl w:val="false"/>
      <w:pBdr/>
      <w:tabs>
        <w:tab w:val="right" w:leader="none" w:pos="9026"/>
      </w:tabs>
      <w:spacing w:after="0" w:before="0"/>
      <w:ind/>
      <w:jc w:val="right"/>
    </w:pPr>
    <w:rPr>
      <w:rFonts w:eastAsia="Arial"/>
      <w:b/>
      <w:bCs/>
      <w:sz w:val="24"/>
    </w:rPr>
  </w:style>
  <w:style w:type="paragraph" w:styleId="1095" w:customStyle="1">
    <w:name w:val="Contenu de cadre"/>
    <w:basedOn w:val="943"/>
    <w:qFormat/>
    <w:pPr>
      <w:pBdr/>
      <w:spacing/>
      <w:ind/>
    </w:pPr>
  </w:style>
  <w:style w:type="paragraph" w:styleId="1096" w:customStyle="1">
    <w:name w:val="Note de bas de page1"/>
    <w:basedOn w:val="943"/>
    <w:qFormat/>
    <w:pPr>
      <w:pBdr/>
      <w:spacing/>
      <w:ind/>
    </w:pPr>
  </w:style>
  <w:style w:type="paragraph" w:styleId="1097" w:customStyle="1">
    <w:name w:val="En-tête et pied de page"/>
    <w:basedOn w:val="943"/>
    <w:qFormat/>
    <w:pPr>
      <w:pBdr/>
      <w:spacing/>
      <w:ind/>
    </w:pPr>
  </w:style>
  <w:style w:type="paragraph" w:styleId="1098">
    <w:name w:val="Header"/>
    <w:basedOn w:val="943"/>
    <w:uiPriority w:val="99"/>
    <w:unhideWhenUsed/>
    <w:pPr>
      <w:pBdr/>
      <w:tabs>
        <w:tab w:val="center" w:leader="none" w:pos="4536"/>
        <w:tab w:val="right" w:leader="none" w:pos="9072"/>
      </w:tabs>
      <w:spacing w:after="0" w:before="0"/>
      <w:ind/>
    </w:pPr>
  </w:style>
  <w:style w:type="paragraph" w:styleId="1099">
    <w:name w:val="Footer"/>
    <w:basedOn w:val="943"/>
    <w:link w:val="989"/>
    <w:uiPriority w:val="99"/>
    <w:unhideWhenUsed/>
    <w:pPr>
      <w:pBdr/>
      <w:tabs>
        <w:tab w:val="center" w:leader="none" w:pos="4536"/>
        <w:tab w:val="right" w:leader="none" w:pos="9072"/>
      </w:tabs>
      <w:spacing w:after="0" w:before="0"/>
      <w:ind/>
    </w:pPr>
  </w:style>
  <w:style w:type="paragraph" w:styleId="1100">
    <w:name w:val="toc 1"/>
    <w:basedOn w:val="943"/>
    <w:next w:val="943"/>
    <w:uiPriority w:val="39"/>
    <w:unhideWhenUsed/>
    <w:pPr>
      <w:pBdr/>
      <w:tabs>
        <w:tab w:val="right" w:leader="dot" w:pos="9628"/>
      </w:tabs>
      <w:spacing/>
      <w:ind/>
      <w:jc w:val="left"/>
    </w:pPr>
    <w:rPr>
      <w:rFonts w:asciiTheme="minorHAnsi" w:hAnsiTheme="minorHAnsi"/>
      <w:b/>
      <w:bCs/>
      <w:caps/>
      <w:szCs w:val="22"/>
      <w:u w:val="single"/>
    </w:rPr>
  </w:style>
  <w:style w:type="paragraph" w:styleId="1101">
    <w:name w:val="toc 2"/>
    <w:basedOn w:val="943"/>
    <w:next w:val="943"/>
    <w:uiPriority w:val="39"/>
    <w:unhideWhenUsed/>
    <w:pPr>
      <w:pBdr/>
      <w:spacing w:after="0" w:before="0"/>
      <w:ind/>
      <w:jc w:val="left"/>
    </w:pPr>
    <w:rPr>
      <w:rFonts w:asciiTheme="minorHAnsi" w:hAnsiTheme="minorHAnsi"/>
      <w:b/>
      <w:bCs/>
      <w:smallCaps/>
      <w:szCs w:val="22"/>
    </w:rPr>
  </w:style>
  <w:style w:type="paragraph" w:styleId="1102">
    <w:name w:val="toc 3"/>
    <w:basedOn w:val="943"/>
    <w:next w:val="943"/>
    <w:uiPriority w:val="39"/>
    <w:unhideWhenUsed/>
    <w:pPr>
      <w:pBdr/>
      <w:spacing w:after="0" w:before="0"/>
      <w:ind/>
      <w:jc w:val="left"/>
    </w:pPr>
    <w:rPr>
      <w:rFonts w:asciiTheme="minorHAnsi" w:hAnsiTheme="minorHAnsi"/>
      <w:smallCaps/>
      <w:szCs w:val="22"/>
    </w:rPr>
  </w:style>
  <w:style w:type="paragraph" w:styleId="1103">
    <w:name w:val="toc 4"/>
    <w:basedOn w:val="943"/>
    <w:next w:val="943"/>
    <w:uiPriority w:val="39"/>
    <w:unhideWhenUsed/>
    <w:pPr>
      <w:pBdr/>
      <w:spacing w:after="0" w:before="0"/>
      <w:ind/>
      <w:jc w:val="left"/>
    </w:pPr>
    <w:rPr>
      <w:rFonts w:asciiTheme="minorHAnsi" w:hAnsiTheme="minorHAnsi"/>
      <w:szCs w:val="22"/>
    </w:rPr>
  </w:style>
  <w:style w:type="paragraph" w:styleId="1104">
    <w:name w:val="toc 5"/>
    <w:basedOn w:val="943"/>
    <w:next w:val="943"/>
    <w:uiPriority w:val="39"/>
    <w:unhideWhenUsed/>
    <w:pPr>
      <w:pBdr/>
      <w:spacing w:after="0" w:before="0"/>
      <w:ind/>
      <w:jc w:val="left"/>
    </w:pPr>
    <w:rPr>
      <w:rFonts w:asciiTheme="minorHAnsi" w:hAnsiTheme="minorHAnsi"/>
      <w:szCs w:val="22"/>
    </w:rPr>
  </w:style>
  <w:style w:type="paragraph" w:styleId="1105">
    <w:name w:val="toc 6"/>
    <w:basedOn w:val="943"/>
    <w:next w:val="943"/>
    <w:uiPriority w:val="39"/>
    <w:unhideWhenUsed/>
    <w:pPr>
      <w:pBdr/>
      <w:spacing w:after="0" w:before="0"/>
      <w:ind/>
      <w:jc w:val="left"/>
    </w:pPr>
    <w:rPr>
      <w:rFonts w:asciiTheme="minorHAnsi" w:hAnsiTheme="minorHAnsi"/>
      <w:szCs w:val="22"/>
    </w:rPr>
  </w:style>
  <w:style w:type="paragraph" w:styleId="1106">
    <w:name w:val="toc 7"/>
    <w:basedOn w:val="943"/>
    <w:next w:val="943"/>
    <w:uiPriority w:val="39"/>
    <w:unhideWhenUsed/>
    <w:pPr>
      <w:pBdr/>
      <w:spacing w:after="0" w:before="0"/>
      <w:ind/>
      <w:jc w:val="left"/>
    </w:pPr>
    <w:rPr>
      <w:rFonts w:asciiTheme="minorHAnsi" w:hAnsiTheme="minorHAnsi"/>
      <w:szCs w:val="22"/>
    </w:rPr>
  </w:style>
  <w:style w:type="paragraph" w:styleId="1107">
    <w:name w:val="toc 8"/>
    <w:basedOn w:val="943"/>
    <w:next w:val="943"/>
    <w:uiPriority w:val="39"/>
    <w:unhideWhenUsed/>
    <w:pPr>
      <w:pBdr/>
      <w:spacing w:after="0" w:before="0"/>
      <w:ind/>
      <w:jc w:val="left"/>
    </w:pPr>
    <w:rPr>
      <w:rFonts w:asciiTheme="minorHAnsi" w:hAnsiTheme="minorHAnsi"/>
      <w:szCs w:val="22"/>
    </w:rPr>
  </w:style>
  <w:style w:type="paragraph" w:styleId="1108">
    <w:name w:val="toc 9"/>
    <w:basedOn w:val="943"/>
    <w:next w:val="943"/>
    <w:uiPriority w:val="39"/>
    <w:unhideWhenUsed/>
    <w:pPr>
      <w:pBdr/>
      <w:spacing w:after="0" w:before="0"/>
      <w:ind/>
      <w:jc w:val="left"/>
    </w:pPr>
    <w:rPr>
      <w:rFonts w:asciiTheme="minorHAnsi" w:hAnsiTheme="minorHAnsi"/>
      <w:szCs w:val="22"/>
    </w:rPr>
  </w:style>
  <w:style w:type="table" w:styleId="1109">
    <w:name w:val="Table Grid"/>
    <w:basedOn w:val="945"/>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110">
    <w:name w:val="Hyperlink"/>
    <w:basedOn w:val="944"/>
    <w:uiPriority w:val="99"/>
    <w:unhideWhenUsed/>
    <w:pPr>
      <w:pBdr/>
      <w:spacing/>
      <w:ind/>
    </w:pPr>
    <w:rPr>
      <w:color w:val="0000ff" w:themeColor="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customXml" Target="../customXml/item1.xml" /><Relationship Id="rId16" Type="http://schemas.openxmlformats.org/officeDocument/2006/relationships/image" Target="media/image1.emf"/><Relationship Id="rId17" Type="http://schemas.openxmlformats.org/officeDocument/2006/relationships/hyperlink" Target="mailto:dtnum-mpssi@interieur.gouv.fr" TargetMode="External"/><Relationship Id="rId18" Type="http://schemas.openxmlformats.org/officeDocument/2006/relationships/hyperlink" Target="https://www.marches-publics.gouv.fr/entreprise" TargetMode="External"/><Relationship Id="rId19" Type="http://schemas.openxmlformats.org/officeDocument/2006/relationships/hyperlink" Target="https://www.marches-publics.gouv.fr/entreprise" TargetMode="External"/><Relationship Id="rId20" Type="http://schemas.openxmlformats.org/officeDocument/2006/relationships/hyperlink" Target="https://www.ssi.gouv.fr/entreprise/qualifications/prestataires-de-services-de-confiance-qualifies/"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marches-publics.gouv.fr/?page=entreprise.EntrepriseGuide" TargetMode="External"/><Relationship Id="rId2" Type="http://schemas.openxmlformats.org/officeDocument/2006/relationships/hyperlink" Target="https://dume.chorus-pro.gouv.fr/" TargetMode="External"/></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AD3D1-915A-4986-9A3B-6F6B1E94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Application>onlyoffice/8.3.3.18</Application>
  <DocSecurity>0</DocSecurity>
  <ScaleCrop>0</ScaleCrop>
  <HeadingPairs>
    <vt:vector size="0" baseType="variant"/>
  </HeadingPairs>
  <TitlesOfParts>
    <vt:vector size="0" baseType="lpstr"/>
  </TitlesOfParts>
  <Company>MI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otmanisa</dc:creator>
  <dc:description/>
  <dc:language>fr-FR</dc:language>
  <cp:lastModifiedBy>SOPHIE LACHOT</cp:lastModifiedBy>
  <cp:revision>81</cp:revision>
  <dcterms:created xsi:type="dcterms:W3CDTF">2023-09-27T08:58:00Z</dcterms:created>
  <dcterms:modified xsi:type="dcterms:W3CDTF">2025-09-04T08:07:30Z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