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77777777" w:rsidR="00934C2F" w:rsidRPr="00F3553B" w:rsidRDefault="00934C2F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Filière Dispositifs Médicaux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  <w:bookmarkStart w:id="0" w:name="_GoBack"/>
      <w:bookmarkEnd w:id="0"/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68F1DA27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>Réseau du support technique en appui de la</w:t>
      </w:r>
      <w:r w:rsidR="00AD7221">
        <w:rPr>
          <w:rFonts w:ascii="Arial" w:hAnsi="Arial" w:cs="Arial"/>
          <w:sz w:val="22"/>
          <w:szCs w:val="22"/>
        </w:rPr>
        <w:t xml:space="preserve"> bonne </w:t>
      </w:r>
      <w:r w:rsidR="007941AD">
        <w:rPr>
          <w:rFonts w:ascii="Arial" w:hAnsi="Arial" w:cs="Arial"/>
          <w:sz w:val="22"/>
          <w:szCs w:val="22"/>
        </w:rPr>
        <w:t>utilisation du Dispositif Médical</w:t>
      </w:r>
      <w:r w:rsidRPr="003411DC">
        <w:rPr>
          <w:rFonts w:ascii="Arial" w:hAnsi="Arial" w:cs="Arial"/>
          <w:sz w:val="22"/>
          <w:szCs w:val="22"/>
        </w:rPr>
        <w:t xml:space="preserve">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46833C92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2308F40D" w14:textId="77777777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98751B1" w14:textId="77777777" w:rsidR="00A07C6A" w:rsidRPr="005C5F7F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>Si Oui</w:t>
      </w:r>
      <w:r w:rsidR="00A07C6A" w:rsidRPr="005C5F7F">
        <w:rPr>
          <w:rFonts w:ascii="Arial" w:hAnsi="Arial" w:cs="Arial"/>
          <w:sz w:val="22"/>
          <w:szCs w:val="22"/>
        </w:rPr>
        <w:t>, préciser la grille tarifaire</w:t>
      </w:r>
    </w:p>
    <w:p w14:paraId="4755CB44" w14:textId="02ED4AC8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645A9D57" w14:textId="77777777" w:rsidR="00277C01" w:rsidRPr="003411DC" w:rsidRDefault="00277C01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</w:p>
    <w:p w14:paraId="2DA1DAE0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 xml:space="preserve">Minimum de commandes pour franco de port : </w:t>
      </w:r>
      <w:r w:rsidRPr="005C5F7F">
        <w:rPr>
          <w:rFonts w:ascii="Arial" w:hAnsi="Arial" w:cs="Arial"/>
          <w:b/>
          <w:b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3556883C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 :</w:t>
      </w:r>
    </w:p>
    <w:p w14:paraId="53B53CDD" w14:textId="77777777" w:rsidR="00F3553B" w:rsidRPr="005C5F7F" w:rsidRDefault="00F3553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723E1A50" w14:textId="77777777" w:rsidR="00A07C6A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9CE4028" w14:textId="77777777" w:rsidR="00A07C6A" w:rsidRPr="005C5F7F" w:rsidRDefault="00A07C6A" w:rsidP="007D796C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  <w:sectPr w:rsidR="00A07C6A" w:rsidRPr="005C5F7F" w:rsidSect="00C448D4">
          <w:headerReference w:type="default" r:id="rId8"/>
          <w:pgSz w:w="11906" w:h="16838" w:code="9"/>
          <w:pgMar w:top="1471" w:right="1134" w:bottom="1134" w:left="1134" w:header="142" w:footer="709" w:gutter="0"/>
          <w:cols w:space="708"/>
          <w:vAlign w:val="both"/>
          <w:docGrid w:linePitch="360"/>
        </w:sect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7F5CD5A1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r w:rsidR="007941AD">
        <w:rPr>
          <w:rFonts w:ascii="Arial" w:hAnsi="Arial" w:cs="Arial"/>
          <w:sz w:val="22"/>
          <w:szCs w:val="22"/>
        </w:rPr>
        <w:t>…</w:t>
      </w:r>
      <w:r w:rsidR="007941AD" w:rsidRPr="00074564">
        <w:rPr>
          <w:rFonts w:ascii="Arial" w:hAnsi="Arial" w:cs="Arial"/>
          <w:sz w:val="22"/>
          <w:szCs w:val="22"/>
        </w:rPr>
        <w:t>) …</w:t>
      </w:r>
    </w:p>
    <w:p w14:paraId="2F6CC5FC" w14:textId="77777777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équivalents (validé par le pharmaci</w:t>
      </w:r>
      <w:r>
        <w:rPr>
          <w:rFonts w:ascii="Arial" w:hAnsi="Arial" w:cs="Arial"/>
          <w:sz w:val="22"/>
          <w:szCs w:val="22"/>
        </w:rPr>
        <w:t>en 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2C986D3A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DF04EE">
      <w:rPr>
        <w:color w:val="auto"/>
        <w:sz w:val="28"/>
        <w:u w:val="single"/>
      </w:rPr>
      <w:t>PHDM 25-003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10672A"/>
    <w:rsid w:val="00136B7D"/>
    <w:rsid w:val="00144782"/>
    <w:rsid w:val="0014616B"/>
    <w:rsid w:val="001552EF"/>
    <w:rsid w:val="00263093"/>
    <w:rsid w:val="00277C01"/>
    <w:rsid w:val="002A49FB"/>
    <w:rsid w:val="002C68E7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63DFC"/>
    <w:rsid w:val="004C554E"/>
    <w:rsid w:val="004F68FE"/>
    <w:rsid w:val="00500FAE"/>
    <w:rsid w:val="00506750"/>
    <w:rsid w:val="0052596C"/>
    <w:rsid w:val="00546696"/>
    <w:rsid w:val="005A7DC9"/>
    <w:rsid w:val="005C218F"/>
    <w:rsid w:val="005C5F7F"/>
    <w:rsid w:val="005C61C5"/>
    <w:rsid w:val="005D232A"/>
    <w:rsid w:val="005D78F5"/>
    <w:rsid w:val="005F0C4C"/>
    <w:rsid w:val="005F207A"/>
    <w:rsid w:val="00637568"/>
    <w:rsid w:val="0064219B"/>
    <w:rsid w:val="007328BD"/>
    <w:rsid w:val="0078149C"/>
    <w:rsid w:val="00781CF7"/>
    <w:rsid w:val="007941AD"/>
    <w:rsid w:val="007D088D"/>
    <w:rsid w:val="007D796C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2072F"/>
    <w:rsid w:val="00A211D4"/>
    <w:rsid w:val="00A307DC"/>
    <w:rsid w:val="00A364E1"/>
    <w:rsid w:val="00A422D9"/>
    <w:rsid w:val="00AD7221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619"/>
    <w:rsid w:val="00C67A8D"/>
    <w:rsid w:val="00C819E6"/>
    <w:rsid w:val="00C832C4"/>
    <w:rsid w:val="00CC2780"/>
    <w:rsid w:val="00CD21E1"/>
    <w:rsid w:val="00CD43F1"/>
    <w:rsid w:val="00CF2C54"/>
    <w:rsid w:val="00D2361B"/>
    <w:rsid w:val="00D3409B"/>
    <w:rsid w:val="00D6173B"/>
    <w:rsid w:val="00D76C0F"/>
    <w:rsid w:val="00DE04C2"/>
    <w:rsid w:val="00DF04EE"/>
    <w:rsid w:val="00E023BC"/>
    <w:rsid w:val="00E840A8"/>
    <w:rsid w:val="00EC34DC"/>
    <w:rsid w:val="00ED3D7D"/>
    <w:rsid w:val="00ED6EA9"/>
    <w:rsid w:val="00F3553B"/>
    <w:rsid w:val="00F56BCF"/>
    <w:rsid w:val="00F8637E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C0983-406F-4790-AD3A-6F9C1525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416</Words>
  <Characters>2112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2523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Benoit</cp:lastModifiedBy>
  <cp:revision>19</cp:revision>
  <cp:lastPrinted>2016-06-02T09:00:00Z</cp:lastPrinted>
  <dcterms:created xsi:type="dcterms:W3CDTF">2023-01-18T13:31:00Z</dcterms:created>
  <dcterms:modified xsi:type="dcterms:W3CDTF">2025-08-08T14:20:00Z</dcterms:modified>
</cp:coreProperties>
</file>