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 w:type="dxa"/>
        <w:tblLayout w:type="fixed"/>
        <w:tblCellMar>
          <w:left w:w="0" w:type="dxa"/>
          <w:right w:w="0" w:type="dxa"/>
        </w:tblCellMar>
        <w:tblLook w:val="0000" w:firstRow="0" w:lastRow="0" w:firstColumn="0" w:lastColumn="0" w:noHBand="0" w:noVBand="0"/>
      </w:tblPr>
      <w:tblGrid>
        <w:gridCol w:w="4219"/>
        <w:gridCol w:w="5044"/>
      </w:tblGrid>
      <w:tr w:rsidR="00EB389A" w:rsidRPr="00B82A88" w:rsidTr="00BE2550">
        <w:tc>
          <w:tcPr>
            <w:tcW w:w="4219" w:type="dxa"/>
            <w:shd w:val="clear" w:color="auto" w:fill="FFFFFF"/>
            <w:vAlign w:val="center"/>
          </w:tcPr>
          <w:p w:rsidR="00EB389A" w:rsidRPr="00B82A88" w:rsidRDefault="00EB389A" w:rsidP="00BE2550">
            <w:r w:rsidRPr="00B82A88">
              <w:rPr>
                <w:noProof/>
              </w:rPr>
              <w:drawing>
                <wp:inline distT="0" distB="0" distL="0" distR="0" wp14:anchorId="7F011B35" wp14:editId="687DAF4C">
                  <wp:extent cx="2647315" cy="14287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shd w:val="clear" w:color="auto" w:fill="FFFFFF"/>
            <w:vAlign w:val="center"/>
          </w:tcPr>
          <w:p w:rsidR="00EB389A" w:rsidRPr="00B82A88" w:rsidRDefault="00EB389A" w:rsidP="00BE2550">
            <w:pPr>
              <w:jc w:val="center"/>
            </w:pPr>
            <w:r w:rsidRPr="00B82A88">
              <w:t>Direction de l’Immobilier et de l’Environnement</w:t>
            </w:r>
          </w:p>
          <w:p w:rsidR="00EB389A" w:rsidRPr="00B82A88" w:rsidRDefault="00EB389A" w:rsidP="00BE2550">
            <w:pPr>
              <w:jc w:val="center"/>
              <w:rPr>
                <w:sz w:val="24"/>
                <w:szCs w:val="24"/>
              </w:rPr>
            </w:pPr>
            <w:r w:rsidRPr="00B82A88">
              <w:t>Bureau des Marchés Immobiliers</w:t>
            </w:r>
          </w:p>
        </w:tc>
      </w:tr>
    </w:tbl>
    <w:p w:rsid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 w:val="24"/>
          <w:szCs w:val="24"/>
        </w:rPr>
      </w:pPr>
    </w:p>
    <w:p w:rsidR="00FA3458" w:rsidRDefault="002070BA"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 w:val="24"/>
          <w:szCs w:val="24"/>
        </w:rPr>
      </w:pPr>
      <w:r w:rsidRPr="00AB5E57">
        <w:rPr>
          <w:rFonts w:ascii="Marianne" w:hAnsi="Marianne"/>
          <w:b/>
          <w:sz w:val="24"/>
          <w:szCs w:val="24"/>
        </w:rPr>
        <w:t>CADRE DE REPONSE TECHNIQUE</w:t>
      </w:r>
      <w:r w:rsidR="00AB5E57" w:rsidRPr="00AB5E57">
        <w:rPr>
          <w:rFonts w:ascii="Marianne" w:hAnsi="Marianne"/>
          <w:b/>
          <w:sz w:val="24"/>
          <w:szCs w:val="24"/>
        </w:rPr>
        <w:t xml:space="preserve"> ET ENVIRONNEMENTALE</w:t>
      </w:r>
    </w:p>
    <w:p w:rsid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 w:val="24"/>
          <w:szCs w:val="24"/>
        </w:rPr>
      </w:pPr>
    </w:p>
    <w:p w:rsid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 w:val="24"/>
          <w:szCs w:val="24"/>
        </w:rPr>
      </w:pPr>
      <w:r>
        <w:rPr>
          <w:rFonts w:ascii="Marianne" w:hAnsi="Marianne"/>
          <w:b/>
          <w:sz w:val="24"/>
          <w:szCs w:val="24"/>
        </w:rPr>
        <w:t>Consultation n° E2025BMI14</w:t>
      </w:r>
    </w:p>
    <w:p w:rsidR="005A74F7" w:rsidRP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Cs w:val="24"/>
        </w:rPr>
      </w:pPr>
    </w:p>
    <w:p w:rsid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Cs w:val="24"/>
        </w:rPr>
      </w:pPr>
      <w:r w:rsidRPr="005A74F7">
        <w:rPr>
          <w:rFonts w:ascii="Marianne" w:hAnsi="Marianne"/>
          <w:b/>
          <w:szCs w:val="24"/>
        </w:rPr>
        <w:t>Travaux de remplacement de la charpente bois par une charpente métallique pour la sécurisation des cours extérieures d’un bâtiment du Ministère de l’Intérieur</w:t>
      </w:r>
    </w:p>
    <w:p w:rsidR="005A74F7" w:rsidRPr="005A74F7" w:rsidRDefault="005A74F7" w:rsidP="0010286C">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Marianne" w:hAnsi="Marianne"/>
          <w:b/>
          <w:szCs w:val="24"/>
        </w:rPr>
      </w:pPr>
    </w:p>
    <w:p w:rsidR="0010286C" w:rsidRPr="0010286C" w:rsidRDefault="0010286C" w:rsidP="0010286C">
      <w:pPr>
        <w:spacing w:after="0"/>
        <w:jc w:val="both"/>
        <w:rPr>
          <w:rFonts w:ascii="Marianne" w:hAnsi="Marianne"/>
          <w:sz w:val="16"/>
        </w:rPr>
      </w:pPr>
    </w:p>
    <w:p w:rsidR="005A74F7" w:rsidRPr="005A74F7" w:rsidRDefault="00AB5E57" w:rsidP="005A74F7">
      <w:pPr>
        <w:spacing w:after="0"/>
        <w:jc w:val="both"/>
        <w:rPr>
          <w:rFonts w:ascii="Marianne" w:hAnsi="Marianne"/>
          <w:i/>
        </w:rPr>
      </w:pPr>
      <w:r w:rsidRPr="0010286C">
        <w:rPr>
          <w:rFonts w:ascii="Marianne" w:hAnsi="Marianne"/>
          <w:i/>
        </w:rPr>
        <w:t xml:space="preserve">Le présent document a pour objet de juger la qualité technique et environnementale de l’offre de l’entreprise. </w:t>
      </w:r>
    </w:p>
    <w:p w:rsidR="005A74F7" w:rsidRPr="0010286C" w:rsidRDefault="005A74F7" w:rsidP="0010286C">
      <w:pPr>
        <w:spacing w:after="0"/>
        <w:jc w:val="both"/>
        <w:rPr>
          <w:rFonts w:ascii="Marianne" w:hAnsi="Marianne"/>
          <w:i/>
          <w:sz w:val="16"/>
        </w:rPr>
      </w:pPr>
    </w:p>
    <w:p w:rsidR="00AB5E57" w:rsidRPr="0010286C" w:rsidRDefault="00AB5E57" w:rsidP="0010286C">
      <w:pPr>
        <w:spacing w:after="0"/>
        <w:jc w:val="both"/>
        <w:rPr>
          <w:rFonts w:ascii="Marianne" w:hAnsi="Marianne"/>
          <w:i/>
        </w:rPr>
      </w:pPr>
      <w:r w:rsidRPr="0010286C">
        <w:rPr>
          <w:rFonts w:ascii="Marianne" w:hAnsi="Marianne"/>
          <w:i/>
        </w:rPr>
        <w:t>Les renseignements indiqués dans ce document doivent être seulement et strictement liés à l’opération objet de la présente consultation. Ils ne doivent pas être de simples énumérations de l’organisation des moyens généraux de l’entreprise.</w:t>
      </w:r>
    </w:p>
    <w:p w:rsidR="0010286C" w:rsidRPr="0010286C" w:rsidRDefault="0010286C" w:rsidP="0010286C">
      <w:pPr>
        <w:spacing w:after="0"/>
        <w:jc w:val="both"/>
        <w:rPr>
          <w:rFonts w:ascii="Marianne" w:hAnsi="Marianne"/>
          <w:i/>
          <w:sz w:val="16"/>
        </w:rPr>
      </w:pPr>
    </w:p>
    <w:p w:rsidR="0010286C" w:rsidRPr="0010286C" w:rsidRDefault="0010286C" w:rsidP="0010286C">
      <w:pPr>
        <w:spacing w:after="0"/>
        <w:jc w:val="both"/>
        <w:rPr>
          <w:rFonts w:ascii="Marianne" w:hAnsi="Marianne"/>
          <w:i/>
        </w:rPr>
      </w:pPr>
      <w:r w:rsidRPr="0010286C">
        <w:rPr>
          <w:rFonts w:ascii="Marianne" w:hAnsi="Marianne"/>
          <w:i/>
        </w:rPr>
        <w:t>Les renseignements indiqués dans le présent document doivent être accompagnés de l’ensemble des pièces requises.</w:t>
      </w:r>
    </w:p>
    <w:p w:rsidR="0010286C" w:rsidRPr="0010286C" w:rsidRDefault="0010286C" w:rsidP="0010286C">
      <w:pPr>
        <w:spacing w:after="0"/>
        <w:jc w:val="both"/>
        <w:rPr>
          <w:rFonts w:ascii="Marianne" w:hAnsi="Marianne"/>
          <w:sz w:val="16"/>
        </w:rPr>
      </w:pPr>
    </w:p>
    <w:p w:rsidR="0010286C" w:rsidRDefault="0010286C" w:rsidP="0010286C">
      <w:pPr>
        <w:spacing w:after="0"/>
        <w:jc w:val="both"/>
        <w:rPr>
          <w:rFonts w:ascii="Marianne" w:hAnsi="Marianne"/>
          <w:b/>
          <w:u w:val="single"/>
        </w:rPr>
      </w:pPr>
      <w:r w:rsidRPr="0010286C">
        <w:rPr>
          <w:rFonts w:ascii="Marianne" w:hAnsi="Marianne"/>
          <w:b/>
          <w:u w:val="single"/>
        </w:rPr>
        <w:t>CRITERE 2 – VALEUR TECHNIQUE (60%)</w:t>
      </w:r>
    </w:p>
    <w:p w:rsidR="0010286C" w:rsidRPr="0010286C" w:rsidRDefault="0010286C" w:rsidP="0010286C">
      <w:pPr>
        <w:spacing w:after="0"/>
        <w:jc w:val="both"/>
        <w:rPr>
          <w:rFonts w:ascii="Marianne" w:hAnsi="Marianne"/>
          <w:b/>
          <w:u w:val="single"/>
        </w:rPr>
      </w:pPr>
    </w:p>
    <w:p w:rsidR="0010286C" w:rsidRDefault="0010286C" w:rsidP="0010286C">
      <w:pPr>
        <w:spacing w:after="0"/>
        <w:jc w:val="both"/>
        <w:rPr>
          <w:rFonts w:ascii="Marianne" w:hAnsi="Marianne"/>
        </w:rPr>
      </w:pPr>
      <w:r w:rsidRPr="0010286C">
        <w:rPr>
          <w:rFonts w:ascii="Marianne" w:hAnsi="Marianne"/>
        </w:rPr>
        <w:t>Valeur technique sera notée sur 100 points avec une pondération à 60% en fonction des sous-critères suivants</w:t>
      </w:r>
      <w:r w:rsidRPr="0010286C">
        <w:rPr>
          <w:rFonts w:ascii="Calibri" w:hAnsi="Calibri" w:cs="Calibri"/>
        </w:rPr>
        <w:t> </w:t>
      </w:r>
      <w:r w:rsidRPr="0010286C">
        <w:rPr>
          <w:rFonts w:ascii="Marianne" w:hAnsi="Marianne"/>
        </w:rPr>
        <w:t>:</w:t>
      </w:r>
    </w:p>
    <w:p w:rsidR="0010286C" w:rsidRPr="0010286C" w:rsidRDefault="0010286C" w:rsidP="0010286C">
      <w:pPr>
        <w:spacing w:after="0"/>
        <w:jc w:val="both"/>
        <w:rPr>
          <w:rFonts w:ascii="Marianne" w:hAnsi="Marianne"/>
          <w:sz w:val="16"/>
        </w:rPr>
      </w:pPr>
    </w:p>
    <w:p w:rsidR="00AB5E57" w:rsidRPr="0010286C" w:rsidRDefault="00AB5E57" w:rsidP="004B0AA3">
      <w:pPr>
        <w:spacing w:after="0"/>
        <w:ind w:left="708"/>
        <w:jc w:val="both"/>
        <w:rPr>
          <w:rFonts w:ascii="Marianne" w:hAnsi="Marianne"/>
          <w:b/>
        </w:rPr>
      </w:pPr>
      <w:r w:rsidRPr="0010286C">
        <w:rPr>
          <w:rFonts w:ascii="Marianne" w:hAnsi="Marianne"/>
          <w:b/>
        </w:rPr>
        <w:t>Sous-critère 2.1 Organisation du chantier (60 points)</w:t>
      </w:r>
      <w:r w:rsidRPr="0010286C">
        <w:rPr>
          <w:rFonts w:ascii="Calibri" w:hAnsi="Calibri" w:cs="Calibri"/>
          <w:b/>
        </w:rPr>
        <w:t> </w:t>
      </w:r>
      <w:r w:rsidRPr="0010286C">
        <w:rPr>
          <w:rFonts w:ascii="Marianne" w:hAnsi="Marianne"/>
          <w:b/>
        </w:rPr>
        <w:t xml:space="preserve">: </w:t>
      </w:r>
    </w:p>
    <w:p w:rsidR="0010286C" w:rsidRPr="0010286C" w:rsidRDefault="0010286C" w:rsidP="0010286C">
      <w:pPr>
        <w:spacing w:after="0"/>
        <w:jc w:val="both"/>
        <w:rPr>
          <w:rFonts w:ascii="Marianne" w:hAnsi="Marianne"/>
          <w:sz w:val="16"/>
        </w:rPr>
      </w:pPr>
    </w:p>
    <w:p w:rsidR="00AB5E57" w:rsidRDefault="00AB5E57" w:rsidP="0010286C">
      <w:pPr>
        <w:spacing w:after="0"/>
        <w:jc w:val="both"/>
        <w:rPr>
          <w:rFonts w:ascii="Marianne" w:hAnsi="Marianne"/>
        </w:rPr>
      </w:pPr>
      <w:r w:rsidRPr="00AB5E57">
        <w:rPr>
          <w:rFonts w:ascii="Marianne" w:hAnsi="Marianne"/>
        </w:rPr>
        <w:t xml:space="preserve">Le sous-critère sera analysé sur la base des moyens humains proposés par le soumissionnaire ainsi que sur l’approche méthodologique proposé en matière de logistique et d’installation de chantier. </w:t>
      </w:r>
    </w:p>
    <w:p w:rsidR="0010286C" w:rsidRPr="0010286C" w:rsidRDefault="0010286C" w:rsidP="0010286C">
      <w:pPr>
        <w:spacing w:after="0"/>
        <w:jc w:val="both"/>
        <w:rPr>
          <w:rFonts w:ascii="Marianne" w:hAnsi="Marianne"/>
          <w:sz w:val="16"/>
        </w:rPr>
      </w:pPr>
    </w:p>
    <w:p w:rsidR="00AB5E57" w:rsidRPr="0010286C" w:rsidRDefault="0010286C" w:rsidP="004B0AA3">
      <w:pPr>
        <w:spacing w:after="0"/>
        <w:ind w:left="708"/>
        <w:jc w:val="both"/>
        <w:rPr>
          <w:rFonts w:ascii="Marianne" w:hAnsi="Marianne"/>
          <w:i/>
          <w:u w:val="single"/>
        </w:rPr>
      </w:pPr>
      <w:r w:rsidRPr="0010286C">
        <w:rPr>
          <w:rFonts w:ascii="Marianne" w:hAnsi="Marianne"/>
          <w:i/>
          <w:u w:val="single"/>
        </w:rPr>
        <w:t>2.1.1Moyens Humains (20 points</w:t>
      </w:r>
      <w:r w:rsidR="00AB5E57" w:rsidRPr="0010286C">
        <w:rPr>
          <w:rFonts w:ascii="Marianne" w:hAnsi="Marianne"/>
          <w:i/>
          <w:u w:val="single"/>
        </w:rPr>
        <w:t>)</w:t>
      </w:r>
      <w:r>
        <w:rPr>
          <w:rFonts w:ascii="Calibri" w:hAnsi="Calibri" w:cs="Calibri"/>
          <w:i/>
          <w:u w:val="single"/>
        </w:rPr>
        <w:t> </w:t>
      </w:r>
      <w:r>
        <w:rPr>
          <w:rFonts w:ascii="Marianne" w:hAnsi="Marianne"/>
          <w:i/>
          <w:u w:val="single"/>
        </w:rPr>
        <w:t>:</w:t>
      </w:r>
    </w:p>
    <w:p w:rsidR="0010286C" w:rsidRPr="00AB5E57" w:rsidRDefault="0010286C" w:rsidP="0010286C">
      <w:pPr>
        <w:spacing w:after="0"/>
        <w:jc w:val="both"/>
        <w:rPr>
          <w:rFonts w:ascii="Marianne" w:hAnsi="Marianne"/>
        </w:rPr>
      </w:pPr>
    </w:p>
    <w:p w:rsidR="00AB5E57" w:rsidRDefault="00AB5E57" w:rsidP="0010286C">
      <w:pPr>
        <w:spacing w:after="0"/>
        <w:jc w:val="both"/>
        <w:rPr>
          <w:rFonts w:ascii="Marianne" w:hAnsi="Marianne"/>
        </w:rPr>
      </w:pPr>
      <w:r w:rsidRPr="00AB5E57">
        <w:rPr>
          <w:rFonts w:ascii="Marianne" w:hAnsi="Marianne"/>
        </w:rPr>
        <w:t>Le soumissionnaire devra</w:t>
      </w:r>
      <w:r w:rsidRPr="00AB5E57">
        <w:rPr>
          <w:rFonts w:ascii="Calibri" w:hAnsi="Calibri" w:cs="Calibri"/>
        </w:rPr>
        <w:t> </w:t>
      </w:r>
      <w:r w:rsidRPr="00AB5E57">
        <w:rPr>
          <w:rFonts w:ascii="Marianne" w:hAnsi="Marianne"/>
        </w:rPr>
        <w:t xml:space="preserve">: </w:t>
      </w:r>
    </w:p>
    <w:p w:rsidR="0010286C" w:rsidRPr="00AB5E57" w:rsidRDefault="0010286C" w:rsidP="0010286C">
      <w:pPr>
        <w:spacing w:after="0"/>
        <w:jc w:val="both"/>
        <w:rPr>
          <w:rFonts w:ascii="Marianne" w:hAnsi="Marianne"/>
        </w:rPr>
      </w:pPr>
    </w:p>
    <w:p w:rsidR="00AB5E57" w:rsidRPr="0010286C" w:rsidRDefault="00AB5E57" w:rsidP="0010286C">
      <w:pPr>
        <w:pStyle w:val="Paragraphedeliste"/>
        <w:numPr>
          <w:ilvl w:val="0"/>
          <w:numId w:val="4"/>
        </w:numPr>
        <w:spacing w:after="0"/>
        <w:jc w:val="both"/>
        <w:rPr>
          <w:rFonts w:ascii="Marianne" w:hAnsi="Marianne"/>
        </w:rPr>
      </w:pPr>
      <w:r w:rsidRPr="0010286C">
        <w:rPr>
          <w:rFonts w:ascii="Marianne" w:hAnsi="Marianne"/>
        </w:rPr>
        <w:t>Présenter un organigramme sur l’encadrement dédié à l’opération</w:t>
      </w:r>
      <w:r w:rsidRPr="0010286C">
        <w:rPr>
          <w:rFonts w:ascii="Calibri" w:hAnsi="Calibri" w:cs="Calibri"/>
        </w:rPr>
        <w:t> </w:t>
      </w:r>
      <w:r w:rsidRPr="0010286C">
        <w:rPr>
          <w:rFonts w:ascii="Marianne" w:hAnsi="Marianne"/>
        </w:rPr>
        <w:t xml:space="preserve">; </w:t>
      </w:r>
    </w:p>
    <w:p w:rsidR="00AB5E57" w:rsidRPr="0010286C" w:rsidRDefault="00AB5E57" w:rsidP="0010286C">
      <w:pPr>
        <w:pStyle w:val="Paragraphedeliste"/>
        <w:numPr>
          <w:ilvl w:val="0"/>
          <w:numId w:val="4"/>
        </w:numPr>
        <w:spacing w:after="0"/>
        <w:jc w:val="both"/>
        <w:rPr>
          <w:rFonts w:ascii="Marianne" w:hAnsi="Marianne"/>
        </w:rPr>
      </w:pPr>
      <w:r w:rsidRPr="0010286C">
        <w:rPr>
          <w:rFonts w:ascii="Marianne" w:hAnsi="Marianne"/>
        </w:rPr>
        <w:t>Désigner l’interlocuteur unique / chargé d'opération, le conducteur de travaux, les chefs de chantier</w:t>
      </w:r>
      <w:r w:rsidRPr="0010286C" w:rsidDel="00925D0C">
        <w:rPr>
          <w:rFonts w:ascii="Marianne" w:hAnsi="Marianne"/>
        </w:rPr>
        <w:t xml:space="preserve"> </w:t>
      </w:r>
      <w:r w:rsidRPr="0010286C">
        <w:rPr>
          <w:rFonts w:ascii="Marianne" w:hAnsi="Marianne"/>
        </w:rPr>
        <w:t>qui seront présents en permanence sur place et les suppléants, Indiquer les qualifications de l’ensemble de l’équipe, leurs missions, leurs responsabilités et fournir les CV avec références sur les 5 dernières années</w:t>
      </w:r>
      <w:r w:rsidRPr="0010286C">
        <w:rPr>
          <w:rFonts w:ascii="Calibri" w:hAnsi="Calibri" w:cs="Calibri"/>
        </w:rPr>
        <w:t> </w:t>
      </w:r>
      <w:r w:rsidRPr="0010286C">
        <w:rPr>
          <w:rFonts w:ascii="Marianne" w:hAnsi="Marianne"/>
        </w:rPr>
        <w:t xml:space="preserve">; </w:t>
      </w:r>
    </w:p>
    <w:p w:rsidR="00AB5E57" w:rsidRPr="0010286C" w:rsidRDefault="00AB5E57" w:rsidP="0010286C">
      <w:pPr>
        <w:pStyle w:val="Paragraphedeliste"/>
        <w:numPr>
          <w:ilvl w:val="0"/>
          <w:numId w:val="4"/>
        </w:numPr>
        <w:spacing w:after="0"/>
        <w:jc w:val="both"/>
        <w:rPr>
          <w:rFonts w:ascii="Marianne" w:hAnsi="Marianne"/>
        </w:rPr>
      </w:pPr>
      <w:r w:rsidRPr="0010286C">
        <w:rPr>
          <w:rFonts w:ascii="Marianne" w:hAnsi="Marianne"/>
        </w:rPr>
        <w:lastRenderedPageBreak/>
        <w:t xml:space="preserve">Indiquer les effectifs prévisionnels par tache (leur gestion selon les périodes de pointe telles que les OPR et la levée des réserves, les périodes de congés </w:t>
      </w:r>
      <w:proofErr w:type="spellStart"/>
      <w:r w:rsidRPr="0010286C">
        <w:rPr>
          <w:rFonts w:ascii="Marianne" w:hAnsi="Marianne"/>
        </w:rPr>
        <w:t>etc</w:t>
      </w:r>
      <w:proofErr w:type="spellEnd"/>
      <w:r w:rsidRPr="0010286C">
        <w:rPr>
          <w:rFonts w:ascii="Marianne" w:hAnsi="Marianne"/>
        </w:rPr>
        <w:t>)</w:t>
      </w:r>
      <w:r w:rsidRPr="0010286C">
        <w:rPr>
          <w:rFonts w:ascii="Calibri" w:hAnsi="Calibri" w:cs="Calibri"/>
        </w:rPr>
        <w:t> </w:t>
      </w:r>
      <w:r w:rsidRPr="0010286C">
        <w:rPr>
          <w:rFonts w:ascii="Marianne" w:hAnsi="Marianne"/>
        </w:rPr>
        <w:t xml:space="preserve">; </w:t>
      </w:r>
    </w:p>
    <w:p w:rsidR="00AB5E57" w:rsidRDefault="00AB5E57" w:rsidP="0010286C">
      <w:pPr>
        <w:pStyle w:val="Paragraphedeliste"/>
        <w:numPr>
          <w:ilvl w:val="0"/>
          <w:numId w:val="4"/>
        </w:numPr>
        <w:spacing w:after="0"/>
        <w:jc w:val="both"/>
        <w:rPr>
          <w:rFonts w:ascii="Marianne" w:hAnsi="Marianne"/>
        </w:rPr>
      </w:pPr>
      <w:r w:rsidRPr="0010286C">
        <w:rPr>
          <w:rFonts w:ascii="Marianne" w:hAnsi="Marianne"/>
        </w:rPr>
        <w:t xml:space="preserve">Détailler ses capacités de mobilisation (études et travaux) en cas de retard à rattraper, ou tout autre imprévu. </w:t>
      </w:r>
    </w:p>
    <w:p w:rsidR="0010286C" w:rsidRPr="0010286C" w:rsidRDefault="0010286C" w:rsidP="0010286C">
      <w:pPr>
        <w:pStyle w:val="Paragraphedeliste"/>
        <w:spacing w:after="0"/>
        <w:jc w:val="both"/>
        <w:rPr>
          <w:rFonts w:ascii="Marianne" w:hAnsi="Marianne"/>
        </w:rPr>
      </w:pPr>
    </w:p>
    <w:tbl>
      <w:tblPr>
        <w:tblStyle w:val="Grilledutableau"/>
        <w:tblW w:w="0" w:type="auto"/>
        <w:tblLook w:val="04A0" w:firstRow="1" w:lastRow="0" w:firstColumn="1" w:lastColumn="0" w:noHBand="0" w:noVBand="1"/>
      </w:tblPr>
      <w:tblGrid>
        <w:gridCol w:w="9062"/>
      </w:tblGrid>
      <w:tr w:rsidR="0010286C" w:rsidTr="0010286C">
        <w:tc>
          <w:tcPr>
            <w:tcW w:w="9062" w:type="dxa"/>
            <w:shd w:val="clear" w:color="auto" w:fill="F2F2F2" w:themeFill="background1" w:themeFillShade="F2"/>
          </w:tcPr>
          <w:p w:rsidR="0010286C" w:rsidRDefault="0010286C" w:rsidP="0010286C">
            <w:pPr>
              <w:jc w:val="both"/>
              <w:rPr>
                <w:rFonts w:ascii="Marianne" w:hAnsi="Marianne"/>
              </w:rPr>
            </w:pPr>
            <w:r>
              <w:rPr>
                <w:rFonts w:ascii="Marianne" w:hAnsi="Marianne"/>
              </w:rPr>
              <w:t>Réponse</w:t>
            </w:r>
            <w:r>
              <w:rPr>
                <w:rFonts w:ascii="Calibri" w:hAnsi="Calibri" w:cs="Calibri"/>
              </w:rPr>
              <w:t> </w:t>
            </w:r>
            <w:r>
              <w:rPr>
                <w:rFonts w:ascii="Marianne" w:hAnsi="Marianne"/>
              </w:rPr>
              <w:t xml:space="preserve">: </w:t>
            </w:r>
          </w:p>
        </w:tc>
      </w:tr>
      <w:tr w:rsidR="0010286C" w:rsidTr="0010286C">
        <w:tc>
          <w:tcPr>
            <w:tcW w:w="9062" w:type="dxa"/>
          </w:tcPr>
          <w:p w:rsidR="0010286C" w:rsidRDefault="0010286C" w:rsidP="0010286C">
            <w:pPr>
              <w:jc w:val="both"/>
              <w:rPr>
                <w:rFonts w:ascii="Marianne" w:hAnsi="Marianne"/>
              </w:rPr>
            </w:pPr>
          </w:p>
          <w:p w:rsidR="0010286C" w:rsidRDefault="0010286C" w:rsidP="0010286C">
            <w:pPr>
              <w:jc w:val="both"/>
              <w:rPr>
                <w:rFonts w:ascii="Marianne" w:hAnsi="Marianne"/>
              </w:rPr>
            </w:pPr>
          </w:p>
          <w:p w:rsidR="0010286C" w:rsidRDefault="0010286C" w:rsidP="0010286C">
            <w:pPr>
              <w:jc w:val="both"/>
              <w:rPr>
                <w:rFonts w:ascii="Marianne" w:hAnsi="Marianne"/>
              </w:rPr>
            </w:pPr>
          </w:p>
        </w:tc>
      </w:tr>
    </w:tbl>
    <w:p w:rsidR="0010286C" w:rsidRDefault="0010286C" w:rsidP="0010286C">
      <w:pPr>
        <w:spacing w:after="0"/>
        <w:jc w:val="both"/>
        <w:rPr>
          <w:rFonts w:ascii="Marianne" w:hAnsi="Marianne"/>
        </w:rPr>
      </w:pPr>
    </w:p>
    <w:p w:rsidR="0010286C" w:rsidRPr="0010286C" w:rsidRDefault="0010286C" w:rsidP="004B0AA3">
      <w:pPr>
        <w:spacing w:after="0"/>
        <w:ind w:left="708"/>
        <w:jc w:val="both"/>
        <w:rPr>
          <w:rFonts w:ascii="Marianne" w:hAnsi="Marianne"/>
          <w:u w:val="single"/>
        </w:rPr>
      </w:pPr>
      <w:r w:rsidRPr="0010286C">
        <w:rPr>
          <w:rFonts w:ascii="Marianne" w:hAnsi="Marianne"/>
          <w:u w:val="single"/>
        </w:rPr>
        <w:t>2.1.2 Méthodologie logistique et installation de chantier (40 points)</w:t>
      </w:r>
      <w:r w:rsidRPr="0010286C">
        <w:rPr>
          <w:rFonts w:ascii="Calibri" w:hAnsi="Calibri" w:cs="Calibri"/>
          <w:u w:val="single"/>
        </w:rPr>
        <w:t> </w:t>
      </w:r>
      <w:r w:rsidRPr="0010286C">
        <w:rPr>
          <w:rFonts w:ascii="Marianne" w:hAnsi="Marianne"/>
          <w:u w:val="single"/>
        </w:rPr>
        <w:t>:</w:t>
      </w:r>
    </w:p>
    <w:p w:rsidR="0010286C" w:rsidRPr="0010286C" w:rsidRDefault="0010286C" w:rsidP="0010286C">
      <w:pPr>
        <w:spacing w:after="0"/>
        <w:jc w:val="both"/>
        <w:rPr>
          <w:rFonts w:ascii="Marianne" w:hAnsi="Marianne"/>
          <w:sz w:val="16"/>
        </w:rPr>
      </w:pPr>
    </w:p>
    <w:p w:rsidR="0010286C" w:rsidRDefault="0010286C" w:rsidP="0010286C">
      <w:pPr>
        <w:spacing w:after="0"/>
        <w:jc w:val="both"/>
        <w:rPr>
          <w:rFonts w:ascii="Marianne" w:hAnsi="Marianne"/>
        </w:rPr>
      </w:pPr>
      <w:r w:rsidRPr="0010286C">
        <w:rPr>
          <w:rFonts w:ascii="Marianne" w:hAnsi="Marianne"/>
        </w:rPr>
        <w:t>Le soumissionnaire devra</w:t>
      </w:r>
      <w:r w:rsidRPr="0010286C">
        <w:rPr>
          <w:rFonts w:ascii="Calibri" w:hAnsi="Calibri" w:cs="Calibri"/>
        </w:rPr>
        <w:t> </w:t>
      </w:r>
      <w:r w:rsidRPr="0010286C">
        <w:rPr>
          <w:rFonts w:ascii="Marianne" w:hAnsi="Marianne"/>
        </w:rPr>
        <w:t>:</w:t>
      </w:r>
    </w:p>
    <w:p w:rsidR="0010286C" w:rsidRPr="0010286C" w:rsidRDefault="0010286C" w:rsidP="0010286C">
      <w:pPr>
        <w:spacing w:after="0"/>
        <w:jc w:val="both"/>
        <w:rPr>
          <w:rFonts w:ascii="Marianne" w:hAnsi="Marianne"/>
          <w:sz w:val="16"/>
        </w:rPr>
      </w:pPr>
    </w:p>
    <w:p w:rsidR="0010286C" w:rsidRPr="0010286C" w:rsidRDefault="0010286C" w:rsidP="0010286C">
      <w:pPr>
        <w:pStyle w:val="Paragraphedeliste"/>
        <w:numPr>
          <w:ilvl w:val="0"/>
          <w:numId w:val="5"/>
        </w:numPr>
        <w:spacing w:after="0"/>
        <w:jc w:val="both"/>
        <w:rPr>
          <w:rFonts w:ascii="Marianne" w:hAnsi="Marianne"/>
        </w:rPr>
      </w:pPr>
      <w:r w:rsidRPr="0010286C">
        <w:rPr>
          <w:rFonts w:ascii="Marianne" w:hAnsi="Marianne"/>
        </w:rPr>
        <w:t>Présenter un plan d’installation de chantier (PIC) (la base vie, la zone de stockage)</w:t>
      </w:r>
      <w:r w:rsidRPr="0010286C">
        <w:rPr>
          <w:rFonts w:ascii="Calibri" w:hAnsi="Calibri" w:cs="Calibri"/>
        </w:rPr>
        <w:t> </w:t>
      </w:r>
      <w:r w:rsidRPr="0010286C">
        <w:rPr>
          <w:rFonts w:ascii="Marianne" w:hAnsi="Marianne"/>
        </w:rPr>
        <w:t xml:space="preserve">; </w:t>
      </w:r>
    </w:p>
    <w:p w:rsidR="0010286C" w:rsidRPr="0010286C" w:rsidRDefault="0010286C" w:rsidP="0010286C">
      <w:pPr>
        <w:pStyle w:val="Paragraphedeliste"/>
        <w:numPr>
          <w:ilvl w:val="0"/>
          <w:numId w:val="5"/>
        </w:numPr>
        <w:spacing w:after="0"/>
        <w:jc w:val="both"/>
        <w:rPr>
          <w:rFonts w:ascii="Marianne" w:hAnsi="Marianne"/>
        </w:rPr>
      </w:pPr>
      <w:r w:rsidRPr="0010286C">
        <w:rPr>
          <w:rFonts w:ascii="Marianne" w:hAnsi="Marianne"/>
        </w:rPr>
        <w:t>Présenter une notice d’organisation en respectant les aspects sécuritaires du site (mise en place des installations temporaires, permis feu, comportement et moralité des ouvriers sur le chantier, la compréhension des enjeux d’accès, de sécurité, de sureté et du maintien d’activité)</w:t>
      </w:r>
      <w:r w:rsidRPr="0010286C">
        <w:rPr>
          <w:rFonts w:ascii="Calibri" w:hAnsi="Calibri" w:cs="Calibri"/>
        </w:rPr>
        <w:t> </w:t>
      </w:r>
      <w:r w:rsidRPr="0010286C">
        <w:rPr>
          <w:rFonts w:ascii="Marianne" w:hAnsi="Marianne"/>
        </w:rPr>
        <w:t xml:space="preserve">; </w:t>
      </w:r>
    </w:p>
    <w:p w:rsidR="0010286C" w:rsidRPr="0010286C" w:rsidRDefault="0010286C" w:rsidP="0010286C">
      <w:pPr>
        <w:pStyle w:val="Paragraphedeliste"/>
        <w:numPr>
          <w:ilvl w:val="0"/>
          <w:numId w:val="5"/>
        </w:numPr>
        <w:spacing w:after="0"/>
        <w:jc w:val="both"/>
        <w:rPr>
          <w:rFonts w:ascii="Marianne" w:hAnsi="Marianne"/>
        </w:rPr>
      </w:pPr>
      <w:r w:rsidRPr="0010286C">
        <w:rPr>
          <w:rFonts w:ascii="Marianne" w:hAnsi="Marianne"/>
        </w:rPr>
        <w:t>La méthodologie d’installation de la structure (moyens de levage, mise en sécurité de la structure lors des phases transitoires)</w:t>
      </w:r>
      <w:r w:rsidRPr="0010286C">
        <w:rPr>
          <w:rFonts w:ascii="Calibri" w:hAnsi="Calibri" w:cs="Calibri"/>
        </w:rPr>
        <w:t> </w:t>
      </w:r>
      <w:r w:rsidRPr="0010286C">
        <w:rPr>
          <w:rFonts w:ascii="Marianne" w:hAnsi="Marianne"/>
        </w:rPr>
        <w:t xml:space="preserve">; </w:t>
      </w:r>
    </w:p>
    <w:p w:rsidR="0010286C" w:rsidRDefault="0010286C" w:rsidP="0010286C">
      <w:pPr>
        <w:pStyle w:val="Paragraphedeliste"/>
        <w:numPr>
          <w:ilvl w:val="0"/>
          <w:numId w:val="5"/>
        </w:numPr>
        <w:spacing w:after="0"/>
        <w:jc w:val="both"/>
        <w:rPr>
          <w:rFonts w:ascii="Marianne" w:hAnsi="Marianne"/>
        </w:rPr>
      </w:pPr>
      <w:r w:rsidRPr="0010286C">
        <w:rPr>
          <w:rFonts w:ascii="Marianne" w:hAnsi="Marianne"/>
        </w:rPr>
        <w:t>Décrire une méthodologie de mis en œuvre pour assurer la gestion des flux sur le site pour les approvisionnements et les compagnons tout au long des différentes phases du chantier.</w:t>
      </w:r>
    </w:p>
    <w:p w:rsidR="0010286C" w:rsidRPr="0010286C" w:rsidRDefault="0010286C" w:rsidP="0010286C">
      <w:pPr>
        <w:pStyle w:val="Paragraphedeliste"/>
        <w:spacing w:after="0"/>
        <w:jc w:val="both"/>
        <w:rPr>
          <w:rFonts w:ascii="Marianne" w:hAnsi="Marianne"/>
          <w:sz w:val="16"/>
        </w:rPr>
      </w:pPr>
    </w:p>
    <w:tbl>
      <w:tblPr>
        <w:tblStyle w:val="Grilledutableau"/>
        <w:tblW w:w="0" w:type="auto"/>
        <w:tblLook w:val="04A0" w:firstRow="1" w:lastRow="0" w:firstColumn="1" w:lastColumn="0" w:noHBand="0" w:noVBand="1"/>
      </w:tblPr>
      <w:tblGrid>
        <w:gridCol w:w="9062"/>
      </w:tblGrid>
      <w:tr w:rsidR="0010286C" w:rsidTr="0010286C">
        <w:tc>
          <w:tcPr>
            <w:tcW w:w="9062" w:type="dxa"/>
            <w:shd w:val="clear" w:color="auto" w:fill="F2F2F2" w:themeFill="background1" w:themeFillShade="F2"/>
          </w:tcPr>
          <w:p w:rsidR="0010286C" w:rsidRDefault="0010286C" w:rsidP="0010286C">
            <w:pPr>
              <w:jc w:val="both"/>
              <w:rPr>
                <w:rFonts w:ascii="Marianne" w:hAnsi="Marianne"/>
              </w:rPr>
            </w:pPr>
            <w:r>
              <w:rPr>
                <w:rFonts w:ascii="Marianne" w:hAnsi="Marianne"/>
              </w:rPr>
              <w:t>Réponse</w:t>
            </w:r>
            <w:r>
              <w:rPr>
                <w:rFonts w:ascii="Calibri" w:hAnsi="Calibri" w:cs="Calibri"/>
              </w:rPr>
              <w:t> </w:t>
            </w:r>
            <w:r>
              <w:rPr>
                <w:rFonts w:ascii="Marianne" w:hAnsi="Marianne"/>
              </w:rPr>
              <w:t xml:space="preserve">: </w:t>
            </w:r>
          </w:p>
        </w:tc>
      </w:tr>
      <w:tr w:rsidR="0010286C" w:rsidTr="004E611C">
        <w:tc>
          <w:tcPr>
            <w:tcW w:w="9062" w:type="dxa"/>
          </w:tcPr>
          <w:p w:rsidR="0010286C" w:rsidRDefault="0010286C" w:rsidP="0010286C">
            <w:pPr>
              <w:jc w:val="both"/>
              <w:rPr>
                <w:rFonts w:ascii="Marianne" w:hAnsi="Marianne"/>
              </w:rPr>
            </w:pPr>
          </w:p>
          <w:p w:rsidR="0010286C" w:rsidRDefault="0010286C" w:rsidP="0010286C">
            <w:pPr>
              <w:jc w:val="both"/>
              <w:rPr>
                <w:rFonts w:ascii="Marianne" w:hAnsi="Marianne"/>
              </w:rPr>
            </w:pPr>
          </w:p>
          <w:p w:rsidR="005A74F7" w:rsidRDefault="005A74F7" w:rsidP="0010286C">
            <w:pPr>
              <w:jc w:val="both"/>
              <w:rPr>
                <w:rFonts w:ascii="Marianne" w:hAnsi="Marianne"/>
              </w:rPr>
            </w:pPr>
          </w:p>
        </w:tc>
      </w:tr>
    </w:tbl>
    <w:p w:rsidR="0010286C" w:rsidRDefault="00AB5E57" w:rsidP="004B0AA3">
      <w:pPr>
        <w:spacing w:after="0"/>
        <w:ind w:left="708"/>
        <w:jc w:val="both"/>
        <w:rPr>
          <w:rFonts w:ascii="Marianne" w:hAnsi="Marianne"/>
          <w:b/>
        </w:rPr>
      </w:pPr>
      <w:r w:rsidRPr="00C97C11">
        <w:br/>
      </w:r>
      <w:r w:rsidR="0010286C" w:rsidRPr="0010286C">
        <w:rPr>
          <w:rFonts w:ascii="Marianne" w:hAnsi="Marianne"/>
          <w:b/>
        </w:rPr>
        <w:t>Sous-critère 2.2 Planning (40 points)</w:t>
      </w:r>
      <w:r w:rsidR="0010286C" w:rsidRPr="0010286C">
        <w:rPr>
          <w:rFonts w:ascii="Calibri" w:hAnsi="Calibri" w:cs="Calibri"/>
          <w:b/>
        </w:rPr>
        <w:t> </w:t>
      </w:r>
      <w:r w:rsidR="0010286C" w:rsidRPr="0010286C">
        <w:rPr>
          <w:rFonts w:ascii="Marianne" w:hAnsi="Marianne"/>
          <w:b/>
        </w:rPr>
        <w:t xml:space="preserve">: </w:t>
      </w:r>
    </w:p>
    <w:p w:rsidR="0010286C" w:rsidRPr="0010286C" w:rsidRDefault="0010286C" w:rsidP="0010286C">
      <w:pPr>
        <w:spacing w:after="0"/>
        <w:jc w:val="both"/>
        <w:rPr>
          <w:rFonts w:ascii="Marianne" w:hAnsi="Marianne"/>
          <w:b/>
          <w:sz w:val="16"/>
        </w:rPr>
      </w:pPr>
    </w:p>
    <w:p w:rsidR="0010286C" w:rsidRDefault="0010286C" w:rsidP="0010286C">
      <w:pPr>
        <w:spacing w:after="0"/>
        <w:jc w:val="both"/>
        <w:rPr>
          <w:rFonts w:ascii="Marianne" w:hAnsi="Marianne"/>
        </w:rPr>
      </w:pPr>
      <w:r w:rsidRPr="0010286C">
        <w:rPr>
          <w:rFonts w:ascii="Marianne" w:hAnsi="Marianne"/>
        </w:rPr>
        <w:t>Le sous-critère sera analysé sur la base du planning de l’opération fourni par le soumissionnaire. L’ensemble sera jugé sur la cohérence du planning et son ordonnancement.</w:t>
      </w:r>
    </w:p>
    <w:p w:rsidR="0010286C" w:rsidRPr="0010286C" w:rsidRDefault="0010286C" w:rsidP="0010286C">
      <w:pPr>
        <w:spacing w:after="0"/>
        <w:jc w:val="both"/>
        <w:rPr>
          <w:rFonts w:ascii="Marianne" w:hAnsi="Marianne"/>
          <w:sz w:val="16"/>
        </w:rPr>
      </w:pPr>
    </w:p>
    <w:p w:rsidR="0010286C" w:rsidRDefault="0010286C" w:rsidP="0010286C">
      <w:pPr>
        <w:spacing w:after="0"/>
        <w:jc w:val="both"/>
        <w:rPr>
          <w:rFonts w:ascii="Marianne" w:hAnsi="Marianne"/>
        </w:rPr>
      </w:pPr>
      <w:r w:rsidRPr="0010286C">
        <w:rPr>
          <w:rFonts w:ascii="Marianne" w:hAnsi="Marianne"/>
        </w:rPr>
        <w:t>Le soumissionnaire devra</w:t>
      </w:r>
      <w:r w:rsidRPr="0010286C">
        <w:rPr>
          <w:rFonts w:ascii="Calibri" w:hAnsi="Calibri" w:cs="Calibri"/>
        </w:rPr>
        <w:t> </w:t>
      </w:r>
      <w:r w:rsidRPr="0010286C">
        <w:rPr>
          <w:rFonts w:ascii="Marianne" w:hAnsi="Marianne"/>
        </w:rPr>
        <w:t>:</w:t>
      </w:r>
    </w:p>
    <w:p w:rsidR="0010286C" w:rsidRPr="0010286C" w:rsidRDefault="0010286C" w:rsidP="0010286C">
      <w:pPr>
        <w:spacing w:after="0"/>
        <w:jc w:val="both"/>
        <w:rPr>
          <w:rFonts w:ascii="Marianne" w:hAnsi="Marianne"/>
          <w:sz w:val="16"/>
        </w:rPr>
      </w:pPr>
    </w:p>
    <w:p w:rsidR="0010286C" w:rsidRPr="0010286C" w:rsidRDefault="0010286C" w:rsidP="0010286C">
      <w:pPr>
        <w:pStyle w:val="Paragraphedeliste"/>
        <w:numPr>
          <w:ilvl w:val="0"/>
          <w:numId w:val="6"/>
        </w:numPr>
        <w:spacing w:after="0"/>
        <w:jc w:val="both"/>
        <w:rPr>
          <w:rFonts w:ascii="Marianne" w:hAnsi="Marianne"/>
        </w:rPr>
      </w:pPr>
      <w:r w:rsidRPr="0010286C">
        <w:rPr>
          <w:rFonts w:ascii="Marianne" w:hAnsi="Marianne"/>
        </w:rPr>
        <w:t>Présenter un planning général de l’opération respectant les délais imposés</w:t>
      </w:r>
      <w:r w:rsidRPr="0010286C">
        <w:rPr>
          <w:rFonts w:ascii="Calibri" w:hAnsi="Calibri" w:cs="Calibri"/>
        </w:rPr>
        <w:t> </w:t>
      </w:r>
      <w:r w:rsidRPr="0010286C">
        <w:rPr>
          <w:rFonts w:ascii="Marianne" w:hAnsi="Marianne"/>
        </w:rPr>
        <w:t xml:space="preserve">; </w:t>
      </w:r>
    </w:p>
    <w:p w:rsidR="0010286C" w:rsidRPr="0010286C" w:rsidRDefault="0010286C" w:rsidP="0010286C">
      <w:pPr>
        <w:pStyle w:val="Paragraphedeliste"/>
        <w:numPr>
          <w:ilvl w:val="0"/>
          <w:numId w:val="6"/>
        </w:numPr>
        <w:spacing w:after="0"/>
        <w:jc w:val="both"/>
        <w:rPr>
          <w:rFonts w:ascii="Marianne" w:hAnsi="Marianne"/>
        </w:rPr>
      </w:pPr>
      <w:r w:rsidRPr="0010286C">
        <w:rPr>
          <w:rFonts w:ascii="Marianne" w:hAnsi="Marianne"/>
        </w:rPr>
        <w:t xml:space="preserve">Présenter la décomposition des tâches d’intervention en incluant les études d’exécution et les délais de fabrication et d’approvisionnement ; </w:t>
      </w:r>
    </w:p>
    <w:p w:rsidR="0010286C" w:rsidRPr="0010286C" w:rsidRDefault="0010286C" w:rsidP="0010286C">
      <w:pPr>
        <w:pStyle w:val="Paragraphedeliste"/>
        <w:numPr>
          <w:ilvl w:val="0"/>
          <w:numId w:val="6"/>
        </w:numPr>
        <w:spacing w:after="0"/>
        <w:jc w:val="both"/>
        <w:rPr>
          <w:rFonts w:ascii="Marianne" w:hAnsi="Marianne"/>
        </w:rPr>
      </w:pPr>
      <w:r w:rsidRPr="0010286C">
        <w:rPr>
          <w:rFonts w:ascii="Marianne" w:hAnsi="Marianne"/>
        </w:rPr>
        <w:t>Indiquer les dispositions prises pour respecter les délais</w:t>
      </w:r>
      <w:r w:rsidRPr="0010286C">
        <w:rPr>
          <w:rFonts w:ascii="Calibri" w:hAnsi="Calibri" w:cs="Calibri"/>
        </w:rPr>
        <w:t> </w:t>
      </w:r>
      <w:r w:rsidRPr="0010286C">
        <w:rPr>
          <w:rFonts w:ascii="Marianne" w:hAnsi="Marianne"/>
        </w:rPr>
        <w:t xml:space="preserve">; </w:t>
      </w:r>
    </w:p>
    <w:p w:rsidR="00AB5E57" w:rsidRDefault="0010286C" w:rsidP="0010286C">
      <w:pPr>
        <w:pStyle w:val="Paragraphedeliste"/>
        <w:numPr>
          <w:ilvl w:val="0"/>
          <w:numId w:val="6"/>
        </w:numPr>
        <w:spacing w:after="0"/>
        <w:jc w:val="both"/>
        <w:rPr>
          <w:rFonts w:ascii="Marianne" w:hAnsi="Marianne"/>
        </w:rPr>
      </w:pPr>
      <w:r w:rsidRPr="0010286C">
        <w:rPr>
          <w:rFonts w:ascii="Marianne" w:hAnsi="Marianne"/>
        </w:rPr>
        <w:t>Présenter la cohérence du planning vis-à-vis du phasage de l’opération</w:t>
      </w:r>
    </w:p>
    <w:p w:rsidR="0010286C" w:rsidRDefault="0010286C" w:rsidP="0010286C">
      <w:pPr>
        <w:pStyle w:val="Paragraphedeliste"/>
        <w:spacing w:after="0"/>
        <w:jc w:val="both"/>
        <w:rPr>
          <w:rFonts w:ascii="Marianne" w:hAnsi="Marianne"/>
        </w:rPr>
      </w:pPr>
    </w:p>
    <w:tbl>
      <w:tblPr>
        <w:tblStyle w:val="Grilledutableau"/>
        <w:tblW w:w="0" w:type="auto"/>
        <w:tblLook w:val="04A0" w:firstRow="1" w:lastRow="0" w:firstColumn="1" w:lastColumn="0" w:noHBand="0" w:noVBand="1"/>
      </w:tblPr>
      <w:tblGrid>
        <w:gridCol w:w="9062"/>
      </w:tblGrid>
      <w:tr w:rsidR="0010286C" w:rsidTr="004E611C">
        <w:tc>
          <w:tcPr>
            <w:tcW w:w="9062" w:type="dxa"/>
            <w:shd w:val="clear" w:color="auto" w:fill="F2F2F2" w:themeFill="background1" w:themeFillShade="F2"/>
          </w:tcPr>
          <w:p w:rsidR="0010286C" w:rsidRDefault="0010286C" w:rsidP="0010286C">
            <w:pPr>
              <w:jc w:val="both"/>
              <w:rPr>
                <w:rFonts w:ascii="Marianne" w:hAnsi="Marianne"/>
              </w:rPr>
            </w:pPr>
            <w:r>
              <w:rPr>
                <w:rFonts w:ascii="Marianne" w:hAnsi="Marianne"/>
              </w:rPr>
              <w:t>Réponse</w:t>
            </w:r>
            <w:r>
              <w:rPr>
                <w:rFonts w:ascii="Calibri" w:hAnsi="Calibri" w:cs="Calibri"/>
              </w:rPr>
              <w:t> </w:t>
            </w:r>
            <w:r>
              <w:rPr>
                <w:rFonts w:ascii="Marianne" w:hAnsi="Marianne"/>
              </w:rPr>
              <w:t xml:space="preserve">: </w:t>
            </w:r>
          </w:p>
        </w:tc>
      </w:tr>
      <w:tr w:rsidR="0010286C" w:rsidTr="004E611C">
        <w:tc>
          <w:tcPr>
            <w:tcW w:w="9062" w:type="dxa"/>
          </w:tcPr>
          <w:p w:rsidR="0010286C" w:rsidRDefault="0010286C" w:rsidP="0010286C">
            <w:pPr>
              <w:jc w:val="both"/>
              <w:rPr>
                <w:rFonts w:ascii="Marianne" w:hAnsi="Marianne"/>
              </w:rPr>
            </w:pPr>
          </w:p>
          <w:p w:rsidR="005A74F7" w:rsidRDefault="005A74F7" w:rsidP="0010286C">
            <w:pPr>
              <w:jc w:val="both"/>
              <w:rPr>
                <w:rFonts w:ascii="Marianne" w:hAnsi="Marianne"/>
              </w:rPr>
            </w:pPr>
          </w:p>
          <w:p w:rsidR="005A74F7" w:rsidRDefault="005A74F7" w:rsidP="0010286C">
            <w:pPr>
              <w:jc w:val="both"/>
              <w:rPr>
                <w:rFonts w:ascii="Marianne" w:hAnsi="Marianne"/>
              </w:rPr>
            </w:pPr>
          </w:p>
        </w:tc>
      </w:tr>
    </w:tbl>
    <w:p w:rsidR="005A74F7" w:rsidRDefault="005A74F7" w:rsidP="0010286C">
      <w:pPr>
        <w:spacing w:after="0"/>
        <w:jc w:val="both"/>
        <w:rPr>
          <w:rFonts w:ascii="Marianne" w:hAnsi="Marianne"/>
        </w:rPr>
      </w:pPr>
    </w:p>
    <w:p w:rsidR="005A74F7" w:rsidRDefault="005A74F7" w:rsidP="0010286C">
      <w:pPr>
        <w:spacing w:after="0"/>
        <w:jc w:val="both"/>
        <w:rPr>
          <w:rFonts w:ascii="Marianne" w:hAnsi="Marianne"/>
        </w:rPr>
      </w:pPr>
    </w:p>
    <w:p w:rsidR="0010286C" w:rsidRPr="0010286C" w:rsidRDefault="0010286C" w:rsidP="0010286C">
      <w:pPr>
        <w:spacing w:after="0"/>
        <w:jc w:val="both"/>
        <w:rPr>
          <w:rFonts w:ascii="Marianne" w:hAnsi="Marianne"/>
          <w:b/>
          <w:u w:val="single"/>
        </w:rPr>
      </w:pPr>
      <w:r w:rsidRPr="0010286C">
        <w:rPr>
          <w:rFonts w:ascii="Marianne" w:hAnsi="Marianne"/>
          <w:b/>
          <w:u w:val="single"/>
        </w:rPr>
        <w:t>CRITERE 2 – VALEUR ENVIRONNEMENTALE (10%)</w:t>
      </w:r>
    </w:p>
    <w:p w:rsidR="0010286C" w:rsidRDefault="0010286C" w:rsidP="0010286C">
      <w:pPr>
        <w:spacing w:after="0"/>
        <w:jc w:val="both"/>
        <w:rPr>
          <w:rFonts w:ascii="Marianne" w:hAnsi="Marianne"/>
        </w:rPr>
      </w:pPr>
    </w:p>
    <w:p w:rsidR="0010286C" w:rsidRDefault="0010286C" w:rsidP="0010286C">
      <w:pPr>
        <w:spacing w:after="0"/>
        <w:jc w:val="both"/>
        <w:rPr>
          <w:rFonts w:ascii="Marianne" w:hAnsi="Marianne"/>
        </w:rPr>
      </w:pPr>
      <w:r w:rsidRPr="0010286C">
        <w:rPr>
          <w:rFonts w:ascii="Marianne" w:hAnsi="Marianne"/>
        </w:rPr>
        <w:t>Valeur technique sera notée sur 100</w:t>
      </w:r>
      <w:r>
        <w:rPr>
          <w:rFonts w:ascii="Marianne" w:hAnsi="Marianne"/>
        </w:rPr>
        <w:t xml:space="preserve"> points avec une pondération à 1</w:t>
      </w:r>
      <w:r w:rsidRPr="0010286C">
        <w:rPr>
          <w:rFonts w:ascii="Marianne" w:hAnsi="Marianne"/>
        </w:rPr>
        <w:t>0% en fonction des sous-critères suivants</w:t>
      </w:r>
      <w:r w:rsidRPr="0010286C">
        <w:rPr>
          <w:rFonts w:ascii="Calibri" w:hAnsi="Calibri" w:cs="Calibri"/>
        </w:rPr>
        <w:t> </w:t>
      </w:r>
      <w:r w:rsidRPr="0010286C">
        <w:rPr>
          <w:rFonts w:ascii="Marianne" w:hAnsi="Marianne"/>
        </w:rPr>
        <w:t>:</w:t>
      </w:r>
    </w:p>
    <w:p w:rsidR="0010286C" w:rsidRDefault="0010286C" w:rsidP="0010286C">
      <w:pPr>
        <w:spacing w:after="0"/>
        <w:jc w:val="both"/>
        <w:rPr>
          <w:rFonts w:ascii="Marianne" w:hAnsi="Marianne"/>
        </w:rPr>
      </w:pPr>
    </w:p>
    <w:p w:rsidR="0010286C" w:rsidRPr="0010286C" w:rsidRDefault="0010286C" w:rsidP="0010286C">
      <w:pPr>
        <w:spacing w:after="0" w:line="240" w:lineRule="auto"/>
        <w:ind w:right="91"/>
        <w:rPr>
          <w:rFonts w:ascii="Marianne" w:hAnsi="Marianne"/>
        </w:rPr>
      </w:pPr>
      <w:r w:rsidRPr="0010286C">
        <w:rPr>
          <w:rFonts w:ascii="Marianne" w:hAnsi="Marianne"/>
        </w:rPr>
        <w:t>Le soumissionnaire devra</w:t>
      </w:r>
      <w:r w:rsidRPr="0010286C">
        <w:rPr>
          <w:rFonts w:ascii="Calibri" w:hAnsi="Calibri" w:cs="Calibri"/>
        </w:rPr>
        <w:t> </w:t>
      </w:r>
      <w:r w:rsidRPr="0010286C">
        <w:rPr>
          <w:rFonts w:ascii="Marianne" w:hAnsi="Marianne"/>
        </w:rPr>
        <w:t>:</w:t>
      </w:r>
    </w:p>
    <w:p w:rsidR="0010286C" w:rsidRDefault="0010286C" w:rsidP="0010286C">
      <w:pPr>
        <w:pStyle w:val="format4"/>
        <w:tabs>
          <w:tab w:val="clear" w:pos="1134"/>
          <w:tab w:val="clear" w:pos="8505"/>
          <w:tab w:val="left" w:pos="284"/>
          <w:tab w:val="left" w:pos="851"/>
        </w:tabs>
        <w:ind w:right="138"/>
        <w:rPr>
          <w:rFonts w:ascii="Marianne" w:eastAsiaTheme="minorHAnsi" w:hAnsi="Marianne" w:cstheme="minorBidi"/>
          <w:sz w:val="22"/>
          <w:szCs w:val="22"/>
          <w:lang w:eastAsia="en-US"/>
        </w:rPr>
      </w:pPr>
    </w:p>
    <w:p w:rsidR="0010286C" w:rsidRPr="0010286C" w:rsidRDefault="0010286C" w:rsidP="0010286C">
      <w:pPr>
        <w:pStyle w:val="format4"/>
        <w:numPr>
          <w:ilvl w:val="0"/>
          <w:numId w:val="7"/>
        </w:numPr>
        <w:tabs>
          <w:tab w:val="clear" w:pos="1134"/>
          <w:tab w:val="clear" w:pos="8505"/>
          <w:tab w:val="left" w:pos="284"/>
          <w:tab w:val="left" w:pos="851"/>
        </w:tabs>
        <w:ind w:right="138"/>
        <w:rPr>
          <w:rFonts w:ascii="Marianne" w:eastAsiaTheme="minorHAnsi" w:hAnsi="Marianne" w:cstheme="minorBidi"/>
          <w:sz w:val="22"/>
          <w:szCs w:val="22"/>
          <w:lang w:eastAsia="en-US"/>
        </w:rPr>
      </w:pPr>
      <w:r w:rsidRPr="0010286C">
        <w:rPr>
          <w:rFonts w:ascii="Marianne" w:eastAsiaTheme="minorHAnsi" w:hAnsi="Marianne" w:cstheme="minorBidi"/>
          <w:sz w:val="22"/>
          <w:szCs w:val="22"/>
          <w:lang w:eastAsia="en-US"/>
        </w:rPr>
        <w:t>Fournir les modalités de tri des déchets sur le chantier</w:t>
      </w:r>
      <w:r w:rsidRPr="0010286C">
        <w:rPr>
          <w:rFonts w:ascii="Calibri" w:eastAsiaTheme="minorHAnsi" w:hAnsi="Calibri" w:cs="Calibri"/>
          <w:sz w:val="22"/>
          <w:szCs w:val="22"/>
          <w:lang w:eastAsia="en-US"/>
        </w:rPr>
        <w:t> </w:t>
      </w:r>
      <w:r w:rsidRPr="0010286C">
        <w:rPr>
          <w:rFonts w:ascii="Marianne" w:eastAsiaTheme="minorHAnsi" w:hAnsi="Marianne" w:cstheme="minorBidi"/>
          <w:sz w:val="22"/>
          <w:szCs w:val="22"/>
          <w:lang w:eastAsia="en-US"/>
        </w:rPr>
        <w:t xml:space="preserve">; </w:t>
      </w:r>
    </w:p>
    <w:p w:rsidR="0010286C" w:rsidRPr="0010286C" w:rsidRDefault="0010286C" w:rsidP="0010286C">
      <w:pPr>
        <w:pStyle w:val="format4"/>
        <w:numPr>
          <w:ilvl w:val="0"/>
          <w:numId w:val="7"/>
        </w:numPr>
        <w:tabs>
          <w:tab w:val="clear" w:pos="1134"/>
          <w:tab w:val="clear" w:pos="8505"/>
          <w:tab w:val="left" w:pos="284"/>
          <w:tab w:val="left" w:pos="851"/>
        </w:tabs>
        <w:ind w:right="138"/>
        <w:rPr>
          <w:rFonts w:ascii="Marianne" w:eastAsiaTheme="minorHAnsi" w:hAnsi="Marianne" w:cstheme="minorBidi"/>
          <w:sz w:val="22"/>
          <w:szCs w:val="22"/>
          <w:lang w:eastAsia="en-US"/>
        </w:rPr>
      </w:pPr>
      <w:r w:rsidRPr="0010286C">
        <w:rPr>
          <w:rFonts w:ascii="Marianne" w:eastAsiaTheme="minorHAnsi" w:hAnsi="Marianne" w:cstheme="minorBidi"/>
          <w:sz w:val="22"/>
          <w:szCs w:val="22"/>
          <w:lang w:eastAsia="en-US"/>
        </w:rPr>
        <w:t>Fournir les modalités de stockage des déchets sur le chantier</w:t>
      </w:r>
      <w:r w:rsidRPr="0010286C">
        <w:rPr>
          <w:rFonts w:ascii="Calibri" w:eastAsiaTheme="minorHAnsi" w:hAnsi="Calibri" w:cs="Calibri"/>
          <w:sz w:val="22"/>
          <w:szCs w:val="22"/>
          <w:lang w:eastAsia="en-US"/>
        </w:rPr>
        <w:t> </w:t>
      </w:r>
      <w:r w:rsidRPr="0010286C">
        <w:rPr>
          <w:rFonts w:ascii="Marianne" w:eastAsiaTheme="minorHAnsi" w:hAnsi="Marianne" w:cstheme="minorBidi"/>
          <w:sz w:val="22"/>
          <w:szCs w:val="22"/>
          <w:lang w:eastAsia="en-US"/>
        </w:rPr>
        <w:t xml:space="preserve">; </w:t>
      </w:r>
    </w:p>
    <w:p w:rsidR="0010286C" w:rsidRPr="0010286C" w:rsidRDefault="0010286C" w:rsidP="0010286C">
      <w:pPr>
        <w:pStyle w:val="format4"/>
        <w:numPr>
          <w:ilvl w:val="0"/>
          <w:numId w:val="7"/>
        </w:numPr>
        <w:tabs>
          <w:tab w:val="clear" w:pos="1134"/>
          <w:tab w:val="clear" w:pos="8505"/>
          <w:tab w:val="left" w:pos="284"/>
          <w:tab w:val="left" w:pos="851"/>
        </w:tabs>
        <w:ind w:right="138"/>
        <w:rPr>
          <w:rFonts w:ascii="Marianne" w:eastAsiaTheme="minorHAnsi" w:hAnsi="Marianne" w:cstheme="minorBidi"/>
          <w:sz w:val="22"/>
          <w:szCs w:val="22"/>
          <w:lang w:eastAsia="en-US"/>
        </w:rPr>
      </w:pPr>
      <w:r w:rsidRPr="0010286C">
        <w:rPr>
          <w:rFonts w:ascii="Marianne" w:eastAsiaTheme="minorHAnsi" w:hAnsi="Marianne" w:cstheme="minorBidi"/>
          <w:sz w:val="22"/>
          <w:szCs w:val="22"/>
          <w:lang w:eastAsia="en-US"/>
        </w:rPr>
        <w:t>Indiquer les éléments permettant d’assurer une traçabilité de circuits mis en décharge</w:t>
      </w:r>
      <w:r w:rsidRPr="0010286C">
        <w:rPr>
          <w:rFonts w:ascii="Calibri" w:eastAsiaTheme="minorHAnsi" w:hAnsi="Calibri" w:cs="Calibri"/>
          <w:sz w:val="22"/>
          <w:szCs w:val="22"/>
          <w:lang w:eastAsia="en-US"/>
        </w:rPr>
        <w:t> </w:t>
      </w:r>
      <w:r w:rsidRPr="0010286C">
        <w:rPr>
          <w:rFonts w:ascii="Marianne" w:eastAsiaTheme="minorHAnsi" w:hAnsi="Marianne" w:cstheme="minorBidi"/>
          <w:sz w:val="22"/>
          <w:szCs w:val="22"/>
          <w:lang w:eastAsia="en-US"/>
        </w:rPr>
        <w:t xml:space="preserve">; </w:t>
      </w:r>
    </w:p>
    <w:p w:rsidR="0010286C" w:rsidRDefault="0010286C" w:rsidP="0010286C">
      <w:pPr>
        <w:pStyle w:val="Paragraphedeliste"/>
        <w:numPr>
          <w:ilvl w:val="0"/>
          <w:numId w:val="7"/>
        </w:numPr>
        <w:spacing w:after="0"/>
        <w:jc w:val="both"/>
        <w:rPr>
          <w:rFonts w:ascii="Marianne" w:hAnsi="Marianne"/>
        </w:rPr>
      </w:pPr>
      <w:r w:rsidRPr="0010286C">
        <w:rPr>
          <w:rFonts w:ascii="Marianne" w:hAnsi="Marianne"/>
        </w:rPr>
        <w:t>Indiquer le pourcentage de véhicule utilisés dans le cadre de l’exécution des prestations comportant un certificat qualité de l’air (</w:t>
      </w:r>
      <w:proofErr w:type="spellStart"/>
      <w:r w:rsidRPr="0010286C">
        <w:rPr>
          <w:rFonts w:ascii="Marianne" w:hAnsi="Marianne"/>
        </w:rPr>
        <w:t>Crit’air</w:t>
      </w:r>
      <w:proofErr w:type="spellEnd"/>
      <w:r w:rsidRPr="0010286C">
        <w:rPr>
          <w:rFonts w:ascii="Marianne" w:hAnsi="Marianne"/>
        </w:rPr>
        <w:t xml:space="preserve"> 0, 1 et 2 ou EURO 6,5 EEV ou motorisation alternative correspondant à des véhicules peu polluant).</w:t>
      </w:r>
    </w:p>
    <w:p w:rsidR="0010286C" w:rsidRPr="0010286C" w:rsidRDefault="0010286C" w:rsidP="0010286C">
      <w:pPr>
        <w:pStyle w:val="Paragraphedeliste"/>
        <w:spacing w:after="0"/>
        <w:rPr>
          <w:rFonts w:ascii="Marianne" w:hAnsi="Marianne"/>
        </w:rPr>
      </w:pPr>
    </w:p>
    <w:tbl>
      <w:tblPr>
        <w:tblStyle w:val="Grilledutableau"/>
        <w:tblW w:w="0" w:type="auto"/>
        <w:tblLook w:val="04A0" w:firstRow="1" w:lastRow="0" w:firstColumn="1" w:lastColumn="0" w:noHBand="0" w:noVBand="1"/>
      </w:tblPr>
      <w:tblGrid>
        <w:gridCol w:w="9062"/>
      </w:tblGrid>
      <w:tr w:rsidR="005A74F7" w:rsidTr="004E611C">
        <w:tc>
          <w:tcPr>
            <w:tcW w:w="9062" w:type="dxa"/>
            <w:shd w:val="clear" w:color="auto" w:fill="F2F2F2" w:themeFill="background1" w:themeFillShade="F2"/>
          </w:tcPr>
          <w:p w:rsidR="005A74F7" w:rsidRDefault="005A74F7" w:rsidP="004E611C">
            <w:pPr>
              <w:jc w:val="both"/>
              <w:rPr>
                <w:rFonts w:ascii="Marianne" w:hAnsi="Marianne"/>
              </w:rPr>
            </w:pPr>
            <w:r>
              <w:rPr>
                <w:rFonts w:ascii="Marianne" w:hAnsi="Marianne"/>
              </w:rPr>
              <w:t>Réponse</w:t>
            </w:r>
            <w:r>
              <w:rPr>
                <w:rFonts w:ascii="Calibri" w:hAnsi="Calibri" w:cs="Calibri"/>
              </w:rPr>
              <w:t> </w:t>
            </w:r>
            <w:r>
              <w:rPr>
                <w:rFonts w:ascii="Marianne" w:hAnsi="Marianne"/>
              </w:rPr>
              <w:t xml:space="preserve">: </w:t>
            </w:r>
          </w:p>
        </w:tc>
      </w:tr>
      <w:tr w:rsidR="005A74F7" w:rsidTr="004E611C">
        <w:tc>
          <w:tcPr>
            <w:tcW w:w="9062" w:type="dxa"/>
          </w:tcPr>
          <w:p w:rsidR="005A74F7" w:rsidRDefault="005A74F7" w:rsidP="004E611C">
            <w:pPr>
              <w:jc w:val="both"/>
              <w:rPr>
                <w:rFonts w:ascii="Marianne" w:hAnsi="Marianne"/>
              </w:rPr>
            </w:pPr>
          </w:p>
          <w:p w:rsidR="005A74F7" w:rsidRDefault="005A74F7" w:rsidP="004E611C">
            <w:pPr>
              <w:jc w:val="both"/>
              <w:rPr>
                <w:rFonts w:ascii="Marianne" w:hAnsi="Marianne"/>
              </w:rPr>
            </w:pPr>
          </w:p>
          <w:p w:rsidR="005A74F7" w:rsidRDefault="005A74F7" w:rsidP="004E611C">
            <w:pPr>
              <w:jc w:val="both"/>
              <w:rPr>
                <w:rFonts w:ascii="Marianne" w:hAnsi="Marianne"/>
              </w:rPr>
            </w:pPr>
            <w:bookmarkStart w:id="0" w:name="_GoBack"/>
            <w:bookmarkEnd w:id="0"/>
          </w:p>
        </w:tc>
      </w:tr>
    </w:tbl>
    <w:p w:rsidR="0010286C" w:rsidRPr="0010286C" w:rsidRDefault="0010286C" w:rsidP="0010286C">
      <w:pPr>
        <w:jc w:val="both"/>
        <w:rPr>
          <w:rFonts w:ascii="Marianne" w:hAnsi="Marianne"/>
        </w:rPr>
      </w:pPr>
    </w:p>
    <w:sectPr w:rsidR="0010286C" w:rsidRPr="001028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69F4"/>
    <w:multiLevelType w:val="hybridMultilevel"/>
    <w:tmpl w:val="EAD6AC06"/>
    <w:lvl w:ilvl="0" w:tplc="4D34226C">
      <w:numFmt w:val="bullet"/>
      <w:lvlText w:val="-"/>
      <w:lvlJc w:val="left"/>
      <w:pPr>
        <w:ind w:left="720" w:hanging="360"/>
      </w:pPr>
      <w:rPr>
        <w:rFonts w:ascii="Arial" w:eastAsiaTheme="minorEastAsia"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0C7AF2"/>
    <w:multiLevelType w:val="hybridMultilevel"/>
    <w:tmpl w:val="5EDC8E7A"/>
    <w:lvl w:ilvl="0" w:tplc="49CA618E">
      <w:start w:val="1"/>
      <w:numFmt w:val="bullet"/>
      <w:lvlText w:val=""/>
      <w:lvlJc w:val="left"/>
      <w:pPr>
        <w:ind w:left="847" w:hanging="360"/>
      </w:pPr>
      <w:rPr>
        <w:rFonts w:ascii="Symbol" w:hAnsi="Symbol" w:hint="default"/>
      </w:rPr>
    </w:lvl>
    <w:lvl w:ilvl="1" w:tplc="F0126AF6">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2" w15:restartNumberingAfterBreak="0">
    <w:nsid w:val="3EA209AB"/>
    <w:multiLevelType w:val="hybridMultilevel"/>
    <w:tmpl w:val="4AD64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7D2B58"/>
    <w:multiLevelType w:val="hybridMultilevel"/>
    <w:tmpl w:val="F202C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324079"/>
    <w:multiLevelType w:val="multilevel"/>
    <w:tmpl w:val="98742FE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2"/>
      <w:numFmt w:val="bullet"/>
      <w:lvlText w:val="-"/>
      <w:lvlJc w:val="left"/>
      <w:pPr>
        <w:ind w:left="1728" w:hanging="648"/>
      </w:pPr>
      <w:rPr>
        <w:rFonts w:ascii="Calibri" w:eastAsia="Times New Roman" w:hAnsi="Calibri"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E40AE0"/>
    <w:multiLevelType w:val="hybridMultilevel"/>
    <w:tmpl w:val="A9B2B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19516C"/>
    <w:multiLevelType w:val="hybridMultilevel"/>
    <w:tmpl w:val="E7426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458"/>
    <w:rsid w:val="0000156F"/>
    <w:rsid w:val="000123DE"/>
    <w:rsid w:val="000F6DB9"/>
    <w:rsid w:val="0010286C"/>
    <w:rsid w:val="001D51FD"/>
    <w:rsid w:val="002070BA"/>
    <w:rsid w:val="002145DC"/>
    <w:rsid w:val="002738B8"/>
    <w:rsid w:val="002E3545"/>
    <w:rsid w:val="003E0095"/>
    <w:rsid w:val="004B0AA3"/>
    <w:rsid w:val="00565FE3"/>
    <w:rsid w:val="005A74F7"/>
    <w:rsid w:val="0064248F"/>
    <w:rsid w:val="007C7830"/>
    <w:rsid w:val="0093429E"/>
    <w:rsid w:val="009573CA"/>
    <w:rsid w:val="009C0028"/>
    <w:rsid w:val="00AB5E57"/>
    <w:rsid w:val="00C4163C"/>
    <w:rsid w:val="00C429C5"/>
    <w:rsid w:val="00C51876"/>
    <w:rsid w:val="00D7520B"/>
    <w:rsid w:val="00E26486"/>
    <w:rsid w:val="00E33A2B"/>
    <w:rsid w:val="00EB389A"/>
    <w:rsid w:val="00F272C8"/>
    <w:rsid w:val="00FA34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7F49A"/>
  <w15:chartTrackingRefBased/>
  <w15:docId w15:val="{7A2EF8CF-3E09-4688-952F-80B890A6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4">
    <w:name w:val="format4"/>
    <w:basedOn w:val="Normal"/>
    <w:rsid w:val="00FA3458"/>
    <w:pPr>
      <w:tabs>
        <w:tab w:val="left" w:pos="1134"/>
        <w:tab w:val="left" w:pos="8505"/>
      </w:tabs>
      <w:spacing w:after="0" w:line="240" w:lineRule="auto"/>
      <w:ind w:right="284"/>
      <w:jc w:val="both"/>
    </w:pPr>
    <w:rPr>
      <w:rFonts w:ascii="Times New Roman" w:eastAsia="Times New Roman" w:hAnsi="Times New Roman" w:cs="Times New Roman"/>
      <w:sz w:val="24"/>
      <w:szCs w:val="20"/>
      <w:lang w:eastAsia="fr-FR"/>
    </w:rPr>
  </w:style>
  <w:style w:type="paragraph" w:styleId="Paragraphedeliste">
    <w:name w:val="List Paragraph"/>
    <w:basedOn w:val="Normal"/>
    <w:link w:val="ParagraphedelisteCar"/>
    <w:uiPriority w:val="34"/>
    <w:qFormat/>
    <w:rsid w:val="00F272C8"/>
    <w:pPr>
      <w:ind w:left="720"/>
      <w:contextualSpacing/>
    </w:pPr>
  </w:style>
  <w:style w:type="character" w:customStyle="1" w:styleId="ParagraphedelisteCar">
    <w:name w:val="Paragraphe de liste Car"/>
    <w:basedOn w:val="Policepardfaut"/>
    <w:link w:val="Paragraphedeliste"/>
    <w:uiPriority w:val="34"/>
    <w:rsid w:val="003E0095"/>
  </w:style>
  <w:style w:type="table" w:styleId="Grilledutableau">
    <w:name w:val="Table Grid"/>
    <w:basedOn w:val="TableauNormal"/>
    <w:uiPriority w:val="39"/>
    <w:rsid w:val="001028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5A74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618</Words>
  <Characters>3405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LECOQ Alain</dc:creator>
  <cp:keywords/>
  <dc:description/>
  <cp:lastModifiedBy>COSTA TEIXEIRA Gabriel</cp:lastModifiedBy>
  <cp:revision>12</cp:revision>
  <dcterms:created xsi:type="dcterms:W3CDTF">2024-12-18T13:04:00Z</dcterms:created>
  <dcterms:modified xsi:type="dcterms:W3CDTF">2025-09-15T14:23:00Z</dcterms:modified>
</cp:coreProperties>
</file>