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2F9" w:rsidRDefault="00A77421" w:rsidP="00A77421">
      <w:pPr>
        <w:pStyle w:val="Default"/>
        <w:jc w:val="center"/>
        <w:rPr>
          <w:b/>
          <w:bCs/>
          <w:sz w:val="23"/>
          <w:szCs w:val="23"/>
        </w:rPr>
      </w:pPr>
      <w:r>
        <w:rPr>
          <w:b/>
          <w:bCs/>
          <w:sz w:val="23"/>
          <w:szCs w:val="23"/>
        </w:rPr>
        <w:t xml:space="preserve">ANNEXE </w:t>
      </w:r>
      <w:r w:rsidR="005172F9">
        <w:rPr>
          <w:b/>
          <w:bCs/>
          <w:sz w:val="23"/>
          <w:szCs w:val="23"/>
        </w:rPr>
        <w:t>5</w:t>
      </w:r>
    </w:p>
    <w:p w:rsidR="00A77421" w:rsidRDefault="00A77421" w:rsidP="00A77421">
      <w:pPr>
        <w:pStyle w:val="Default"/>
        <w:jc w:val="center"/>
        <w:rPr>
          <w:b/>
          <w:bCs/>
          <w:sz w:val="23"/>
          <w:szCs w:val="23"/>
        </w:rPr>
      </w:pPr>
      <w:r>
        <w:rPr>
          <w:b/>
          <w:bCs/>
          <w:sz w:val="23"/>
          <w:szCs w:val="23"/>
        </w:rPr>
        <w:t>ATTESTATION SUR L’HONNEUR</w:t>
      </w:r>
    </w:p>
    <w:p w:rsidR="00A77421" w:rsidRDefault="00A77421" w:rsidP="00A77421">
      <w:pPr>
        <w:pStyle w:val="Default"/>
        <w:jc w:val="center"/>
        <w:rPr>
          <w:sz w:val="23"/>
          <w:szCs w:val="23"/>
        </w:rPr>
      </w:pPr>
    </w:p>
    <w:p w:rsidR="00A77421" w:rsidRDefault="00A77421" w:rsidP="00A77421">
      <w:pPr>
        <w:pStyle w:val="Default"/>
        <w:jc w:val="center"/>
        <w:rPr>
          <w:sz w:val="23"/>
          <w:szCs w:val="23"/>
        </w:rPr>
      </w:pPr>
    </w:p>
    <w:p w:rsidR="00A77421" w:rsidRDefault="00A77421" w:rsidP="00A77421">
      <w:pPr>
        <w:pStyle w:val="Default"/>
        <w:jc w:val="center"/>
        <w:rPr>
          <w:sz w:val="23"/>
          <w:szCs w:val="23"/>
        </w:rPr>
      </w:pPr>
      <w:r>
        <w:rPr>
          <w:b/>
          <w:bCs/>
          <w:sz w:val="23"/>
          <w:szCs w:val="23"/>
        </w:rPr>
        <w:t>OBJET DE LA CONSULTATION</w:t>
      </w:r>
    </w:p>
    <w:p w:rsidR="00A77421" w:rsidRDefault="00A77421" w:rsidP="00A77421">
      <w:pPr>
        <w:pStyle w:val="Default"/>
        <w:jc w:val="center"/>
        <w:rPr>
          <w:b/>
          <w:bCs/>
          <w:sz w:val="23"/>
          <w:szCs w:val="23"/>
        </w:rPr>
      </w:pPr>
      <w:r>
        <w:rPr>
          <w:b/>
          <w:bCs/>
          <w:sz w:val="23"/>
          <w:szCs w:val="23"/>
        </w:rPr>
        <w:t>Fournitures de bureau, enveloppes, papier</w:t>
      </w:r>
      <w:r w:rsidR="005172F9">
        <w:rPr>
          <w:b/>
          <w:bCs/>
          <w:sz w:val="23"/>
          <w:szCs w:val="23"/>
        </w:rPr>
        <w:t xml:space="preserve"> et toners</w:t>
      </w:r>
    </w:p>
    <w:p w:rsidR="00A77421" w:rsidRDefault="00A77421" w:rsidP="00A77421">
      <w:pPr>
        <w:pStyle w:val="Default"/>
        <w:jc w:val="center"/>
        <w:rPr>
          <w:b/>
          <w:bCs/>
          <w:sz w:val="23"/>
          <w:szCs w:val="23"/>
        </w:rPr>
      </w:pPr>
    </w:p>
    <w:p w:rsidR="00F95247" w:rsidRDefault="00C92F7A" w:rsidP="00A77421">
      <w:pPr>
        <w:pStyle w:val="Default"/>
        <w:rPr>
          <w:sz w:val="23"/>
          <w:szCs w:val="23"/>
        </w:rPr>
      </w:pPr>
      <w:r>
        <w:rPr>
          <w:sz w:val="23"/>
          <w:szCs w:val="23"/>
        </w:rPr>
        <w:t>Conformément</w:t>
      </w:r>
      <w:r w:rsidR="00A77421">
        <w:rPr>
          <w:sz w:val="23"/>
          <w:szCs w:val="23"/>
        </w:rPr>
        <w:t xml:space="preserve"> aux articles </w:t>
      </w:r>
      <w:r w:rsidR="00F95247">
        <w:rPr>
          <w:sz w:val="23"/>
          <w:szCs w:val="23"/>
        </w:rPr>
        <w:t>L2141-1</w:t>
      </w:r>
      <w:r>
        <w:rPr>
          <w:sz w:val="23"/>
          <w:szCs w:val="23"/>
        </w:rPr>
        <w:t xml:space="preserve">, L2141-2, L2141-3, L2141-4, L2141-5, </w:t>
      </w:r>
      <w:r w:rsidR="00F95247">
        <w:rPr>
          <w:sz w:val="23"/>
          <w:szCs w:val="23"/>
        </w:rPr>
        <w:t>R2143-3 du code de la commande Publique</w:t>
      </w:r>
      <w:r>
        <w:rPr>
          <w:sz w:val="23"/>
          <w:szCs w:val="23"/>
        </w:rPr>
        <w:t>,</w:t>
      </w:r>
    </w:p>
    <w:p w:rsidR="00C92F7A" w:rsidRDefault="00C92F7A" w:rsidP="00A77421">
      <w:pPr>
        <w:pStyle w:val="Default"/>
        <w:rPr>
          <w:sz w:val="23"/>
          <w:szCs w:val="23"/>
        </w:rPr>
      </w:pPr>
    </w:p>
    <w:p w:rsidR="00A77421" w:rsidRDefault="00A77421" w:rsidP="00A77421">
      <w:pPr>
        <w:pStyle w:val="Default"/>
        <w:rPr>
          <w:sz w:val="23"/>
          <w:szCs w:val="23"/>
        </w:rPr>
      </w:pPr>
      <w:r>
        <w:rPr>
          <w:sz w:val="23"/>
          <w:szCs w:val="23"/>
        </w:rPr>
        <w:t xml:space="preserve">Le candidat individuel, ou chaque membre du groupement, déclare sur l’honneur : </w:t>
      </w:r>
      <w:bookmarkStart w:id="0" w:name="_GoBack"/>
      <w:bookmarkEnd w:id="0"/>
    </w:p>
    <w:p w:rsidR="00C92F7A" w:rsidRDefault="00C92F7A" w:rsidP="00A77421">
      <w:pPr>
        <w:pStyle w:val="Default"/>
        <w:rPr>
          <w:sz w:val="23"/>
          <w:szCs w:val="23"/>
        </w:rPr>
      </w:pPr>
    </w:p>
    <w:p w:rsidR="00A77421" w:rsidRPr="00802E46" w:rsidRDefault="00A77421" w:rsidP="00C92F7A">
      <w:pPr>
        <w:pStyle w:val="Default"/>
        <w:jc w:val="both"/>
        <w:rPr>
          <w:sz w:val="23"/>
          <w:szCs w:val="23"/>
        </w:rPr>
      </w:pPr>
      <w:r w:rsidRPr="00802E46">
        <w:rPr>
          <w:b/>
          <w:bCs/>
          <w:sz w:val="23"/>
          <w:szCs w:val="23"/>
        </w:rPr>
        <w:t xml:space="preserve">CONDAMNATION DEFINITIVE </w:t>
      </w:r>
    </w:p>
    <w:p w:rsidR="00A77421" w:rsidRPr="00802E46" w:rsidRDefault="00A77421" w:rsidP="00C92F7A">
      <w:pPr>
        <w:pStyle w:val="Default"/>
        <w:jc w:val="both"/>
        <w:rPr>
          <w:sz w:val="23"/>
          <w:szCs w:val="23"/>
        </w:rPr>
      </w:pPr>
      <w:r w:rsidRPr="00802E46">
        <w:rPr>
          <w:sz w:val="23"/>
          <w:szCs w:val="23"/>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L.2339-2 à L. 2339-4, L. 2339-11-1 à L. 2339-11-3 du code de la défense et à l’article L. 317-8 du code de la sécurité intérieure, ou pour une infraction de même nature dans un autre Etat de l’Union Européenne. </w:t>
      </w:r>
    </w:p>
    <w:p w:rsidR="00A77421" w:rsidRPr="00802E46" w:rsidRDefault="00A77421" w:rsidP="00C92F7A">
      <w:pPr>
        <w:pStyle w:val="Default"/>
        <w:jc w:val="both"/>
        <w:rPr>
          <w:sz w:val="23"/>
          <w:szCs w:val="23"/>
        </w:rPr>
      </w:pPr>
      <w:r w:rsidRPr="00802E46">
        <w:rPr>
          <w:sz w:val="23"/>
          <w:szCs w:val="23"/>
        </w:rPr>
        <w:t xml:space="preserve">Ne pas être exclu des marchés publics, à titre de peine principale ou complémentaire prononcée par le juge pénal, sur le fondement des articles 131-10 ou 131-39 du code pénal. </w:t>
      </w:r>
    </w:p>
    <w:p w:rsidR="00C92F7A" w:rsidRPr="00802E46" w:rsidRDefault="00C92F7A" w:rsidP="00C92F7A">
      <w:pPr>
        <w:pStyle w:val="Default"/>
        <w:jc w:val="both"/>
        <w:rPr>
          <w:sz w:val="23"/>
          <w:szCs w:val="23"/>
        </w:rPr>
      </w:pPr>
    </w:p>
    <w:p w:rsidR="00A77421" w:rsidRPr="00802E46" w:rsidRDefault="00A77421" w:rsidP="00C92F7A">
      <w:pPr>
        <w:pStyle w:val="Default"/>
        <w:jc w:val="both"/>
        <w:rPr>
          <w:sz w:val="23"/>
          <w:szCs w:val="23"/>
        </w:rPr>
      </w:pPr>
      <w:r w:rsidRPr="00802E46">
        <w:rPr>
          <w:b/>
          <w:bCs/>
          <w:sz w:val="23"/>
          <w:szCs w:val="23"/>
        </w:rPr>
        <w:t xml:space="preserve">LUTTE CONTRE LE TRAVAIL ILLEGAL </w:t>
      </w:r>
    </w:p>
    <w:p w:rsidR="00A77421" w:rsidRPr="00802E46" w:rsidRDefault="00A77421" w:rsidP="00C92F7A">
      <w:pPr>
        <w:pStyle w:val="Default"/>
        <w:jc w:val="both"/>
        <w:rPr>
          <w:sz w:val="23"/>
          <w:szCs w:val="23"/>
        </w:rPr>
      </w:pPr>
      <w:r w:rsidRPr="00802E46">
        <w:rPr>
          <w:sz w:val="23"/>
          <w:szCs w:val="23"/>
        </w:rPr>
        <w:t xml:space="preserve">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État de l’Union Européenne. </w:t>
      </w:r>
    </w:p>
    <w:p w:rsidR="00A77421" w:rsidRPr="00802E46" w:rsidRDefault="00A77421" w:rsidP="00C92F7A">
      <w:pPr>
        <w:pStyle w:val="Default"/>
        <w:jc w:val="both"/>
        <w:rPr>
          <w:sz w:val="23"/>
          <w:szCs w:val="23"/>
        </w:rPr>
      </w:pPr>
      <w:r w:rsidRPr="00802E46">
        <w:rPr>
          <w:sz w:val="23"/>
          <w:szCs w:val="23"/>
        </w:rPr>
        <w:t xml:space="preserve">Pour les contrats administratifs, ne pas faire l’objet d’une mesure d’exclusion ordonnée par le préfet, en application des articles L. 8272-4, R. 8272-10 et R. 8272-11 du code du travail. </w:t>
      </w:r>
    </w:p>
    <w:p w:rsidR="00C92F7A" w:rsidRPr="00802E46" w:rsidRDefault="00C92F7A" w:rsidP="00C92F7A">
      <w:pPr>
        <w:pStyle w:val="Default"/>
        <w:jc w:val="both"/>
        <w:rPr>
          <w:sz w:val="23"/>
          <w:szCs w:val="23"/>
        </w:rPr>
      </w:pPr>
    </w:p>
    <w:p w:rsidR="00A77421" w:rsidRPr="00802E46" w:rsidRDefault="00A77421" w:rsidP="00C92F7A">
      <w:pPr>
        <w:pStyle w:val="Default"/>
        <w:jc w:val="both"/>
        <w:rPr>
          <w:sz w:val="23"/>
          <w:szCs w:val="23"/>
        </w:rPr>
      </w:pPr>
      <w:r w:rsidRPr="00802E46">
        <w:rPr>
          <w:b/>
          <w:bCs/>
          <w:sz w:val="23"/>
          <w:szCs w:val="23"/>
        </w:rPr>
        <w:t xml:space="preserve">OBLIGATION D’EMPLOI DES TRAVAILLEURS HANDICAPES OU ASSIMILES </w:t>
      </w:r>
    </w:p>
    <w:p w:rsidR="00A77421" w:rsidRPr="00802E46" w:rsidRDefault="00A77421" w:rsidP="00C92F7A">
      <w:pPr>
        <w:pStyle w:val="Default"/>
        <w:jc w:val="both"/>
        <w:rPr>
          <w:sz w:val="23"/>
          <w:szCs w:val="23"/>
        </w:rPr>
      </w:pPr>
      <w:r w:rsidRPr="00802E46">
        <w:rPr>
          <w:sz w:val="23"/>
          <w:szCs w:val="23"/>
        </w:rPr>
        <w:t xml:space="preserve">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rsidR="00C92F7A" w:rsidRPr="00802E46" w:rsidRDefault="00C92F7A" w:rsidP="00C92F7A">
      <w:pPr>
        <w:pStyle w:val="Default"/>
        <w:jc w:val="both"/>
        <w:rPr>
          <w:sz w:val="23"/>
          <w:szCs w:val="23"/>
        </w:rPr>
      </w:pPr>
    </w:p>
    <w:p w:rsidR="00A77421" w:rsidRPr="00802E46" w:rsidRDefault="00A77421" w:rsidP="00C92F7A">
      <w:pPr>
        <w:pStyle w:val="Default"/>
        <w:jc w:val="both"/>
        <w:rPr>
          <w:b/>
          <w:bCs/>
          <w:sz w:val="23"/>
          <w:szCs w:val="23"/>
        </w:rPr>
      </w:pPr>
      <w:r w:rsidRPr="00802E46">
        <w:rPr>
          <w:b/>
          <w:bCs/>
          <w:sz w:val="23"/>
          <w:szCs w:val="23"/>
        </w:rPr>
        <w:t xml:space="preserve">LIQUIDATION JUDICIAIRE </w:t>
      </w:r>
    </w:p>
    <w:p w:rsidR="00C92F7A" w:rsidRPr="00802E46" w:rsidRDefault="00C92F7A" w:rsidP="00C92F7A">
      <w:pPr>
        <w:pStyle w:val="Default"/>
        <w:jc w:val="both"/>
        <w:rPr>
          <w:sz w:val="23"/>
          <w:szCs w:val="23"/>
        </w:rPr>
      </w:pPr>
    </w:p>
    <w:p w:rsidR="00C92F7A" w:rsidRPr="00802E46" w:rsidRDefault="00A77421" w:rsidP="00C92F7A">
      <w:pPr>
        <w:pStyle w:val="Default"/>
        <w:jc w:val="both"/>
        <w:rPr>
          <w:sz w:val="23"/>
          <w:szCs w:val="23"/>
        </w:rPr>
      </w:pPr>
      <w:r w:rsidRPr="00802E46">
        <w:rPr>
          <w:sz w:val="23"/>
          <w:szCs w:val="23"/>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w:t>
      </w:r>
    </w:p>
    <w:p w:rsidR="00A77421" w:rsidRPr="00802E46" w:rsidRDefault="00A77421" w:rsidP="00C92F7A">
      <w:pPr>
        <w:pStyle w:val="Default"/>
        <w:jc w:val="both"/>
        <w:rPr>
          <w:sz w:val="23"/>
          <w:szCs w:val="23"/>
        </w:rPr>
      </w:pPr>
      <w:r w:rsidRPr="00802E46">
        <w:rPr>
          <w:sz w:val="23"/>
          <w:szCs w:val="23"/>
        </w:rPr>
        <w:t xml:space="preserve"> </w:t>
      </w:r>
    </w:p>
    <w:p w:rsidR="00A77421" w:rsidRPr="00802E46" w:rsidRDefault="00A77421" w:rsidP="00C92F7A">
      <w:pPr>
        <w:pStyle w:val="Default"/>
        <w:jc w:val="both"/>
        <w:rPr>
          <w:sz w:val="23"/>
          <w:szCs w:val="23"/>
        </w:rPr>
      </w:pPr>
      <w:r w:rsidRPr="00802E46">
        <w:rPr>
          <w:b/>
          <w:bCs/>
          <w:sz w:val="23"/>
          <w:szCs w:val="23"/>
        </w:rPr>
        <w:t xml:space="preserve">REDRESSEMENT JUDICIAIRE </w:t>
      </w:r>
    </w:p>
    <w:p w:rsidR="00A77421" w:rsidRPr="00802E46" w:rsidRDefault="00A77421" w:rsidP="00C92F7A">
      <w:pPr>
        <w:pStyle w:val="Default"/>
        <w:jc w:val="both"/>
        <w:rPr>
          <w:color w:val="auto"/>
        </w:rPr>
      </w:pPr>
      <w:r w:rsidRPr="00802E46">
        <w:rPr>
          <w:sz w:val="23"/>
          <w:szCs w:val="23"/>
        </w:rPr>
        <w:t xml:space="preserve">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w:t>
      </w:r>
      <w:r w:rsidR="00802E46">
        <w:rPr>
          <w:sz w:val="23"/>
          <w:szCs w:val="23"/>
        </w:rPr>
        <w:t>du marché public ou de l’accord.</w:t>
      </w:r>
    </w:p>
    <w:p w:rsidR="00A77421" w:rsidRPr="00802E46" w:rsidRDefault="00A77421" w:rsidP="00C92F7A">
      <w:pPr>
        <w:pStyle w:val="Default"/>
        <w:pageBreakBefore/>
        <w:jc w:val="both"/>
        <w:rPr>
          <w:color w:val="auto"/>
          <w:sz w:val="23"/>
          <w:szCs w:val="23"/>
        </w:rPr>
      </w:pPr>
      <w:r w:rsidRPr="00802E46">
        <w:rPr>
          <w:b/>
          <w:bCs/>
          <w:color w:val="auto"/>
          <w:sz w:val="23"/>
          <w:szCs w:val="23"/>
        </w:rPr>
        <w:lastRenderedPageBreak/>
        <w:t xml:space="preserve">SITUATION FISCALE ET SOCIALE </w:t>
      </w:r>
    </w:p>
    <w:p w:rsidR="00A77421" w:rsidRDefault="00A77421" w:rsidP="00C92F7A">
      <w:pPr>
        <w:pStyle w:val="Default"/>
        <w:jc w:val="both"/>
        <w:rPr>
          <w:color w:val="auto"/>
          <w:sz w:val="23"/>
          <w:szCs w:val="23"/>
        </w:rPr>
      </w:pPr>
      <w:r w:rsidRPr="00802E46">
        <w:rPr>
          <w:color w:val="auto"/>
          <w:sz w:val="23"/>
          <w:szCs w:val="23"/>
        </w:rPr>
        <w:t xml:space="preserve">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802E46" w:rsidRPr="00802E46" w:rsidRDefault="00802E46" w:rsidP="00C92F7A">
      <w:pPr>
        <w:pStyle w:val="Default"/>
        <w:jc w:val="both"/>
        <w:rPr>
          <w:color w:val="auto"/>
          <w:sz w:val="23"/>
          <w:szCs w:val="23"/>
        </w:rPr>
      </w:pPr>
    </w:p>
    <w:p w:rsidR="00A77421" w:rsidRPr="00802E46" w:rsidRDefault="00A77421" w:rsidP="00C92F7A">
      <w:pPr>
        <w:pStyle w:val="Default"/>
        <w:jc w:val="both"/>
        <w:rPr>
          <w:color w:val="auto"/>
          <w:sz w:val="23"/>
          <w:szCs w:val="23"/>
        </w:rPr>
      </w:pPr>
      <w:r w:rsidRPr="00802E46">
        <w:rPr>
          <w:b/>
          <w:bCs/>
          <w:color w:val="auto"/>
          <w:sz w:val="23"/>
          <w:szCs w:val="23"/>
        </w:rPr>
        <w:t xml:space="preserve">EGALITE PROFESSIONNELLE ENTRE LES FEMMES ET LES HOMMES </w:t>
      </w:r>
    </w:p>
    <w:p w:rsidR="00A77421" w:rsidRPr="00802E46" w:rsidRDefault="00A77421" w:rsidP="00C92F7A">
      <w:pPr>
        <w:pStyle w:val="Default"/>
        <w:jc w:val="both"/>
        <w:rPr>
          <w:color w:val="auto"/>
          <w:sz w:val="23"/>
          <w:szCs w:val="23"/>
        </w:rPr>
      </w:pPr>
      <w:r w:rsidRPr="00802E46">
        <w:rPr>
          <w:color w:val="auto"/>
          <w:sz w:val="23"/>
          <w:szCs w:val="23"/>
        </w:rPr>
        <w:t xml:space="preserve">Ne pas avoir fait l’objet, depuis moins de cinq ans, d’une condamnation inscrite au bulletin n° 2 du casier judiciaire pour les infractions mentionnées à l’article L. 1146-1 du code du travail. </w:t>
      </w:r>
    </w:p>
    <w:p w:rsidR="00A77421" w:rsidRDefault="00A77421" w:rsidP="00C92F7A">
      <w:pPr>
        <w:pStyle w:val="Default"/>
        <w:jc w:val="both"/>
        <w:rPr>
          <w:color w:val="auto"/>
          <w:sz w:val="23"/>
          <w:szCs w:val="23"/>
        </w:rPr>
      </w:pPr>
      <w:r w:rsidRPr="00802E46">
        <w:rPr>
          <w:color w:val="auto"/>
          <w:sz w:val="23"/>
          <w:szCs w:val="23"/>
        </w:rPr>
        <w:t xml:space="preserve">Avoir au 31 décembre de l’année précédant celle au cours de laquelle a lieu le lancement de la consultation, mis en </w:t>
      </w:r>
      <w:r w:rsidR="00802E46" w:rsidRPr="00802E46">
        <w:rPr>
          <w:color w:val="auto"/>
          <w:sz w:val="23"/>
          <w:szCs w:val="23"/>
        </w:rPr>
        <w:t>œuvre</w:t>
      </w:r>
      <w:r w:rsidRPr="00802E46">
        <w:rPr>
          <w:color w:val="auto"/>
          <w:sz w:val="23"/>
          <w:szCs w:val="23"/>
        </w:rPr>
        <w:t xml:space="preserve"> l’obligation de négociation prévue à l’article L. 2242-5 du code du travail ou, à défaut, avoir réalisé ou engagé la régularisation de cette situat</w:t>
      </w:r>
      <w:r w:rsidR="00802E46">
        <w:rPr>
          <w:color w:val="auto"/>
          <w:sz w:val="23"/>
          <w:szCs w:val="23"/>
        </w:rPr>
        <w:t>ion à la date de la soumission.</w:t>
      </w:r>
    </w:p>
    <w:p w:rsidR="00802E46" w:rsidRDefault="00802E46" w:rsidP="00C92F7A">
      <w:pPr>
        <w:pStyle w:val="Default"/>
        <w:jc w:val="both"/>
        <w:rPr>
          <w:color w:val="auto"/>
          <w:sz w:val="23"/>
          <w:szCs w:val="23"/>
        </w:rPr>
      </w:pPr>
    </w:p>
    <w:p w:rsidR="00802E46" w:rsidRPr="00802E46" w:rsidRDefault="00802E46" w:rsidP="00C92F7A">
      <w:pPr>
        <w:pStyle w:val="Default"/>
        <w:jc w:val="both"/>
        <w:rPr>
          <w:color w:val="auto"/>
          <w:sz w:val="23"/>
          <w:szCs w:val="23"/>
        </w:rPr>
      </w:pPr>
    </w:p>
    <w:p w:rsidR="00C92F7A" w:rsidRPr="00802E46" w:rsidRDefault="00C92F7A" w:rsidP="00C92F7A">
      <w:pPr>
        <w:pStyle w:val="Default"/>
        <w:jc w:val="both"/>
        <w:rPr>
          <w:color w:val="auto"/>
          <w:sz w:val="23"/>
          <w:szCs w:val="23"/>
        </w:rPr>
      </w:pPr>
    </w:p>
    <w:p w:rsidR="00A77421" w:rsidRPr="00802E46" w:rsidRDefault="00A77421" w:rsidP="00C92F7A">
      <w:pPr>
        <w:pStyle w:val="Default"/>
        <w:jc w:val="both"/>
        <w:rPr>
          <w:color w:val="auto"/>
          <w:sz w:val="23"/>
          <w:szCs w:val="23"/>
        </w:rPr>
      </w:pPr>
      <w:r w:rsidRPr="00802E46">
        <w:rPr>
          <w:color w:val="auto"/>
          <w:sz w:val="23"/>
          <w:szCs w:val="23"/>
        </w:rPr>
        <w:t xml:space="preserve">Fait </w:t>
      </w:r>
      <w:proofErr w:type="gramStart"/>
      <w:r w:rsidRPr="00802E46">
        <w:rPr>
          <w:color w:val="auto"/>
          <w:sz w:val="23"/>
          <w:szCs w:val="23"/>
        </w:rPr>
        <w:t>à ,</w:t>
      </w:r>
      <w:proofErr w:type="gramEnd"/>
      <w:r w:rsidRPr="00802E46">
        <w:rPr>
          <w:color w:val="auto"/>
          <w:sz w:val="23"/>
          <w:szCs w:val="23"/>
        </w:rPr>
        <w:t xml:space="preserve"> le </w:t>
      </w:r>
    </w:p>
    <w:p w:rsidR="00A77421" w:rsidRPr="00802E46" w:rsidRDefault="00A77421" w:rsidP="00C92F7A">
      <w:pPr>
        <w:pStyle w:val="Default"/>
        <w:jc w:val="both"/>
        <w:rPr>
          <w:color w:val="auto"/>
          <w:sz w:val="23"/>
          <w:szCs w:val="23"/>
        </w:rPr>
      </w:pPr>
      <w:r w:rsidRPr="00802E46">
        <w:rPr>
          <w:color w:val="auto"/>
          <w:sz w:val="23"/>
          <w:szCs w:val="23"/>
        </w:rPr>
        <w:t xml:space="preserve">Nom : Prénom : </w:t>
      </w:r>
    </w:p>
    <w:p w:rsidR="00A77421" w:rsidRDefault="00A77421" w:rsidP="00C92F7A">
      <w:pPr>
        <w:pStyle w:val="Default"/>
        <w:jc w:val="both"/>
        <w:rPr>
          <w:color w:val="auto"/>
          <w:sz w:val="23"/>
          <w:szCs w:val="23"/>
        </w:rPr>
      </w:pPr>
      <w:r w:rsidRPr="00802E46">
        <w:rPr>
          <w:color w:val="auto"/>
          <w:sz w:val="23"/>
          <w:szCs w:val="23"/>
        </w:rPr>
        <w:t>Qualité :</w:t>
      </w:r>
      <w:r>
        <w:rPr>
          <w:color w:val="auto"/>
          <w:sz w:val="23"/>
          <w:szCs w:val="23"/>
        </w:rPr>
        <w:t xml:space="preserve"> </w:t>
      </w:r>
    </w:p>
    <w:p w:rsidR="00670B7C" w:rsidRDefault="00A77421" w:rsidP="00C92F7A">
      <w:pPr>
        <w:jc w:val="both"/>
      </w:pPr>
      <w:r>
        <w:rPr>
          <w:sz w:val="23"/>
          <w:szCs w:val="23"/>
        </w:rPr>
        <w:t>Signature et Cachet de la société</w:t>
      </w:r>
    </w:p>
    <w:sectPr w:rsidR="00670B7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247" w:rsidRDefault="00F95247" w:rsidP="00F95247">
      <w:pPr>
        <w:spacing w:after="0" w:line="240" w:lineRule="auto"/>
      </w:pPr>
      <w:r>
        <w:separator/>
      </w:r>
    </w:p>
  </w:endnote>
  <w:endnote w:type="continuationSeparator" w:id="0">
    <w:p w:rsidR="00F95247" w:rsidRDefault="00F95247" w:rsidP="00F95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247" w:rsidRDefault="00F95247" w:rsidP="00F95247">
      <w:pPr>
        <w:spacing w:after="0" w:line="240" w:lineRule="auto"/>
      </w:pPr>
      <w:r>
        <w:separator/>
      </w:r>
    </w:p>
  </w:footnote>
  <w:footnote w:type="continuationSeparator" w:id="0">
    <w:p w:rsidR="00F95247" w:rsidRDefault="00F95247" w:rsidP="00F95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247" w:rsidRDefault="00C92F7A">
    <w:pPr>
      <w:pStyle w:val="En-tte"/>
    </w:pPr>
    <w:r>
      <w:rPr>
        <w:noProof/>
        <w:lang w:eastAsia="fr-FR"/>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F5753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background1"/>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92F7A" w:rsidRDefault="00481FB2">
                              <w:pPr>
                                <w:pStyle w:val="En-tte"/>
                                <w:jc w:val="center"/>
                                <w:rPr>
                                  <w:caps/>
                                  <w:color w:val="FFFFFF" w:themeColor="background1"/>
                                </w:rPr>
                              </w:pPr>
                              <w:r>
                                <w:rPr>
                                  <w:b/>
                                  <w:caps/>
                                  <w:color w:val="FFFFFF" w:themeColor="background1"/>
                                </w:rPr>
                                <w:t>Marché 20</w:t>
                              </w:r>
                              <w:r w:rsidR="00621316">
                                <w:rPr>
                                  <w:b/>
                                  <w:caps/>
                                  <w:color w:val="FFFFFF" w:themeColor="background1"/>
                                </w:rPr>
                                <w:t>25-</w:t>
                              </w:r>
                              <w:r w:rsidR="005172F9">
                                <w:rPr>
                                  <w:b/>
                                  <w:caps/>
                                  <w:color w:val="FFFFFF" w:themeColor="background1"/>
                                </w:rPr>
                                <w:t>2</w:t>
                              </w:r>
                              <w:r w:rsidR="00621316">
                                <w:rPr>
                                  <w:b/>
                                  <w:caps/>
                                  <w:color w:val="FFFFFF" w:themeColor="background1"/>
                                </w:rPr>
                                <w:t xml:space="preserve"> </w:t>
                              </w:r>
                              <w:r w:rsidR="00C92F7A" w:rsidRPr="00C92F7A">
                                <w:rPr>
                                  <w:b/>
                                  <w:caps/>
                                  <w:color w:val="FFFFFF" w:themeColor="background1"/>
                                </w:rPr>
                                <w:t>– inu champollion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" o:allowoverlap="f" fillcolor="#f5753b" stroked="f" strokeweight="1pt">
              <v:textbox style="mso-fit-shape-to-text:t">
                <w:txbxContent>
                  <w:sdt>
                    <w:sdtPr>
                      <w:rPr>
                        <w:b/>
                        <w:caps/>
                        <w:color w:val="FFFFFF" w:themeColor="background1"/>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92F7A" w:rsidRDefault="00481FB2">
                        <w:pPr>
                          <w:pStyle w:val="En-tte"/>
                          <w:jc w:val="center"/>
                          <w:rPr>
                            <w:caps/>
                            <w:color w:val="FFFFFF" w:themeColor="background1"/>
                          </w:rPr>
                        </w:pPr>
                        <w:r>
                          <w:rPr>
                            <w:b/>
                            <w:caps/>
                            <w:color w:val="FFFFFF" w:themeColor="background1"/>
                          </w:rPr>
                          <w:t>Marché 20</w:t>
                        </w:r>
                        <w:r w:rsidR="00621316">
                          <w:rPr>
                            <w:b/>
                            <w:caps/>
                            <w:color w:val="FFFFFF" w:themeColor="background1"/>
                          </w:rPr>
                          <w:t>25-</w:t>
                        </w:r>
                        <w:r w:rsidR="005172F9">
                          <w:rPr>
                            <w:b/>
                            <w:caps/>
                            <w:color w:val="FFFFFF" w:themeColor="background1"/>
                          </w:rPr>
                          <w:t>2</w:t>
                        </w:r>
                        <w:r w:rsidR="00621316">
                          <w:rPr>
                            <w:b/>
                            <w:caps/>
                            <w:color w:val="FFFFFF" w:themeColor="background1"/>
                          </w:rPr>
                          <w:t xml:space="preserve"> </w:t>
                        </w:r>
                        <w:r w:rsidR="00C92F7A" w:rsidRPr="00C92F7A">
                          <w:rPr>
                            <w:b/>
                            <w:caps/>
                            <w:color w:val="FFFFFF" w:themeColor="background1"/>
                          </w:rPr>
                          <w:t>– inu champollion</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126"/>
    <w:rsid w:val="000A2126"/>
    <w:rsid w:val="00481FB2"/>
    <w:rsid w:val="005172F9"/>
    <w:rsid w:val="00621316"/>
    <w:rsid w:val="00670B7C"/>
    <w:rsid w:val="00802E46"/>
    <w:rsid w:val="00A77421"/>
    <w:rsid w:val="00C92F7A"/>
    <w:rsid w:val="00F952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3BEFDA"/>
  <w15:chartTrackingRefBased/>
  <w15:docId w15:val="{94D42B55-2758-4B52-9664-D9BD4F29F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A77421"/>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F95247"/>
    <w:pPr>
      <w:tabs>
        <w:tab w:val="center" w:pos="4536"/>
        <w:tab w:val="right" w:pos="9072"/>
      </w:tabs>
      <w:spacing w:after="0" w:line="240" w:lineRule="auto"/>
    </w:pPr>
  </w:style>
  <w:style w:type="character" w:customStyle="1" w:styleId="En-tteCar">
    <w:name w:val="En-tête Car"/>
    <w:basedOn w:val="Policepardfaut"/>
    <w:link w:val="En-tte"/>
    <w:uiPriority w:val="99"/>
    <w:rsid w:val="00F95247"/>
  </w:style>
  <w:style w:type="paragraph" w:styleId="Pieddepage">
    <w:name w:val="footer"/>
    <w:basedOn w:val="Normal"/>
    <w:link w:val="PieddepageCar"/>
    <w:uiPriority w:val="99"/>
    <w:unhideWhenUsed/>
    <w:rsid w:val="00F952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5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3414</Characters>
  <Application>Microsoft Office Word</Application>
  <DocSecurity>4</DocSecurity>
  <Lines>28</Lines>
  <Paragraphs>8</Paragraphs>
  <ScaleCrop>false</ScaleCrop>
  <HeadingPairs>
    <vt:vector size="2" baseType="variant">
      <vt:variant>
        <vt:lpstr>Titre</vt:lpstr>
      </vt:variant>
      <vt:variant>
        <vt:i4>1</vt:i4>
      </vt:variant>
    </vt:vector>
  </HeadingPairs>
  <TitlesOfParts>
    <vt:vector size="1" baseType="lpstr">
      <vt:lpstr>Marché 2025-2 – inu champollion</vt:lpstr>
    </vt:vector>
  </TitlesOfParts>
  <Company>INUC</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2025-2 – inu champollion</dc:title>
  <dc:subject/>
  <dc:creator>cfromion</dc:creator>
  <cp:keywords/>
  <dc:description/>
  <cp:lastModifiedBy>ladami</cp:lastModifiedBy>
  <cp:revision>2</cp:revision>
  <dcterms:created xsi:type="dcterms:W3CDTF">2025-05-12T10:04:00Z</dcterms:created>
  <dcterms:modified xsi:type="dcterms:W3CDTF">2025-05-12T10:04:00Z</dcterms:modified>
</cp:coreProperties>
</file>