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DFBAC61" w:rsidR="009D60D5" w:rsidRPr="001B5605" w:rsidRDefault="00A4269D"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A4D8D">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4EC73EA7" w:rsidR="00741D2D" w:rsidRPr="001B5605" w:rsidRDefault="00540DA7" w:rsidP="00996FEA">
            <w:pPr>
              <w:rPr>
                <w:rFonts w:asciiTheme="minorHAnsi" w:hAnsiTheme="minorHAnsi" w:cs="Arial"/>
                <w:sz w:val="24"/>
              </w:rPr>
            </w:pPr>
            <w:r w:rsidRPr="001B5605">
              <w:rPr>
                <w:rFonts w:asciiTheme="minorHAnsi" w:hAnsiTheme="minorHAnsi" w:cs="Arial"/>
                <w:i/>
                <w:sz w:val="24"/>
                <w:highlight w:val="yellow"/>
              </w:rPr>
              <w:t xml:space="preserve">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37A1FFD" w14:textId="0177881B" w:rsidR="00241B12" w:rsidRDefault="00241B12" w:rsidP="00241B12">
            <w:pPr>
              <w:jc w:val="both"/>
            </w:pPr>
            <w:r>
              <w:t xml:space="preserve">Recrutement d’un cabinet pour une </w:t>
            </w:r>
            <w:r w:rsidRPr="001E3C1C">
              <w:t>Assistance Technique principale</w:t>
            </w:r>
            <w:r>
              <w:t xml:space="preserve"> en Appui</w:t>
            </w:r>
            <w:r w:rsidRPr="001E3C1C">
              <w:t xml:space="preserve"> à la mise en œuvre des Revues conjointes annuelles du Secteur de l’Agriculture, de la Pêche et de l’Artisanat de – 202</w:t>
            </w:r>
            <w:r>
              <w:t>4</w:t>
            </w:r>
            <w:r w:rsidRPr="001E3C1C">
              <w:t>-202</w:t>
            </w:r>
            <w:r>
              <w:t>5.</w:t>
            </w:r>
          </w:p>
          <w:p w14:paraId="2F2A26E5" w14:textId="77777777" w:rsidR="00241B12" w:rsidRPr="00084233" w:rsidRDefault="00241B12" w:rsidP="00241B12">
            <w:pPr>
              <w:pStyle w:val="Paragraphedeliste"/>
              <w:numPr>
                <w:ilvl w:val="0"/>
                <w:numId w:val="66"/>
              </w:numPr>
              <w:jc w:val="both"/>
              <w:rPr>
                <w:rFonts w:cs="Arial"/>
                <w:color w:val="0070C0"/>
              </w:rPr>
            </w:pPr>
            <w:r w:rsidRPr="00084233">
              <w:rPr>
                <w:rFonts w:cs="Arial"/>
                <w:color w:val="0070C0"/>
              </w:rPr>
              <w:t>Expert 1 : Expert, chef de mission, spécialiste en analyse des politiques publiques</w:t>
            </w:r>
          </w:p>
          <w:p w14:paraId="7F22EDF0" w14:textId="739A2877" w:rsidR="00241B12" w:rsidRDefault="00241B12" w:rsidP="00241B12">
            <w:pPr>
              <w:pStyle w:val="Paragraphedeliste"/>
              <w:numPr>
                <w:ilvl w:val="0"/>
                <w:numId w:val="66"/>
              </w:numPr>
              <w:jc w:val="both"/>
              <w:rPr>
                <w:rFonts w:cs="Arial"/>
                <w:color w:val="0070C0"/>
              </w:rPr>
            </w:pPr>
            <w:r w:rsidRPr="00084233">
              <w:rPr>
                <w:rFonts w:cs="Arial"/>
                <w:color w:val="0070C0"/>
              </w:rPr>
              <w:t>Expert 2 : Expert en Sécurité alimentaire et nutritionnelle</w:t>
            </w:r>
          </w:p>
          <w:p w14:paraId="7E809CC5" w14:textId="073EC922" w:rsidR="00741D2D" w:rsidRPr="00241B12" w:rsidRDefault="00241B12" w:rsidP="00241B12">
            <w:pPr>
              <w:pStyle w:val="Paragraphedeliste"/>
              <w:numPr>
                <w:ilvl w:val="0"/>
                <w:numId w:val="66"/>
              </w:numPr>
              <w:jc w:val="both"/>
              <w:rPr>
                <w:rFonts w:cs="Arial"/>
                <w:color w:val="0070C0"/>
              </w:rPr>
            </w:pPr>
            <w:r w:rsidRPr="00241B12">
              <w:rPr>
                <w:rFonts w:cs="Arial"/>
                <w:color w:val="0070C0"/>
              </w:rPr>
              <w:t>Expert 3 : Expert en développement Agricole/rural</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7A4D8D" w:rsidRDefault="00580C7F" w:rsidP="002F072C">
            <w:pPr>
              <w:rPr>
                <w:rFonts w:asciiTheme="minorHAnsi" w:hAnsiTheme="minorHAnsi" w:cs="Arial"/>
                <w:sz w:val="22"/>
                <w:szCs w:val="22"/>
              </w:rPr>
            </w:pPr>
          </w:p>
          <w:p w14:paraId="09B0A4B2" w14:textId="77777777" w:rsidR="001B5605" w:rsidRPr="007A4D8D" w:rsidRDefault="001B5605" w:rsidP="002F072C">
            <w:pPr>
              <w:rPr>
                <w:rFonts w:asciiTheme="minorHAnsi" w:hAnsiTheme="minorHAnsi" w:cs="Arial"/>
                <w:sz w:val="22"/>
                <w:szCs w:val="22"/>
              </w:rPr>
            </w:pPr>
          </w:p>
          <w:p w14:paraId="58AAEC59" w14:textId="77777777" w:rsidR="0084564E" w:rsidRPr="007A4D8D" w:rsidRDefault="0084564E" w:rsidP="002F072C">
            <w:pPr>
              <w:rPr>
                <w:rFonts w:asciiTheme="minorHAnsi" w:hAnsiTheme="minorHAnsi" w:cs="Arial"/>
                <w:sz w:val="22"/>
                <w:szCs w:val="22"/>
              </w:rPr>
            </w:pPr>
          </w:p>
          <w:p w14:paraId="3039E833" w14:textId="77777777" w:rsidR="001B5605" w:rsidRPr="007A4D8D"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A4D8D"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7A4D8D" w:rsidRDefault="002129B8" w:rsidP="002129B8">
                  <w:pPr>
                    <w:spacing w:before="120" w:after="120"/>
                    <w:rPr>
                      <w:rFonts w:asciiTheme="minorHAnsi" w:hAnsiTheme="minorHAnsi"/>
                      <w:b/>
                      <w:smallCaps/>
                      <w:sz w:val="22"/>
                      <w:szCs w:val="22"/>
                    </w:rPr>
                  </w:pPr>
                  <w:r w:rsidRPr="007A4D8D">
                    <w:rPr>
                      <w:rFonts w:asciiTheme="minorHAnsi" w:hAnsiTheme="minorHAnsi"/>
                      <w:b/>
                      <w:smallCaps/>
                      <w:sz w:val="22"/>
                      <w:szCs w:val="22"/>
                    </w:rPr>
                    <w:t>Date de notification:</w:t>
                  </w:r>
                  <w:r w:rsidRPr="007A4D8D">
                    <w:rPr>
                      <w:rFonts w:asciiTheme="minorHAnsi" w:hAnsiTheme="minorHAnsi"/>
                      <w:b/>
                      <w:smallCaps/>
                      <w:sz w:val="22"/>
                      <w:szCs w:val="22"/>
                    </w:rPr>
                    <w:tab/>
                  </w:r>
                  <w:r w:rsidRPr="007A4D8D">
                    <w:rPr>
                      <w:rFonts w:asciiTheme="minorHAnsi" w:hAnsiTheme="minorHAnsi"/>
                      <w:b/>
                      <w:smallCaps/>
                      <w:sz w:val="22"/>
                      <w:szCs w:val="22"/>
                    </w:rPr>
                    <w:tab/>
                  </w:r>
                </w:p>
              </w:tc>
            </w:tr>
          </w:tbl>
          <w:p w14:paraId="11489DB7" w14:textId="77777777" w:rsidR="00580C7F" w:rsidRPr="007A4D8D" w:rsidRDefault="00580C7F" w:rsidP="00580C7F">
            <w:pPr>
              <w:rPr>
                <w:rFonts w:asciiTheme="minorHAnsi" w:hAnsiTheme="minorHAnsi" w:cs="Arial"/>
                <w:sz w:val="22"/>
                <w:szCs w:val="22"/>
              </w:rPr>
            </w:pPr>
          </w:p>
          <w:p w14:paraId="29D73C11" w14:textId="77777777" w:rsidR="0084564E" w:rsidRPr="007A4D8D" w:rsidRDefault="0084564E" w:rsidP="00580C7F">
            <w:pPr>
              <w:rPr>
                <w:rFonts w:asciiTheme="minorHAnsi" w:hAnsiTheme="minorHAnsi" w:cs="Arial"/>
                <w:sz w:val="22"/>
                <w:szCs w:val="22"/>
              </w:rPr>
            </w:pPr>
          </w:p>
          <w:p w14:paraId="41280FB3" w14:textId="77777777" w:rsidR="0084564E" w:rsidRPr="007A4D8D" w:rsidRDefault="0084564E" w:rsidP="00580C7F">
            <w:pPr>
              <w:rPr>
                <w:rFonts w:asciiTheme="minorHAnsi" w:hAnsiTheme="minorHAnsi" w:cs="Arial"/>
                <w:sz w:val="22"/>
                <w:szCs w:val="22"/>
              </w:rPr>
            </w:pPr>
          </w:p>
          <w:p w14:paraId="38EF105B" w14:textId="77777777" w:rsidR="0084564E" w:rsidRPr="007A4D8D" w:rsidRDefault="005C7534" w:rsidP="005C7534">
            <w:pPr>
              <w:tabs>
                <w:tab w:val="left" w:pos="6255"/>
              </w:tabs>
              <w:rPr>
                <w:rFonts w:asciiTheme="minorHAnsi" w:hAnsiTheme="minorHAnsi" w:cs="Arial"/>
                <w:sz w:val="22"/>
                <w:szCs w:val="22"/>
              </w:rPr>
            </w:pPr>
            <w:r w:rsidRPr="007A4D8D">
              <w:rPr>
                <w:rFonts w:asciiTheme="minorHAnsi" w:hAnsiTheme="minorHAnsi" w:cs="Arial"/>
                <w:sz w:val="22"/>
                <w:szCs w:val="22"/>
              </w:rPr>
              <w:tab/>
            </w:r>
          </w:p>
          <w:p w14:paraId="46535417" w14:textId="77777777" w:rsidR="0084564E" w:rsidRPr="007A4D8D"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7A4D8D" w:rsidRDefault="00554974" w:rsidP="00A86E43">
            <w:pPr>
              <w:pBdr>
                <w:top w:val="single" w:sz="4" w:space="1" w:color="auto"/>
              </w:pBdr>
              <w:tabs>
                <w:tab w:val="right" w:pos="9356"/>
              </w:tabs>
              <w:rPr>
                <w:rFonts w:asciiTheme="minorHAnsi" w:hAnsiTheme="minorHAnsi" w:cstheme="minorHAnsi"/>
                <w:sz w:val="22"/>
                <w:szCs w:val="22"/>
              </w:rPr>
            </w:pPr>
            <w:r w:rsidRPr="007A4D8D">
              <w:rPr>
                <w:rFonts w:asciiTheme="minorHAnsi" w:hAnsiTheme="minorHAnsi" w:cstheme="minorHAnsi"/>
                <w:sz w:val="22"/>
                <w:szCs w:val="22"/>
              </w:rPr>
              <w:t xml:space="preserve">Le présent contrat est soumis au Code de la commande publique </w:t>
            </w:r>
            <w:r w:rsidR="00F4232F" w:rsidRPr="007A4D8D">
              <w:rPr>
                <w:rFonts w:asciiTheme="minorHAnsi" w:hAnsiTheme="minorHAnsi" w:cstheme="minorHAnsi"/>
                <w:sz w:val="22"/>
                <w:szCs w:val="22"/>
              </w:rPr>
              <w:t xml:space="preserve">français </w:t>
            </w:r>
            <w:r w:rsidRPr="007A4D8D">
              <w:rPr>
                <w:rFonts w:asciiTheme="minorHAnsi" w:hAnsiTheme="minorHAnsi" w:cstheme="minorHAnsi"/>
                <w:sz w:val="22"/>
                <w:szCs w:val="22"/>
              </w:rPr>
              <w:t>(CCP)</w:t>
            </w:r>
            <w:r w:rsidR="00161128" w:rsidRPr="007A4D8D">
              <w:rPr>
                <w:rFonts w:asciiTheme="minorHAnsi" w:hAnsiTheme="minorHAnsi" w:cstheme="minorHAnsi"/>
                <w:sz w:val="22"/>
                <w:szCs w:val="22"/>
              </w:rPr>
              <w:t xml:space="preserve"> dans sa version en vigueur issu</w:t>
            </w:r>
            <w:r w:rsidR="00F7095D" w:rsidRPr="007A4D8D">
              <w:rPr>
                <w:rFonts w:asciiTheme="minorHAnsi" w:hAnsiTheme="minorHAnsi" w:cstheme="minorHAnsi"/>
                <w:sz w:val="22"/>
                <w:szCs w:val="22"/>
              </w:rPr>
              <w:t>e</w:t>
            </w:r>
            <w:r w:rsidR="00161128" w:rsidRPr="007A4D8D">
              <w:rPr>
                <w:rFonts w:asciiTheme="minorHAnsi" w:hAnsiTheme="minorHAnsi" w:cstheme="minorHAnsi"/>
                <w:sz w:val="22"/>
                <w:szCs w:val="22"/>
              </w:rPr>
              <w:t xml:space="preserve"> de l'</w:t>
            </w:r>
            <w:hyperlink r:id="rId8" w:history="1">
              <w:r w:rsidR="00161128" w:rsidRPr="007A4D8D">
                <w:rPr>
                  <w:rStyle w:val="Lienhypertexte"/>
                  <w:rFonts w:asciiTheme="minorHAnsi" w:hAnsiTheme="minorHAnsi" w:cstheme="minorHAnsi"/>
                  <w:sz w:val="22"/>
                  <w:szCs w:val="22"/>
                </w:rPr>
                <w:t>ordonnance n° 2018-1074 du 26 novembre 2018</w:t>
              </w:r>
            </w:hyperlink>
            <w:r w:rsidR="00161128" w:rsidRPr="007A4D8D">
              <w:rPr>
                <w:rFonts w:asciiTheme="minorHAnsi" w:hAnsiTheme="minorHAnsi" w:cstheme="minorHAnsi"/>
                <w:sz w:val="22"/>
                <w:szCs w:val="22"/>
              </w:rPr>
              <w:t xml:space="preserve"> portant partie législative et du </w:t>
            </w:r>
            <w:hyperlink r:id="rId9" w:history="1">
              <w:r w:rsidR="00161128" w:rsidRPr="007A4D8D">
                <w:rPr>
                  <w:rStyle w:val="Lienhypertexte"/>
                  <w:rFonts w:asciiTheme="minorHAnsi" w:hAnsiTheme="minorHAnsi" w:cstheme="minorHAnsi"/>
                  <w:sz w:val="22"/>
                  <w:szCs w:val="22"/>
                </w:rPr>
                <w:t>décret n° 2018-1075 du 3 décembre 2018</w:t>
              </w:r>
            </w:hyperlink>
            <w:r w:rsidR="00161128" w:rsidRPr="007A4D8D">
              <w:rPr>
                <w:rFonts w:asciiTheme="minorHAnsi" w:hAnsiTheme="minorHAnsi" w:cstheme="minorHAnsi"/>
                <w:sz w:val="22"/>
                <w:szCs w:val="22"/>
              </w:rPr>
              <w:t xml:space="preserve"> portant part</w:t>
            </w:r>
            <w:r w:rsidR="00192EDE" w:rsidRPr="007A4D8D">
              <w:rPr>
                <w:rFonts w:asciiTheme="minorHAnsi" w:hAnsiTheme="minorHAnsi" w:cstheme="minorHAnsi"/>
                <w:sz w:val="22"/>
                <w:szCs w:val="22"/>
              </w:rPr>
              <w:t>ie réglementaire du C</w:t>
            </w:r>
            <w:r w:rsidR="00E36430" w:rsidRPr="007A4D8D">
              <w:rPr>
                <w:rFonts w:asciiTheme="minorHAnsi" w:hAnsiTheme="minorHAnsi" w:cstheme="minorHAnsi"/>
                <w:sz w:val="22"/>
                <w:szCs w:val="22"/>
              </w:rPr>
              <w:t>ode de la commande publique.</w:t>
            </w:r>
          </w:p>
          <w:p w14:paraId="1BB67989" w14:textId="48E64090" w:rsidR="00554974" w:rsidRPr="007A4D8D" w:rsidRDefault="00801ECC" w:rsidP="00511F40">
            <w:pPr>
              <w:tabs>
                <w:tab w:val="left" w:pos="510"/>
                <w:tab w:val="left" w:pos="10977"/>
              </w:tabs>
              <w:spacing w:before="120"/>
              <w:ind w:right="83"/>
              <w:jc w:val="both"/>
              <w:rPr>
                <w:rFonts w:asciiTheme="minorHAnsi" w:hAnsiTheme="minorHAnsi" w:cstheme="minorHAnsi"/>
                <w:sz w:val="22"/>
                <w:szCs w:val="22"/>
              </w:rPr>
            </w:pPr>
            <w:r w:rsidRPr="007A4D8D">
              <w:rPr>
                <w:rFonts w:asciiTheme="minorHAnsi" w:hAnsiTheme="minorHAnsi" w:cstheme="minorHAnsi"/>
                <w:sz w:val="22"/>
                <w:szCs w:val="22"/>
              </w:rPr>
              <w:t xml:space="preserve">Il est passé par </w:t>
            </w:r>
            <w:r w:rsidR="00241B12" w:rsidRPr="007A4D8D">
              <w:rPr>
                <w:rFonts w:asciiTheme="minorHAnsi" w:hAnsiTheme="minorHAnsi" w:cstheme="minorHAnsi"/>
                <w:sz w:val="22"/>
                <w:szCs w:val="22"/>
              </w:rPr>
              <w:t xml:space="preserve">une </w:t>
            </w:r>
            <w:r w:rsidRPr="007A4D8D">
              <w:rPr>
                <w:rFonts w:asciiTheme="minorHAnsi" w:hAnsiTheme="minorHAnsi" w:cstheme="minorHAnsi"/>
                <w:sz w:val="22"/>
                <w:szCs w:val="22"/>
              </w:rPr>
              <w:t xml:space="preserve">procédure adaptée en application </w:t>
            </w:r>
            <w:r w:rsidR="00554974" w:rsidRPr="007A4D8D">
              <w:rPr>
                <w:rFonts w:asciiTheme="minorHAnsi" w:hAnsiTheme="minorHAnsi" w:cstheme="minorHAnsi"/>
                <w:sz w:val="22"/>
                <w:szCs w:val="22"/>
              </w:rPr>
              <w:t>des articles L. 2123-1 et R. 2123-1 au R. 2123-7 du CCP</w:t>
            </w:r>
          </w:p>
          <w:p w14:paraId="42614EF7" w14:textId="1A722B18" w:rsidR="00707B69" w:rsidRPr="007A4D8D" w:rsidRDefault="00707B69" w:rsidP="00C25BF9">
            <w:pPr>
              <w:tabs>
                <w:tab w:val="left" w:pos="510"/>
                <w:tab w:val="left" w:pos="10977"/>
              </w:tabs>
              <w:spacing w:before="120"/>
              <w:ind w:right="83"/>
              <w:jc w:val="both"/>
              <w:rPr>
                <w:rFonts w:asciiTheme="minorHAnsi" w:hAnsiTheme="minorHAnsi" w:cs="Arial"/>
                <w:sz w:val="22"/>
                <w:szCs w:val="22"/>
              </w:rPr>
            </w:pPr>
          </w:p>
        </w:tc>
      </w:tr>
    </w:tbl>
    <w:p w14:paraId="0FE9D7F8" w14:textId="4369881D"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A4269D">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A4269D">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A4269D">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A4269D">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A4269D">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A4269D">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A4269D">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A4269D">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A4269D">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A4269D">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A4269D">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A4269D">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A4269D">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A4269D">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A4269D">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A4269D">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A4269D">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A4269D">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A4269D">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A4269D">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A4269D">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A4269D">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A4269D">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A4269D">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A4269D">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A4269D">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A4269D">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A4269D">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A4269D">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A4269D">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A4269D">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A4269D">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A4269D">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A4269D">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A4269D">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A4269D">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A4269D">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A4269D">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A4269D">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A4269D">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A4269D">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A4269D">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13B44853" w14:textId="29AA6FBB" w:rsidR="00241B12" w:rsidRDefault="00241B12" w:rsidP="00241B12">
      <w:pPr>
        <w:widowControl w:val="0"/>
        <w:spacing w:before="120"/>
        <w:rPr>
          <w:rFonts w:asciiTheme="minorHAnsi" w:hAnsiTheme="minorHAnsi" w:cs="Arial"/>
          <w:sz w:val="22"/>
        </w:rPr>
      </w:pPr>
      <w:r w:rsidRPr="00607F87">
        <w:rPr>
          <w:rFonts w:asciiTheme="minorHAnsi" w:hAnsiTheme="minorHAnsi" w:cs="Arial"/>
          <w:sz w:val="22"/>
        </w:rPr>
        <w:t>Le présent Contrat de prestation de services s’inscrit dans le cadre du projet de coopération ci-après dénommé le « CONTRAT PRINCIPAL », dont le code est N° CKM 1101 01J/CKM 1101 05N signé le 1er/09/2020 entre L’AFD et Expertise France, portant sur « Appui aux Filières d’exportation et au Développement Rural (AFIDEV) », mis en œuvre par EXPERTISE France.</w:t>
      </w:r>
    </w:p>
    <w:p w14:paraId="496B0F71" w14:textId="77777777" w:rsidR="00241B12" w:rsidRPr="00607F87" w:rsidRDefault="00241B12" w:rsidP="00241B12">
      <w:pPr>
        <w:widowControl w:val="0"/>
        <w:spacing w:before="120"/>
        <w:rPr>
          <w:rFonts w:asciiTheme="minorHAnsi" w:hAnsiTheme="minorHAnsi" w:cs="Arial"/>
          <w:sz w:val="22"/>
        </w:rPr>
      </w:pPr>
      <w:r w:rsidRPr="00607F87">
        <w:rPr>
          <w:rFonts w:asciiTheme="minorHAnsi" w:hAnsiTheme="minorHAnsi" w:cs="Arial"/>
          <w:sz w:val="22"/>
        </w:rPr>
        <w:t>Expertise France demande au Contractant qui l’accepte, de réaliser au titre du présent Contrat les prestations décrites dans l’annexe technique jointe « Cahier des charges ».</w:t>
      </w:r>
    </w:p>
    <w:p w14:paraId="0A8D34B9" w14:textId="77777777" w:rsidR="00241B12" w:rsidRPr="00607F87" w:rsidRDefault="00241B12" w:rsidP="00241B12">
      <w:pPr>
        <w:widowControl w:val="0"/>
        <w:spacing w:before="120"/>
        <w:rPr>
          <w:rFonts w:asciiTheme="minorHAnsi" w:hAnsiTheme="minorHAnsi" w:cs="Arial"/>
          <w:sz w:val="22"/>
        </w:rPr>
      </w:pP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59F0B138" w14:textId="77777777" w:rsidR="00C45A74" w:rsidRDefault="00E551F2" w:rsidP="00C45A74">
      <w:pPr>
        <w:jc w:val="both"/>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C45A74">
        <w:t xml:space="preserve">Recrutement d’un cabinet pour une </w:t>
      </w:r>
      <w:r w:rsidR="00C45A74" w:rsidRPr="001E3C1C">
        <w:t>Assistance Technique principale</w:t>
      </w:r>
      <w:r w:rsidR="00C45A74">
        <w:t xml:space="preserve"> en Appui</w:t>
      </w:r>
      <w:r w:rsidR="00C45A74" w:rsidRPr="001E3C1C">
        <w:t xml:space="preserve"> à la mise en œuvre des Revues conjointes annuelles du Secteur de l’Agriculture, de la Pêche et de l’Artisanat de – 202</w:t>
      </w:r>
      <w:r w:rsidR="00C45A74">
        <w:t>4</w:t>
      </w:r>
      <w:r w:rsidR="00C45A74" w:rsidRPr="001E3C1C">
        <w:t>-202</w:t>
      </w:r>
      <w:r w:rsidR="00C45A74">
        <w:t>5.</w:t>
      </w:r>
    </w:p>
    <w:p w14:paraId="01CB8AAA" w14:textId="77777777" w:rsidR="00C45A74" w:rsidRPr="00084233" w:rsidRDefault="00C45A74" w:rsidP="00C45A74">
      <w:pPr>
        <w:pStyle w:val="Paragraphedeliste"/>
        <w:numPr>
          <w:ilvl w:val="0"/>
          <w:numId w:val="66"/>
        </w:numPr>
        <w:jc w:val="both"/>
        <w:rPr>
          <w:rFonts w:cs="Arial"/>
          <w:color w:val="0070C0"/>
        </w:rPr>
      </w:pPr>
      <w:r w:rsidRPr="00084233">
        <w:rPr>
          <w:rFonts w:cs="Arial"/>
          <w:color w:val="0070C0"/>
        </w:rPr>
        <w:t>Expert 1 : Expert, chef de mission, spécialiste en analyse des politiques publiques</w:t>
      </w:r>
    </w:p>
    <w:p w14:paraId="3D9AF9C2" w14:textId="77777777" w:rsidR="00C45A74" w:rsidRDefault="00C45A74" w:rsidP="00C45A74">
      <w:pPr>
        <w:pStyle w:val="Paragraphedeliste"/>
        <w:numPr>
          <w:ilvl w:val="0"/>
          <w:numId w:val="66"/>
        </w:numPr>
        <w:jc w:val="both"/>
        <w:rPr>
          <w:rFonts w:cs="Arial"/>
          <w:color w:val="0070C0"/>
        </w:rPr>
      </w:pPr>
      <w:r w:rsidRPr="00084233">
        <w:rPr>
          <w:rFonts w:cs="Arial"/>
          <w:color w:val="0070C0"/>
        </w:rPr>
        <w:t>Expert 2 : Expert en Sécurité alimentaire et nutritionnelle</w:t>
      </w:r>
    </w:p>
    <w:p w14:paraId="34E60E59" w14:textId="2F247231" w:rsidR="000A6E96" w:rsidRPr="00C45A74" w:rsidRDefault="00C45A74" w:rsidP="00C45A74">
      <w:pPr>
        <w:pStyle w:val="Paragraphedeliste"/>
        <w:numPr>
          <w:ilvl w:val="0"/>
          <w:numId w:val="66"/>
        </w:numPr>
        <w:jc w:val="both"/>
        <w:rPr>
          <w:rFonts w:cs="Arial"/>
          <w:color w:val="0070C0"/>
        </w:rPr>
      </w:pPr>
      <w:r w:rsidRPr="00C45A74">
        <w:rPr>
          <w:rFonts w:cs="Arial"/>
          <w:color w:val="0070C0"/>
        </w:rPr>
        <w:t>Expert 3 : Expert en développement Agricole/rural</w:t>
      </w:r>
      <w:r>
        <w:rPr>
          <w:rFonts w:cs="Arial"/>
          <w:color w:val="0070C0"/>
        </w:rPr>
        <w:t xml:space="preserve"> </w:t>
      </w:r>
      <w:r w:rsidR="00DE0E61" w:rsidRPr="00C45A74">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25E0A08" w14:textId="72CDEADF" w:rsidR="009962C9" w:rsidRDefault="009962C9" w:rsidP="009962C9">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 Offre technique et CV des experts désignés</w:t>
      </w:r>
    </w:p>
    <w:p w14:paraId="60B85E3A" w14:textId="26A0E220" w:rsidR="009962C9" w:rsidRPr="009962C9" w:rsidRDefault="009962C9" w:rsidP="009962C9">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3 : Offre financière</w:t>
      </w:r>
    </w:p>
    <w:p w14:paraId="670F2378" w14:textId="0A744D9A"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7777777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[de prestations intellectuelles approuvé par 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 xml:space="preserve">] [de techniques de l’information et de la communication approuvé par l’arrêté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5DC14BA4" w14:textId="77777777" w:rsidR="00C45A74" w:rsidRDefault="00E326F3" w:rsidP="00C45A74">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77F9DB9E" w14:textId="5D4E3087" w:rsidR="00644EB5" w:rsidRPr="001B5605" w:rsidRDefault="00E3012B" w:rsidP="002F2D1F">
      <w:pPr>
        <w:pStyle w:val="v"/>
        <w:widowControl w:val="0"/>
        <w:spacing w:beforeLines="240" w:before="576"/>
        <w:ind w:left="556" w:firstLine="0"/>
        <w:rPr>
          <w:rFonts w:asciiTheme="minorHAnsi" w:hAnsiTheme="minorHAnsi"/>
          <w:b/>
          <w:caps/>
          <w:sz w:val="24"/>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r w:rsidR="00644EB5"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78D6B86C" w:rsidR="00A246CE" w:rsidRPr="00A86E43" w:rsidRDefault="00804BED" w:rsidP="0012557A">
      <w:pPr>
        <w:pStyle w:val="u"/>
        <w:widowControl w:val="0"/>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12557A">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12557A">
        <w:rPr>
          <w:rFonts w:asciiTheme="minorHAnsi" w:hAnsiTheme="minorHAnsi" w:cstheme="minorHAnsi"/>
          <w:szCs w:val="22"/>
        </w:rPr>
        <w:t>.</w:t>
      </w:r>
    </w:p>
    <w:p w14:paraId="1EB7D179" w14:textId="77777777" w:rsidR="0012557A" w:rsidRDefault="0012557A" w:rsidP="00E26D16">
      <w:pPr>
        <w:pStyle w:val="v"/>
        <w:widowControl w:val="0"/>
        <w:ind w:left="556" w:firstLine="0"/>
        <w:rPr>
          <w:rFonts w:asciiTheme="minorHAnsi" w:hAnsiTheme="minorHAnsi" w:cstheme="minorHAnsi"/>
          <w:szCs w:val="22"/>
        </w:rPr>
      </w:pP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126921973"/>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3E9E56B3"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9962C9" w:rsidRPr="009962C9">
        <w:rPr>
          <w:rFonts w:asciiTheme="minorHAnsi" w:hAnsiTheme="minorHAnsi" w:cs="Arial"/>
          <w:b/>
        </w:rPr>
        <w:t>18</w:t>
      </w:r>
      <w:r w:rsidR="0012557A" w:rsidRPr="009962C9">
        <w:rPr>
          <w:rFonts w:asciiTheme="minorHAnsi" w:hAnsiTheme="minorHAnsi" w:cs="Arial"/>
          <w:b/>
        </w:rPr>
        <w:t xml:space="preserve"> mois</w:t>
      </w:r>
      <w:r w:rsidR="0012557A">
        <w:rPr>
          <w:rFonts w:asciiTheme="minorHAnsi" w:hAnsiTheme="minorHAnsi" w:cs="Arial"/>
        </w:rPr>
        <w:t xml:space="preserve">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7DF7DBC2"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w:t>
      </w:r>
      <w:bookmarkEnd w:id="13"/>
      <w:r w:rsidR="0012557A" w:rsidRPr="00A86E43">
        <w:rPr>
          <w:rFonts w:asciiTheme="minorHAnsi" w:hAnsiTheme="minorHAnsi"/>
          <w:sz w:val="22"/>
        </w:rPr>
        <w:t>prestations</w:t>
      </w:r>
      <w:r w:rsidR="0012557A">
        <w:rPr>
          <w:rFonts w:asciiTheme="minorHAnsi" w:hAnsiTheme="minorHAnsi"/>
          <w:sz w:val="22"/>
        </w:rPr>
        <w:t>.</w:t>
      </w:r>
    </w:p>
    <w:p w14:paraId="76417744" w14:textId="123F767C" w:rsidR="003F1FBE" w:rsidRPr="00A86E43" w:rsidRDefault="001E12A9" w:rsidP="003F1FBE">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12557A">
        <w:rPr>
          <w:rFonts w:asciiTheme="minorHAnsi" w:hAnsiTheme="minorHAnsi" w:cs="Arial"/>
          <w:smallCaps/>
        </w:rPr>
        <w:t xml:space="preserve"> </w:t>
      </w:r>
      <w:r w:rsidR="00B30BC2" w:rsidRPr="00A86E43">
        <w:rPr>
          <w:rFonts w:asciiTheme="minorHAnsi" w:hAnsiTheme="minorHAnsi" w:cs="Arial"/>
        </w:rPr>
        <w:t xml:space="preserve">est fixé à </w:t>
      </w:r>
      <w:r w:rsidR="003F1FBE" w:rsidRPr="009962C9">
        <w:rPr>
          <w:rFonts w:asciiTheme="minorHAnsi" w:hAnsiTheme="minorHAnsi" w:cs="Arial"/>
          <w:b/>
        </w:rPr>
        <w:t>172</w:t>
      </w:r>
      <w:r w:rsidR="009962C9">
        <w:rPr>
          <w:rFonts w:asciiTheme="minorHAnsi" w:hAnsiTheme="minorHAnsi" w:cs="Arial"/>
        </w:rPr>
        <w:t xml:space="preserve"> jours sur 12 mois à compter de la signature du contrat.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26921978"/>
      <w:r w:rsidRPr="00A86E43">
        <w:rPr>
          <w:rFonts w:asciiTheme="minorHAnsi" w:hAnsiTheme="minorHAnsi"/>
          <w:sz w:val="22"/>
        </w:rPr>
        <w:t>Montant du contrat</w:t>
      </w:r>
      <w:bookmarkEnd w:id="14"/>
      <w:bookmarkEnd w:id="15"/>
      <w:bookmarkEnd w:id="16"/>
    </w:p>
    <w:p w14:paraId="0BF7BD6E" w14:textId="225681DE"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091E5F87"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w:t>
      </w:r>
      <w:r w:rsidR="009962C9">
        <w:rPr>
          <w:rFonts w:asciiTheme="minorHAnsi" w:hAnsiTheme="minorHAnsi" w:cstheme="minorHAnsi"/>
          <w:szCs w:val="22"/>
        </w:rPr>
        <w:t>es fournitures correspondantes.</w:t>
      </w:r>
    </w:p>
    <w:p w14:paraId="16F7E6CC" w14:textId="129F0930" w:rsidR="00F53E95" w:rsidRPr="00A86E43" w:rsidRDefault="00F53E95"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3F5DD216" w14:textId="77777777" w:rsidR="00F53E95" w:rsidRPr="00A86E43" w:rsidRDefault="00F53E95" w:rsidP="00E26D16">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F53E95" w:rsidRPr="00A86E43" w14:paraId="653E92C7" w14:textId="77777777" w:rsidTr="00F53E95">
        <w:trPr>
          <w:trHeight w:val="537"/>
        </w:trPr>
        <w:tc>
          <w:tcPr>
            <w:tcW w:w="1424" w:type="dxa"/>
            <w:vAlign w:val="center"/>
          </w:tcPr>
          <w:p w14:paraId="0D5175C1" w14:textId="77777777" w:rsidR="00F53E95" w:rsidRPr="00A86E43" w:rsidRDefault="00F53E95" w:rsidP="00F53E95">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4252" w:type="dxa"/>
            <w:vAlign w:val="center"/>
          </w:tcPr>
          <w:p w14:paraId="091F25D6"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TYPES DE MONTANT</w:t>
            </w:r>
          </w:p>
        </w:tc>
        <w:tc>
          <w:tcPr>
            <w:tcW w:w="3544" w:type="dxa"/>
            <w:vAlign w:val="center"/>
          </w:tcPr>
          <w:p w14:paraId="0AFB497A" w14:textId="77777777" w:rsidR="00F53E95" w:rsidRPr="00A86E43"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F53E95" w:rsidRPr="00A86E43" w14:paraId="447771CE" w14:textId="77777777" w:rsidTr="00F53E95">
        <w:tc>
          <w:tcPr>
            <w:tcW w:w="1424" w:type="dxa"/>
            <w:vAlign w:val="center"/>
          </w:tcPr>
          <w:p w14:paraId="2C91C4BF"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rPr>
            </w:pPr>
            <w:r w:rsidRPr="00A86E43">
              <w:rPr>
                <w:rFonts w:asciiTheme="minorHAnsi" w:hAnsiTheme="minorHAnsi" w:cstheme="minorHAnsi"/>
                <w:szCs w:val="22"/>
              </w:rPr>
              <w:t>P1</w:t>
            </w:r>
          </w:p>
        </w:tc>
        <w:tc>
          <w:tcPr>
            <w:tcW w:w="4252" w:type="dxa"/>
            <w:vAlign w:val="center"/>
          </w:tcPr>
          <w:p w14:paraId="6F358ECD"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74B4503F"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2C55A468" w14:textId="77777777" w:rsidTr="00F53E95">
        <w:tc>
          <w:tcPr>
            <w:tcW w:w="1424" w:type="dxa"/>
            <w:vAlign w:val="center"/>
          </w:tcPr>
          <w:p w14:paraId="3555BB7C"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rPr>
            </w:pPr>
            <w:r w:rsidRPr="00A86E43">
              <w:rPr>
                <w:rFonts w:asciiTheme="minorHAnsi" w:hAnsiTheme="minorHAnsi" w:cstheme="minorHAnsi"/>
                <w:szCs w:val="22"/>
              </w:rPr>
              <w:t>P2</w:t>
            </w:r>
          </w:p>
        </w:tc>
        <w:tc>
          <w:tcPr>
            <w:tcW w:w="4252" w:type="dxa"/>
          </w:tcPr>
          <w:p w14:paraId="3506611C"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50C8399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5D2BA9CC" w14:textId="77777777" w:rsidTr="00F53E95">
        <w:tc>
          <w:tcPr>
            <w:tcW w:w="1424" w:type="dxa"/>
            <w:vAlign w:val="center"/>
          </w:tcPr>
          <w:p w14:paraId="6C90E1C0"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Etc.</w:t>
            </w:r>
          </w:p>
        </w:tc>
        <w:tc>
          <w:tcPr>
            <w:tcW w:w="4252" w:type="dxa"/>
          </w:tcPr>
          <w:p w14:paraId="0D3176E4"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p>
        </w:tc>
        <w:tc>
          <w:tcPr>
            <w:tcW w:w="3544" w:type="dxa"/>
            <w:vAlign w:val="center"/>
          </w:tcPr>
          <w:p w14:paraId="3DAAD149"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53E95" w:rsidRPr="00A86E43" w14:paraId="5192BF05" w14:textId="77777777" w:rsidTr="00F53E95">
        <w:tc>
          <w:tcPr>
            <w:tcW w:w="1424" w:type="dxa"/>
            <w:tcBorders>
              <w:left w:val="nil"/>
              <w:right w:val="nil"/>
            </w:tcBorders>
            <w:vAlign w:val="center"/>
          </w:tcPr>
          <w:p w14:paraId="6F1DCD80" w14:textId="77777777" w:rsidR="00F53E95" w:rsidRPr="00A86E43"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656191E5"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6B26FBB2" w14:textId="77777777" w:rsidR="00F53E95" w:rsidRPr="00A86E43"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A86E43" w14:paraId="30932CA7" w14:textId="77777777" w:rsidTr="00F53E95">
        <w:tc>
          <w:tcPr>
            <w:tcW w:w="5676" w:type="dxa"/>
            <w:gridSpan w:val="2"/>
            <w:vAlign w:val="center"/>
          </w:tcPr>
          <w:p w14:paraId="05B6F744" w14:textId="77777777" w:rsidR="00F53E95" w:rsidRPr="00A86E43" w:rsidRDefault="00F53E95" w:rsidP="00F53E95">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MAXIMAL DU CONTRAT</w:t>
            </w:r>
          </w:p>
        </w:tc>
        <w:tc>
          <w:tcPr>
            <w:tcW w:w="3544" w:type="dxa"/>
            <w:vAlign w:val="center"/>
          </w:tcPr>
          <w:p w14:paraId="57389403" w14:textId="77777777" w:rsidR="00F53E95" w:rsidRPr="00A86E43" w:rsidRDefault="00F53E95" w:rsidP="00F53E95">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1924DC49" w14:textId="0BBC43C2" w:rsidR="00A17DB1" w:rsidRPr="00A86E43" w:rsidRDefault="00F53E95"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s’engage à payer après </w:t>
      </w:r>
      <w:r w:rsidRPr="00A86E43">
        <w:rPr>
          <w:rFonts w:asciiTheme="minorHAnsi" w:hAnsiTheme="minorHAnsi" w:cstheme="minorHAnsi"/>
          <w:szCs w:val="22"/>
        </w:rPr>
        <w:lastRenderedPageBreak/>
        <w:t>validation sans réserve de l’ensemble des fournitures et/ou des prestations attendues. Le prix étant forfaitaire, il inclut l’ensemble des frais liés à l’exécution des prestations et/ou à la livraison des fournitures cor</w:t>
      </w:r>
      <w:r w:rsidR="002D6F49">
        <w:rPr>
          <w:rFonts w:asciiTheme="minorHAnsi" w:hAnsiTheme="minorHAnsi" w:cstheme="minorHAnsi"/>
          <w:szCs w:val="22"/>
        </w:rPr>
        <w:t>respondantes.</w:t>
      </w:r>
    </w:p>
    <w:p w14:paraId="3D0E8AFB" w14:textId="77777777" w:rsidR="000A6D39" w:rsidRPr="00A86E43" w:rsidRDefault="000A6D39" w:rsidP="000A6D39">
      <w:pPr>
        <w:pStyle w:val="Titre2"/>
        <w:spacing w:before="120" w:after="60"/>
        <w:rPr>
          <w:rFonts w:asciiTheme="minorHAnsi" w:hAnsiTheme="minorHAnsi"/>
          <w:sz w:val="22"/>
        </w:rPr>
      </w:pPr>
      <w:bookmarkStart w:id="17" w:name="_Toc126921979"/>
      <w:bookmarkStart w:id="18" w:name="_Toc392669637"/>
      <w:r w:rsidRPr="00A86E43">
        <w:rPr>
          <w:rFonts w:asciiTheme="minorHAnsi" w:hAnsiTheme="minorHAnsi"/>
          <w:sz w:val="22"/>
        </w:rPr>
        <w:t>Forme des prix</w:t>
      </w:r>
      <w:bookmarkEnd w:id="17"/>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126921980"/>
      <w:r w:rsidRPr="00A86E43">
        <w:rPr>
          <w:rFonts w:asciiTheme="minorHAnsi" w:hAnsiTheme="minorHAnsi"/>
          <w:sz w:val="22"/>
        </w:rPr>
        <w:t>Avance</w:t>
      </w:r>
      <w:bookmarkEnd w:id="19"/>
    </w:p>
    <w:p w14:paraId="0F90FA4C"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Pr="007A4D8D">
        <w:rPr>
          <w:rFonts w:asciiTheme="minorHAnsi" w:hAnsiTheme="minorHAnsi" w:cstheme="minorHAnsi"/>
          <w:szCs w:val="22"/>
          <w:highlight w:val="yellow"/>
        </w:rPr>
        <w:t>XXXXXX</w:t>
      </w:r>
      <w:r w:rsidRPr="00A86E43">
        <w:rPr>
          <w:rFonts w:asciiTheme="minorHAnsi" w:hAnsiTheme="minorHAnsi" w:cstheme="minorHAnsi"/>
          <w:szCs w:val="22"/>
        </w:rPr>
        <w:t xml:space="preserve"> €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0" w:name="_Toc126921981"/>
      <w:r w:rsidRPr="00A86E43">
        <w:rPr>
          <w:rFonts w:asciiTheme="minorHAnsi" w:hAnsiTheme="minorHAnsi"/>
          <w:sz w:val="22"/>
        </w:rPr>
        <w:t>Modalités de paiement</w:t>
      </w:r>
      <w:bookmarkEnd w:id="20"/>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10EF2978" w14:textId="77777777" w:rsidR="009962C9" w:rsidRDefault="009962C9" w:rsidP="009962C9">
      <w:pPr>
        <w:pStyle w:val="u"/>
        <w:widowControl w:val="0"/>
        <w:numPr>
          <w:ilvl w:val="12"/>
          <w:numId w:val="0"/>
        </w:numPr>
        <w:spacing w:after="120"/>
        <w:ind w:left="567"/>
        <w:jc w:val="left"/>
        <w:rPr>
          <w:rFonts w:asciiTheme="minorHAnsi" w:hAnsiTheme="minorHAnsi" w:cs="Arial"/>
          <w:szCs w:val="22"/>
        </w:rPr>
      </w:pPr>
    </w:p>
    <w:p w14:paraId="2C904E7F" w14:textId="05F9C1A4" w:rsidR="0089576F" w:rsidRDefault="00004AE6" w:rsidP="009962C9">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L’exécution des prestations dues au titre </w:t>
      </w:r>
      <w:r w:rsidR="009962C9">
        <w:rPr>
          <w:rFonts w:asciiTheme="minorHAnsi" w:hAnsiTheme="minorHAnsi" w:cs="Arial"/>
          <w:szCs w:val="22"/>
        </w:rPr>
        <w:t xml:space="preserve">des livrables </w:t>
      </w:r>
      <w:r w:rsidRPr="00A86E43">
        <w:rPr>
          <w:rFonts w:asciiTheme="minorHAnsi" w:hAnsiTheme="minorHAnsi" w:cs="Arial"/>
          <w:szCs w:val="22"/>
        </w:rPr>
        <w:t>du contrat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7CA2E0D3"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montant en valeur</w:t>
            </w:r>
          </w:p>
        </w:tc>
        <w:tc>
          <w:tcPr>
            <w:tcW w:w="3260" w:type="dxa"/>
            <w:vAlign w:val="center"/>
          </w:tcPr>
          <w:p w14:paraId="2C797A66" w14:textId="5212EEFF"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br/>
              <w:t>réception du livrable XX</w:t>
            </w:r>
          </w:p>
        </w:tc>
      </w:tr>
      <w:tr w:rsidR="00004AE6" w:rsidRPr="00A86E43" w14:paraId="338AFC2F" w14:textId="77777777" w:rsidTr="0071011C">
        <w:tc>
          <w:tcPr>
            <w:tcW w:w="3402" w:type="dxa"/>
            <w:vAlign w:val="center"/>
          </w:tcPr>
          <w:p w14:paraId="3D79B9D1" w14:textId="55AC3683" w:rsidR="00004AE6" w:rsidRPr="00A86E43" w:rsidRDefault="009962C9"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montant en valeur</w:t>
            </w:r>
          </w:p>
        </w:tc>
        <w:tc>
          <w:tcPr>
            <w:tcW w:w="3260" w:type="dxa"/>
            <w:vAlign w:val="center"/>
          </w:tcPr>
          <w:p w14:paraId="01DA6CC2" w14:textId="00FA5561" w:rsidR="00004AE6" w:rsidRPr="00A86E43" w:rsidRDefault="009962C9"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réception du livrable XX</w:t>
            </w:r>
          </w:p>
        </w:tc>
      </w:tr>
      <w:tr w:rsidR="00004AE6" w:rsidRPr="00A86E43" w14:paraId="03053E21" w14:textId="77777777" w:rsidTr="0071011C">
        <w:tc>
          <w:tcPr>
            <w:tcW w:w="3402" w:type="dxa"/>
            <w:vAlign w:val="center"/>
          </w:tcPr>
          <w:p w14:paraId="75F96945"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Etc.</w:t>
            </w:r>
          </w:p>
        </w:tc>
        <w:tc>
          <w:tcPr>
            <w:tcW w:w="3260" w:type="dxa"/>
            <w:vAlign w:val="center"/>
          </w:tcPr>
          <w:p w14:paraId="7C4876DF" w14:textId="37050607" w:rsidR="00004AE6" w:rsidRPr="00A86E43" w:rsidRDefault="009962C9"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Etc.</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1"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1"/>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lastRenderedPageBreak/>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2" w:name="_Toc126921983"/>
      <w:r w:rsidRPr="00A86E43">
        <w:rPr>
          <w:rFonts w:asciiTheme="minorHAnsi" w:hAnsiTheme="minorHAnsi"/>
          <w:sz w:val="22"/>
        </w:rPr>
        <w:t>Présentation des demandes de paiement</w:t>
      </w:r>
      <w:bookmarkEnd w:id="22"/>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1CB9A952" w14:textId="62F1B361" w:rsidR="0007670D" w:rsidRPr="009962C9" w:rsidRDefault="0007670D" w:rsidP="009962C9">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480BF007" w14:textId="77777777" w:rsidR="005B2283" w:rsidRPr="00E9728E" w:rsidRDefault="005B2283" w:rsidP="005B2283">
      <w:pPr>
        <w:pStyle w:val="u"/>
        <w:numPr>
          <w:ilvl w:val="12"/>
          <w:numId w:val="50"/>
        </w:numPr>
        <w:ind w:left="561"/>
        <w:rPr>
          <w:rFonts w:asciiTheme="minorHAnsi" w:hAnsiTheme="minorHAnsi" w:cstheme="minorHAnsi"/>
        </w:rPr>
      </w:pPr>
      <w:r w:rsidRPr="00E9728E">
        <w:rPr>
          <w:rFonts w:asciiTheme="minorHAnsi" w:hAnsiTheme="minorHAnsi" w:cstheme="minorHAnsi"/>
        </w:rPr>
        <w:t xml:space="preserve">Les factures sont déposées à l’adresse mail </w:t>
      </w:r>
      <w:hyperlink r:id="rId17" w:history="1">
        <w:r w:rsidRPr="00E9728E">
          <w:rPr>
            <w:rStyle w:val="Lienhypertexte"/>
            <w:rFonts w:asciiTheme="minorHAnsi" w:hAnsiTheme="minorHAnsi" w:cstheme="minorHAnsi"/>
            <w:b/>
          </w:rPr>
          <w:t>facturation.comores@expertisefrance.fr</w:t>
        </w:r>
      </w:hyperlink>
      <w:r w:rsidRPr="00E9728E">
        <w:rPr>
          <w:rFonts w:asciiTheme="minorHAnsi" w:hAnsiTheme="minorHAnsi" w:cstheme="minorHAnsi"/>
          <w:b/>
        </w:rPr>
        <w:t xml:space="preserve"> </w:t>
      </w:r>
      <w:r w:rsidRPr="00E9728E">
        <w:rPr>
          <w:rFonts w:asciiTheme="minorHAnsi" w:hAnsiTheme="minorHAnsi" w:cstheme="minorHAnsi"/>
        </w:rPr>
        <w:t xml:space="preserve">, et mentionne obligatoirement le code référencé dans l’article « Point de contact » correspondant au projet d’Expertise France Moroni pour le compte duquel est passé le contrat. </w:t>
      </w:r>
    </w:p>
    <w:p w14:paraId="0D042871" w14:textId="77777777" w:rsidR="005B2283" w:rsidRDefault="005B2283" w:rsidP="005B2283">
      <w:pPr>
        <w:pStyle w:val="u"/>
        <w:numPr>
          <w:ilvl w:val="12"/>
          <w:numId w:val="50"/>
        </w:numPr>
        <w:ind w:left="561"/>
        <w:rPr>
          <w:rFonts w:asciiTheme="minorHAnsi" w:hAnsiTheme="minorHAnsi" w:cstheme="minorHAnsi"/>
        </w:rPr>
      </w:pPr>
    </w:p>
    <w:p w14:paraId="7390401A" w14:textId="77777777" w:rsidR="005B2283" w:rsidRPr="00E9728E" w:rsidRDefault="005B2283" w:rsidP="005B2283">
      <w:pPr>
        <w:pStyle w:val="u"/>
        <w:numPr>
          <w:ilvl w:val="12"/>
          <w:numId w:val="50"/>
        </w:numPr>
        <w:ind w:left="561"/>
        <w:rPr>
          <w:rFonts w:asciiTheme="minorHAnsi" w:hAnsiTheme="minorHAnsi" w:cstheme="minorHAnsi"/>
        </w:rPr>
      </w:pPr>
      <w:r w:rsidRPr="00E9728E">
        <w:rPr>
          <w:rFonts w:asciiTheme="minorHAnsi" w:hAnsiTheme="minorHAnsi" w:cstheme="minorHAnsi"/>
        </w:rPr>
        <w:t xml:space="preserve">Le Contractant mettra en copie, à l’envoi de sa facture à l’adresse désignée ci-dessus, l’adresse du point de contact désigné à l’article «  </w:t>
      </w:r>
      <w:r w:rsidRPr="00E9728E">
        <w:rPr>
          <w:rFonts w:asciiTheme="minorHAnsi" w:hAnsiTheme="minorHAnsi" w:cstheme="minorHAnsi"/>
        </w:rPr>
        <w:fldChar w:fldCharType="begin"/>
      </w:r>
      <w:r w:rsidRPr="00E9728E">
        <w:rPr>
          <w:rFonts w:asciiTheme="minorHAnsi" w:hAnsiTheme="minorHAnsi" w:cstheme="minorHAnsi"/>
        </w:rPr>
        <w:instrText xml:space="preserve"> REF _Ref464060009 \h  \* MERGEFORMAT </w:instrText>
      </w:r>
      <w:r w:rsidRPr="00E9728E">
        <w:rPr>
          <w:rFonts w:asciiTheme="minorHAnsi" w:hAnsiTheme="minorHAnsi" w:cstheme="minorHAnsi"/>
        </w:rPr>
      </w:r>
      <w:r w:rsidRPr="00E9728E">
        <w:rPr>
          <w:rFonts w:asciiTheme="minorHAnsi" w:hAnsiTheme="minorHAnsi" w:cstheme="minorHAnsi"/>
        </w:rPr>
        <w:fldChar w:fldCharType="separate"/>
      </w:r>
      <w:r w:rsidRPr="00E9728E">
        <w:rPr>
          <w:rFonts w:asciiTheme="minorHAnsi" w:hAnsiTheme="minorHAnsi" w:cstheme="minorHAnsi"/>
        </w:rPr>
        <w:t>Point de contact et communication</w:t>
      </w:r>
      <w:r w:rsidRPr="00E9728E">
        <w:rPr>
          <w:rFonts w:asciiTheme="minorHAnsi" w:hAnsiTheme="minorHAnsi" w:cstheme="minorHAnsi"/>
        </w:rPr>
        <w:fldChar w:fldCharType="end"/>
      </w:r>
      <w:r w:rsidRPr="00E9728E">
        <w:rPr>
          <w:rFonts w:asciiTheme="minorHAnsi" w:hAnsiTheme="minorHAnsi" w:cstheme="minorHAnsi"/>
        </w:rPr>
        <w:t xml:space="preserve"> ».  </w:t>
      </w:r>
    </w:p>
    <w:p w14:paraId="7FF82977" w14:textId="77777777" w:rsidR="005B2283" w:rsidRDefault="005B2283" w:rsidP="005B2283">
      <w:pPr>
        <w:pStyle w:val="u"/>
        <w:widowControl w:val="0"/>
        <w:numPr>
          <w:ilvl w:val="12"/>
          <w:numId w:val="50"/>
        </w:numPr>
        <w:spacing w:after="120"/>
        <w:ind w:left="561"/>
        <w:rPr>
          <w:rFonts w:asciiTheme="minorHAnsi" w:hAnsiTheme="minorHAnsi" w:cstheme="minorHAnsi"/>
        </w:rPr>
      </w:pPr>
    </w:p>
    <w:p w14:paraId="6E5BBC87" w14:textId="77777777" w:rsidR="005B2283" w:rsidRPr="00A86E43" w:rsidRDefault="005B2283" w:rsidP="005B2283">
      <w:pPr>
        <w:pStyle w:val="u"/>
        <w:widowControl w:val="0"/>
        <w:numPr>
          <w:ilvl w:val="12"/>
          <w:numId w:val="5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justificatifs correspondants validés par </w:t>
      </w:r>
      <w:r w:rsidRPr="00CE73DB">
        <w:rPr>
          <w:rFonts w:asciiTheme="minorHAnsi" w:hAnsiTheme="minorHAnsi" w:cstheme="minorHAnsi"/>
          <w:smallCaps/>
        </w:rPr>
        <w:t>Expertise France</w:t>
      </w:r>
      <w:r w:rsidRPr="00A86E43">
        <w:rPr>
          <w:rFonts w:asciiTheme="minorHAnsi" w:hAnsiTheme="minorHAnsi" w:cstheme="minorHAnsi"/>
        </w:rPr>
        <w:t>.</w:t>
      </w:r>
    </w:p>
    <w:p w14:paraId="505C8273" w14:textId="77777777" w:rsidR="005B2283" w:rsidRPr="00A86E43" w:rsidRDefault="005B2283" w:rsidP="005B2283">
      <w:pPr>
        <w:pStyle w:val="u"/>
        <w:widowControl w:val="0"/>
        <w:numPr>
          <w:ilvl w:val="12"/>
          <w:numId w:val="50"/>
        </w:numPr>
        <w:spacing w:after="120"/>
        <w:ind w:left="561"/>
        <w:rPr>
          <w:rFonts w:asciiTheme="minorHAnsi" w:hAnsiTheme="minorHAnsi" w:cstheme="minorHAnsi"/>
        </w:rPr>
      </w:pPr>
      <w:r w:rsidRPr="00A86E43">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080555EA" w14:textId="77777777" w:rsidR="005B2283" w:rsidRPr="00A86E43" w:rsidRDefault="005B2283" w:rsidP="005B2283">
      <w:pPr>
        <w:pStyle w:val="u"/>
        <w:widowControl w:val="0"/>
        <w:numPr>
          <w:ilvl w:val="12"/>
          <w:numId w:val="50"/>
        </w:numPr>
        <w:spacing w:after="120"/>
        <w:ind w:left="561"/>
        <w:rPr>
          <w:rFonts w:asciiTheme="minorHAnsi" w:hAnsiTheme="minorHAnsi" w:cstheme="minorHAnsi"/>
        </w:rPr>
      </w:pPr>
      <w:r w:rsidRPr="00A86E43">
        <w:rPr>
          <w:rFonts w:asciiTheme="minorHAnsi" w:hAnsiTheme="minorHAnsi" w:cstheme="minorHAnsi"/>
        </w:rPr>
        <w:t>Toute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3" w:name="_Toc126921984"/>
      <w:bookmarkStart w:id="24" w:name="_Toc344300189"/>
      <w:bookmarkEnd w:id="18"/>
      <w:r w:rsidRPr="00A86E43">
        <w:rPr>
          <w:rFonts w:asciiTheme="minorHAnsi" w:hAnsiTheme="minorHAnsi"/>
          <w:sz w:val="22"/>
        </w:rPr>
        <w:t>Virement bancaire</w:t>
      </w:r>
      <w:bookmarkEnd w:id="23"/>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5"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4"/>
      <w:bookmarkEnd w:id="25"/>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qui bénéficie de la franchise en base devra mentionner sur les factures « TVA non </w:t>
      </w:r>
      <w:r w:rsidRPr="00A86E43">
        <w:rPr>
          <w:rFonts w:asciiTheme="minorHAnsi" w:hAnsiTheme="minorHAnsi" w:cs="Arial"/>
          <w:szCs w:val="22"/>
        </w:rPr>
        <w:lastRenderedPageBreak/>
        <w:t>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6" w:name="_Toc392669638"/>
      <w:bookmarkStart w:id="27" w:name="_Toc126921986"/>
      <w:r w:rsidRPr="00A86E43">
        <w:rPr>
          <w:rFonts w:asciiTheme="minorHAnsi" w:hAnsiTheme="minorHAnsi"/>
          <w:sz w:val="22"/>
          <w:szCs w:val="22"/>
        </w:rPr>
        <w:t>Impôts et taxes</w:t>
      </w:r>
      <w:bookmarkEnd w:id="26"/>
      <w:bookmarkEnd w:id="27"/>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8"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8"/>
    </w:p>
    <w:p w14:paraId="47340EBA" w14:textId="77777777" w:rsidR="00F72033" w:rsidRPr="00A86E43" w:rsidRDefault="000243D6" w:rsidP="00A1761D">
      <w:pPr>
        <w:pStyle w:val="Titre2"/>
        <w:jc w:val="both"/>
        <w:rPr>
          <w:rFonts w:asciiTheme="minorHAnsi" w:hAnsiTheme="minorHAnsi" w:cstheme="minorHAnsi"/>
          <w:sz w:val="22"/>
          <w:szCs w:val="22"/>
        </w:rPr>
      </w:pPr>
      <w:bookmarkStart w:id="29" w:name="_Toc390691469"/>
      <w:bookmarkStart w:id="30" w:name="_Toc392669640"/>
      <w:bookmarkStart w:id="31"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9"/>
      <w:bookmarkEnd w:id="30"/>
      <w:bookmarkEnd w:id="31"/>
    </w:p>
    <w:p w14:paraId="3325C3B9" w14:textId="77777777" w:rsidR="00F766D6" w:rsidRPr="009962C9"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xml:space="preserve">, les opérations de vérification </w:t>
      </w:r>
      <w:r w:rsidRPr="009962C9">
        <w:rPr>
          <w:rFonts w:asciiTheme="minorHAnsi" w:hAnsiTheme="minorHAnsi" w:cstheme="minorHAnsi"/>
          <w:szCs w:val="22"/>
        </w:rPr>
        <w:t>seront effectuées par :</w:t>
      </w:r>
    </w:p>
    <w:p w14:paraId="71BDD2A0" w14:textId="471689C4" w:rsidR="005B2283" w:rsidRPr="009962C9" w:rsidRDefault="005B2283" w:rsidP="00A1761D">
      <w:pPr>
        <w:pStyle w:val="u"/>
        <w:widowControl w:val="0"/>
        <w:numPr>
          <w:ilvl w:val="0"/>
          <w:numId w:val="11"/>
        </w:numPr>
        <w:rPr>
          <w:rFonts w:asciiTheme="minorHAnsi" w:hAnsiTheme="minorHAnsi" w:cstheme="minorHAnsi"/>
          <w:szCs w:val="22"/>
        </w:rPr>
      </w:pPr>
      <w:r w:rsidRPr="009962C9">
        <w:rPr>
          <w:rFonts w:asciiTheme="minorHAnsi" w:hAnsiTheme="minorHAnsi" w:cstheme="minorHAnsi"/>
          <w:szCs w:val="22"/>
        </w:rPr>
        <w:t>Le</w:t>
      </w:r>
      <w:r w:rsidR="00F766D6" w:rsidRPr="009962C9">
        <w:rPr>
          <w:rFonts w:asciiTheme="minorHAnsi" w:hAnsiTheme="minorHAnsi" w:cstheme="minorHAnsi"/>
          <w:szCs w:val="22"/>
        </w:rPr>
        <w:t xml:space="preserve"> </w:t>
      </w:r>
      <w:r w:rsidR="00127A5B" w:rsidRPr="009962C9">
        <w:rPr>
          <w:rFonts w:asciiTheme="minorHAnsi" w:hAnsiTheme="minorHAnsi" w:cstheme="minorHAnsi"/>
          <w:szCs w:val="22"/>
        </w:rPr>
        <w:t>C</w:t>
      </w:r>
      <w:r w:rsidRPr="009962C9">
        <w:rPr>
          <w:rFonts w:asciiTheme="minorHAnsi" w:hAnsiTheme="minorHAnsi" w:cstheme="minorHAnsi"/>
          <w:szCs w:val="22"/>
        </w:rPr>
        <w:t>hef de projet AFIDEV</w:t>
      </w:r>
    </w:p>
    <w:p w14:paraId="292985BB" w14:textId="77777777" w:rsidR="005B2283" w:rsidRPr="009962C9" w:rsidRDefault="005B2283" w:rsidP="005B2283">
      <w:pPr>
        <w:pStyle w:val="u"/>
        <w:widowControl w:val="0"/>
        <w:ind w:left="1428"/>
        <w:rPr>
          <w:rFonts w:asciiTheme="minorHAnsi" w:hAnsiTheme="minorHAnsi" w:cstheme="minorHAnsi"/>
          <w:szCs w:val="22"/>
        </w:rPr>
      </w:pPr>
      <w:r w:rsidRPr="009962C9">
        <w:rPr>
          <w:rFonts w:asciiTheme="minorHAnsi" w:hAnsiTheme="minorHAnsi" w:cstheme="minorHAnsi"/>
          <w:szCs w:val="22"/>
        </w:rPr>
        <w:t>ABDOUL-KADER ADAMOU</w:t>
      </w:r>
    </w:p>
    <w:p w14:paraId="4AD254FE" w14:textId="6ED48980" w:rsidR="00D00B3A" w:rsidRPr="00A86E43" w:rsidRDefault="00A4269D" w:rsidP="005B2283">
      <w:pPr>
        <w:pStyle w:val="u"/>
        <w:widowControl w:val="0"/>
        <w:ind w:left="1428"/>
        <w:rPr>
          <w:rFonts w:asciiTheme="minorHAnsi" w:hAnsiTheme="minorHAnsi" w:cstheme="minorHAnsi"/>
          <w:szCs w:val="22"/>
        </w:rPr>
      </w:pPr>
      <w:hyperlink r:id="rId18" w:history="1">
        <w:r w:rsidR="005B2283" w:rsidRPr="009962C9">
          <w:rPr>
            <w:rStyle w:val="Lienhypertexte"/>
            <w:rFonts w:asciiTheme="minorHAnsi" w:hAnsiTheme="minorHAnsi" w:cstheme="minorHAnsi"/>
            <w:szCs w:val="22"/>
          </w:rPr>
          <w:t>Abdoul-kader.adamou@expertisefrance.fr</w:t>
        </w:r>
      </w:hyperlink>
      <w:r w:rsidR="005B2283" w:rsidRPr="009962C9">
        <w:rPr>
          <w:rFonts w:asciiTheme="minorHAnsi" w:hAnsiTheme="minorHAnsi" w:cstheme="minorHAnsi"/>
          <w:szCs w:val="22"/>
        </w:rPr>
        <w:t xml:space="preserve"> </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2" w:name="_Toc390691470"/>
      <w:bookmarkStart w:id="33" w:name="_Toc392669641"/>
      <w:bookmarkStart w:id="34" w:name="_Toc126921989"/>
      <w:r w:rsidRPr="00A86E43">
        <w:rPr>
          <w:rFonts w:asciiTheme="minorHAnsi" w:hAnsiTheme="minorHAnsi" w:cstheme="minorHAnsi"/>
          <w:sz w:val="22"/>
          <w:szCs w:val="22"/>
        </w:rPr>
        <w:t>Admission</w:t>
      </w:r>
      <w:bookmarkEnd w:id="32"/>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3"/>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4"/>
    </w:p>
    <w:p w14:paraId="0842A4DD" w14:textId="77777777" w:rsidR="00C27993" w:rsidRPr="009962C9"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w:t>
      </w:r>
      <w:r w:rsidR="00701BF6" w:rsidRPr="009962C9">
        <w:rPr>
          <w:rFonts w:asciiTheme="minorHAnsi" w:hAnsiTheme="minorHAnsi" w:cstheme="minorHAnsi"/>
          <w:szCs w:val="22"/>
        </w:rPr>
        <w:t xml:space="preserve">fournitures </w:t>
      </w:r>
      <w:r w:rsidRPr="009962C9">
        <w:rPr>
          <w:rFonts w:asciiTheme="minorHAnsi" w:hAnsiTheme="minorHAnsi" w:cstheme="minorHAnsi"/>
          <w:szCs w:val="22"/>
        </w:rPr>
        <w:t>pourront être prononcées par</w:t>
      </w:r>
      <w:r w:rsidR="00C27993" w:rsidRPr="009962C9">
        <w:rPr>
          <w:rFonts w:asciiTheme="minorHAnsi" w:hAnsiTheme="minorHAnsi" w:cstheme="minorHAnsi"/>
          <w:szCs w:val="22"/>
        </w:rPr>
        <w:t> :</w:t>
      </w:r>
    </w:p>
    <w:p w14:paraId="034F57DA" w14:textId="77777777" w:rsidR="005B2283" w:rsidRPr="009962C9" w:rsidRDefault="005B2283" w:rsidP="005B2283">
      <w:pPr>
        <w:pStyle w:val="u"/>
        <w:widowControl w:val="0"/>
        <w:numPr>
          <w:ilvl w:val="0"/>
          <w:numId w:val="11"/>
        </w:numPr>
        <w:rPr>
          <w:rFonts w:asciiTheme="minorHAnsi" w:hAnsiTheme="minorHAnsi" w:cstheme="minorHAnsi"/>
          <w:szCs w:val="22"/>
        </w:rPr>
      </w:pPr>
      <w:r w:rsidRPr="009962C9">
        <w:rPr>
          <w:rFonts w:asciiTheme="minorHAnsi" w:hAnsiTheme="minorHAnsi" w:cstheme="minorHAnsi"/>
          <w:szCs w:val="22"/>
        </w:rPr>
        <w:t>Le Chef de projet AFIDEV</w:t>
      </w:r>
    </w:p>
    <w:p w14:paraId="15EA036A" w14:textId="77777777" w:rsidR="005B2283" w:rsidRPr="009962C9" w:rsidRDefault="005B2283" w:rsidP="005B2283">
      <w:pPr>
        <w:pStyle w:val="u"/>
        <w:widowControl w:val="0"/>
        <w:ind w:left="1428"/>
        <w:rPr>
          <w:rFonts w:asciiTheme="minorHAnsi" w:hAnsiTheme="minorHAnsi" w:cstheme="minorHAnsi"/>
          <w:szCs w:val="22"/>
        </w:rPr>
      </w:pPr>
      <w:r w:rsidRPr="009962C9">
        <w:rPr>
          <w:rFonts w:asciiTheme="minorHAnsi" w:hAnsiTheme="minorHAnsi" w:cstheme="minorHAnsi"/>
          <w:szCs w:val="22"/>
        </w:rPr>
        <w:t>ABDOUL-KADER ADAMOU</w:t>
      </w:r>
    </w:p>
    <w:p w14:paraId="4D91BC58" w14:textId="77777777" w:rsidR="005B2283" w:rsidRPr="00A86E43" w:rsidRDefault="00A4269D" w:rsidP="005B2283">
      <w:pPr>
        <w:pStyle w:val="u"/>
        <w:widowControl w:val="0"/>
        <w:ind w:left="1428"/>
        <w:rPr>
          <w:rFonts w:asciiTheme="minorHAnsi" w:hAnsiTheme="minorHAnsi" w:cstheme="minorHAnsi"/>
          <w:szCs w:val="22"/>
        </w:rPr>
      </w:pPr>
      <w:hyperlink r:id="rId19" w:history="1">
        <w:r w:rsidR="005B2283" w:rsidRPr="009962C9">
          <w:rPr>
            <w:rStyle w:val="Lienhypertexte"/>
            <w:rFonts w:asciiTheme="minorHAnsi" w:hAnsiTheme="minorHAnsi" w:cstheme="minorHAnsi"/>
            <w:szCs w:val="22"/>
          </w:rPr>
          <w:t>Abdoul-kader.adamou@expertisefrance.fr</w:t>
        </w:r>
      </w:hyperlink>
      <w:r w:rsidR="005B2283" w:rsidRPr="009962C9">
        <w:rPr>
          <w:rFonts w:asciiTheme="minorHAnsi" w:hAnsiTheme="minorHAnsi" w:cstheme="minorHAnsi"/>
          <w:szCs w:val="22"/>
        </w:rPr>
        <w:t xml:space="preserve"> </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5"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5"/>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6" w:name="_Toc126921991"/>
      <w:bookmarkStart w:id="37" w:name="_Toc392669643"/>
      <w:r w:rsidRPr="00A86E43">
        <w:rPr>
          <w:rFonts w:asciiTheme="minorHAnsi" w:hAnsiTheme="minorHAnsi" w:cstheme="minorHAnsi"/>
          <w:sz w:val="22"/>
          <w:szCs w:val="22"/>
        </w:rPr>
        <w:t>Tableau des livrables</w:t>
      </w:r>
      <w:bookmarkEnd w:id="36"/>
    </w:p>
    <w:p w14:paraId="2F7D627E" w14:textId="600F075C" w:rsidR="005B2283" w:rsidRDefault="005B2283" w:rsidP="005B2283">
      <w:bookmarkStart w:id="38" w:name="_Toc392669642"/>
      <w:bookmarkStart w:id="39" w:name="_Toc126921992"/>
      <w:bookmarkStart w:id="40" w:name="_Toc392669644"/>
      <w:bookmarkEnd w:id="37"/>
      <w:r>
        <w:t>Tous les livrables devront être validés par le MAPA et AFIDEV pour l’année sous revue.</w:t>
      </w:r>
    </w:p>
    <w:p w14:paraId="3B9A4B42" w14:textId="77777777" w:rsidR="005B2283" w:rsidRDefault="005B2283" w:rsidP="005B2283"/>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4649"/>
        <w:gridCol w:w="2410"/>
      </w:tblGrid>
      <w:tr w:rsidR="005B2283" w:rsidRPr="009C2915" w14:paraId="0C634F56" w14:textId="77777777" w:rsidTr="00C63B92">
        <w:trPr>
          <w:trHeight w:hRule="exact" w:val="340"/>
          <w:tblHeader/>
        </w:trPr>
        <w:tc>
          <w:tcPr>
            <w:tcW w:w="3256" w:type="dxa"/>
            <w:shd w:val="clear" w:color="auto" w:fill="C2D69B"/>
            <w:vAlign w:val="center"/>
          </w:tcPr>
          <w:p w14:paraId="78383DEF" w14:textId="77777777" w:rsidR="005B2283" w:rsidRPr="00066E4A" w:rsidRDefault="005B2283" w:rsidP="009962C9">
            <w:pPr>
              <w:widowControl w:val="0"/>
              <w:spacing w:after="240"/>
              <w:rPr>
                <w:rFonts w:cs="Arial"/>
                <w:lang w:val="fr-CM"/>
              </w:rPr>
            </w:pPr>
            <w:r w:rsidRPr="00066E4A">
              <w:rPr>
                <w:rFonts w:cs="Arial"/>
                <w:b/>
                <w:bCs/>
                <w:lang w:val="fr-CM"/>
              </w:rPr>
              <w:t>Intitulé du rapport</w:t>
            </w:r>
          </w:p>
        </w:tc>
        <w:tc>
          <w:tcPr>
            <w:tcW w:w="4649" w:type="dxa"/>
            <w:shd w:val="clear" w:color="auto" w:fill="C2D69B"/>
            <w:vAlign w:val="center"/>
          </w:tcPr>
          <w:p w14:paraId="20ACE294" w14:textId="77777777" w:rsidR="005B2283" w:rsidRPr="00066E4A" w:rsidRDefault="005B2283" w:rsidP="009962C9">
            <w:pPr>
              <w:widowControl w:val="0"/>
              <w:spacing w:after="240"/>
              <w:jc w:val="center"/>
              <w:rPr>
                <w:rFonts w:cs="Arial"/>
                <w:b/>
                <w:bCs/>
                <w:lang w:val="fr-CM"/>
              </w:rPr>
            </w:pPr>
            <w:r w:rsidRPr="00066E4A">
              <w:rPr>
                <w:rFonts w:cs="Arial"/>
                <w:b/>
                <w:bCs/>
                <w:lang w:val="fr-CM"/>
              </w:rPr>
              <w:t>Contenu</w:t>
            </w:r>
          </w:p>
        </w:tc>
        <w:tc>
          <w:tcPr>
            <w:tcW w:w="2410" w:type="dxa"/>
            <w:shd w:val="clear" w:color="auto" w:fill="C2D69B"/>
            <w:vAlign w:val="center"/>
          </w:tcPr>
          <w:p w14:paraId="237CF8D9" w14:textId="77777777" w:rsidR="005B2283" w:rsidRPr="00066E4A" w:rsidRDefault="005B2283" w:rsidP="009962C9">
            <w:pPr>
              <w:widowControl w:val="0"/>
              <w:spacing w:after="240"/>
              <w:jc w:val="center"/>
              <w:rPr>
                <w:rFonts w:cs="Arial"/>
                <w:b/>
                <w:bCs/>
                <w:lang w:val="fr-CM"/>
              </w:rPr>
            </w:pPr>
            <w:r w:rsidRPr="00066E4A">
              <w:rPr>
                <w:rFonts w:cs="Arial"/>
                <w:b/>
                <w:bCs/>
                <w:lang w:val="fr-CM"/>
              </w:rPr>
              <w:t>Délai de soumission</w:t>
            </w:r>
          </w:p>
        </w:tc>
      </w:tr>
      <w:tr w:rsidR="009962C9" w:rsidRPr="00066E4A" w14:paraId="7FC34E06" w14:textId="77777777" w:rsidTr="00C63B92">
        <w:tc>
          <w:tcPr>
            <w:tcW w:w="3256" w:type="dxa"/>
            <w:tcBorders>
              <w:top w:val="nil"/>
              <w:left w:val="single" w:sz="8" w:space="0" w:color="auto"/>
              <w:bottom w:val="single" w:sz="8" w:space="0" w:color="auto"/>
              <w:right w:val="single" w:sz="8" w:space="0" w:color="auto"/>
            </w:tcBorders>
          </w:tcPr>
          <w:p w14:paraId="42E567C3" w14:textId="598987D4" w:rsidR="009962C9" w:rsidRDefault="009962C9" w:rsidP="009962C9">
            <w:pPr>
              <w:rPr>
                <w:rFonts w:ascii="Calibri" w:hAnsi="Calibri"/>
              </w:rPr>
            </w:pPr>
            <w:r>
              <w:t xml:space="preserve">Document de méthodologie et </w:t>
            </w:r>
            <w:proofErr w:type="spellStart"/>
            <w:r>
              <w:t>toolbox</w:t>
            </w:r>
            <w:proofErr w:type="spellEnd"/>
            <w:r>
              <w:t xml:space="preserve"> (canevas, tem-plates, tableurs </w:t>
            </w:r>
            <w:proofErr w:type="spellStart"/>
            <w:r>
              <w:t>préformatés</w:t>
            </w:r>
            <w:proofErr w:type="spellEnd"/>
            <w:r>
              <w:t xml:space="preserve"> etc..) de mise en œuvre de la revue (document initial pour 2024, révision si </w:t>
            </w:r>
            <w:proofErr w:type="spellStart"/>
            <w:r>
              <w:t>né-cessaire</w:t>
            </w:r>
            <w:proofErr w:type="spellEnd"/>
            <w:r>
              <w:t xml:space="preserve"> les autres années)</w:t>
            </w:r>
          </w:p>
          <w:p w14:paraId="58E75A0D" w14:textId="27E6234F" w:rsidR="009962C9" w:rsidRPr="00066E4A" w:rsidRDefault="009962C9" w:rsidP="009962C9">
            <w:pPr>
              <w:widowControl w:val="0"/>
              <w:spacing w:line="240" w:lineRule="auto"/>
              <w:rPr>
                <w:rFonts w:cs="Arial"/>
                <w:lang w:val="fr-CM"/>
              </w:rPr>
            </w:pPr>
          </w:p>
        </w:tc>
        <w:tc>
          <w:tcPr>
            <w:tcW w:w="4649" w:type="dxa"/>
            <w:shd w:val="clear" w:color="auto" w:fill="auto"/>
          </w:tcPr>
          <w:p w14:paraId="3E768D53" w14:textId="77777777" w:rsidR="009962C9" w:rsidRPr="00066E4A" w:rsidRDefault="009962C9" w:rsidP="009962C9">
            <w:pPr>
              <w:widowControl w:val="0"/>
              <w:numPr>
                <w:ilvl w:val="0"/>
                <w:numId w:val="68"/>
              </w:numPr>
              <w:spacing w:line="240" w:lineRule="auto"/>
              <w:jc w:val="both"/>
              <w:rPr>
                <w:rFonts w:cs="Arial"/>
                <w:lang w:val="fr-CM"/>
              </w:rPr>
            </w:pPr>
            <w:r w:rsidRPr="00066E4A">
              <w:rPr>
                <w:rFonts w:cs="Arial"/>
                <w:lang w:val="fr-CM"/>
              </w:rPr>
              <w:t>5 pages maximum d'organis</w:t>
            </w:r>
            <w:r>
              <w:rPr>
                <w:rFonts w:cs="Arial"/>
                <w:lang w:val="fr-CM"/>
              </w:rPr>
              <w:t xml:space="preserve">ation de la revue conjointe 2024 – + annexe </w:t>
            </w:r>
            <w:proofErr w:type="spellStart"/>
            <w:r>
              <w:rPr>
                <w:rFonts w:cs="Arial"/>
                <w:lang w:val="fr-CM"/>
              </w:rPr>
              <w:t>draft</w:t>
            </w:r>
            <w:proofErr w:type="spellEnd"/>
            <w:r>
              <w:rPr>
                <w:rFonts w:cs="Arial"/>
                <w:lang w:val="fr-CM"/>
              </w:rPr>
              <w:t xml:space="preserve"> de boîte à outils</w:t>
            </w:r>
          </w:p>
          <w:p w14:paraId="65187281" w14:textId="77777777" w:rsidR="009962C9" w:rsidRPr="00066E4A" w:rsidRDefault="009962C9" w:rsidP="009962C9">
            <w:pPr>
              <w:widowControl w:val="0"/>
              <w:numPr>
                <w:ilvl w:val="0"/>
                <w:numId w:val="68"/>
              </w:numPr>
              <w:spacing w:line="240" w:lineRule="auto"/>
              <w:jc w:val="both"/>
              <w:rPr>
                <w:rFonts w:cs="Arial"/>
                <w:lang w:val="fr-CM"/>
              </w:rPr>
            </w:pPr>
            <w:r w:rsidRPr="00066E4A">
              <w:rPr>
                <w:rFonts w:cs="Arial"/>
                <w:lang w:val="fr-CM"/>
              </w:rPr>
              <w:t>Chron</w:t>
            </w:r>
            <w:r>
              <w:rPr>
                <w:rFonts w:cs="Arial"/>
                <w:lang w:val="fr-CM"/>
              </w:rPr>
              <w:t>ogramme de l'exercice revue 2024</w:t>
            </w:r>
          </w:p>
          <w:p w14:paraId="75EDB865" w14:textId="77777777" w:rsidR="009962C9" w:rsidRPr="00066E4A" w:rsidRDefault="009962C9" w:rsidP="009962C9">
            <w:pPr>
              <w:widowControl w:val="0"/>
              <w:numPr>
                <w:ilvl w:val="0"/>
                <w:numId w:val="68"/>
              </w:numPr>
              <w:spacing w:line="240" w:lineRule="auto"/>
              <w:jc w:val="both"/>
              <w:rPr>
                <w:rFonts w:cs="Arial"/>
                <w:lang w:val="fr-CM"/>
              </w:rPr>
            </w:pPr>
            <w:r w:rsidRPr="00066E4A">
              <w:rPr>
                <w:rFonts w:cs="Arial"/>
                <w:lang w:val="fr-CM"/>
              </w:rPr>
              <w:t>Planning des rencontres, ateliers, restitution</w:t>
            </w:r>
          </w:p>
        </w:tc>
        <w:tc>
          <w:tcPr>
            <w:tcW w:w="2410" w:type="dxa"/>
            <w:shd w:val="clear" w:color="auto" w:fill="auto"/>
          </w:tcPr>
          <w:p w14:paraId="3BC7EC5C" w14:textId="77777777" w:rsidR="009962C9" w:rsidRPr="00066E4A" w:rsidRDefault="009962C9" w:rsidP="009962C9">
            <w:pPr>
              <w:widowControl w:val="0"/>
              <w:spacing w:after="240"/>
              <w:rPr>
                <w:rFonts w:cs="Arial"/>
                <w:lang w:val="fr-CM"/>
              </w:rPr>
            </w:pPr>
            <w:r>
              <w:rPr>
                <w:rFonts w:cs="Arial"/>
                <w:lang w:val="fr-CM"/>
              </w:rPr>
              <w:t>Au plus tard 3</w:t>
            </w:r>
            <w:r w:rsidRPr="00066E4A">
              <w:rPr>
                <w:rFonts w:cs="Arial"/>
                <w:lang w:val="fr-CM"/>
              </w:rPr>
              <w:t xml:space="preserve"> jours après le démarrage</w:t>
            </w:r>
          </w:p>
        </w:tc>
      </w:tr>
      <w:tr w:rsidR="009962C9" w:rsidRPr="009C2915" w14:paraId="6CFD6A0D" w14:textId="77777777" w:rsidTr="00C63B92">
        <w:tc>
          <w:tcPr>
            <w:tcW w:w="3256" w:type="dxa"/>
            <w:tcBorders>
              <w:top w:val="nil"/>
              <w:left w:val="single" w:sz="8" w:space="0" w:color="auto"/>
              <w:bottom w:val="nil"/>
              <w:right w:val="single" w:sz="8" w:space="0" w:color="auto"/>
            </w:tcBorders>
          </w:tcPr>
          <w:p w14:paraId="762CF7E5" w14:textId="6CA7CBBC" w:rsidR="009962C9" w:rsidRDefault="009962C9" w:rsidP="009962C9">
            <w:r>
              <w:t>Rapport provisoire de la revue n-1</w:t>
            </w:r>
          </w:p>
          <w:p w14:paraId="02953CC3" w14:textId="75CA8A6A" w:rsidR="009962C9" w:rsidRPr="00066E4A" w:rsidRDefault="009962C9" w:rsidP="009962C9">
            <w:pPr>
              <w:widowControl w:val="0"/>
              <w:spacing w:line="240" w:lineRule="auto"/>
              <w:rPr>
                <w:rFonts w:cs="Arial"/>
                <w:lang w:val="fr-CM"/>
              </w:rPr>
            </w:pPr>
          </w:p>
        </w:tc>
        <w:tc>
          <w:tcPr>
            <w:tcW w:w="4649" w:type="dxa"/>
            <w:shd w:val="clear" w:color="auto" w:fill="auto"/>
          </w:tcPr>
          <w:p w14:paraId="499B68D4" w14:textId="19F97817" w:rsidR="009962C9" w:rsidRPr="00066E4A" w:rsidRDefault="009962C9" w:rsidP="00C63B92">
            <w:pPr>
              <w:widowControl w:val="0"/>
              <w:spacing w:line="240" w:lineRule="auto"/>
              <w:jc w:val="both"/>
              <w:rPr>
                <w:rFonts w:cs="Arial"/>
                <w:lang w:val="fr-CM"/>
              </w:rPr>
            </w:pPr>
          </w:p>
        </w:tc>
        <w:tc>
          <w:tcPr>
            <w:tcW w:w="2410" w:type="dxa"/>
            <w:shd w:val="clear" w:color="auto" w:fill="auto"/>
          </w:tcPr>
          <w:p w14:paraId="765604D8" w14:textId="77777777" w:rsidR="009962C9" w:rsidRPr="00066E4A" w:rsidRDefault="009962C9" w:rsidP="009962C9">
            <w:pPr>
              <w:widowControl w:val="0"/>
              <w:spacing w:line="240" w:lineRule="auto"/>
              <w:rPr>
                <w:rFonts w:cs="Arial"/>
                <w:lang w:val="fr-CM"/>
              </w:rPr>
            </w:pPr>
          </w:p>
          <w:p w14:paraId="62DA550B" w14:textId="77777777" w:rsidR="009962C9" w:rsidRPr="00066E4A" w:rsidRDefault="009962C9" w:rsidP="00C63B92">
            <w:pPr>
              <w:widowControl w:val="0"/>
              <w:spacing w:line="240" w:lineRule="auto"/>
              <w:rPr>
                <w:rFonts w:cs="Arial"/>
                <w:lang w:val="fr-CM"/>
              </w:rPr>
            </w:pPr>
          </w:p>
        </w:tc>
      </w:tr>
      <w:tr w:rsidR="00C63B92" w:rsidRPr="009C2915" w14:paraId="1E18D5E1" w14:textId="77777777" w:rsidTr="00C63B92">
        <w:tc>
          <w:tcPr>
            <w:tcW w:w="3256" w:type="dxa"/>
            <w:tcBorders>
              <w:top w:val="nil"/>
              <w:left w:val="single" w:sz="8" w:space="0" w:color="auto"/>
              <w:bottom w:val="nil"/>
              <w:right w:val="single" w:sz="8" w:space="0" w:color="auto"/>
            </w:tcBorders>
          </w:tcPr>
          <w:p w14:paraId="555A9048" w14:textId="25518C06" w:rsidR="00C63B92" w:rsidRPr="00C63B92" w:rsidRDefault="00C63B92" w:rsidP="00C63B92">
            <w:r w:rsidRPr="00C63B92">
              <w:lastRenderedPageBreak/>
              <w:t xml:space="preserve">Rapport </w:t>
            </w:r>
            <w:r>
              <w:t>définitif</w:t>
            </w:r>
            <w:r w:rsidRPr="00C63B92">
              <w:t xml:space="preserve"> de la revue n-1</w:t>
            </w:r>
          </w:p>
          <w:p w14:paraId="28BA233F" w14:textId="77777777" w:rsidR="00C63B92" w:rsidRDefault="00C63B92" w:rsidP="009962C9"/>
        </w:tc>
        <w:tc>
          <w:tcPr>
            <w:tcW w:w="4649" w:type="dxa"/>
            <w:shd w:val="clear" w:color="auto" w:fill="auto"/>
          </w:tcPr>
          <w:p w14:paraId="07E6F6CA" w14:textId="77777777" w:rsidR="00C63B92" w:rsidRPr="00066E4A" w:rsidRDefault="00C63B92" w:rsidP="00C63B92">
            <w:pPr>
              <w:widowControl w:val="0"/>
              <w:spacing w:line="240" w:lineRule="auto"/>
              <w:jc w:val="both"/>
              <w:rPr>
                <w:rFonts w:cs="Arial"/>
                <w:lang w:val="fr-CM"/>
              </w:rPr>
            </w:pPr>
          </w:p>
        </w:tc>
        <w:tc>
          <w:tcPr>
            <w:tcW w:w="2410" w:type="dxa"/>
            <w:shd w:val="clear" w:color="auto" w:fill="auto"/>
          </w:tcPr>
          <w:p w14:paraId="42966120" w14:textId="77777777" w:rsidR="00C63B92" w:rsidRDefault="00C63B92" w:rsidP="009962C9">
            <w:pPr>
              <w:widowControl w:val="0"/>
              <w:spacing w:line="240" w:lineRule="auto"/>
              <w:rPr>
                <w:rFonts w:cs="Arial"/>
                <w:lang w:val="fr-CM"/>
              </w:rPr>
            </w:pPr>
          </w:p>
        </w:tc>
      </w:tr>
      <w:tr w:rsidR="00C63B92" w:rsidRPr="009C2915" w14:paraId="40BBFFEF" w14:textId="77777777" w:rsidTr="00C63B92">
        <w:tc>
          <w:tcPr>
            <w:tcW w:w="3256" w:type="dxa"/>
            <w:tcBorders>
              <w:top w:val="nil"/>
              <w:left w:val="single" w:sz="8" w:space="0" w:color="auto"/>
              <w:bottom w:val="single" w:sz="8" w:space="0" w:color="auto"/>
              <w:right w:val="single" w:sz="8" w:space="0" w:color="auto"/>
            </w:tcBorders>
          </w:tcPr>
          <w:p w14:paraId="6F6D09BB" w14:textId="53CF48F3" w:rsidR="00C63B92" w:rsidRDefault="00C63B92" w:rsidP="00C63B92">
            <w:r>
              <w:t>Rapport provisoire de la revue n</w:t>
            </w:r>
          </w:p>
          <w:p w14:paraId="3049A3B0" w14:textId="77777777" w:rsidR="00C63B92" w:rsidRPr="00C63B92" w:rsidRDefault="00C63B92" w:rsidP="00C63B92"/>
        </w:tc>
        <w:tc>
          <w:tcPr>
            <w:tcW w:w="4649" w:type="dxa"/>
            <w:shd w:val="clear" w:color="auto" w:fill="auto"/>
          </w:tcPr>
          <w:p w14:paraId="14195D5B" w14:textId="77777777" w:rsidR="00C63B92" w:rsidRPr="00066E4A" w:rsidRDefault="00C63B92" w:rsidP="00C63B92">
            <w:pPr>
              <w:widowControl w:val="0"/>
              <w:spacing w:line="240" w:lineRule="auto"/>
              <w:jc w:val="both"/>
              <w:rPr>
                <w:rFonts w:cs="Arial"/>
                <w:lang w:val="fr-CM"/>
              </w:rPr>
            </w:pPr>
          </w:p>
        </w:tc>
        <w:tc>
          <w:tcPr>
            <w:tcW w:w="2410" w:type="dxa"/>
            <w:shd w:val="clear" w:color="auto" w:fill="auto"/>
          </w:tcPr>
          <w:p w14:paraId="2C1F1D83" w14:textId="77777777" w:rsidR="00C63B92" w:rsidRDefault="00C63B92" w:rsidP="00C63B92">
            <w:pPr>
              <w:widowControl w:val="0"/>
              <w:spacing w:line="240" w:lineRule="auto"/>
              <w:rPr>
                <w:rFonts w:cs="Arial"/>
                <w:lang w:val="fr-CM"/>
              </w:rPr>
            </w:pPr>
          </w:p>
        </w:tc>
      </w:tr>
      <w:tr w:rsidR="00C63B92" w:rsidRPr="009C2915" w14:paraId="4DC1E96F" w14:textId="77777777" w:rsidTr="00C63B92">
        <w:tc>
          <w:tcPr>
            <w:tcW w:w="3256" w:type="dxa"/>
            <w:tcBorders>
              <w:top w:val="nil"/>
              <w:left w:val="single" w:sz="8" w:space="0" w:color="auto"/>
              <w:bottom w:val="single" w:sz="8" w:space="0" w:color="auto"/>
              <w:right w:val="single" w:sz="8" w:space="0" w:color="auto"/>
            </w:tcBorders>
          </w:tcPr>
          <w:p w14:paraId="451B33FC" w14:textId="57FC480D" w:rsidR="00C63B92" w:rsidRPr="00C63B92" w:rsidRDefault="00C63B92" w:rsidP="00C63B92">
            <w:r w:rsidRPr="00C63B92">
              <w:t xml:space="preserve">Rapport </w:t>
            </w:r>
            <w:r>
              <w:t>définitif de la revue n</w:t>
            </w:r>
          </w:p>
          <w:p w14:paraId="649F47F6" w14:textId="77777777" w:rsidR="00C63B92" w:rsidRPr="00C63B92" w:rsidRDefault="00C63B92" w:rsidP="00C63B92"/>
        </w:tc>
        <w:tc>
          <w:tcPr>
            <w:tcW w:w="4649" w:type="dxa"/>
            <w:shd w:val="clear" w:color="auto" w:fill="auto"/>
          </w:tcPr>
          <w:p w14:paraId="4D9892B1" w14:textId="77777777" w:rsidR="00C63B92" w:rsidRPr="00066E4A" w:rsidRDefault="00C63B92" w:rsidP="00C63B92">
            <w:pPr>
              <w:widowControl w:val="0"/>
              <w:spacing w:line="240" w:lineRule="auto"/>
              <w:jc w:val="both"/>
              <w:rPr>
                <w:rFonts w:cs="Arial"/>
                <w:lang w:val="fr-CM"/>
              </w:rPr>
            </w:pPr>
          </w:p>
        </w:tc>
        <w:tc>
          <w:tcPr>
            <w:tcW w:w="2410" w:type="dxa"/>
            <w:shd w:val="clear" w:color="auto" w:fill="auto"/>
          </w:tcPr>
          <w:p w14:paraId="71406079" w14:textId="77777777" w:rsidR="00C63B92" w:rsidRDefault="00C63B92" w:rsidP="00C63B92">
            <w:pPr>
              <w:widowControl w:val="0"/>
              <w:spacing w:line="240" w:lineRule="auto"/>
              <w:rPr>
                <w:rFonts w:cs="Arial"/>
                <w:lang w:val="fr-CM"/>
              </w:rPr>
            </w:pPr>
          </w:p>
        </w:tc>
      </w:tr>
      <w:tr w:rsidR="00C63B92" w:rsidRPr="009C2915" w14:paraId="772A7A06" w14:textId="77777777" w:rsidTr="00C63B92">
        <w:tc>
          <w:tcPr>
            <w:tcW w:w="3256" w:type="dxa"/>
            <w:tcBorders>
              <w:top w:val="nil"/>
              <w:left w:val="single" w:sz="8" w:space="0" w:color="auto"/>
              <w:bottom w:val="single" w:sz="8" w:space="0" w:color="auto"/>
              <w:right w:val="single" w:sz="8" w:space="0" w:color="auto"/>
            </w:tcBorders>
          </w:tcPr>
          <w:p w14:paraId="5A39CC57" w14:textId="33F3C331" w:rsidR="00C63B92" w:rsidRPr="00C63B92" w:rsidRDefault="00C63B92" w:rsidP="00C63B92">
            <w:pPr>
              <w:rPr>
                <w:lang w:val="fr-CM"/>
              </w:rPr>
            </w:pPr>
            <w:r w:rsidRPr="00C63B92">
              <w:rPr>
                <w:lang w:val="fr-CM"/>
              </w:rPr>
              <w:t>Note méthodologique pour accompagnement de la revue de l'année n</w:t>
            </w:r>
            <w:r>
              <w:rPr>
                <w:lang w:val="fr-CM"/>
              </w:rPr>
              <w:t>-1</w:t>
            </w:r>
          </w:p>
          <w:p w14:paraId="6170666B" w14:textId="77777777" w:rsidR="00C63B92" w:rsidRPr="00C63B92" w:rsidRDefault="00C63B92" w:rsidP="00C63B92"/>
        </w:tc>
        <w:tc>
          <w:tcPr>
            <w:tcW w:w="4649" w:type="dxa"/>
            <w:shd w:val="clear" w:color="auto" w:fill="auto"/>
          </w:tcPr>
          <w:p w14:paraId="3015FB80" w14:textId="77777777" w:rsidR="00C63B92" w:rsidRPr="00066E4A" w:rsidRDefault="00C63B92" w:rsidP="00C63B92">
            <w:pPr>
              <w:widowControl w:val="0"/>
              <w:spacing w:line="240" w:lineRule="auto"/>
              <w:jc w:val="both"/>
              <w:rPr>
                <w:rFonts w:cs="Arial"/>
                <w:lang w:val="fr-CM"/>
              </w:rPr>
            </w:pPr>
          </w:p>
        </w:tc>
        <w:tc>
          <w:tcPr>
            <w:tcW w:w="2410" w:type="dxa"/>
            <w:shd w:val="clear" w:color="auto" w:fill="auto"/>
          </w:tcPr>
          <w:p w14:paraId="565E352A" w14:textId="77777777" w:rsidR="00C63B92" w:rsidRDefault="00C63B92" w:rsidP="009962C9">
            <w:pPr>
              <w:widowControl w:val="0"/>
              <w:spacing w:line="240" w:lineRule="auto"/>
              <w:rPr>
                <w:rFonts w:cs="Arial"/>
                <w:lang w:val="fr-CM"/>
              </w:rPr>
            </w:pPr>
          </w:p>
        </w:tc>
      </w:tr>
      <w:tr w:rsidR="00C63B92" w:rsidRPr="009C2915" w14:paraId="1D637042" w14:textId="77777777" w:rsidTr="00C63B92">
        <w:tc>
          <w:tcPr>
            <w:tcW w:w="3256" w:type="dxa"/>
            <w:tcBorders>
              <w:top w:val="nil"/>
              <w:left w:val="single" w:sz="8" w:space="0" w:color="auto"/>
              <w:bottom w:val="single" w:sz="8" w:space="0" w:color="auto"/>
              <w:right w:val="single" w:sz="8" w:space="0" w:color="auto"/>
            </w:tcBorders>
          </w:tcPr>
          <w:p w14:paraId="513CDC7F" w14:textId="77777777" w:rsidR="00C63B92" w:rsidRPr="00066E4A" w:rsidRDefault="00C63B92" w:rsidP="00C63B92">
            <w:pPr>
              <w:widowControl w:val="0"/>
              <w:spacing w:line="240" w:lineRule="auto"/>
              <w:jc w:val="both"/>
              <w:rPr>
                <w:rFonts w:cs="Arial"/>
                <w:lang w:val="fr-CM"/>
              </w:rPr>
            </w:pPr>
            <w:r w:rsidRPr="00066E4A">
              <w:rPr>
                <w:rFonts w:cs="Arial"/>
                <w:lang w:val="fr-CM"/>
              </w:rPr>
              <w:t>Note méthodologique pour accompagnement de la revue de l'année n</w:t>
            </w:r>
          </w:p>
          <w:p w14:paraId="13462E7C" w14:textId="77777777" w:rsidR="00C63B92" w:rsidRPr="00C63B92" w:rsidRDefault="00C63B92" w:rsidP="00C63B92"/>
        </w:tc>
        <w:tc>
          <w:tcPr>
            <w:tcW w:w="4649" w:type="dxa"/>
            <w:shd w:val="clear" w:color="auto" w:fill="auto"/>
          </w:tcPr>
          <w:p w14:paraId="06721874" w14:textId="77777777" w:rsidR="00C63B92" w:rsidRPr="00066E4A" w:rsidRDefault="00C63B92" w:rsidP="00C63B92">
            <w:pPr>
              <w:widowControl w:val="0"/>
              <w:spacing w:line="240" w:lineRule="auto"/>
              <w:jc w:val="both"/>
              <w:rPr>
                <w:rFonts w:cs="Arial"/>
                <w:lang w:val="fr-CM"/>
              </w:rPr>
            </w:pPr>
          </w:p>
        </w:tc>
        <w:tc>
          <w:tcPr>
            <w:tcW w:w="2410" w:type="dxa"/>
            <w:shd w:val="clear" w:color="auto" w:fill="auto"/>
          </w:tcPr>
          <w:p w14:paraId="6220BF9A" w14:textId="77777777" w:rsidR="00C63B92" w:rsidRDefault="00C63B92" w:rsidP="009962C9">
            <w:pPr>
              <w:widowControl w:val="0"/>
              <w:spacing w:line="240" w:lineRule="auto"/>
              <w:rPr>
                <w:rFonts w:cs="Arial"/>
                <w:lang w:val="fr-CM"/>
              </w:rPr>
            </w:pPr>
          </w:p>
        </w:tc>
      </w:tr>
      <w:tr w:rsidR="00C63B92" w:rsidRPr="009C2915" w14:paraId="0A88BDBA" w14:textId="77777777" w:rsidTr="00C63B92">
        <w:tc>
          <w:tcPr>
            <w:tcW w:w="3256" w:type="dxa"/>
            <w:tcBorders>
              <w:top w:val="nil"/>
              <w:left w:val="single" w:sz="8" w:space="0" w:color="auto"/>
              <w:bottom w:val="single" w:sz="8" w:space="0" w:color="auto"/>
              <w:right w:val="single" w:sz="8" w:space="0" w:color="auto"/>
            </w:tcBorders>
          </w:tcPr>
          <w:p w14:paraId="56FEF6B1" w14:textId="20331FF6" w:rsidR="00C63B92" w:rsidRPr="00C63B92" w:rsidRDefault="00C63B92" w:rsidP="00C63B92">
            <w:r w:rsidRPr="00066E4A">
              <w:rPr>
                <w:rFonts w:cs="Arial"/>
                <w:lang w:val="fr-CM"/>
              </w:rPr>
              <w:t>Aide-mémoire court d'une dizaine de page incluant</w:t>
            </w:r>
          </w:p>
        </w:tc>
        <w:tc>
          <w:tcPr>
            <w:tcW w:w="4649" w:type="dxa"/>
            <w:shd w:val="clear" w:color="auto" w:fill="auto"/>
          </w:tcPr>
          <w:p w14:paraId="1280DC08" w14:textId="77777777" w:rsidR="00C63B92" w:rsidRPr="00066E4A" w:rsidRDefault="00C63B92" w:rsidP="00C63B92">
            <w:pPr>
              <w:widowControl w:val="0"/>
              <w:spacing w:line="240" w:lineRule="auto"/>
              <w:jc w:val="both"/>
              <w:rPr>
                <w:rFonts w:cs="Arial"/>
                <w:lang w:val="fr-CM"/>
              </w:rPr>
            </w:pPr>
            <w:r w:rsidRPr="00066E4A">
              <w:rPr>
                <w:rFonts w:cs="Arial"/>
                <w:lang w:val="fr-CM"/>
              </w:rPr>
              <w:t>Déroulement de la mission ;</w:t>
            </w:r>
          </w:p>
          <w:p w14:paraId="7485D1EE" w14:textId="77777777" w:rsidR="00C63B92" w:rsidRPr="00066E4A" w:rsidRDefault="00C63B92" w:rsidP="00C63B92">
            <w:pPr>
              <w:widowControl w:val="0"/>
              <w:spacing w:line="240" w:lineRule="auto"/>
              <w:jc w:val="both"/>
              <w:rPr>
                <w:rFonts w:cs="Arial"/>
                <w:lang w:val="fr-CM"/>
              </w:rPr>
            </w:pPr>
            <w:r w:rsidRPr="00066E4A">
              <w:rPr>
                <w:rFonts w:cs="Arial"/>
                <w:lang w:val="fr-CM"/>
              </w:rPr>
              <w:t>Activités réalisées ;</w:t>
            </w:r>
          </w:p>
          <w:p w14:paraId="4CD38C0D" w14:textId="77777777" w:rsidR="00C63B92" w:rsidRPr="00066E4A" w:rsidRDefault="00C63B92" w:rsidP="00C63B92">
            <w:pPr>
              <w:widowControl w:val="0"/>
              <w:spacing w:line="240" w:lineRule="auto"/>
              <w:jc w:val="both"/>
              <w:rPr>
                <w:rFonts w:cs="Arial"/>
                <w:lang w:val="fr-CM"/>
              </w:rPr>
            </w:pPr>
            <w:r w:rsidRPr="00066E4A">
              <w:rPr>
                <w:rFonts w:cs="Arial"/>
                <w:lang w:val="fr-CM"/>
              </w:rPr>
              <w:t>Leçons apprises et difficultés enregistrées ;</w:t>
            </w:r>
          </w:p>
          <w:p w14:paraId="6AB09A79" w14:textId="77777777" w:rsidR="00C63B92" w:rsidRPr="00066E4A" w:rsidRDefault="00C63B92" w:rsidP="00C63B92">
            <w:pPr>
              <w:widowControl w:val="0"/>
              <w:spacing w:line="240" w:lineRule="auto"/>
              <w:jc w:val="both"/>
              <w:rPr>
                <w:rFonts w:cs="Arial"/>
                <w:lang w:val="fr-CM"/>
              </w:rPr>
            </w:pPr>
            <w:r w:rsidRPr="00066E4A">
              <w:rPr>
                <w:rFonts w:cs="Arial"/>
                <w:lang w:val="fr-CM"/>
              </w:rPr>
              <w:t>Les obstacles au changement</w:t>
            </w:r>
          </w:p>
          <w:p w14:paraId="0E4AC8B5" w14:textId="1423064D" w:rsidR="00C63B92" w:rsidRPr="00066E4A" w:rsidRDefault="00C63B92" w:rsidP="00C63B92">
            <w:pPr>
              <w:widowControl w:val="0"/>
              <w:spacing w:line="240" w:lineRule="auto"/>
              <w:jc w:val="both"/>
              <w:rPr>
                <w:rFonts w:cs="Arial"/>
                <w:lang w:val="fr-CM"/>
              </w:rPr>
            </w:pPr>
            <w:r w:rsidRPr="00066E4A">
              <w:rPr>
                <w:rFonts w:cs="Arial"/>
                <w:lang w:val="fr-CM"/>
              </w:rPr>
              <w:t>Recommandations</w:t>
            </w:r>
          </w:p>
        </w:tc>
        <w:tc>
          <w:tcPr>
            <w:tcW w:w="2410" w:type="dxa"/>
            <w:shd w:val="clear" w:color="auto" w:fill="auto"/>
          </w:tcPr>
          <w:p w14:paraId="66028A83" w14:textId="77777777" w:rsidR="00C63B92" w:rsidRDefault="00C63B92" w:rsidP="009962C9">
            <w:pPr>
              <w:widowControl w:val="0"/>
              <w:spacing w:line="240" w:lineRule="auto"/>
              <w:rPr>
                <w:rFonts w:cs="Arial"/>
                <w:lang w:val="fr-CM"/>
              </w:rPr>
            </w:pPr>
          </w:p>
        </w:tc>
      </w:tr>
    </w:tbl>
    <w:p w14:paraId="15B70C93" w14:textId="30C2238B" w:rsidR="00EF653D" w:rsidRPr="00A86E43" w:rsidRDefault="005B2283" w:rsidP="00EF653D">
      <w:pPr>
        <w:pStyle w:val="Titre2"/>
        <w:spacing w:before="120" w:after="60"/>
        <w:rPr>
          <w:rFonts w:asciiTheme="minorHAnsi" w:hAnsiTheme="minorHAnsi" w:cstheme="minorHAnsi"/>
          <w:sz w:val="22"/>
          <w:szCs w:val="22"/>
        </w:rPr>
      </w:pPr>
      <w:r>
        <w:rPr>
          <w:rFonts w:asciiTheme="minorHAnsi" w:hAnsiTheme="minorHAnsi" w:cstheme="minorHAnsi"/>
          <w:sz w:val="22"/>
          <w:szCs w:val="22"/>
        </w:rPr>
        <w:t xml:space="preserve">Experts </w:t>
      </w:r>
      <w:r w:rsidR="00EF653D" w:rsidRPr="00A86E43">
        <w:rPr>
          <w:rFonts w:asciiTheme="minorHAnsi" w:hAnsiTheme="minorHAnsi" w:cstheme="minorHAnsi"/>
          <w:sz w:val="22"/>
          <w:szCs w:val="22"/>
        </w:rPr>
        <w:t xml:space="preserve">en </w:t>
      </w:r>
      <w:r w:rsidRPr="00A86E43">
        <w:rPr>
          <w:rFonts w:asciiTheme="minorHAnsi" w:hAnsiTheme="minorHAnsi" w:cstheme="minorHAnsi"/>
          <w:sz w:val="22"/>
          <w:szCs w:val="22"/>
        </w:rPr>
        <w:t>charge</w:t>
      </w:r>
      <w:r>
        <w:rPr>
          <w:rFonts w:asciiTheme="minorHAnsi" w:hAnsiTheme="minorHAnsi" w:cstheme="minorHAnsi"/>
          <w:sz w:val="22"/>
          <w:szCs w:val="22"/>
        </w:rPr>
        <w:t>nt</w:t>
      </w:r>
      <w:r w:rsidR="00EF653D" w:rsidRPr="00A86E43">
        <w:rPr>
          <w:rFonts w:asciiTheme="minorHAnsi" w:hAnsiTheme="minorHAnsi" w:cstheme="minorHAnsi"/>
          <w:sz w:val="22"/>
          <w:szCs w:val="22"/>
        </w:rPr>
        <w:t xml:space="preserve"> de l’exécution de la mission</w:t>
      </w:r>
      <w:bookmarkEnd w:id="38"/>
      <w:bookmarkEnd w:id="39"/>
    </w:p>
    <w:p w14:paraId="2A6A1502" w14:textId="5C815050"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mission d’</w:t>
      </w:r>
      <w:r w:rsidR="005B2283">
        <w:rPr>
          <w:rFonts w:asciiTheme="minorHAnsi" w:hAnsiTheme="minorHAnsi" w:cstheme="minorHAnsi"/>
          <w:szCs w:val="22"/>
        </w:rPr>
        <w:t>expertise doit être assurée par (3</w:t>
      </w:r>
      <w:r w:rsidR="00725B1A" w:rsidRPr="00A86E43">
        <w:rPr>
          <w:rFonts w:asciiTheme="minorHAnsi" w:hAnsiTheme="minorHAnsi" w:cstheme="minorHAnsi"/>
          <w:szCs w:val="22"/>
        </w:rPr>
        <w:t xml:space="preserve">) </w:t>
      </w:r>
      <w:r w:rsidRPr="00A86E43">
        <w:rPr>
          <w:rFonts w:asciiTheme="minorHAnsi" w:hAnsiTheme="minorHAnsi" w:cstheme="minorHAnsi"/>
          <w:szCs w:val="22"/>
        </w:rPr>
        <w:t>expert</w:t>
      </w:r>
      <w:r w:rsidR="005B2283">
        <w:rPr>
          <w:rFonts w:asciiTheme="minorHAnsi" w:hAnsiTheme="minorHAnsi" w:cstheme="minorHAnsi"/>
          <w:szCs w:val="22"/>
        </w:rPr>
        <w:t>s</w:t>
      </w:r>
      <w:r w:rsidR="00725B1A" w:rsidRPr="00A86E43">
        <w:rPr>
          <w:rFonts w:asciiTheme="minorHAnsi" w:hAnsiTheme="minorHAnsi" w:cstheme="minorHAnsi"/>
          <w:szCs w:val="22"/>
        </w:rPr>
        <w:t xml:space="preserve"> </w:t>
      </w:r>
      <w:r w:rsidRPr="00A86E43">
        <w:rPr>
          <w:rFonts w:asciiTheme="minorHAnsi" w:hAnsiTheme="minorHAnsi" w:cstheme="minorHAnsi"/>
          <w:szCs w:val="22"/>
        </w:rPr>
        <w:t>désigné</w:t>
      </w:r>
      <w:r w:rsidR="005B2283">
        <w:rPr>
          <w:rFonts w:asciiTheme="minorHAnsi" w:hAnsiTheme="minorHAnsi" w:cstheme="minorHAnsi"/>
          <w:szCs w:val="22"/>
        </w:rPr>
        <w:t>s</w:t>
      </w:r>
      <w:r w:rsidR="00725B1A" w:rsidRPr="00A86E43">
        <w:rPr>
          <w:rFonts w:asciiTheme="minorHAnsi" w:hAnsiTheme="minorHAnsi" w:cstheme="minorHAnsi"/>
          <w:szCs w:val="22"/>
        </w:rPr>
        <w:t xml:space="preserve">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1" w:name="_Toc126921993"/>
      <w:r w:rsidRPr="00A86E43">
        <w:rPr>
          <w:rFonts w:asciiTheme="minorHAnsi" w:hAnsiTheme="minorHAnsi" w:cstheme="minorHAnsi"/>
          <w:sz w:val="22"/>
          <w:szCs w:val="22"/>
        </w:rPr>
        <w:t>Lieu d’exécution</w:t>
      </w:r>
      <w:bookmarkEnd w:id="40"/>
      <w:bookmarkEnd w:id="41"/>
    </w:p>
    <w:p w14:paraId="211EA0ED" w14:textId="3B3E55F1"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5B2283">
        <w:rPr>
          <w:rFonts w:asciiTheme="minorHAnsi" w:hAnsiTheme="minorHAnsi" w:cstheme="minorHAnsi"/>
          <w:szCs w:val="22"/>
        </w:rPr>
        <w:t>Union des Comores (Grande Comores, Anjouan et Mohéli)</w:t>
      </w:r>
    </w:p>
    <w:p w14:paraId="2F107B2A" w14:textId="518EC007" w:rsidR="00E4145C" w:rsidRPr="00A86E43" w:rsidRDefault="00C63B92" w:rsidP="00E4145C">
      <w:pPr>
        <w:pStyle w:val="Titre2"/>
        <w:spacing w:before="120" w:after="60"/>
        <w:rPr>
          <w:rFonts w:asciiTheme="minorHAnsi" w:hAnsiTheme="minorHAnsi" w:cstheme="minorHAnsi"/>
          <w:sz w:val="22"/>
          <w:szCs w:val="22"/>
        </w:rPr>
      </w:pPr>
      <w:proofErr w:type="spellStart"/>
      <w:r>
        <w:rPr>
          <w:rFonts w:asciiTheme="minorHAnsi" w:hAnsiTheme="minorHAnsi" w:cstheme="minorHAnsi"/>
          <w:sz w:val="22"/>
          <w:szCs w:val="22"/>
        </w:rPr>
        <w:t>Execution</w:t>
      </w:r>
      <w:proofErr w:type="spellEnd"/>
      <w:r>
        <w:rPr>
          <w:rFonts w:asciiTheme="minorHAnsi" w:hAnsiTheme="minorHAnsi" w:cstheme="minorHAnsi"/>
          <w:sz w:val="22"/>
          <w:szCs w:val="22"/>
        </w:rPr>
        <w:t xml:space="preserve"> des prestations </w:t>
      </w:r>
    </w:p>
    <w:p w14:paraId="15CA157B" w14:textId="0C3DADC8" w:rsidR="000A4C31" w:rsidRPr="00A86E43" w:rsidRDefault="005B2283" w:rsidP="00A1761D">
      <w:pPr>
        <w:pStyle w:val="v"/>
        <w:widowControl w:val="0"/>
        <w:spacing w:before="120"/>
        <w:ind w:left="1134"/>
        <w:rPr>
          <w:rFonts w:asciiTheme="minorHAnsi" w:hAnsiTheme="minorHAnsi" w:cstheme="minorHAnsi"/>
          <w:szCs w:val="22"/>
        </w:rPr>
      </w:pPr>
      <w:r>
        <w:rPr>
          <w:rFonts w:asciiTheme="minorHAnsi" w:hAnsiTheme="minorHAnsi" w:cstheme="minorHAnsi"/>
          <w:szCs w:val="22"/>
        </w:rPr>
        <w:t>b)</w:t>
      </w:r>
      <w:r>
        <w:rPr>
          <w:rFonts w:asciiTheme="minorHAnsi" w:hAnsiTheme="minorHAnsi" w:cstheme="minorHAnsi"/>
          <w:szCs w:val="22"/>
        </w:rPr>
        <w:tab/>
        <w:t xml:space="preserve">Les </w:t>
      </w:r>
      <w:r w:rsidR="00C63B92">
        <w:rPr>
          <w:rFonts w:asciiTheme="minorHAnsi" w:hAnsiTheme="minorHAnsi" w:cstheme="minorHAnsi"/>
          <w:szCs w:val="22"/>
        </w:rPr>
        <w:t>prestations effectuées</w:t>
      </w:r>
      <w:r w:rsidR="000A4C31" w:rsidRPr="00A86E43">
        <w:rPr>
          <w:rFonts w:asciiTheme="minorHAnsi" w:hAnsiTheme="minorHAnsi" w:cstheme="minorHAnsi"/>
          <w:szCs w:val="22"/>
        </w:rPr>
        <w:t xml:space="preserve"> doivent:</w:t>
      </w:r>
    </w:p>
    <w:p w14:paraId="04A6BC6B" w14:textId="2AC72DE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02136AF7" w14:textId="415B2F22" w:rsidR="000A4C31" w:rsidRPr="00A86E43" w:rsidRDefault="00BE055A" w:rsidP="005B2283">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w:t>
      </w:r>
      <w:r w:rsidR="005B2283">
        <w:rPr>
          <w:rFonts w:asciiTheme="minorHAnsi" w:hAnsiTheme="minorHAnsi" w:cstheme="minorHAnsi"/>
          <w:szCs w:val="22"/>
        </w:rPr>
        <w:t xml:space="preserve">uels servent habituellement les prestations </w:t>
      </w:r>
      <w:r w:rsidR="005B2283" w:rsidRPr="00A86E43">
        <w:rPr>
          <w:rFonts w:asciiTheme="minorHAnsi" w:hAnsiTheme="minorHAnsi" w:cstheme="minorHAnsi"/>
          <w:szCs w:val="22"/>
        </w:rPr>
        <w:t>du</w:t>
      </w:r>
      <w:r w:rsidR="000A4C31" w:rsidRPr="00A86E43">
        <w:rPr>
          <w:rFonts w:asciiTheme="minorHAnsi" w:hAnsiTheme="minorHAnsi" w:cstheme="minorHAnsi"/>
          <w:szCs w:val="22"/>
        </w:rPr>
        <w:t xml:space="preserve">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 xml:space="preserv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2" w:name="_Toc126921996"/>
      <w:bookmarkStart w:id="43" w:name="_Toc392669645"/>
      <w:r>
        <w:rPr>
          <w:rFonts w:asciiTheme="minorHAnsi" w:hAnsiTheme="minorHAnsi" w:cstheme="minorHAnsi"/>
          <w:sz w:val="22"/>
          <w:szCs w:val="22"/>
        </w:rPr>
        <w:t>Langue du contrat</w:t>
      </w:r>
      <w:bookmarkEnd w:id="42"/>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126921997"/>
      <w:r w:rsidRPr="00A86E43">
        <w:rPr>
          <w:rFonts w:asciiTheme="minorHAnsi" w:hAnsiTheme="minorHAnsi" w:cstheme="minorHAnsi"/>
          <w:sz w:val="22"/>
          <w:szCs w:val="22"/>
        </w:rPr>
        <w:lastRenderedPageBreak/>
        <w:t xml:space="preserve">Engagement du </w:t>
      </w:r>
      <w:bookmarkEnd w:id="43"/>
      <w:r w:rsidR="00825236" w:rsidRPr="003A0706">
        <w:rPr>
          <w:rFonts w:asciiTheme="minorHAnsi" w:hAnsiTheme="minorHAnsi" w:cstheme="minorHAnsi"/>
          <w:smallCaps/>
          <w:sz w:val="22"/>
          <w:szCs w:val="22"/>
        </w:rPr>
        <w:t>Contractant</w:t>
      </w:r>
      <w:bookmarkEnd w:id="44"/>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126921998"/>
      <w:r w:rsidRPr="00A86E43">
        <w:rPr>
          <w:rFonts w:asciiTheme="minorHAnsi" w:hAnsiTheme="minorHAnsi" w:cstheme="minorHAnsi"/>
          <w:sz w:val="22"/>
          <w:szCs w:val="22"/>
        </w:rPr>
        <w:t>Confidentialité</w:t>
      </w:r>
      <w:bookmarkEnd w:id="45"/>
      <w:bookmarkEnd w:id="46"/>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 xml:space="preserve">à son </w:t>
      </w:r>
      <w:r w:rsidR="0091111F" w:rsidRPr="00A86E43">
        <w:rPr>
          <w:rFonts w:asciiTheme="minorHAnsi" w:hAnsiTheme="minorHAnsi" w:cstheme="minorHAnsi"/>
          <w:szCs w:val="22"/>
        </w:rPr>
        <w:lastRenderedPageBreak/>
        <w:t>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7"/>
      <w:bookmarkEnd w:id="48"/>
      <w:r w:rsidR="00BA76D5" w:rsidRPr="00A86E43">
        <w:rPr>
          <w:rFonts w:asciiTheme="minorHAnsi" w:hAnsiTheme="minorHAnsi" w:cstheme="minorHAnsi"/>
          <w:sz w:val="22"/>
          <w:szCs w:val="22"/>
        </w:rPr>
        <w:t xml:space="preserve"> </w:t>
      </w:r>
    </w:p>
    <w:p w14:paraId="195BB9F7" w14:textId="1BB5ECA1" w:rsidR="005C1231" w:rsidRPr="00A86E43" w:rsidRDefault="00100109" w:rsidP="00C63B92">
      <w:pPr>
        <w:pStyle w:val="u"/>
        <w:widowControl w:val="0"/>
        <w:numPr>
          <w:ilvl w:val="12"/>
          <w:numId w:val="0"/>
        </w:numPr>
        <w:ind w:left="567"/>
        <w:rPr>
          <w:rFonts w:asciiTheme="minorHAnsi" w:hAnsiTheme="minorHAnsi" w:cstheme="minorHAnsi"/>
          <w:szCs w:val="22"/>
          <w:highlight w:val="yellow"/>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 xml:space="preserve">dispose en temps utile des </w:t>
      </w:r>
      <w:proofErr w:type="gramStart"/>
      <w:r w:rsidR="00122959" w:rsidRPr="00A86E43">
        <w:rPr>
          <w:rFonts w:asciiTheme="minorHAnsi" w:hAnsiTheme="minorHAnsi" w:cstheme="minorHAnsi"/>
          <w:szCs w:val="22"/>
        </w:rPr>
        <w:t>documents  nécessaires</w:t>
      </w:r>
      <w:proofErr w:type="gramEnd"/>
      <w:r w:rsidR="00122959" w:rsidRPr="00A86E43">
        <w:rPr>
          <w:rFonts w:asciiTheme="minorHAnsi" w:hAnsiTheme="minorHAnsi" w:cstheme="minorHAnsi"/>
          <w:szCs w:val="22"/>
        </w:rPr>
        <w:t xml:space="preserve"> à la réalisation des </w:t>
      </w:r>
      <w:r w:rsidR="00C63B92">
        <w:rPr>
          <w:rFonts w:asciiTheme="minorHAnsi" w:hAnsiTheme="minorHAnsi" w:cstheme="minorHAnsi"/>
          <w:szCs w:val="22"/>
        </w:rPr>
        <w:t>prestations.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26922000"/>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26922001"/>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2B34994F" w:rsidR="00D07897" w:rsidRPr="00A86E43" w:rsidRDefault="005B2283" w:rsidP="00B2733D">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Abdoul-Kader ADAMOU</w:t>
            </w:r>
          </w:p>
          <w:p w14:paraId="38DD0932" w14:textId="66F21558" w:rsidR="00D07897" w:rsidRDefault="005B2283" w:rsidP="00B2733D">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PROJET AFIDEV</w:t>
            </w:r>
          </w:p>
          <w:p w14:paraId="7029CC39" w14:textId="3B11AF21" w:rsidR="005B2283" w:rsidRDefault="005B2283" w:rsidP="00B2733D">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EXPERTISE FRANCE </w:t>
            </w:r>
          </w:p>
          <w:p w14:paraId="30785E61" w14:textId="66116C84" w:rsidR="005B2283" w:rsidRDefault="005B2283" w:rsidP="00B2733D">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MORONI –UNION DES COMORES</w:t>
            </w:r>
          </w:p>
          <w:p w14:paraId="011F9325" w14:textId="79561AA2" w:rsidR="00D07897" w:rsidRPr="00A86E43" w:rsidRDefault="00A4269D" w:rsidP="00B2733D">
            <w:pPr>
              <w:widowControl w:val="0"/>
              <w:numPr>
                <w:ilvl w:val="12"/>
                <w:numId w:val="0"/>
              </w:numPr>
              <w:spacing w:line="240" w:lineRule="auto"/>
              <w:jc w:val="both"/>
              <w:rPr>
                <w:rFonts w:asciiTheme="minorHAnsi" w:hAnsiTheme="minorHAnsi" w:cstheme="minorHAnsi"/>
                <w:sz w:val="22"/>
                <w:szCs w:val="22"/>
                <w:highlight w:val="yellow"/>
              </w:rPr>
            </w:pPr>
            <w:hyperlink r:id="rId20" w:history="1">
              <w:r w:rsidR="005B2283" w:rsidRPr="00BD3DB3">
                <w:rPr>
                  <w:rStyle w:val="Lienhypertexte"/>
                  <w:rFonts w:asciiTheme="minorHAnsi" w:hAnsiTheme="minorHAnsi" w:cstheme="minorHAnsi"/>
                  <w:sz w:val="22"/>
                  <w:szCs w:val="22"/>
                  <w:highlight w:val="yellow"/>
                </w:rPr>
                <w:t>Abdoul-kader.adamou@expertisefrance.fr</w:t>
              </w:r>
            </w:hyperlink>
            <w:r w:rsidR="005B2283">
              <w:rPr>
                <w:rFonts w:asciiTheme="minorHAnsi" w:hAnsiTheme="minorHAnsi" w:cstheme="minorHAnsi"/>
                <w:sz w:val="22"/>
                <w:szCs w:val="22"/>
                <w:highlight w:val="yellow"/>
              </w:rPr>
              <w:t xml:space="preserve">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126922002"/>
      <w:r>
        <w:rPr>
          <w:rFonts w:asciiTheme="minorHAnsi" w:hAnsiTheme="minorHAnsi" w:cstheme="minorHAnsi"/>
          <w:sz w:val="22"/>
          <w:szCs w:val="22"/>
        </w:rPr>
        <w:lastRenderedPageBreak/>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20686656" w:rsidR="00BB7DD0" w:rsidRDefault="00BB7DD0" w:rsidP="00BB7DD0">
      <w:pPr>
        <w:pStyle w:val="v"/>
        <w:widowControl w:val="0"/>
        <w:numPr>
          <w:ilvl w:val="12"/>
          <w:numId w:val="0"/>
        </w:numPr>
        <w:spacing w:before="120"/>
        <w:ind w:left="561"/>
        <w:rPr>
          <w:rStyle w:val="Lienhypertexte"/>
          <w:rFonts w:asciiTheme="minorHAnsi" w:hAnsi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1" w:history="1">
        <w:r>
          <w:rPr>
            <w:rStyle w:val="Lienhypertexte"/>
            <w:rFonts w:asciiTheme="minorHAnsi" w:hAnsiTheme="minorHAnsi"/>
            <w:szCs w:val="22"/>
          </w:rPr>
          <w:t>https://www.ecologie.gouv.fr/sites/default/files/Guide_politique_achat_public_zero_deforestation.pdf</w:t>
        </w:r>
      </w:hyperlink>
    </w:p>
    <w:p w14:paraId="602ABD5E" w14:textId="7F0D7E19" w:rsidR="007A4D8D" w:rsidRDefault="007A4D8D" w:rsidP="007A4D8D">
      <w:pPr>
        <w:pStyle w:val="v"/>
        <w:widowControl w:val="0"/>
        <w:numPr>
          <w:ilvl w:val="12"/>
          <w:numId w:val="0"/>
        </w:numPr>
        <w:spacing w:before="120"/>
        <w:rPr>
          <w:rStyle w:val="Lienhypertexte"/>
          <w:rFonts w:asciiTheme="minorHAnsi" w:hAnsiTheme="minorHAnsi"/>
          <w:szCs w:val="22"/>
        </w:rPr>
      </w:pPr>
      <w:bookmarkStart w:id="55" w:name="_GoBack"/>
      <w:bookmarkEnd w:id="55"/>
    </w:p>
    <w:p w14:paraId="09DE23F7" w14:textId="31FA319D" w:rsidR="007A4D8D" w:rsidRPr="00A86E43" w:rsidRDefault="007A4D8D" w:rsidP="007A4D8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 xml:space="preserve">Clause </w:t>
      </w:r>
      <w:r>
        <w:rPr>
          <w:rFonts w:asciiTheme="minorHAnsi" w:hAnsiTheme="minorHAnsi"/>
          <w:b/>
          <w:caps/>
          <w:sz w:val="24"/>
          <w:u w:val="single"/>
        </w:rPr>
        <w:t>Environnementales</w:t>
      </w:r>
    </w:p>
    <w:p w14:paraId="43AB74F3" w14:textId="6608C8D6" w:rsidR="007A4D8D" w:rsidRDefault="007A4D8D" w:rsidP="00BB7DD0">
      <w:pPr>
        <w:pStyle w:val="v"/>
        <w:widowControl w:val="0"/>
        <w:numPr>
          <w:ilvl w:val="12"/>
          <w:numId w:val="0"/>
        </w:numPr>
        <w:spacing w:before="120"/>
        <w:ind w:left="561"/>
        <w:rPr>
          <w:rStyle w:val="Lienhypertexte"/>
          <w:rFonts w:asciiTheme="minorHAnsi" w:hAnsiTheme="minorHAnsi"/>
          <w:szCs w:val="22"/>
        </w:rPr>
      </w:pPr>
    </w:p>
    <w:p w14:paraId="09D6953A" w14:textId="77777777" w:rsidR="007A4D8D" w:rsidRPr="007A4D8D" w:rsidRDefault="007A4D8D" w:rsidP="007A4D8D">
      <w:pPr>
        <w:pStyle w:val="v"/>
        <w:widowControl w:val="0"/>
        <w:numPr>
          <w:ilvl w:val="12"/>
          <w:numId w:val="0"/>
        </w:numPr>
        <w:spacing w:before="120"/>
        <w:ind w:left="561"/>
        <w:rPr>
          <w:rFonts w:asciiTheme="minorHAnsi" w:hAnsiTheme="minorHAnsi" w:cstheme="minorHAnsi"/>
          <w:szCs w:val="22"/>
        </w:rPr>
      </w:pPr>
      <w:r w:rsidRPr="007A4D8D">
        <w:rPr>
          <w:rFonts w:asciiTheme="minorHAnsi" w:hAnsiTheme="minorHAnsi" w:cstheme="minorHAnsi"/>
          <w:szCs w:val="22"/>
        </w:rPr>
        <w:t>Dans le cadre du présent marché, les titulaires s’engagent à réduire l’empreinte environnementale liée à l’exécution de ses prestations de services, en tenant compte des réalités locales et des capacités technologiques disponibles.</w:t>
      </w:r>
    </w:p>
    <w:p w14:paraId="08277CC8" w14:textId="77777777" w:rsidR="007A4D8D" w:rsidRPr="007A4D8D" w:rsidRDefault="007A4D8D" w:rsidP="007A4D8D">
      <w:pPr>
        <w:pStyle w:val="v"/>
        <w:widowControl w:val="0"/>
        <w:numPr>
          <w:ilvl w:val="12"/>
          <w:numId w:val="0"/>
        </w:numPr>
        <w:spacing w:before="120"/>
        <w:ind w:left="561"/>
        <w:rPr>
          <w:rFonts w:asciiTheme="minorHAnsi" w:hAnsiTheme="minorHAnsi" w:cstheme="minorHAnsi"/>
          <w:szCs w:val="22"/>
        </w:rPr>
      </w:pPr>
      <w:r w:rsidRPr="007A4D8D">
        <w:rPr>
          <w:rFonts w:asciiTheme="minorHAnsi" w:hAnsiTheme="minorHAnsi" w:cstheme="minorHAnsi"/>
          <w:szCs w:val="22"/>
        </w:rPr>
        <w:t>À ce titre, il devra mettre en œuvre les actions suivantes, dans la mesure du possible :</w:t>
      </w:r>
    </w:p>
    <w:p w14:paraId="6DEACCA9" w14:textId="77777777" w:rsidR="007A4D8D" w:rsidRPr="007A4D8D" w:rsidRDefault="007A4D8D" w:rsidP="007A4D8D">
      <w:pPr>
        <w:pStyle w:val="v"/>
        <w:widowControl w:val="0"/>
        <w:numPr>
          <w:ilvl w:val="12"/>
          <w:numId w:val="0"/>
        </w:numPr>
        <w:spacing w:before="120"/>
        <w:ind w:left="561"/>
        <w:rPr>
          <w:rFonts w:asciiTheme="minorHAnsi" w:hAnsiTheme="minorHAnsi" w:cstheme="minorHAnsi"/>
          <w:szCs w:val="22"/>
        </w:rPr>
      </w:pPr>
      <w:r w:rsidRPr="007A4D8D">
        <w:rPr>
          <w:rFonts w:asciiTheme="minorHAnsi" w:hAnsiTheme="minorHAnsi" w:cstheme="minorHAnsi"/>
          <w:szCs w:val="22"/>
        </w:rPr>
        <w:t>– utilisation raisonnée d’outils numériques favorisant la sobriété énergétique (ex. : logiciels peu consommateurs de ressources, serveurs mutualisés, plateformes légères) ;</w:t>
      </w:r>
    </w:p>
    <w:p w14:paraId="63BA5E96" w14:textId="77777777" w:rsidR="007A4D8D" w:rsidRPr="007A4D8D" w:rsidRDefault="007A4D8D" w:rsidP="007A4D8D">
      <w:pPr>
        <w:pStyle w:val="v"/>
        <w:widowControl w:val="0"/>
        <w:numPr>
          <w:ilvl w:val="12"/>
          <w:numId w:val="0"/>
        </w:numPr>
        <w:spacing w:before="120"/>
        <w:ind w:left="561"/>
        <w:rPr>
          <w:rFonts w:asciiTheme="minorHAnsi" w:hAnsiTheme="minorHAnsi" w:cstheme="minorHAnsi"/>
          <w:szCs w:val="22"/>
        </w:rPr>
      </w:pPr>
      <w:r w:rsidRPr="007A4D8D">
        <w:rPr>
          <w:rFonts w:asciiTheme="minorHAnsi" w:hAnsiTheme="minorHAnsi" w:cstheme="minorHAnsi"/>
          <w:szCs w:val="22"/>
        </w:rPr>
        <w:t>– réduction de l’usage du papier, notamment par le recours aux échanges numériques, la dématérialisation des livrables, et l’impression en recto-verso ou en noir et blanc si nécessaire ;</w:t>
      </w:r>
    </w:p>
    <w:p w14:paraId="7FCB8F9B" w14:textId="77777777" w:rsidR="007A4D8D" w:rsidRPr="007A4D8D" w:rsidRDefault="007A4D8D" w:rsidP="007A4D8D">
      <w:pPr>
        <w:pStyle w:val="v"/>
        <w:widowControl w:val="0"/>
        <w:numPr>
          <w:ilvl w:val="12"/>
          <w:numId w:val="0"/>
        </w:numPr>
        <w:spacing w:before="120"/>
        <w:ind w:left="561"/>
        <w:rPr>
          <w:rFonts w:asciiTheme="minorHAnsi" w:hAnsiTheme="minorHAnsi" w:cstheme="minorHAnsi"/>
          <w:szCs w:val="22"/>
        </w:rPr>
      </w:pPr>
      <w:r w:rsidRPr="007A4D8D">
        <w:rPr>
          <w:rFonts w:asciiTheme="minorHAnsi" w:hAnsiTheme="minorHAnsi" w:cstheme="minorHAnsi"/>
          <w:szCs w:val="22"/>
        </w:rPr>
        <w:t xml:space="preserve">– sensibilisation des équipes (salariés, consultants, prestataires locaux) aux </w:t>
      </w:r>
      <w:proofErr w:type="spellStart"/>
      <w:r w:rsidRPr="007A4D8D">
        <w:rPr>
          <w:rFonts w:asciiTheme="minorHAnsi" w:hAnsiTheme="minorHAnsi" w:cstheme="minorHAnsi"/>
          <w:szCs w:val="22"/>
        </w:rPr>
        <w:t>écogestes</w:t>
      </w:r>
      <w:proofErr w:type="spellEnd"/>
      <w:r w:rsidRPr="007A4D8D">
        <w:rPr>
          <w:rFonts w:asciiTheme="minorHAnsi" w:hAnsiTheme="minorHAnsi" w:cstheme="minorHAnsi"/>
          <w:szCs w:val="22"/>
        </w:rPr>
        <w:t xml:space="preserve"> et aux bonnes pratiques environnementales dans la réalisation des prestations intellectuelles, de formation, d’audit ou de conseil.</w:t>
      </w:r>
    </w:p>
    <w:p w14:paraId="3F513BD3" w14:textId="77777777" w:rsidR="007A4D8D" w:rsidRPr="007A4D8D" w:rsidRDefault="007A4D8D" w:rsidP="007A4D8D">
      <w:pPr>
        <w:pStyle w:val="v"/>
        <w:widowControl w:val="0"/>
        <w:numPr>
          <w:ilvl w:val="12"/>
          <w:numId w:val="0"/>
        </w:numPr>
        <w:spacing w:before="120"/>
        <w:ind w:left="561"/>
        <w:rPr>
          <w:rFonts w:asciiTheme="minorHAnsi" w:hAnsiTheme="minorHAnsi" w:cstheme="minorHAnsi"/>
          <w:szCs w:val="22"/>
        </w:rPr>
      </w:pPr>
      <w:r w:rsidRPr="007A4D8D">
        <w:rPr>
          <w:rFonts w:asciiTheme="minorHAnsi" w:hAnsiTheme="minorHAnsi" w:cstheme="minorHAnsi"/>
          <w:szCs w:val="22"/>
        </w:rPr>
        <w:lastRenderedPageBreak/>
        <w:t>Le titulaire veillera à adapter ces actions aux conditions locales (accès au numérique, infrastructures disponibles) et à intégrer la logique de développement durable dans ses méthodes de travail.</w:t>
      </w:r>
    </w:p>
    <w:p w14:paraId="2A70D3B6" w14:textId="77777777" w:rsidR="007A4D8D" w:rsidRPr="007A4D8D" w:rsidRDefault="007A4D8D" w:rsidP="007A4D8D">
      <w:pPr>
        <w:pStyle w:val="v"/>
        <w:widowControl w:val="0"/>
        <w:numPr>
          <w:ilvl w:val="12"/>
          <w:numId w:val="0"/>
        </w:numPr>
        <w:spacing w:before="120"/>
        <w:ind w:left="561"/>
        <w:rPr>
          <w:rFonts w:asciiTheme="minorHAnsi" w:hAnsiTheme="minorHAnsi" w:cstheme="minorHAnsi"/>
          <w:szCs w:val="22"/>
        </w:rPr>
      </w:pPr>
      <w:r w:rsidRPr="007A4D8D">
        <w:rPr>
          <w:rFonts w:asciiTheme="minorHAnsi" w:hAnsiTheme="minorHAnsi" w:cstheme="minorHAnsi"/>
          <w:szCs w:val="22"/>
        </w:rPr>
        <w:t>À l’issue du marché, un bilan environnemental simplifié devra être transmis à l’acheteur. Ce document précisera les actions concrètes mises en œuvre, les outils ou méthodes utilisés, ainsi que les éventuelles limites rencontrées.</w:t>
      </w:r>
    </w:p>
    <w:p w14:paraId="4576C096" w14:textId="77777777" w:rsidR="007A4D8D" w:rsidRPr="007A4D8D" w:rsidRDefault="007A4D8D" w:rsidP="007A4D8D">
      <w:pPr>
        <w:pStyle w:val="v"/>
        <w:widowControl w:val="0"/>
        <w:numPr>
          <w:ilvl w:val="12"/>
          <w:numId w:val="0"/>
        </w:numPr>
        <w:spacing w:before="120"/>
        <w:ind w:left="561"/>
        <w:rPr>
          <w:rFonts w:asciiTheme="minorHAnsi" w:hAnsiTheme="minorHAnsi" w:cstheme="minorHAnsi"/>
          <w:szCs w:val="22"/>
        </w:rPr>
      </w:pPr>
      <w:r w:rsidRPr="007A4D8D">
        <w:rPr>
          <w:rFonts w:asciiTheme="minorHAnsi" w:hAnsiTheme="minorHAnsi" w:cstheme="minorHAnsi"/>
          <w:szCs w:val="22"/>
        </w:rPr>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réduction des impacts environnementaux. </w:t>
      </w:r>
    </w:p>
    <w:p w14:paraId="7A0DA590" w14:textId="77777777" w:rsidR="007A4D8D" w:rsidRPr="00A86E43" w:rsidRDefault="007A4D8D" w:rsidP="007A4D8D">
      <w:pPr>
        <w:pStyle w:val="v"/>
        <w:widowControl w:val="0"/>
        <w:numPr>
          <w:ilvl w:val="12"/>
          <w:numId w:val="0"/>
        </w:numPr>
        <w:spacing w:before="120"/>
        <w:rPr>
          <w:rFonts w:asciiTheme="minorHAnsi" w:hAnsiTheme="minorHAnsi" w:cstheme="minorHAnsi"/>
          <w:szCs w:val="22"/>
        </w:rPr>
      </w:pP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t>Clause de réexamen</w:t>
      </w:r>
      <w:bookmarkEnd w:id="5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6EBA2A69" w:rsidR="009766DB" w:rsidRPr="007A4D8D" w:rsidRDefault="009766DB" w:rsidP="00345AEE">
      <w:pPr>
        <w:pStyle w:val="u"/>
        <w:widowControl w:val="0"/>
        <w:numPr>
          <w:ilvl w:val="0"/>
          <w:numId w:val="51"/>
        </w:numPr>
        <w:spacing w:before="120"/>
        <w:rPr>
          <w:rFonts w:asciiTheme="minorHAnsi" w:hAnsiTheme="minorHAnsi" w:cs="Arial"/>
          <w:szCs w:val="22"/>
        </w:rPr>
      </w:pPr>
      <w:r w:rsidRPr="007A4D8D">
        <w:rPr>
          <w:rFonts w:asciiTheme="minorHAnsi" w:hAnsiTheme="minorHAnsi" w:cs="Arial"/>
          <w:szCs w:val="22"/>
        </w:rPr>
        <w:t xml:space="preserve">La substitution d’un nouveau bordereau des prix en cas de suppression, de modifications ou d’ajouts de références du bordereau </w:t>
      </w:r>
      <w:proofErr w:type="gramStart"/>
      <w:r w:rsidRPr="007A4D8D">
        <w:rPr>
          <w:rFonts w:asciiTheme="minorHAnsi" w:hAnsiTheme="minorHAnsi" w:cs="Arial"/>
          <w:szCs w:val="22"/>
        </w:rPr>
        <w:t>des prix initial</w:t>
      </w:r>
      <w:proofErr w:type="gramEnd"/>
      <w:r w:rsidRPr="007A4D8D">
        <w:rPr>
          <w:rFonts w:asciiTheme="minorHAnsi" w:hAnsiTheme="minorHAnsi" w:cs="Arial"/>
          <w:szCs w:val="22"/>
        </w:rPr>
        <w:t xml:space="preserve"> sous réserve de l’acceptation par </w:t>
      </w:r>
      <w:r w:rsidR="000F3797" w:rsidRPr="007A4D8D">
        <w:rPr>
          <w:rFonts w:asciiTheme="minorHAnsi" w:hAnsiTheme="minorHAnsi" w:cs="Arial"/>
          <w:smallCaps/>
          <w:szCs w:val="22"/>
        </w:rPr>
        <w:t>Expertise France</w:t>
      </w:r>
      <w:r w:rsidRPr="007A4D8D">
        <w:rPr>
          <w:rFonts w:asciiTheme="minorHAnsi" w:hAnsiTheme="minorHAnsi" w:cs="Arial"/>
          <w:szCs w:val="22"/>
        </w:rPr>
        <w:t>;</w:t>
      </w:r>
    </w:p>
    <w:p w14:paraId="14FF8CBF" w14:textId="5ECEA335" w:rsidR="009766DB" w:rsidRPr="007A4D8D" w:rsidRDefault="009766DB" w:rsidP="0089576F">
      <w:pPr>
        <w:pStyle w:val="u"/>
        <w:widowControl w:val="0"/>
        <w:numPr>
          <w:ilvl w:val="0"/>
          <w:numId w:val="51"/>
        </w:numPr>
        <w:spacing w:before="120"/>
        <w:rPr>
          <w:rFonts w:asciiTheme="minorHAnsi" w:hAnsiTheme="minorHAnsi" w:cs="Arial"/>
          <w:szCs w:val="22"/>
        </w:rPr>
      </w:pPr>
      <w:r w:rsidRPr="007A4D8D">
        <w:rPr>
          <w:rFonts w:asciiTheme="minorHAnsi" w:hAnsiTheme="minorHAnsi" w:cs="Arial"/>
          <w:szCs w:val="22"/>
        </w:rPr>
        <w:t>La mise à jour d’éléments techniques (précisions sur les livrables, définition techniques fabricants, fiches techniques mat</w:t>
      </w:r>
      <w:r w:rsidR="00C63B92" w:rsidRPr="007A4D8D">
        <w:rPr>
          <w:rFonts w:asciiTheme="minorHAnsi" w:hAnsiTheme="minorHAnsi" w:cs="Arial"/>
          <w:szCs w:val="22"/>
        </w:rPr>
        <w:t>ériels, évolution des notices…)</w:t>
      </w:r>
      <w:r w:rsidRPr="007A4D8D">
        <w:rPr>
          <w:rFonts w:asciiTheme="minorHAnsi" w:hAnsiTheme="minorHAnsi" w:cs="Arial"/>
          <w:szCs w:val="22"/>
        </w:rPr>
        <w:t>.</w:t>
      </w:r>
    </w:p>
    <w:p w14:paraId="2AC74079" w14:textId="7EB82616"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w:t>
      </w:r>
      <w:r w:rsidR="00C63B92">
        <w:rPr>
          <w:rFonts w:asciiTheme="minorHAnsi" w:hAnsiTheme="minorHAnsi" w:cs="Arial"/>
          <w:szCs w:val="22"/>
        </w:rPr>
        <w:t>par la conclusion d’un avenant</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56967F45" w14:textId="555DF2AC"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4EF1452A"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26922008"/>
      <w:r w:rsidRPr="00A86E43">
        <w:rPr>
          <w:rFonts w:asciiTheme="minorHAnsi" w:hAnsiTheme="minorHAnsi"/>
          <w:b/>
          <w:caps/>
          <w:sz w:val="24"/>
          <w:u w:val="single"/>
        </w:rPr>
        <w:lastRenderedPageBreak/>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26922010"/>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26922011"/>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26922013"/>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26922014"/>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54761422" w:rsidR="001726C5"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50EF3C56" w14:textId="77777777" w:rsidR="00C63B92" w:rsidRPr="00A86E43" w:rsidRDefault="00C63B92" w:rsidP="00A1761D">
      <w:pPr>
        <w:spacing w:line="240" w:lineRule="auto"/>
        <w:ind w:left="567"/>
        <w:jc w:val="both"/>
        <w:rPr>
          <w:rFonts w:asciiTheme="minorHAnsi" w:eastAsia="Times New Roman" w:hAnsiTheme="minorHAnsi" w:cs="Arial"/>
          <w:sz w:val="22"/>
          <w:szCs w:val="22"/>
        </w:rPr>
      </w:pP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6"/>
      <w:r w:rsidRPr="00A86E43">
        <w:rPr>
          <w:rFonts w:asciiTheme="minorHAnsi" w:hAnsiTheme="minorHAnsi" w:cstheme="minorHAnsi"/>
          <w:sz w:val="22"/>
          <w:szCs w:val="22"/>
        </w:rPr>
        <w:t>Modalités générales de résiliation</w:t>
      </w:r>
      <w:bookmarkEnd w:id="71"/>
    </w:p>
    <w:p w14:paraId="1D7F1F4E" w14:textId="51643398" w:rsidR="0000635E" w:rsidRPr="007A4D8D" w:rsidRDefault="0000635E" w:rsidP="00A1761D">
      <w:pPr>
        <w:spacing w:line="240" w:lineRule="auto"/>
        <w:ind w:left="567"/>
        <w:jc w:val="both"/>
        <w:rPr>
          <w:rFonts w:asciiTheme="minorHAnsi" w:hAnsiTheme="minorHAnsi" w:cstheme="minorHAnsi"/>
          <w:sz w:val="22"/>
          <w:szCs w:val="22"/>
        </w:rPr>
      </w:pPr>
      <w:r w:rsidRPr="007A4D8D">
        <w:rPr>
          <w:rFonts w:asciiTheme="minorHAnsi" w:hAnsiTheme="minorHAnsi" w:cstheme="minorHAnsi"/>
          <w:sz w:val="22"/>
          <w:szCs w:val="22"/>
        </w:rPr>
        <w:t xml:space="preserve">Le présent </w:t>
      </w:r>
      <w:r w:rsidRPr="007A4D8D">
        <w:rPr>
          <w:rFonts w:asciiTheme="minorHAnsi" w:hAnsiTheme="minorHAnsi" w:cstheme="minorHAnsi"/>
          <w:smallCaps/>
          <w:sz w:val="22"/>
          <w:szCs w:val="22"/>
        </w:rPr>
        <w:t>contrat</w:t>
      </w:r>
      <w:r w:rsidRPr="007A4D8D">
        <w:rPr>
          <w:rFonts w:asciiTheme="minorHAnsi" w:hAnsiTheme="minorHAnsi" w:cstheme="minorHAnsi"/>
          <w:sz w:val="22"/>
          <w:szCs w:val="22"/>
        </w:rPr>
        <w:t xml:space="preserve"> est soumis aux clauses de résiliation telle que défini</w:t>
      </w:r>
      <w:r w:rsidR="00884FDC" w:rsidRPr="007A4D8D">
        <w:rPr>
          <w:rFonts w:asciiTheme="minorHAnsi" w:hAnsiTheme="minorHAnsi" w:cstheme="minorHAnsi"/>
          <w:sz w:val="22"/>
          <w:szCs w:val="22"/>
        </w:rPr>
        <w:t>es aux articles 29 à 36 du CCAG</w:t>
      </w:r>
      <w:r w:rsidR="00B813FE" w:rsidRPr="007A4D8D">
        <w:rPr>
          <w:rFonts w:asciiTheme="minorHAnsi" w:hAnsiTheme="minorHAnsi" w:cstheme="minorHAnsi"/>
          <w:sz w:val="22"/>
          <w:szCs w:val="22"/>
        </w:rPr>
        <w:t xml:space="preserve"> PI</w:t>
      </w:r>
      <w:r w:rsidRPr="007A4D8D">
        <w:rPr>
          <w:rFonts w:asciiTheme="minorHAnsi" w:hAnsiTheme="minorHAnsi" w:cstheme="minorHAnsi"/>
          <w:sz w:val="22"/>
          <w:szCs w:val="22"/>
        </w:rPr>
        <w:t>.</w:t>
      </w:r>
    </w:p>
    <w:p w14:paraId="58C218A4" w14:textId="0294EF46" w:rsidR="00704355" w:rsidRPr="007A4D8D" w:rsidRDefault="00704355" w:rsidP="00A1761D">
      <w:pPr>
        <w:spacing w:line="240" w:lineRule="auto"/>
        <w:ind w:left="567"/>
        <w:jc w:val="both"/>
        <w:rPr>
          <w:rFonts w:asciiTheme="minorHAnsi" w:hAnsiTheme="minorHAnsi" w:cstheme="minorHAnsi"/>
          <w:sz w:val="22"/>
          <w:szCs w:val="22"/>
        </w:rPr>
      </w:pPr>
    </w:p>
    <w:p w14:paraId="26AC07CE" w14:textId="6CC60FD5" w:rsidR="00704355" w:rsidRPr="00A86E43" w:rsidRDefault="00912BFE" w:rsidP="00A1761D">
      <w:pPr>
        <w:spacing w:line="240" w:lineRule="auto"/>
        <w:ind w:left="567"/>
        <w:jc w:val="both"/>
        <w:rPr>
          <w:rFonts w:asciiTheme="minorHAnsi" w:hAnsiTheme="minorHAnsi" w:cstheme="minorHAnsi"/>
          <w:sz w:val="22"/>
          <w:szCs w:val="22"/>
        </w:rPr>
      </w:pPr>
      <w:r w:rsidRPr="007A4D8D">
        <w:rPr>
          <w:rFonts w:asciiTheme="minorHAnsi" w:hAnsiTheme="minorHAnsi" w:cstheme="minorHAnsi"/>
          <w:sz w:val="22"/>
          <w:szCs w:val="22"/>
        </w:rPr>
        <w:t>Par dérogation à l’article 40 du CCAG PI, la</w:t>
      </w:r>
      <w:r>
        <w:rPr>
          <w:rFonts w:asciiTheme="minorHAnsi" w:hAnsiTheme="minorHAnsi" w:cstheme="minorHAnsi"/>
          <w:sz w:val="22"/>
          <w:szCs w:val="22"/>
        </w:rPr>
        <w:t xml:space="preserve">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7"/>
      <w:r w:rsidRPr="00A86E43">
        <w:rPr>
          <w:rFonts w:asciiTheme="minorHAnsi" w:hAnsiTheme="minorHAnsi" w:cstheme="minorHAnsi"/>
          <w:sz w:val="22"/>
          <w:szCs w:val="22"/>
        </w:rPr>
        <w:lastRenderedPageBreak/>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26922018"/>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19"/>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20"/>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2">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3"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fondements juridiques légitimant le ou les traitements correspondent aux c) et e) de l'article 6.1 du </w:t>
      </w:r>
      <w:r w:rsidRPr="00A86E43">
        <w:rPr>
          <w:rFonts w:asciiTheme="minorHAnsi" w:eastAsia="Times New Roman" w:hAnsiTheme="minorHAnsi" w:cstheme="minorHAnsi"/>
          <w:sz w:val="22"/>
        </w:rPr>
        <w:lastRenderedPageBreak/>
        <w:t>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4"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roofErr w:type="gramStart"/>
      <w:r w:rsidRPr="00A86E43">
        <w:rPr>
          <w:rFonts w:asciiTheme="minorHAnsi" w:eastAsia="Times New Roman" w:hAnsiTheme="minorHAnsi" w:cstheme="minorHAnsi"/>
          <w:sz w:val="22"/>
        </w:rPr>
        <w:t xml:space="preserve">) </w:t>
      </w:r>
      <w:bookmarkStart w:id="124" w:name="_Toc69226591"/>
      <w:r w:rsidRPr="00A86E43">
        <w:rPr>
          <w:rFonts w:asciiTheme="minorHAnsi" w:eastAsia="Times New Roman" w:hAnsiTheme="minorHAnsi" w:cstheme="minorHAnsi"/>
          <w:sz w:val="22"/>
        </w:rPr>
        <w:t>]</w:t>
      </w:r>
      <w:proofErr w:type="gramEnd"/>
    </w:p>
    <w:bookmarkEnd w:id="124"/>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au terme </w:t>
      </w:r>
      <w:r w:rsidRPr="00A86E43">
        <w:rPr>
          <w:rFonts w:asciiTheme="minorHAnsi" w:eastAsia="Times New Roman" w:hAnsiTheme="minorHAnsi" w:cstheme="minorHAnsi"/>
          <w:sz w:val="22"/>
        </w:rPr>
        <w:lastRenderedPageBreak/>
        <w:t>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à la disposition </w:t>
      </w:r>
      <w:proofErr w:type="gramStart"/>
      <w:r w:rsidRPr="00A86E43">
        <w:rPr>
          <w:rFonts w:asciiTheme="minorHAnsi" w:eastAsia="Times New Roman" w:hAnsiTheme="minorHAnsi" w:cstheme="minorHAnsi"/>
          <w:sz w:val="22"/>
        </w:rPr>
        <w:t>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w:t>
      </w:r>
      <w:proofErr w:type="gramEnd"/>
      <w:r w:rsidR="003E5AA6">
        <w:rPr>
          <w:rFonts w:asciiTheme="minorHAnsi" w:hAnsiTheme="minorHAnsi" w:cs="Arial"/>
          <w:smallCaps/>
          <w:szCs w:val="22"/>
        </w:rPr>
        <w:t xml:space="preserv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77777777"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6"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lastRenderedPageBreak/>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7" w:name="_Toc126922022"/>
      <w:r w:rsidRPr="00A86E43">
        <w:rPr>
          <w:rFonts w:asciiTheme="minorHAnsi" w:hAnsiTheme="minorHAnsi"/>
          <w:b/>
          <w:caps/>
          <w:sz w:val="24"/>
          <w:u w:val="single"/>
        </w:rPr>
        <w:t>RÈglement des litiges - DROIT Français APPLICABLE</w:t>
      </w:r>
      <w:bookmarkEnd w:id="12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126922025"/>
      <w:r w:rsidRPr="00A86E43">
        <w:rPr>
          <w:rFonts w:asciiTheme="minorHAnsi" w:hAnsiTheme="minorHAnsi"/>
          <w:sz w:val="22"/>
          <w:szCs w:val="22"/>
        </w:rPr>
        <w:t>Déclaration</w:t>
      </w:r>
      <w:bookmarkEnd w:id="128"/>
      <w:bookmarkEnd w:id="12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lastRenderedPageBreak/>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5"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6"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7"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8"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9"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0"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1"/>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0"/>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2"/>
      <w:footerReference w:type="even" r:id="rId33"/>
      <w:footerReference w:type="default" r:id="rId34"/>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318F5" w14:textId="77777777" w:rsidR="00A4269D" w:rsidRDefault="00A4269D">
      <w:r>
        <w:separator/>
      </w:r>
    </w:p>
  </w:endnote>
  <w:endnote w:type="continuationSeparator" w:id="0">
    <w:p w14:paraId="06AA32D8" w14:textId="77777777" w:rsidR="00A4269D" w:rsidRDefault="00A42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9962C9" w:rsidRDefault="009962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9962C9" w:rsidRDefault="009962C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A71CC5F" w:rsidR="009962C9" w:rsidRDefault="009962C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A4D8D">
              <w:rPr>
                <w:rFonts w:asciiTheme="minorHAnsi" w:hAnsiTheme="minorHAnsi"/>
                <w:b/>
                <w:bCs/>
                <w:noProof/>
                <w:sz w:val="22"/>
                <w:szCs w:val="22"/>
              </w:rPr>
              <w:t>23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A4D8D">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9962C9" w:rsidRDefault="00A4269D"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9962C9" w:rsidRDefault="009962C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C2D0909" w:rsidR="009962C9" w:rsidRDefault="009962C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A4D8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A4D8D">
              <w:rPr>
                <w:rFonts w:asciiTheme="minorHAnsi" w:hAnsiTheme="minorHAnsi"/>
                <w:b/>
                <w:bCs/>
                <w:noProof/>
                <w:sz w:val="22"/>
                <w:szCs w:val="22"/>
              </w:rPr>
              <w:t>25</w:t>
            </w:r>
            <w:r>
              <w:rPr>
                <w:rFonts w:asciiTheme="minorHAnsi" w:hAnsiTheme="minorHAnsi"/>
                <w:b/>
                <w:bCs/>
                <w:sz w:val="22"/>
                <w:szCs w:val="22"/>
              </w:rPr>
              <w:fldChar w:fldCharType="end"/>
            </w:r>
          </w:p>
          <w:p w14:paraId="464BBB64" w14:textId="7DA50AAB" w:rsidR="009962C9" w:rsidRDefault="009962C9"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9962C9" w:rsidRDefault="009962C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9962C9" w:rsidRPr="00065565" w:rsidRDefault="009962C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9962C9" w:rsidRDefault="009962C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9962C9" w:rsidRPr="00EE0FDD" w:rsidRDefault="009962C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2A5D6DF8" w:rsidR="009962C9" w:rsidRPr="00FF1F8E" w:rsidRDefault="009962C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7A4D8D">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7A4D8D">
          <w:rPr>
            <w:rFonts w:asciiTheme="minorHAnsi" w:hAnsiTheme="minorHAnsi"/>
            <w:b/>
            <w:bCs/>
            <w:noProof/>
            <w:sz w:val="22"/>
            <w:szCs w:val="22"/>
          </w:rPr>
          <w:t>25</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E2665" w14:textId="77777777" w:rsidR="00A4269D" w:rsidRDefault="00A4269D">
      <w:r>
        <w:separator/>
      </w:r>
    </w:p>
  </w:footnote>
  <w:footnote w:type="continuationSeparator" w:id="0">
    <w:p w14:paraId="6B98FFC1" w14:textId="77777777" w:rsidR="00A4269D" w:rsidRDefault="00A4269D">
      <w:r>
        <w:continuationSeparator/>
      </w:r>
    </w:p>
  </w:footnote>
  <w:footnote w:id="1">
    <w:p w14:paraId="3C25A372" w14:textId="77777777" w:rsidR="009962C9" w:rsidRPr="005E2563" w:rsidRDefault="009962C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9962C9" w:rsidRPr="00A86E43" w:rsidRDefault="00A4269D" w:rsidP="00996FEA">
      <w:pPr>
        <w:pStyle w:val="Notedebasdepage"/>
        <w:spacing w:before="0"/>
        <w:rPr>
          <w:rFonts w:ascii="Calibri" w:hAnsi="Calibri"/>
          <w:sz w:val="16"/>
          <w:szCs w:val="16"/>
        </w:rPr>
      </w:pPr>
      <w:hyperlink r:id="rId1" w:history="1">
        <w:r w:rsidR="009962C9" w:rsidRPr="00A86E43">
          <w:rPr>
            <w:rStyle w:val="Lienhypertexte"/>
            <w:rFonts w:ascii="Calibri" w:hAnsi="Calibri"/>
            <w:sz w:val="16"/>
            <w:szCs w:val="16"/>
          </w:rPr>
          <w:t>https://www.economie.gouv.fr/daj/cahiers-clauses-administratives-generales-et-techniques</w:t>
        </w:r>
      </w:hyperlink>
      <w:r w:rsidR="009962C9" w:rsidRPr="00A86E43">
        <w:rPr>
          <w:rFonts w:ascii="Calibri" w:hAnsi="Calibri"/>
          <w:sz w:val="16"/>
          <w:szCs w:val="16"/>
        </w:rPr>
        <w:t xml:space="preserve"> </w:t>
      </w:r>
    </w:p>
  </w:footnote>
  <w:footnote w:id="2">
    <w:p w14:paraId="73F627CC" w14:textId="77777777" w:rsidR="009962C9" w:rsidRPr="00B21564" w:rsidRDefault="009962C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9962C9" w:rsidRPr="00A86E43" w:rsidRDefault="009962C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9962C9" w:rsidRDefault="009962C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9962C9" w:rsidRDefault="009962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9962C9" w:rsidRPr="00707B69" w:rsidRDefault="009962C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9962C9" w:rsidRPr="00AC48DD" w:rsidRDefault="009962C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9962C9" w:rsidRDefault="009962C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9962C9" w:rsidRPr="00AC48DD" w:rsidRDefault="009962C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9962C9" w:rsidRDefault="009962C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9962C9" w:rsidRDefault="009962C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9962C9" w:rsidRPr="00707B69" w:rsidRDefault="009962C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9962C9" w:rsidRPr="00AC48DD" w:rsidRDefault="009962C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9962C9" w:rsidRDefault="009962C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9962C9" w:rsidRPr="00AC48DD" w:rsidRDefault="009962C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9962C9" w:rsidRPr="00707B69" w:rsidRDefault="009962C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9962C9" w:rsidRPr="00AC48DD" w:rsidRDefault="009962C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9962C9" w:rsidRDefault="009962C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9962C9" w:rsidRPr="00996FEA" w:rsidRDefault="009962C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C3320CC"/>
    <w:multiLevelType w:val="hybridMultilevel"/>
    <w:tmpl w:val="A0684B32"/>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F3E6DFC"/>
    <w:multiLevelType w:val="hybridMultilevel"/>
    <w:tmpl w:val="7C600AFE"/>
    <w:lvl w:ilvl="0" w:tplc="6474425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1F05356"/>
    <w:multiLevelType w:val="hybridMultilevel"/>
    <w:tmpl w:val="A6823784"/>
    <w:lvl w:ilvl="0" w:tplc="C5168FD0">
      <w:start w:val="4"/>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24A5400"/>
    <w:multiLevelType w:val="hybridMultilevel"/>
    <w:tmpl w:val="A0684B32"/>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8"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E996C94"/>
    <w:multiLevelType w:val="hybridMultilevel"/>
    <w:tmpl w:val="6DE8C51E"/>
    <w:lvl w:ilvl="0" w:tplc="040C001B">
      <w:start w:val="1"/>
      <w:numFmt w:val="low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2"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5"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0"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4"/>
  </w:num>
  <w:num w:numId="5">
    <w:abstractNumId w:val="6"/>
  </w:num>
  <w:num w:numId="6">
    <w:abstractNumId w:val="50"/>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9"/>
  </w:num>
  <w:num w:numId="14">
    <w:abstractNumId w:val="11"/>
  </w:num>
  <w:num w:numId="15">
    <w:abstractNumId w:val="54"/>
  </w:num>
  <w:num w:numId="16">
    <w:abstractNumId w:val="34"/>
  </w:num>
  <w:num w:numId="17">
    <w:abstractNumId w:val="59"/>
  </w:num>
  <w:num w:numId="18">
    <w:abstractNumId w:val="0"/>
    <w:lvlOverride w:ilvl="0">
      <w:startOverride w:val="1"/>
    </w:lvlOverride>
  </w:num>
  <w:num w:numId="19">
    <w:abstractNumId w:val="38"/>
  </w:num>
  <w:num w:numId="20">
    <w:abstractNumId w:val="1"/>
  </w:num>
  <w:num w:numId="21">
    <w:abstractNumId w:val="61"/>
  </w:num>
  <w:num w:numId="22">
    <w:abstractNumId w:val="60"/>
  </w:num>
  <w:num w:numId="23">
    <w:abstractNumId w:val="39"/>
  </w:num>
  <w:num w:numId="24">
    <w:abstractNumId w:val="47"/>
  </w:num>
  <w:num w:numId="25">
    <w:abstractNumId w:val="16"/>
  </w:num>
  <w:num w:numId="26">
    <w:abstractNumId w:val="37"/>
  </w:num>
  <w:num w:numId="27">
    <w:abstractNumId w:val="58"/>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8"/>
  </w:num>
  <w:num w:numId="36">
    <w:abstractNumId w:val="18"/>
  </w:num>
  <w:num w:numId="37">
    <w:abstractNumId w:val="42"/>
  </w:num>
  <w:num w:numId="38">
    <w:abstractNumId w:val="4"/>
  </w:num>
  <w:num w:numId="39">
    <w:abstractNumId w:val="57"/>
  </w:num>
  <w:num w:numId="40">
    <w:abstractNumId w:val="55"/>
  </w:num>
  <w:num w:numId="41">
    <w:abstractNumId w:val="52"/>
  </w:num>
  <w:num w:numId="42">
    <w:abstractNumId w:val="40"/>
  </w:num>
  <w:num w:numId="43">
    <w:abstractNumId w:val="9"/>
  </w:num>
  <w:num w:numId="44">
    <w:abstractNumId w:val="45"/>
  </w:num>
  <w:num w:numId="45">
    <w:abstractNumId w:val="10"/>
  </w:num>
  <w:num w:numId="46">
    <w:abstractNumId w:val="10"/>
  </w:num>
  <w:num w:numId="47">
    <w:abstractNumId w:val="46"/>
  </w:num>
  <w:num w:numId="48">
    <w:abstractNumId w:val="3"/>
  </w:num>
  <w:num w:numId="49">
    <w:abstractNumId w:val="33"/>
  </w:num>
  <w:num w:numId="50">
    <w:abstractNumId w:val="41"/>
  </w:num>
  <w:num w:numId="51">
    <w:abstractNumId w:val="15"/>
  </w:num>
  <w:num w:numId="52">
    <w:abstractNumId w:val="8"/>
  </w:num>
  <w:num w:numId="53">
    <w:abstractNumId w:val="27"/>
  </w:num>
  <w:num w:numId="54">
    <w:abstractNumId w:val="53"/>
  </w:num>
  <w:num w:numId="55">
    <w:abstractNumId w:val="23"/>
  </w:num>
  <w:num w:numId="56">
    <w:abstractNumId w:val="28"/>
  </w:num>
  <w:num w:numId="57">
    <w:abstractNumId w:val="32"/>
  </w:num>
  <w:num w:numId="58">
    <w:abstractNumId w:val="23"/>
  </w:num>
  <w:num w:numId="59">
    <w:abstractNumId w:val="25"/>
  </w:num>
  <w:num w:numId="60">
    <w:abstractNumId w:val="23"/>
  </w:num>
  <w:num w:numId="61">
    <w:abstractNumId w:val="43"/>
  </w:num>
  <w:num w:numId="62">
    <w:abstractNumId w:val="56"/>
  </w:num>
  <w:num w:numId="63">
    <w:abstractNumId w:val="5"/>
  </w:num>
  <w:num w:numId="64">
    <w:abstractNumId w:val="61"/>
  </w:num>
  <w:num w:numId="65">
    <w:abstractNumId w:val="61"/>
  </w:num>
  <w:num w:numId="66">
    <w:abstractNumId w:val="35"/>
  </w:num>
  <w:num w:numId="67">
    <w:abstractNumId w:val="36"/>
  </w:num>
  <w:num w:numId="68">
    <w:abstractNumId w:val="31"/>
  </w:num>
  <w:num w:numId="69">
    <w:abstractNumId w:val="51"/>
  </w:num>
  <w:num w:numId="70">
    <w:abstractNumId w:val="3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557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1B12"/>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D6F49"/>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1FB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283"/>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4D8D"/>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3095"/>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2005"/>
    <w:rsid w:val="00964820"/>
    <w:rsid w:val="0097249F"/>
    <w:rsid w:val="00973B1D"/>
    <w:rsid w:val="00974028"/>
    <w:rsid w:val="009757EE"/>
    <w:rsid w:val="009766DB"/>
    <w:rsid w:val="00984461"/>
    <w:rsid w:val="009879A2"/>
    <w:rsid w:val="00990C19"/>
    <w:rsid w:val="00996094"/>
    <w:rsid w:val="009962C9"/>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4269D"/>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609CF"/>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45A74"/>
    <w:rsid w:val="00C54C14"/>
    <w:rsid w:val="00C63B92"/>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50B"/>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676E0"/>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6FAD"/>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 w:val="00FF6F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006D4261-D756-48FD-83E4-73D6245BA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B92"/>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bdoul-kader.adamou@expertisefrance.fr" TargetMode="External"/><Relationship Id="rId26" Type="http://schemas.openxmlformats.org/officeDocument/2006/relationships/hyperlink" Target="https://www.un.org/securitycouncil/content/un-sc-consolidated-list" TargetMode="Externa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facturation.comores@expertisefrance.fr" TargetMode="External"/><Relationship Id="rId25" Type="http://schemas.openxmlformats.org/officeDocument/2006/relationships/hyperlink" Target="https://www.sanctionsmap.eu"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Abdoul-kader.adamou@expertisefrance.fr" TargetMode="External"/><Relationship Id="rId29" Type="http://schemas.openxmlformats.org/officeDocument/2006/relationships/hyperlink" Target="https://home.treasury.gov/policy-issues/financial-sanctions/sanctions-programs-and-country-inform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informatique.libertes@expertisefrance.fr"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expertisefrance.fr" TargetMode="External"/><Relationship Id="rId28" Type="http://schemas.openxmlformats.org/officeDocument/2006/relationships/hyperlink" Target="https://gels-avoirs.dgtresor.gouv.fr/List"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Abdoul-kader.adamou@expertisefrance.fr"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xpertisefrance.fr/documents/20182/426622/Expertise+France+&#8211;+Code+de+conduite/2408659b-a84e-45ac-a142-47d5dc21faff" TargetMode="External"/><Relationship Id="rId27" Type="http://schemas.openxmlformats.org/officeDocument/2006/relationships/hyperlink" Target="https://www.sanctionsmap.eu" TargetMode="External"/><Relationship Id="rId30" Type="http://schemas.openxmlformats.org/officeDocument/2006/relationships/hyperlink" Target="https://www.worldbank.org/en/projects-operations/procurement/debarred-firms" TargetMode="Externa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150F2-85C7-4413-8C86-B84F6A461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TotalTime>
  <Pages>24</Pages>
  <Words>7691</Words>
  <Characters>43767</Characters>
  <Application>Microsoft Office Word</Application>
  <DocSecurity>0</DocSecurity>
  <Lines>1563</Lines>
  <Paragraphs>627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50831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Irvika LEDAGA</cp:lastModifiedBy>
  <cp:revision>3</cp:revision>
  <cp:lastPrinted>2014-11-19T14:39:00Z</cp:lastPrinted>
  <dcterms:created xsi:type="dcterms:W3CDTF">2025-08-20T14:57:00Z</dcterms:created>
  <dcterms:modified xsi:type="dcterms:W3CDTF">2025-08-29T20:55:00Z</dcterms:modified>
</cp:coreProperties>
</file>