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8A61D7" w:rsidRDefault="00EF6F3C" w:rsidP="008A61D7">
      <w:pPr>
        <w:rPr>
          <w:rFonts w:ascii="Arial" w:eastAsia="Times New Roman" w:hAnsi="Arial" w:cs="Arial"/>
          <w:b/>
        </w:rPr>
      </w:pPr>
      <w:r w:rsidRPr="00EF6F3C">
        <w:rPr>
          <w:rFonts w:ascii="Arial" w:hAnsi="Arial" w:cs="Arial"/>
          <w:b/>
        </w:rPr>
        <w:tab/>
      </w:r>
      <w:r w:rsidR="008A61D7">
        <w:rPr>
          <w:rFonts w:ascii="Arial" w:hAnsi="Arial" w:cs="Arial"/>
          <w:b/>
        </w:rPr>
        <w:t>Fourniture et livraison de plantes pour la CPAM de la Haute-Garonne</w:t>
      </w:r>
    </w:p>
    <w:p w:rsidR="00EF6F3C" w:rsidRDefault="00EF6F3C" w:rsidP="00EF6F3C">
      <w:pPr>
        <w:rPr>
          <w:rFonts w:ascii="Arial" w:hAnsi="Arial" w:cs="Arial"/>
          <w:b/>
        </w:rPr>
      </w:pPr>
      <w:bookmarkStart w:id="0" w:name="_GoBack"/>
      <w:bookmarkEnd w:id="0"/>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5409D0"/>
    <w:rsid w:val="007935A0"/>
    <w:rsid w:val="008A61D7"/>
    <w:rsid w:val="00971E76"/>
    <w:rsid w:val="009B2621"/>
    <w:rsid w:val="00B91645"/>
    <w:rsid w:val="00C67A3F"/>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210724686">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2755</Words>
  <Characters>15153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dcterms:created xsi:type="dcterms:W3CDTF">2024-05-17T12:11:00Z</dcterms:created>
  <dcterms:modified xsi:type="dcterms:W3CDTF">2025-08-29T15:27:00Z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