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5609E6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4E5FE986" w:rsidR="00655D56" w:rsidRDefault="00CF47BE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</w:t>
            </w:r>
            <w:r w:rsidR="009F724D">
              <w:rPr>
                <w:rFonts w:ascii="Arial" w:hAnsi="Arial" w:cs="Arial"/>
                <w:color w:val="FFFFFF"/>
              </w:rPr>
              <w:t>s, Achats, Pilotage</w:t>
            </w:r>
            <w:r w:rsidR="00655D56">
              <w:rPr>
                <w:rFonts w:ascii="Arial" w:hAnsi="Arial" w:cs="Arial"/>
                <w:color w:val="FFFFFF"/>
              </w:rPr>
              <w:t xml:space="preserve"> </w:t>
            </w:r>
            <w:r w:rsidR="009F724D">
              <w:rPr>
                <w:rFonts w:ascii="Arial" w:hAnsi="Arial" w:cs="Arial"/>
                <w:color w:val="FFFFFF"/>
              </w:rPr>
              <w:t xml:space="preserve">– Direction </w:t>
            </w:r>
            <w:r w:rsidR="009F724D" w:rsidRPr="009F724D">
              <w:rPr>
                <w:rFonts w:ascii="Arial" w:hAnsi="Arial" w:cs="Arial"/>
                <w:color w:val="FFFFFF"/>
              </w:rPr>
              <w:t>des</w:t>
            </w:r>
            <w:r w:rsidR="009F724D">
              <w:rPr>
                <w:rFonts w:ascii="Arial" w:hAnsi="Arial" w:cs="Arial"/>
                <w:color w:val="FFFFFF"/>
              </w:rPr>
              <w:t xml:space="preserve">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240"/>
        <w:gridCol w:w="8928"/>
      </w:tblGrid>
      <w:tr w:rsidR="00655D56" w14:paraId="4D0DB207" w14:textId="77777777" w:rsidTr="00655D56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 w:rsidP="008008A9">
            <w:pPr>
              <w:widowControl w:val="0"/>
              <w:autoSpaceDE w:val="0"/>
              <w:autoSpaceDN w:val="0"/>
              <w:adjustRightInd w:val="0"/>
              <w:ind w:left="108" w:right="95"/>
              <w:jc w:val="both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22FB7C9F" w14:textId="4ECF965A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Marché 22022T.0</w:t>
            </w:r>
            <w:r w:rsidR="002B7302">
              <w:rPr>
                <w:rFonts w:ascii="Arial" w:hAnsi="Arial" w:cs="Arial"/>
                <w:b/>
                <w:color w:val="404040"/>
                <w:sz w:val="48"/>
                <w:szCs w:val="48"/>
              </w:rPr>
              <w:t>4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</w:p>
          <w:p w14:paraId="6F20814F" w14:textId="372B7271" w:rsidR="00655D56" w:rsidRPr="008008A9" w:rsidRDefault="00655D56" w:rsidP="008008A9">
            <w:pPr>
              <w:widowControl w:val="0"/>
              <w:autoSpaceDE w:val="0"/>
              <w:autoSpaceDN w:val="0"/>
              <w:adjustRightInd w:val="0"/>
              <w:ind w:left="18" w:right="87"/>
              <w:rPr>
                <w:rFonts w:ascii="Arial" w:hAnsi="Arial" w:cs="Arial"/>
                <w:sz w:val="44"/>
                <w:szCs w:val="44"/>
              </w:rPr>
            </w:pPr>
            <w:r w:rsidRPr="008008A9">
              <w:rPr>
                <w:rFonts w:ascii="Arial" w:hAnsi="Arial" w:cs="Arial"/>
                <w:color w:val="404040"/>
                <w:sz w:val="44"/>
                <w:szCs w:val="44"/>
              </w:rPr>
              <w:t>Consultation de travaux pour l</w:t>
            </w:r>
            <w:r w:rsidR="002B7302" w:rsidRPr="008008A9">
              <w:rPr>
                <w:rFonts w:ascii="Arial" w:hAnsi="Arial" w:cs="Arial"/>
                <w:color w:val="404040"/>
                <w:sz w:val="44"/>
                <w:szCs w:val="44"/>
              </w:rPr>
              <w:t xml:space="preserve">’aménagement </w:t>
            </w:r>
            <w:r w:rsidRPr="008008A9">
              <w:rPr>
                <w:rFonts w:ascii="Arial" w:hAnsi="Arial" w:cs="Arial"/>
                <w:color w:val="404040"/>
                <w:sz w:val="44"/>
                <w:szCs w:val="44"/>
              </w:rPr>
              <w:t>du bâtiment C de l'IUT Gratte-Ciel</w:t>
            </w: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E6C0B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7F6A159B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Pour les lots </w:t>
            </w:r>
            <w:r w:rsidR="002B7302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2,</w:t>
            </w:r>
            <w:r w:rsidR="00A606EB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</w:t>
            </w:r>
            <w:r w:rsidR="00912C53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3, 4, 5</w:t>
            </w:r>
            <w:r w:rsidR="002B7302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,</w:t>
            </w:r>
            <w:r w:rsidR="00A606EB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</w:t>
            </w:r>
            <w:r w:rsidR="002B7302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6,</w:t>
            </w:r>
            <w:r w:rsidR="00A606EB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</w:t>
            </w:r>
            <w:r w:rsidR="002B7302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7</w:t>
            </w:r>
            <w:r w:rsidR="00A606EB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et </w:t>
            </w:r>
            <w:r w:rsidR="002B7302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8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22B00C" w14:textId="727DE091" w:rsidR="00EB5E17" w:rsidRPr="00372075" w:rsidRDefault="00EB5E17" w:rsidP="00865882">
      <w:pPr>
        <w:jc w:val="both"/>
        <w:rPr>
          <w:rFonts w:ascii="Arial" w:hAnsi="Arial" w:cs="Arial"/>
        </w:rPr>
      </w:pPr>
    </w:p>
    <w:p w14:paraId="2FD8BB5A" w14:textId="28983CFF" w:rsidR="00EB5E17" w:rsidRPr="00372075" w:rsidRDefault="00EB5E17" w:rsidP="00865882">
      <w:pPr>
        <w:jc w:val="both"/>
        <w:rPr>
          <w:rFonts w:ascii="Arial" w:hAnsi="Arial" w:cs="Arial"/>
        </w:rPr>
      </w:pPr>
    </w:p>
    <w:p w14:paraId="7368B92F" w14:textId="77777777" w:rsidR="00EB5E17" w:rsidRPr="00372075" w:rsidRDefault="00EB5E17" w:rsidP="00865882">
      <w:pPr>
        <w:jc w:val="both"/>
        <w:rPr>
          <w:rFonts w:ascii="Arial" w:hAnsi="Arial" w:cs="Arial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796457C4" w14:textId="13BF55DC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</w:p>
    <w:p w14:paraId="2D6EF670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A9281D7" w14:textId="234D167A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Tel. : …</w:t>
      </w:r>
    </w:p>
    <w:p w14:paraId="5F641C43" w14:textId="37D17438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Courriel : …</w:t>
      </w:r>
    </w:p>
    <w:p w14:paraId="2584D9F8" w14:textId="5427245C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Fax : </w:t>
      </w:r>
    </w:p>
    <w:p w14:paraId="7755AC60" w14:textId="7E99523B" w:rsidR="00277F10" w:rsidRDefault="00277F10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67C834C9" w:rsidR="00EB5E17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01D67681" w14:textId="32CCCAA4" w:rsidR="002B7302" w:rsidRDefault="002B7302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6B60A9CF" w14:textId="3819BA97" w:rsidR="002B7302" w:rsidRDefault="002B7302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4E180C78" w14:textId="77777777" w:rsidR="002B7302" w:rsidRPr="00372075" w:rsidRDefault="002B7302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2AD3DF45" w14:textId="2F0311AD" w:rsidR="00510C06" w:rsidRPr="00372075" w:rsidRDefault="00510C06" w:rsidP="00510C06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Lots n°</w:t>
      </w:r>
      <w:r w:rsidR="002B7302">
        <w:rPr>
          <w:rFonts w:ascii="Arial" w:hAnsi="Arial" w:cs="Arial"/>
          <w:b/>
          <w:sz w:val="20"/>
          <w:szCs w:val="20"/>
          <w:u w:val="single"/>
        </w:rPr>
        <w:t xml:space="preserve"> 2 </w:t>
      </w:r>
      <w:r w:rsidR="00945885">
        <w:rPr>
          <w:rFonts w:ascii="Arial" w:hAnsi="Arial" w:cs="Arial"/>
          <w:b/>
          <w:sz w:val="20"/>
          <w:szCs w:val="20"/>
          <w:u w:val="single"/>
        </w:rPr>
        <w:t>-</w:t>
      </w:r>
      <w:r w:rsidR="00912C53">
        <w:rPr>
          <w:rFonts w:ascii="Arial" w:hAnsi="Arial" w:cs="Arial"/>
          <w:b/>
          <w:sz w:val="20"/>
          <w:szCs w:val="20"/>
          <w:u w:val="single"/>
        </w:rPr>
        <w:t xml:space="preserve"> 3</w:t>
      </w:r>
      <w:r w:rsidR="002B730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885">
        <w:rPr>
          <w:rFonts w:ascii="Arial" w:hAnsi="Arial" w:cs="Arial"/>
          <w:b/>
          <w:sz w:val="20"/>
          <w:szCs w:val="20"/>
          <w:u w:val="single"/>
        </w:rPr>
        <w:t>-</w:t>
      </w:r>
      <w:r w:rsidR="00912C53">
        <w:rPr>
          <w:rFonts w:ascii="Arial" w:hAnsi="Arial" w:cs="Arial"/>
          <w:b/>
          <w:sz w:val="20"/>
          <w:szCs w:val="20"/>
          <w:u w:val="single"/>
        </w:rPr>
        <w:t xml:space="preserve"> 4</w:t>
      </w:r>
      <w:r w:rsidR="002B730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885">
        <w:rPr>
          <w:rFonts w:ascii="Arial" w:hAnsi="Arial" w:cs="Arial"/>
          <w:b/>
          <w:sz w:val="20"/>
          <w:szCs w:val="20"/>
          <w:u w:val="single"/>
        </w:rPr>
        <w:t>-</w:t>
      </w:r>
      <w:r w:rsidR="00912C53">
        <w:rPr>
          <w:rFonts w:ascii="Arial" w:hAnsi="Arial" w:cs="Arial"/>
          <w:b/>
          <w:sz w:val="20"/>
          <w:szCs w:val="20"/>
          <w:u w:val="single"/>
        </w:rPr>
        <w:t xml:space="preserve"> 5</w:t>
      </w:r>
      <w:r w:rsidR="002B7302">
        <w:rPr>
          <w:rFonts w:ascii="Arial" w:hAnsi="Arial" w:cs="Arial"/>
          <w:b/>
          <w:sz w:val="20"/>
          <w:szCs w:val="20"/>
          <w:u w:val="single"/>
        </w:rPr>
        <w:t xml:space="preserve"> - 6</w:t>
      </w:r>
      <w:r w:rsidRPr="00372075">
        <w:rPr>
          <w:rFonts w:ascii="Arial" w:hAnsi="Arial" w:cs="Arial"/>
          <w:b/>
          <w:sz w:val="20"/>
          <w:szCs w:val="20"/>
          <w:u w:val="single"/>
        </w:rPr>
        <w:t xml:space="preserve"> et </w:t>
      </w:r>
      <w:r w:rsidR="00912C53">
        <w:rPr>
          <w:rFonts w:ascii="Arial" w:hAnsi="Arial" w:cs="Arial"/>
          <w:b/>
          <w:sz w:val="20"/>
          <w:szCs w:val="20"/>
          <w:u w:val="single"/>
        </w:rPr>
        <w:t>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75"/>
        <w:gridCol w:w="1672"/>
      </w:tblGrid>
      <w:tr w:rsidR="00510C06" w:rsidRPr="004530B2" w14:paraId="17937C06" w14:textId="77777777" w:rsidTr="00655D56">
        <w:trPr>
          <w:trHeight w:val="363"/>
        </w:trPr>
        <w:tc>
          <w:tcPr>
            <w:tcW w:w="8075" w:type="dxa"/>
            <w:shd w:val="clear" w:color="auto" w:fill="595959"/>
            <w:vAlign w:val="center"/>
          </w:tcPr>
          <w:p w14:paraId="3FAEF7D5" w14:textId="77B4BE8D" w:rsidR="00510C06" w:rsidRPr="004530B2" w:rsidRDefault="00510C06" w:rsidP="00655D5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Critères d’attribution</w:t>
            </w:r>
          </w:p>
        </w:tc>
        <w:tc>
          <w:tcPr>
            <w:tcW w:w="1672" w:type="dxa"/>
            <w:shd w:val="clear" w:color="auto" w:fill="595959"/>
            <w:vAlign w:val="center"/>
          </w:tcPr>
          <w:p w14:paraId="36668F48" w14:textId="77777777" w:rsidR="00510C06" w:rsidRPr="004530B2" w:rsidRDefault="00510C06" w:rsidP="00655D5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Pondération</w:t>
            </w:r>
          </w:p>
        </w:tc>
      </w:tr>
      <w:tr w:rsidR="00655D56" w:rsidRPr="004530B2" w14:paraId="5EE29D95" w14:textId="77777777" w:rsidTr="00655D56">
        <w:trPr>
          <w:trHeight w:val="284"/>
        </w:trPr>
        <w:tc>
          <w:tcPr>
            <w:tcW w:w="8075" w:type="dxa"/>
            <w:tcBorders>
              <w:bottom w:val="dotted" w:sz="4" w:space="0" w:color="auto"/>
            </w:tcBorders>
            <w:shd w:val="clear" w:color="auto" w:fill="E7E6E6"/>
            <w:vAlign w:val="center"/>
          </w:tcPr>
          <w:p w14:paraId="1009B4DE" w14:textId="380337CB" w:rsidR="00655D56" w:rsidRPr="004530B2" w:rsidRDefault="00655D56" w:rsidP="00655D56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bCs/>
                <w:sz w:val="18"/>
                <w:szCs w:val="18"/>
              </w:rPr>
              <w:t>Valeur technique</w:t>
            </w:r>
          </w:p>
        </w:tc>
        <w:tc>
          <w:tcPr>
            <w:tcW w:w="1672" w:type="dxa"/>
            <w:tcBorders>
              <w:bottom w:val="dotted" w:sz="4" w:space="0" w:color="auto"/>
            </w:tcBorders>
            <w:shd w:val="clear" w:color="auto" w:fill="E7E6E6"/>
          </w:tcPr>
          <w:p w14:paraId="5F6C7573" w14:textId="7F9B12EF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655D56" w:rsidRPr="004530B2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655D56" w:rsidRPr="004530B2" w14:paraId="7538BF8A" w14:textId="77777777" w:rsidTr="00655D56">
        <w:tc>
          <w:tcPr>
            <w:tcW w:w="80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4510B" w14:textId="46942AAF" w:rsidR="00655D56" w:rsidRPr="004530B2" w:rsidRDefault="00655D56" w:rsidP="00655D5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>Effectif dédié et compétences de l’équipe affectée à l’opération </w:t>
            </w:r>
          </w:p>
        </w:tc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65ECC3" w14:textId="344A2EB2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>10%</w:t>
            </w:r>
          </w:p>
        </w:tc>
      </w:tr>
      <w:tr w:rsidR="00655D56" w:rsidRPr="004530B2" w14:paraId="68F3EC0A" w14:textId="77777777" w:rsidTr="00655D56">
        <w:trPr>
          <w:trHeight w:val="20"/>
        </w:trPr>
        <w:tc>
          <w:tcPr>
            <w:tcW w:w="80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91502" w14:textId="6A717E6B" w:rsidR="00655D56" w:rsidRPr="004530B2" w:rsidRDefault="00655D56" w:rsidP="00655D5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>Moyens matériels spécifiquement mis à disposition pour le chantier</w:t>
            </w:r>
          </w:p>
        </w:tc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47BB93" w14:textId="1CEE3D8E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B676B" w:rsidRPr="004530B2">
              <w:rPr>
                <w:rFonts w:ascii="Arial" w:hAnsi="Arial" w:cs="Arial"/>
                <w:sz w:val="18"/>
                <w:szCs w:val="18"/>
              </w:rPr>
              <w:t>5</w:t>
            </w:r>
            <w:r w:rsidRPr="004530B2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655D56" w:rsidRPr="004530B2" w14:paraId="3052F80A" w14:textId="77777777" w:rsidTr="00AB676B">
        <w:tc>
          <w:tcPr>
            <w:tcW w:w="80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B31C36" w14:textId="53E9DCE7" w:rsidR="00655D56" w:rsidRPr="004530B2" w:rsidRDefault="00945885" w:rsidP="00655D5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color w:val="000000"/>
                <w:sz w:val="18"/>
                <w:szCs w:val="18"/>
              </w:rPr>
              <w:t>Modalité d’organisation des travaux</w:t>
            </w:r>
            <w:r w:rsidRPr="004530B2">
              <w:rPr>
                <w:rFonts w:ascii="Arial" w:hAnsi="Arial" w:cs="Arial"/>
                <w:sz w:val="18"/>
                <w:szCs w:val="18"/>
              </w:rPr>
              <w:t xml:space="preserve"> (méthodologie de réalisations des travaux, prise en compte des spécificités du chantier, observation sur le planning, accès, interaction avec les autres corps d'état et les occupants, ...)</w:t>
            </w:r>
          </w:p>
        </w:tc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4E48FE" w14:textId="7ABC30B9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>25%</w:t>
            </w:r>
          </w:p>
        </w:tc>
      </w:tr>
      <w:tr w:rsidR="00655D56" w:rsidRPr="004530B2" w14:paraId="27B92F8D" w14:textId="77777777" w:rsidTr="00655D56">
        <w:trPr>
          <w:trHeight w:val="289"/>
        </w:trPr>
        <w:tc>
          <w:tcPr>
            <w:tcW w:w="8075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  <w:vAlign w:val="center"/>
          </w:tcPr>
          <w:p w14:paraId="242962EA" w14:textId="2ABD0814" w:rsidR="00655D56" w:rsidRPr="004530B2" w:rsidRDefault="00655D56" w:rsidP="00655D56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bCs/>
                <w:sz w:val="18"/>
                <w:szCs w:val="18"/>
              </w:rPr>
              <w:t>Valeur environnementale</w:t>
            </w:r>
          </w:p>
        </w:tc>
        <w:tc>
          <w:tcPr>
            <w:tcW w:w="1672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  <w:vAlign w:val="center"/>
          </w:tcPr>
          <w:p w14:paraId="62C481EC" w14:textId="644F6EE8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655D56" w:rsidRPr="004530B2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655D56" w:rsidRPr="004530B2" w14:paraId="5540B242" w14:textId="77777777" w:rsidTr="00FC116A">
        <w:trPr>
          <w:trHeight w:val="20"/>
        </w:trPr>
        <w:tc>
          <w:tcPr>
            <w:tcW w:w="8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3ECE05AC" w14:textId="21C16321" w:rsidR="00655D56" w:rsidRPr="004530B2" w:rsidRDefault="00945885" w:rsidP="00655D56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30B2">
              <w:rPr>
                <w:rFonts w:ascii="Arial" w:hAnsi="Arial" w:cs="Arial"/>
                <w:color w:val="000000"/>
                <w:sz w:val="18"/>
                <w:szCs w:val="18"/>
              </w:rPr>
              <w:t xml:space="preserve">Méthodologie de gestion des déchets </w:t>
            </w:r>
            <w:r w:rsidRPr="004530B2">
              <w:rPr>
                <w:rFonts w:ascii="Arial" w:hAnsi="Arial" w:cs="Arial"/>
                <w:sz w:val="18"/>
                <w:szCs w:val="18"/>
              </w:rPr>
              <w:t>(tri, lieu de stockage, modalités d’évacuation et de traitement.)</w:t>
            </w:r>
          </w:p>
        </w:tc>
        <w:tc>
          <w:tcPr>
            <w:tcW w:w="167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0BC5CCC" w14:textId="20A615A1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>10%</w:t>
            </w:r>
          </w:p>
        </w:tc>
      </w:tr>
      <w:tr w:rsidR="00655D56" w:rsidRPr="004530B2" w14:paraId="5C0A8C5B" w14:textId="77777777" w:rsidTr="00FC116A">
        <w:trPr>
          <w:trHeight w:val="20"/>
        </w:trPr>
        <w:tc>
          <w:tcPr>
            <w:tcW w:w="8075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4932D052" w14:textId="380845C5" w:rsidR="00655D56" w:rsidRPr="004530B2" w:rsidRDefault="00945885" w:rsidP="00655D56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30B2">
              <w:rPr>
                <w:rFonts w:ascii="Arial" w:hAnsi="Arial" w:cs="Arial"/>
                <w:color w:val="000000"/>
                <w:sz w:val="18"/>
                <w:szCs w:val="18"/>
              </w:rPr>
              <w:t>Réduction des nuisances de chantier</w:t>
            </w:r>
          </w:p>
        </w:tc>
        <w:tc>
          <w:tcPr>
            <w:tcW w:w="167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6EBB0C" w14:textId="1E989509" w:rsidR="00655D5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0B2">
              <w:rPr>
                <w:rFonts w:ascii="Arial" w:hAnsi="Arial" w:cs="Arial"/>
                <w:sz w:val="18"/>
                <w:szCs w:val="18"/>
              </w:rPr>
              <w:t>10%</w:t>
            </w:r>
          </w:p>
        </w:tc>
      </w:tr>
      <w:tr w:rsidR="00510C06" w:rsidRPr="004530B2" w14:paraId="572AB25B" w14:textId="77777777" w:rsidTr="00655D56">
        <w:trPr>
          <w:trHeight w:val="284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BC41C8B" w14:textId="77777777" w:rsidR="00510C06" w:rsidRPr="004530B2" w:rsidRDefault="00510C06" w:rsidP="00655D56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sz w:val="18"/>
                <w:szCs w:val="18"/>
              </w:rPr>
              <w:t>Prix des prestations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D880B6A" w14:textId="1495076A" w:rsidR="00510C06" w:rsidRPr="004530B2" w:rsidRDefault="00945885" w:rsidP="00655D56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0B2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510C06" w:rsidRPr="004530B2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</w:tbl>
    <w:p w14:paraId="1C092687" w14:textId="3A930340" w:rsidR="00510C06" w:rsidRDefault="00510C0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>
      <w:pPr>
        <w:rPr>
          <w:rFonts w:ascii="Arial" w:hAnsi="Arial" w:cs="Arial"/>
          <w:b/>
          <w:bCs/>
        </w:rPr>
      </w:pPr>
      <w:bookmarkStart w:id="1" w:name="_Hlk124932229"/>
      <w:bookmarkEnd w:id="0"/>
      <w:r>
        <w:rPr>
          <w:rFonts w:ascii="Arial" w:hAnsi="Arial" w:cs="Arial"/>
          <w:b/>
          <w:bCs/>
        </w:rP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6912A6EC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r w:rsidR="001D7E58" w:rsidRPr="009526D0">
        <w:rPr>
          <w:rFonts w:ascii="Arial" w:hAnsi="Arial" w:cs="Arial"/>
        </w:rPr>
        <w:t xml:space="preserve">NOTE / </w:t>
      </w:r>
      <w:r w:rsidR="00945885">
        <w:rPr>
          <w:rFonts w:ascii="Arial" w:hAnsi="Arial" w:cs="Arial"/>
        </w:rPr>
        <w:t>10</w:t>
      </w:r>
      <w:r w:rsidR="009526D0" w:rsidRPr="009526D0">
        <w:rPr>
          <w:rFonts w:ascii="Arial" w:hAnsi="Arial" w:cs="Arial"/>
        </w:rPr>
        <w:t>)</w:t>
      </w:r>
    </w:p>
    <w:p w14:paraId="23F1B74D" w14:textId="6125FB3B" w:rsidR="009526D0" w:rsidRPr="009526D0" w:rsidRDefault="009526D0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1 page maximum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63C4D55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(conduite de travaux, chef de chantier, équipe)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21A70FAD" w14:textId="77777777" w:rsidR="003C759A" w:rsidRPr="00B0314F" w:rsidRDefault="003C759A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6E132639" w:rsidR="008B2915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d'étude (interne/externe, effectifs, fonctionnement,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9487A7" w14:textId="77777777" w:rsidR="00BE50BB" w:rsidRPr="00372075" w:rsidRDefault="00BE50BB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1794676A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565E93E5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8B2915" w:rsidRPr="009526D0">
        <w:rPr>
          <w:rFonts w:ascii="Arial" w:hAnsi="Arial" w:cs="Arial"/>
        </w:rPr>
        <w:t>MOYENS</w:t>
      </w:r>
      <w:r w:rsidR="009526D0" w:rsidRPr="009526D0">
        <w:rPr>
          <w:rFonts w:ascii="Arial" w:hAnsi="Arial" w:cs="Arial"/>
        </w:rPr>
        <w:t xml:space="preserve"> MATERIELS SPECIFIQUEMENT MIS A DIPOSITION POUR </w:t>
      </w:r>
      <w:r w:rsidR="00FB3D40">
        <w:rPr>
          <w:rFonts w:ascii="Arial" w:hAnsi="Arial" w:cs="Arial"/>
        </w:rPr>
        <w:t>L</w:t>
      </w:r>
      <w:r w:rsidR="009526D0" w:rsidRPr="009526D0">
        <w:rPr>
          <w:rFonts w:ascii="Arial" w:hAnsi="Arial" w:cs="Arial"/>
        </w:rPr>
        <w:t>E CHANTIER</w:t>
      </w:r>
      <w:r w:rsidR="009526D0">
        <w:rPr>
          <w:rFonts w:ascii="Arial" w:hAnsi="Arial" w:cs="Arial"/>
        </w:rPr>
        <w:t xml:space="preserve"> (</w:t>
      </w:r>
      <w:r w:rsidR="008B2915" w:rsidRPr="009526D0">
        <w:rPr>
          <w:rFonts w:ascii="Arial" w:hAnsi="Arial" w:cs="Arial"/>
        </w:rPr>
        <w:t xml:space="preserve">NOTE / </w:t>
      </w:r>
      <w:r w:rsidR="001F464C">
        <w:rPr>
          <w:rFonts w:ascii="Arial" w:hAnsi="Arial" w:cs="Arial"/>
        </w:rPr>
        <w:t>5</w:t>
      </w:r>
      <w:r w:rsidR="009526D0" w:rsidRPr="009526D0">
        <w:rPr>
          <w:rFonts w:ascii="Arial" w:hAnsi="Arial" w:cs="Arial"/>
        </w:rPr>
        <w:t>)</w:t>
      </w:r>
    </w:p>
    <w:p w14:paraId="449EA2D3" w14:textId="72CD5A33" w:rsidR="009526D0" w:rsidRPr="009526D0" w:rsidRDefault="009526D0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526D0">
        <w:rPr>
          <w:rFonts w:ascii="Arial" w:hAnsi="Arial" w:cs="Arial"/>
          <w:b/>
          <w:color w:val="FF6600"/>
          <w:sz w:val="20"/>
        </w:rPr>
        <w:t>3 pages maximum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4DE7161A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62A3363B" w14:textId="6C778F09" w:rsidR="00297865" w:rsidRPr="00EC468E" w:rsidRDefault="00297865" w:rsidP="00EC468E">
      <w:pPr>
        <w:rPr>
          <w:rFonts w:ascii="Arial" w:hAnsi="Arial" w:cs="Arial"/>
          <w:u w:val="single"/>
        </w:rPr>
      </w:pPr>
    </w:p>
    <w:p w14:paraId="18A12EE7" w14:textId="1CCEE2FD" w:rsidR="00945885" w:rsidRPr="00EC468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caps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> </w:t>
      </w:r>
      <w:r w:rsidR="00297865" w:rsidRPr="00945885">
        <w:rPr>
          <w:rFonts w:ascii="Arial" w:hAnsi="Arial" w:cs="Arial"/>
        </w:rPr>
        <w:t xml:space="preserve">: </w:t>
      </w:r>
      <w:r w:rsidR="00945885" w:rsidRPr="00EC468E">
        <w:rPr>
          <w:rFonts w:ascii="Arial" w:hAnsi="Arial" w:cs="Arial"/>
          <w:caps/>
          <w:color w:val="000000"/>
        </w:rPr>
        <w:t>Modalité d’organisation des travaux</w:t>
      </w:r>
      <w:r w:rsidR="00945885" w:rsidRPr="00EC468E">
        <w:rPr>
          <w:rFonts w:ascii="Arial" w:hAnsi="Arial" w:cs="Arial"/>
          <w:caps/>
        </w:rPr>
        <w:t xml:space="preserve"> </w:t>
      </w:r>
      <w:r w:rsidR="00EC468E" w:rsidRPr="00EC468E">
        <w:rPr>
          <w:rFonts w:ascii="Arial" w:hAnsi="Arial" w:cs="Arial"/>
          <w:caps/>
        </w:rPr>
        <w:t>(NOTE /25)</w:t>
      </w:r>
    </w:p>
    <w:p w14:paraId="6AAB83C4" w14:textId="25F213DD" w:rsidR="00297865" w:rsidRPr="009526D0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 w:rsidRPr="00935CC1">
        <w:rPr>
          <w:rFonts w:ascii="Arial" w:hAnsi="Arial" w:cs="Arial"/>
          <w:b/>
          <w:color w:val="FF6600"/>
          <w:sz w:val="20"/>
        </w:rPr>
        <w:t>4</w:t>
      </w:r>
      <w:r w:rsidR="00297865" w:rsidRPr="00935CC1">
        <w:rPr>
          <w:rFonts w:ascii="Arial" w:hAnsi="Arial" w:cs="Arial"/>
          <w:b/>
          <w:color w:val="FF6600"/>
          <w:sz w:val="20"/>
        </w:rPr>
        <w:t xml:space="preserve"> pages maximum</w:t>
      </w:r>
    </w:p>
    <w:p w14:paraId="641649D2" w14:textId="1E73CA56" w:rsidR="00BC3867" w:rsidRPr="00BC3867" w:rsidRDefault="00F30AEE" w:rsidP="00BC3867">
      <w:pPr>
        <w:spacing w:before="120" w:after="120"/>
        <w:rPr>
          <w:rFonts w:ascii="Arial" w:hAnsi="Arial" w:cs="Arial"/>
          <w:sz w:val="20"/>
          <w:szCs w:val="18"/>
        </w:rPr>
      </w:pPr>
      <w:r w:rsidRPr="00BC3867">
        <w:rPr>
          <w:rFonts w:ascii="Arial" w:hAnsi="Arial" w:cs="Arial"/>
          <w:sz w:val="20"/>
          <w:szCs w:val="18"/>
        </w:rPr>
        <w:t>Organisation des travaux</w:t>
      </w:r>
      <w:r w:rsidR="001F464C">
        <w:rPr>
          <w:rFonts w:ascii="Arial" w:hAnsi="Arial" w:cs="Arial"/>
          <w:sz w:val="20"/>
          <w:szCs w:val="18"/>
        </w:rPr>
        <w:t> :</w:t>
      </w:r>
    </w:p>
    <w:p w14:paraId="6ABABFB9" w14:textId="458DC10B" w:rsidR="008B2915" w:rsidRPr="00BC3867" w:rsidRDefault="00BC3867" w:rsidP="00BC3867">
      <w:pPr>
        <w:pStyle w:val="Paragraphedeliste"/>
        <w:numPr>
          <w:ilvl w:val="0"/>
          <w:numId w:val="25"/>
        </w:numPr>
        <w:rPr>
          <w:rFonts w:ascii="Arial" w:hAnsi="Arial" w:cs="Arial"/>
          <w:sz w:val="20"/>
          <w:szCs w:val="18"/>
        </w:rPr>
      </w:pPr>
      <w:r w:rsidRPr="00BC3867">
        <w:rPr>
          <w:rFonts w:ascii="Arial" w:hAnsi="Arial" w:cs="Arial"/>
          <w:sz w:val="20"/>
          <w:szCs w:val="18"/>
        </w:rPr>
        <w:t>Méthodologie</w:t>
      </w:r>
      <w:r w:rsidR="00F30AEE" w:rsidRPr="00BC3867">
        <w:rPr>
          <w:rFonts w:ascii="Arial" w:hAnsi="Arial" w:cs="Arial"/>
          <w:sz w:val="20"/>
          <w:szCs w:val="18"/>
        </w:rPr>
        <w:t xml:space="preserve"> des réalisations des travaux, </w:t>
      </w:r>
    </w:p>
    <w:p w14:paraId="42B3A032" w14:textId="33E21B11" w:rsidR="00BC3867" w:rsidRPr="00BC3867" w:rsidRDefault="00F30AEE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 w:rsidRPr="00BC3867">
        <w:rPr>
          <w:rFonts w:ascii="Arial" w:hAnsi="Arial" w:cs="Arial"/>
          <w:sz w:val="20"/>
          <w:szCs w:val="18"/>
        </w:rPr>
        <w:t>Prise en compte des spécificités du chantier (site occupé, accessibilité du site … / limitation des nuisances (sonores, visuelles / pollution …)</w:t>
      </w:r>
      <w:r w:rsidR="00BC3867">
        <w:rPr>
          <w:rFonts w:ascii="Arial" w:hAnsi="Arial" w:cs="Arial"/>
          <w:sz w:val="20"/>
          <w:szCs w:val="18"/>
        </w:rPr>
        <w:t> ;</w:t>
      </w:r>
    </w:p>
    <w:p w14:paraId="55510E01" w14:textId="5FB1F327" w:rsidR="00F30AEE" w:rsidRDefault="00BC3867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 w:rsidRPr="00BC3867">
        <w:rPr>
          <w:rFonts w:ascii="Arial" w:hAnsi="Arial" w:cs="Arial"/>
          <w:sz w:val="20"/>
          <w:szCs w:val="18"/>
        </w:rPr>
        <w:t>R</w:t>
      </w:r>
      <w:r w:rsidR="00F30AEE" w:rsidRPr="00BC3867">
        <w:rPr>
          <w:rFonts w:ascii="Arial" w:hAnsi="Arial" w:cs="Arial"/>
          <w:sz w:val="20"/>
          <w:szCs w:val="18"/>
        </w:rPr>
        <w:t>espect du planning (gradation de la note selon que le candidat s’engage à le respecter / transmet un planning propre / détaille les différentes tâches et leur interaction avec les autres lots et avec les occupants …</w:t>
      </w:r>
      <w:r>
        <w:rPr>
          <w:rFonts w:ascii="Arial" w:hAnsi="Arial" w:cs="Arial"/>
          <w:sz w:val="20"/>
          <w:szCs w:val="18"/>
        </w:rPr>
        <w:t> ;</w:t>
      </w:r>
    </w:p>
    <w:p w14:paraId="48CA0F30" w14:textId="3A888751" w:rsidR="00E65E79" w:rsidRPr="00E65E79" w:rsidRDefault="00E65E79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</w:rPr>
        <w:t>D</w:t>
      </w:r>
      <w:r w:rsidRPr="00E65E79">
        <w:rPr>
          <w:rFonts w:ascii="Arial" w:hAnsi="Arial" w:cs="Arial"/>
          <w:sz w:val="20"/>
        </w:rPr>
        <w:t>élai de</w:t>
      </w:r>
      <w:r>
        <w:rPr>
          <w:rFonts w:ascii="Arial" w:hAnsi="Arial" w:cs="Arial"/>
          <w:sz w:val="20"/>
        </w:rPr>
        <w:t xml:space="preserve"> la</w:t>
      </w:r>
      <w:r w:rsidRPr="00E65E79">
        <w:rPr>
          <w:rFonts w:ascii="Arial" w:hAnsi="Arial" w:cs="Arial"/>
          <w:sz w:val="20"/>
        </w:rPr>
        <w:t xml:space="preserve"> préparation de chantier (passation de commande, délai de livraison, durée des travaux)</w:t>
      </w:r>
    </w:p>
    <w:p w14:paraId="598E5BDC" w14:textId="57542396" w:rsidR="008B2915" w:rsidRPr="00BC3867" w:rsidRDefault="008B2915" w:rsidP="002140AD">
      <w:pPr>
        <w:pStyle w:val="Paragraphedeliste"/>
        <w:spacing w:after="120"/>
        <w:rPr>
          <w:rFonts w:ascii="Arial" w:hAnsi="Arial" w:cs="Arial"/>
          <w:i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26ABC33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3DD8EB8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lastRenderedPageBreak/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2F3BF3D" w14:textId="7C94CD5F" w:rsidR="00D66AAF" w:rsidRDefault="00D66AAF" w:rsidP="009E6EC0">
      <w:pPr>
        <w:jc w:val="both"/>
        <w:rPr>
          <w:rFonts w:ascii="Arial" w:hAnsi="Arial" w:cs="Arial"/>
          <w:u w:val="single"/>
        </w:rPr>
      </w:pPr>
    </w:p>
    <w:p w14:paraId="0377473E" w14:textId="64D39800" w:rsidR="00F30AEE" w:rsidRPr="00B64F1C" w:rsidRDefault="00F30AEE" w:rsidP="007570E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caps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>1</w:t>
      </w:r>
      <w:r w:rsidR="00B64F1C">
        <w:rPr>
          <w:rFonts w:ascii="Arial" w:hAnsi="Arial" w:cs="Arial"/>
        </w:rPr>
        <w:t> :</w:t>
      </w:r>
      <w:r w:rsidR="00B64F1C" w:rsidRPr="00B64F1C">
        <w:rPr>
          <w:rFonts w:ascii="Arial" w:hAnsi="Arial" w:cs="Arial"/>
          <w:color w:val="000000"/>
          <w:sz w:val="16"/>
          <w:szCs w:val="16"/>
        </w:rPr>
        <w:t xml:space="preserve"> </w:t>
      </w:r>
      <w:r w:rsidR="00B64F1C" w:rsidRPr="00B64F1C">
        <w:rPr>
          <w:rFonts w:ascii="Arial" w:hAnsi="Arial" w:cs="Arial"/>
          <w:caps/>
          <w:color w:val="000000"/>
        </w:rPr>
        <w:t xml:space="preserve">Méthodologie de gestion des déchets </w:t>
      </w: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B64F1C">
        <w:rPr>
          <w:rFonts w:ascii="Arial" w:hAnsi="Arial" w:cs="Arial"/>
        </w:rPr>
        <w:t>10</w:t>
      </w:r>
      <w:r w:rsidRPr="009526D0">
        <w:rPr>
          <w:rFonts w:ascii="Arial" w:hAnsi="Arial" w:cs="Arial"/>
        </w:rPr>
        <w:t>)</w:t>
      </w:r>
    </w:p>
    <w:p w14:paraId="7FFA23BE" w14:textId="49087770" w:rsidR="00E20549" w:rsidRPr="00BC3867" w:rsidRDefault="001F464C" w:rsidP="00BC386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F30AEE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p w14:paraId="619E4BCA" w14:textId="6A4CD702" w:rsidR="00E20549" w:rsidRPr="004530B2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4530B2">
        <w:rPr>
          <w:rFonts w:ascii="Arial" w:hAnsi="Arial" w:cs="Arial"/>
          <w:sz w:val="20"/>
        </w:rPr>
        <w:t>Méthodologie de traitement des déchets (tri,</w:t>
      </w:r>
      <w:r w:rsidR="00F241AC" w:rsidRPr="002140AD">
        <w:rPr>
          <w:rFonts w:ascii="Arial" w:hAnsi="Arial" w:cs="Arial"/>
          <w:sz w:val="20"/>
        </w:rPr>
        <w:t xml:space="preserve"> lieu de stockage, modalités d’évacuation et de traitement</w:t>
      </w:r>
      <w:r w:rsidR="00B64F1C" w:rsidRPr="002140AD">
        <w:rPr>
          <w:rFonts w:ascii="Arial" w:hAnsi="Arial" w:cs="Arial"/>
          <w:sz w:val="20"/>
        </w:rPr>
        <w:t xml:space="preserve">, </w:t>
      </w:r>
      <w:r w:rsidRPr="004530B2">
        <w:rPr>
          <w:rFonts w:ascii="Arial" w:hAnsi="Arial" w:cs="Arial"/>
          <w:sz w:val="20"/>
        </w:rPr>
        <w:t>etc.)</w:t>
      </w:r>
    </w:p>
    <w:p w14:paraId="20E15978" w14:textId="77777777" w:rsidR="00B64F1C" w:rsidRDefault="00B64F1C" w:rsidP="00B64F1C">
      <w:pPr>
        <w:pStyle w:val="Paragraphedeliste"/>
        <w:spacing w:before="240" w:after="120"/>
        <w:ind w:left="360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46A73FDB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949A22E" w14:textId="736DDC18" w:rsidR="007570E6" w:rsidRDefault="007570E6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5A79B982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ACE96E2" w14:textId="327F09BC" w:rsidR="006F7A3E" w:rsidRDefault="006F7A3E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EA53C86" w14:textId="77777777" w:rsidR="006F7A3E" w:rsidRDefault="006F7A3E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FAF0A7" w14:textId="696E7E21" w:rsidR="00E65E79" w:rsidRDefault="00E65E7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EE99A98" w14:textId="4F3E6C45" w:rsidR="00E65E79" w:rsidRDefault="00E65E7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8CC82DC" w14:textId="77777777" w:rsidR="006F7A3E" w:rsidRDefault="006F7A3E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0892" w14:textId="77777777" w:rsidR="00E65E79" w:rsidRDefault="00E65E7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0737AAC5" w14:textId="44F9B60F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3C56CFCB" w14:textId="77777777" w:rsidR="00E65E79" w:rsidRDefault="00E65E79" w:rsidP="00E20549">
      <w:pPr>
        <w:spacing w:after="120"/>
        <w:jc w:val="both"/>
        <w:rPr>
          <w:rFonts w:ascii="Arial" w:hAnsi="Arial" w:cs="Arial"/>
          <w:sz w:val="20"/>
        </w:rPr>
      </w:pPr>
    </w:p>
    <w:p w14:paraId="211E211E" w14:textId="6404B39A" w:rsidR="00D96E58" w:rsidRPr="00BE50BB" w:rsidRDefault="00D96E58" w:rsidP="00BE50BB">
      <w:pPr>
        <w:pStyle w:val="Paragraphedeliste"/>
        <w:numPr>
          <w:ilvl w:val="0"/>
          <w:numId w:val="13"/>
        </w:numPr>
        <w:spacing w:after="240"/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  <w:r w:rsidRPr="002140AD">
        <w:rPr>
          <w:rFonts w:ascii="Arial" w:eastAsiaTheme="minorHAnsi" w:hAnsi="Arial" w:cs="Arial"/>
          <w:bCs/>
          <w:iCs/>
          <w:sz w:val="20"/>
          <w:szCs w:val="20"/>
          <w:lang w:eastAsia="en-US"/>
        </w:rPr>
        <w:t>Possibilité de valorisation des déchets (réemploi sur site, réemploi extérieur, circuit de valorisation</w:t>
      </w:r>
      <w:r>
        <w:rPr>
          <w:rFonts w:ascii="Arial" w:eastAsiaTheme="minorHAnsi" w:hAnsi="Arial" w:cs="Arial"/>
          <w:b/>
          <w:iCs/>
          <w:sz w:val="20"/>
          <w:szCs w:val="20"/>
          <w:lang w:eastAsia="en-US"/>
        </w:rPr>
        <w:t xml:space="preserve"> …</w:t>
      </w:r>
      <w:r>
        <w:rPr>
          <w:rFonts w:ascii="Arial" w:eastAsiaTheme="minorHAnsi" w:hAnsi="Arial" w:cs="Arial"/>
          <w:iCs/>
          <w:sz w:val="20"/>
          <w:szCs w:val="20"/>
          <w:lang w:eastAsia="en-US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38BAD6F3" w14:textId="77777777" w:rsidTr="00E20549">
        <w:tc>
          <w:tcPr>
            <w:tcW w:w="9629" w:type="dxa"/>
          </w:tcPr>
          <w:p w14:paraId="6D49B266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ECF7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77DE5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A1ECB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60BD33" w14:textId="586590EB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756F5F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2C52F8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F6CB9A" w14:textId="03C77F0E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1E78C" w14:textId="21FCA6D3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98B2A2" w14:textId="7324BCF9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729C35" w14:textId="3EDF91EB" w:rsidR="00BE50BB" w:rsidRDefault="00BE50B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1EDB718" w14:textId="33A718E7" w:rsidR="00BE50BB" w:rsidRDefault="00BE50B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733309" w14:textId="77777777" w:rsidR="006F7A3E" w:rsidRDefault="006F7A3E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7F6DEA" w14:textId="3795DB9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1577AA" w14:textId="48C50C0F" w:rsidR="00BE50BB" w:rsidRDefault="00BE50B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C88FE" w14:textId="77777777" w:rsidR="006F7A3E" w:rsidRDefault="006F7A3E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70466BA" w14:textId="77777777" w:rsidR="00BE50BB" w:rsidRDefault="00BE50B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AA2B10C" w14:textId="77777777" w:rsidR="00BE50BB" w:rsidRDefault="00BE50BB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F44B93" w14:textId="2204409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2F8454" w14:textId="77777777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BA2F71" w14:textId="45EDD133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8C2FDEA" w14:textId="77777777" w:rsidR="00E20549" w:rsidRDefault="00E20549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53B6170" w14:textId="2EE3388A" w:rsidR="00E20549" w:rsidRDefault="00E20549" w:rsidP="00E20549">
      <w:pPr>
        <w:jc w:val="both"/>
        <w:rPr>
          <w:rFonts w:ascii="Arial" w:hAnsi="Arial" w:cs="Arial"/>
          <w:u w:val="single"/>
        </w:rPr>
      </w:pPr>
    </w:p>
    <w:p w14:paraId="55EF9879" w14:textId="41B74C2C" w:rsidR="00BE50BB" w:rsidRDefault="00BE50BB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2FF21039" w14:textId="7465252F" w:rsidR="006F7A3E" w:rsidRDefault="006F7A3E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67506B0A" w14:textId="13275F4A" w:rsidR="006F7A3E" w:rsidRDefault="006F7A3E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687F48A3" w14:textId="76127C3D" w:rsidR="006F7A3E" w:rsidRDefault="006F7A3E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3E3526FF" w14:textId="1825E1C6" w:rsidR="006F7A3E" w:rsidRDefault="006F7A3E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00533A4E" w14:textId="13F07FDB" w:rsidR="006F7A3E" w:rsidRDefault="006F7A3E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0C65ACE9" w14:textId="77777777" w:rsidR="006F7A3E" w:rsidRDefault="006F7A3E" w:rsidP="00BE50BB">
      <w:pPr>
        <w:jc w:val="both"/>
        <w:rPr>
          <w:rFonts w:ascii="Arial" w:eastAsiaTheme="minorHAnsi" w:hAnsi="Arial" w:cs="Arial"/>
          <w:iCs/>
          <w:sz w:val="20"/>
          <w:szCs w:val="20"/>
          <w:lang w:eastAsia="en-US"/>
        </w:rPr>
      </w:pPr>
    </w:p>
    <w:p w14:paraId="6ECE104D" w14:textId="77777777" w:rsidR="00BE50BB" w:rsidRDefault="00BE50BB" w:rsidP="00E20549">
      <w:pPr>
        <w:jc w:val="both"/>
        <w:rPr>
          <w:rFonts w:ascii="Arial" w:hAnsi="Arial" w:cs="Arial"/>
          <w:u w:val="single"/>
        </w:rPr>
      </w:pPr>
    </w:p>
    <w:p w14:paraId="0DEA9BAC" w14:textId="10B0349C" w:rsidR="00E20549" w:rsidRDefault="00E20549" w:rsidP="00E2054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2.2</w:t>
      </w:r>
      <w:r w:rsidRPr="00372075">
        <w:rPr>
          <w:rFonts w:ascii="Arial" w:hAnsi="Arial" w:cs="Arial"/>
        </w:rPr>
        <w:t xml:space="preserve"> : </w:t>
      </w:r>
      <w:r w:rsidR="00B64F1C">
        <w:rPr>
          <w:rFonts w:ascii="Arial" w:hAnsi="Arial" w:cs="Arial"/>
        </w:rPr>
        <w:t>REDUCTION DES NUISANCES DE CHANTIERS</w:t>
      </w:r>
      <w:r w:rsidR="00F032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 xml:space="preserve">NOTE / </w:t>
      </w:r>
      <w:r w:rsidR="00B64F1C">
        <w:rPr>
          <w:rFonts w:ascii="Arial" w:hAnsi="Arial" w:cs="Arial"/>
        </w:rPr>
        <w:t>1</w:t>
      </w:r>
      <w:r w:rsidRPr="009526D0">
        <w:rPr>
          <w:rFonts w:ascii="Arial" w:hAnsi="Arial" w:cs="Arial"/>
        </w:rPr>
        <w:t>0)</w:t>
      </w:r>
    </w:p>
    <w:p w14:paraId="7C62D5EB" w14:textId="6AEE85F8" w:rsidR="00E20549" w:rsidRPr="009526D0" w:rsidRDefault="00702D2D" w:rsidP="00E2054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color w:val="FF6600"/>
          <w:sz w:val="20"/>
        </w:rPr>
      </w:pPr>
      <w:r>
        <w:rPr>
          <w:rFonts w:ascii="Arial" w:hAnsi="Arial" w:cs="Arial"/>
          <w:b/>
          <w:color w:val="FF6600"/>
          <w:sz w:val="20"/>
        </w:rPr>
        <w:t>1</w:t>
      </w:r>
      <w:r w:rsidR="00E20549" w:rsidRPr="009526D0">
        <w:rPr>
          <w:rFonts w:ascii="Arial" w:hAnsi="Arial" w:cs="Arial"/>
          <w:b/>
          <w:color w:val="FF6600"/>
          <w:sz w:val="20"/>
        </w:rPr>
        <w:t xml:space="preserve"> page maximum</w:t>
      </w:r>
    </w:p>
    <w:p w14:paraId="7397AB25" w14:textId="53B538B2" w:rsidR="00F30AEE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 w:rsidRPr="00E20549">
        <w:rPr>
          <w:rFonts w:ascii="Arial" w:hAnsi="Arial" w:cs="Arial"/>
          <w:sz w:val="20"/>
        </w:rPr>
        <w:t xml:space="preserve">Organisation pour la réduction des </w:t>
      </w:r>
      <w:r w:rsidR="00B64F1C">
        <w:rPr>
          <w:rFonts w:ascii="Arial" w:hAnsi="Arial" w:cs="Arial"/>
          <w:sz w:val="20"/>
        </w:rPr>
        <w:t>nuisance</w:t>
      </w:r>
      <w:r w:rsidRPr="00E20549">
        <w:rPr>
          <w:rFonts w:ascii="Arial" w:hAnsi="Arial" w:cs="Arial"/>
          <w:sz w:val="20"/>
        </w:rPr>
        <w:t xml:space="preserve"> (déplacements, matériaux biosourcés, production locale, approvisionnements,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111075E4" w14:textId="77777777" w:rsidTr="00E20549">
        <w:tc>
          <w:tcPr>
            <w:tcW w:w="9629" w:type="dxa"/>
          </w:tcPr>
          <w:p w14:paraId="4A626259" w14:textId="77777777" w:rsidR="00E20549" w:rsidRDefault="00E20549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F74FE76" w14:textId="77777777" w:rsidR="00E20549" w:rsidRDefault="00E20549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7BE8337" w14:textId="77777777" w:rsidR="00E20549" w:rsidRDefault="00E20549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E23823C" w14:textId="71F45451" w:rsidR="00E20549" w:rsidRDefault="00E20549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553A468" w14:textId="4E6F0029" w:rsidR="00BC3867" w:rsidRDefault="00BC3867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136606D4" w14:textId="340FC89B" w:rsidR="00BE50BB" w:rsidRDefault="00BE50BB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C8FB9AC" w14:textId="10D2F3BF" w:rsidR="006F7A3E" w:rsidRDefault="006F7A3E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7DDAE52" w14:textId="5E7541A6" w:rsidR="006F7A3E" w:rsidRDefault="006F7A3E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364708B" w14:textId="77777777" w:rsidR="006F7A3E" w:rsidRDefault="006F7A3E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7903DFC" w14:textId="33A6D107" w:rsidR="00BC3867" w:rsidRDefault="00BC3867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D08EB9C" w14:textId="77777777" w:rsidR="00BC3867" w:rsidRDefault="00BC3867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1EFE878" w14:textId="77777777" w:rsidR="00E20549" w:rsidRDefault="00E20549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27A836A" w14:textId="3348263E" w:rsidR="00E20549" w:rsidRDefault="00E20549" w:rsidP="00E20549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bookmarkEnd w:id="3"/>
    </w:tbl>
    <w:p w14:paraId="2BCA2644" w14:textId="77777777" w:rsidR="00BC3867" w:rsidRPr="0089250B" w:rsidRDefault="00BC3867" w:rsidP="00E20549">
      <w:pPr>
        <w:spacing w:after="120"/>
        <w:jc w:val="both"/>
        <w:rPr>
          <w:rFonts w:ascii="Arial" w:hAnsi="Arial" w:cs="Arial"/>
          <w:sz w:val="20"/>
        </w:rPr>
      </w:pPr>
    </w:p>
    <w:sectPr w:rsidR="00BC3867" w:rsidRPr="0089250B" w:rsidSect="00700E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DF8D" w14:textId="77777777" w:rsidR="0040527E" w:rsidRDefault="004052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55D56" w14:paraId="7FF58432" w14:textId="77777777" w:rsidTr="00CB7755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717B0F21" w:rsidR="00655D56" w:rsidRDefault="00655D56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n°22022T.0</w:t>
          </w:r>
          <w:r w:rsidR="0040527E">
            <w:rPr>
              <w:rFonts w:ascii="Arial" w:hAnsi="Arial" w:cs="Arial"/>
              <w:color w:val="5A5A5A"/>
              <w:sz w:val="16"/>
              <w:szCs w:val="16"/>
            </w:rPr>
            <w:t>4</w:t>
          </w:r>
          <w:r>
            <w:rPr>
              <w:rFonts w:ascii="Arial" w:hAnsi="Arial" w:cs="Arial"/>
              <w:color w:val="5A5A5A"/>
              <w:sz w:val="16"/>
              <w:szCs w:val="16"/>
            </w:rPr>
            <w:t>TRA</w:t>
          </w:r>
          <w:r w:rsidR="0040527E">
            <w:rPr>
              <w:rFonts w:ascii="Arial" w:hAnsi="Arial" w:cs="Arial"/>
              <w:color w:val="5A5A5A"/>
              <w:sz w:val="16"/>
              <w:szCs w:val="16"/>
            </w:rPr>
            <w:t>_MS3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 w:rsidR="00514943">
            <w:rPr>
              <w:rFonts w:ascii="Arial" w:hAnsi="Arial" w:cs="Arial"/>
              <w:color w:val="5A5A5A"/>
              <w:sz w:val="16"/>
              <w:szCs w:val="16"/>
            </w:rPr>
            <w:t xml:space="preserve"> des lots </w:t>
          </w:r>
          <w:r w:rsidR="0040527E">
            <w:rPr>
              <w:rFonts w:ascii="Arial" w:hAnsi="Arial" w:cs="Arial"/>
              <w:color w:val="5A5A5A"/>
              <w:sz w:val="16"/>
              <w:szCs w:val="16"/>
            </w:rPr>
            <w:t xml:space="preserve">2, </w:t>
          </w:r>
          <w:r w:rsidR="00514943">
            <w:rPr>
              <w:rFonts w:ascii="Arial" w:hAnsi="Arial" w:cs="Arial"/>
              <w:color w:val="5A5A5A"/>
              <w:sz w:val="16"/>
              <w:szCs w:val="16"/>
            </w:rPr>
            <w:t>3, 4, 5</w:t>
          </w:r>
          <w:r w:rsidR="0040527E">
            <w:rPr>
              <w:rFonts w:ascii="Arial" w:hAnsi="Arial" w:cs="Arial"/>
              <w:color w:val="5A5A5A"/>
              <w:sz w:val="16"/>
              <w:szCs w:val="16"/>
            </w:rPr>
            <w:t xml:space="preserve">, 6, 7 </w:t>
          </w:r>
          <w:r w:rsidR="00514943">
            <w:rPr>
              <w:rFonts w:ascii="Arial" w:hAnsi="Arial" w:cs="Arial"/>
              <w:color w:val="5A5A5A"/>
              <w:sz w:val="16"/>
              <w:szCs w:val="16"/>
            </w:rPr>
            <w:t xml:space="preserve">et </w:t>
          </w:r>
          <w:r w:rsidR="0040527E">
            <w:rPr>
              <w:rFonts w:ascii="Arial" w:hAnsi="Arial" w:cs="Arial"/>
              <w:color w:val="5A5A5A"/>
              <w:sz w:val="16"/>
              <w:szCs w:val="16"/>
            </w:rPr>
            <w:t>8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77777777" w:rsidR="00655D56" w:rsidRDefault="00655D56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BE35" w14:textId="77777777" w:rsidR="0040527E" w:rsidRDefault="004052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F46" w14:textId="77777777" w:rsidR="0040527E" w:rsidRDefault="004052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F27A" w14:textId="77777777" w:rsidR="0040527E" w:rsidRDefault="0040527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8E35" w14:textId="77777777" w:rsidR="0040527E" w:rsidRDefault="004052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859AE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5E7E0D"/>
    <w:multiLevelType w:val="hybridMultilevel"/>
    <w:tmpl w:val="133064C8"/>
    <w:lvl w:ilvl="0" w:tplc="8AF2F51E"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27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3"/>
  </w:num>
  <w:num w:numId="9">
    <w:abstractNumId w:val="22"/>
  </w:num>
  <w:num w:numId="10">
    <w:abstractNumId w:val="12"/>
  </w:num>
  <w:num w:numId="11">
    <w:abstractNumId w:val="18"/>
  </w:num>
  <w:num w:numId="12">
    <w:abstractNumId w:val="11"/>
  </w:num>
  <w:num w:numId="13">
    <w:abstractNumId w:val="31"/>
  </w:num>
  <w:num w:numId="14">
    <w:abstractNumId w:val="21"/>
  </w:num>
  <w:num w:numId="15">
    <w:abstractNumId w:val="14"/>
  </w:num>
  <w:num w:numId="16">
    <w:abstractNumId w:val="20"/>
  </w:num>
  <w:num w:numId="17">
    <w:abstractNumId w:val="2"/>
  </w:num>
  <w:num w:numId="18">
    <w:abstractNumId w:val="26"/>
  </w:num>
  <w:num w:numId="19">
    <w:abstractNumId w:val="25"/>
  </w:num>
  <w:num w:numId="20">
    <w:abstractNumId w:val="24"/>
  </w:num>
  <w:num w:numId="21">
    <w:abstractNumId w:val="28"/>
  </w:num>
  <w:num w:numId="22">
    <w:abstractNumId w:val="4"/>
  </w:num>
  <w:num w:numId="23">
    <w:abstractNumId w:val="10"/>
  </w:num>
  <w:num w:numId="24">
    <w:abstractNumId w:val="0"/>
  </w:num>
  <w:num w:numId="25">
    <w:abstractNumId w:val="3"/>
  </w:num>
  <w:num w:numId="26">
    <w:abstractNumId w:val="8"/>
  </w:num>
  <w:num w:numId="27">
    <w:abstractNumId w:val="16"/>
  </w:num>
  <w:num w:numId="28">
    <w:abstractNumId w:val="1"/>
  </w:num>
  <w:num w:numId="29">
    <w:abstractNumId w:val="13"/>
  </w:num>
  <w:num w:numId="30">
    <w:abstractNumId w:val="9"/>
  </w:num>
  <w:num w:numId="31">
    <w:abstractNumId w:val="1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11317"/>
    <w:rsid w:val="00013F43"/>
    <w:rsid w:val="000258CF"/>
    <w:rsid w:val="0002727D"/>
    <w:rsid w:val="0003051D"/>
    <w:rsid w:val="00056486"/>
    <w:rsid w:val="00067C1F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2FC2"/>
    <w:rsid w:val="00133107"/>
    <w:rsid w:val="0013344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464C"/>
    <w:rsid w:val="00206864"/>
    <w:rsid w:val="00207C30"/>
    <w:rsid w:val="002140AD"/>
    <w:rsid w:val="00256C23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BCF"/>
    <w:rsid w:val="002B7302"/>
    <w:rsid w:val="002B7C07"/>
    <w:rsid w:val="002D1DBB"/>
    <w:rsid w:val="002D2046"/>
    <w:rsid w:val="002E4E4B"/>
    <w:rsid w:val="002E4F31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84A3A"/>
    <w:rsid w:val="003B404B"/>
    <w:rsid w:val="003C759A"/>
    <w:rsid w:val="003E47F1"/>
    <w:rsid w:val="003F2933"/>
    <w:rsid w:val="003F36B1"/>
    <w:rsid w:val="00402191"/>
    <w:rsid w:val="004037F6"/>
    <w:rsid w:val="0040527E"/>
    <w:rsid w:val="004300E6"/>
    <w:rsid w:val="00434269"/>
    <w:rsid w:val="004447C9"/>
    <w:rsid w:val="004517B7"/>
    <w:rsid w:val="004530B2"/>
    <w:rsid w:val="00456A6C"/>
    <w:rsid w:val="0046089A"/>
    <w:rsid w:val="00483B15"/>
    <w:rsid w:val="00497885"/>
    <w:rsid w:val="004A1A6E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78E5"/>
    <w:rsid w:val="005373EB"/>
    <w:rsid w:val="00537B60"/>
    <w:rsid w:val="00543949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D0AB2"/>
    <w:rsid w:val="005D1BBC"/>
    <w:rsid w:val="005D533A"/>
    <w:rsid w:val="005F017F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6F7A3E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570E6"/>
    <w:rsid w:val="007820EE"/>
    <w:rsid w:val="00783CB6"/>
    <w:rsid w:val="007972D4"/>
    <w:rsid w:val="007B02B1"/>
    <w:rsid w:val="007C7BD4"/>
    <w:rsid w:val="007D18BB"/>
    <w:rsid w:val="007F084C"/>
    <w:rsid w:val="007F285D"/>
    <w:rsid w:val="007F7384"/>
    <w:rsid w:val="008008A9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7060"/>
    <w:rsid w:val="00907F75"/>
    <w:rsid w:val="0091135E"/>
    <w:rsid w:val="00912C53"/>
    <w:rsid w:val="00935CC1"/>
    <w:rsid w:val="00945885"/>
    <w:rsid w:val="0095084B"/>
    <w:rsid w:val="009526D0"/>
    <w:rsid w:val="009727F7"/>
    <w:rsid w:val="00980E40"/>
    <w:rsid w:val="009813A0"/>
    <w:rsid w:val="00983991"/>
    <w:rsid w:val="009878F5"/>
    <w:rsid w:val="009940B5"/>
    <w:rsid w:val="009E6EC0"/>
    <w:rsid w:val="009F0D0A"/>
    <w:rsid w:val="009F724D"/>
    <w:rsid w:val="00A31470"/>
    <w:rsid w:val="00A33082"/>
    <w:rsid w:val="00A40FDF"/>
    <w:rsid w:val="00A479E4"/>
    <w:rsid w:val="00A606EB"/>
    <w:rsid w:val="00A659BA"/>
    <w:rsid w:val="00A6723D"/>
    <w:rsid w:val="00A743E7"/>
    <w:rsid w:val="00A74FF7"/>
    <w:rsid w:val="00A869CE"/>
    <w:rsid w:val="00AB676B"/>
    <w:rsid w:val="00AC52E0"/>
    <w:rsid w:val="00AC70B2"/>
    <w:rsid w:val="00AD26BB"/>
    <w:rsid w:val="00AD6492"/>
    <w:rsid w:val="00AE069E"/>
    <w:rsid w:val="00B0314F"/>
    <w:rsid w:val="00B43118"/>
    <w:rsid w:val="00B501A0"/>
    <w:rsid w:val="00B64F1C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0BB"/>
    <w:rsid w:val="00BE5B59"/>
    <w:rsid w:val="00C06FAC"/>
    <w:rsid w:val="00C142C8"/>
    <w:rsid w:val="00C16356"/>
    <w:rsid w:val="00C26E22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CF47BE"/>
    <w:rsid w:val="00D30929"/>
    <w:rsid w:val="00D3130B"/>
    <w:rsid w:val="00D3622E"/>
    <w:rsid w:val="00D36F59"/>
    <w:rsid w:val="00D4026D"/>
    <w:rsid w:val="00D54886"/>
    <w:rsid w:val="00D66AAF"/>
    <w:rsid w:val="00D80E45"/>
    <w:rsid w:val="00D87281"/>
    <w:rsid w:val="00D916B0"/>
    <w:rsid w:val="00D96E58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A6F"/>
    <w:rsid w:val="00E65E79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C468E"/>
    <w:rsid w:val="00ED0E88"/>
    <w:rsid w:val="00EE4F13"/>
    <w:rsid w:val="00EE621D"/>
    <w:rsid w:val="00EF5DB2"/>
    <w:rsid w:val="00EF7234"/>
    <w:rsid w:val="00F032FD"/>
    <w:rsid w:val="00F10360"/>
    <w:rsid w:val="00F241AC"/>
    <w:rsid w:val="00F30AEE"/>
    <w:rsid w:val="00F5021D"/>
    <w:rsid w:val="00F55305"/>
    <w:rsid w:val="00F630C4"/>
    <w:rsid w:val="00F9257C"/>
    <w:rsid w:val="00FA698D"/>
    <w:rsid w:val="00FB3D40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0E6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paragraph" w:styleId="Rvision">
    <w:name w:val="Revision"/>
    <w:hidden/>
    <w:uiPriority w:val="99"/>
    <w:semiHidden/>
    <w:rsid w:val="00543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9E93-6E0B-4FAC-B7FD-270C4F44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701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LOPEZ BRIGITTE</cp:lastModifiedBy>
  <cp:revision>6</cp:revision>
  <cp:lastPrinted>2016-05-13T15:12:00Z</cp:lastPrinted>
  <dcterms:created xsi:type="dcterms:W3CDTF">2025-09-04T14:51:00Z</dcterms:created>
  <dcterms:modified xsi:type="dcterms:W3CDTF">2025-09-09T15:18:00Z</dcterms:modified>
</cp:coreProperties>
</file>