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F5744" w14:textId="77777777" w:rsidR="00E47289" w:rsidRPr="00907E94" w:rsidRDefault="00E47289" w:rsidP="00E47289">
      <w:pPr>
        <w:jc w:val="center"/>
        <w:rPr>
          <w:b/>
          <w:color w:val="ED7D31" w:themeColor="accent2"/>
          <w:sz w:val="32"/>
          <w:szCs w:val="32"/>
        </w:rPr>
      </w:pPr>
      <w:r w:rsidRPr="00907E94">
        <w:rPr>
          <w:b/>
          <w:color w:val="ED7D31" w:themeColor="accent2"/>
          <w:sz w:val="32"/>
          <w:szCs w:val="32"/>
        </w:rPr>
        <w:t>Termes de référence</w:t>
      </w:r>
    </w:p>
    <w:p w14:paraId="20F62A6C" w14:textId="3975FFB2" w:rsidR="00E15AB9" w:rsidRPr="00907E94" w:rsidRDefault="000F6213" w:rsidP="00F22591">
      <w:pPr>
        <w:jc w:val="center"/>
        <w:rPr>
          <w:b/>
          <w:color w:val="2E74B5" w:themeColor="accent1" w:themeShade="BF"/>
          <w:sz w:val="32"/>
          <w:szCs w:val="32"/>
        </w:rPr>
      </w:pPr>
      <w:bookmarkStart w:id="0" w:name="_Hlk198218493"/>
      <w:r w:rsidRPr="00907E94">
        <w:rPr>
          <w:b/>
          <w:color w:val="2E74B5" w:themeColor="accent1" w:themeShade="BF"/>
          <w:sz w:val="32"/>
          <w:szCs w:val="32"/>
        </w:rPr>
        <w:t xml:space="preserve">Formation en gestion participative des subventions </w:t>
      </w:r>
      <w:bookmarkEnd w:id="0"/>
      <w:r w:rsidR="00C949DE">
        <w:rPr>
          <w:b/>
          <w:color w:val="2E74B5" w:themeColor="accent1" w:themeShade="BF"/>
          <w:sz w:val="32"/>
          <w:szCs w:val="32"/>
        </w:rPr>
        <w:t>scolaires</w:t>
      </w:r>
      <w:bookmarkStart w:id="1" w:name="_GoBack"/>
      <w:bookmarkEnd w:id="1"/>
    </w:p>
    <w:p w14:paraId="4549BD49" w14:textId="57CC9B95" w:rsidR="00E33A12" w:rsidRPr="00907E94" w:rsidRDefault="00E33A12" w:rsidP="00E47289">
      <w:pPr>
        <w:tabs>
          <w:tab w:val="left" w:pos="8595"/>
          <w:tab w:val="right" w:pos="9498"/>
        </w:tabs>
        <w:jc w:val="both"/>
        <w:rPr>
          <w:rFonts w:eastAsia="Arial"/>
          <w:b/>
          <w:bCs/>
          <w:color w:val="FFFFFF" w:themeColor="background1"/>
          <w:sz w:val="32"/>
          <w:szCs w:val="32"/>
        </w:rPr>
      </w:pPr>
    </w:p>
    <w:p w14:paraId="5F7975A0" w14:textId="77777777" w:rsidR="00E33A12" w:rsidRPr="00907E94" w:rsidRDefault="00E33A12" w:rsidP="00E47289">
      <w:pPr>
        <w:tabs>
          <w:tab w:val="left" w:pos="8595"/>
          <w:tab w:val="right" w:pos="9498"/>
        </w:tabs>
        <w:jc w:val="both"/>
        <w:rPr>
          <w:rFonts w:eastAsia="Arial"/>
          <w:b/>
          <w:bCs/>
          <w:color w:val="FFFFFF" w:themeColor="background1"/>
        </w:rPr>
      </w:pPr>
    </w:p>
    <w:p w14:paraId="18D14018" w14:textId="77777777" w:rsidR="00E33A12" w:rsidRPr="00907E94" w:rsidRDefault="00E33A12" w:rsidP="00E33A12">
      <w:pPr>
        <w:pBdr>
          <w:top w:val="single" w:sz="4" w:space="1" w:color="auto"/>
          <w:left w:val="single" w:sz="4" w:space="4" w:color="auto"/>
          <w:bottom w:val="single" w:sz="4" w:space="1" w:color="auto"/>
          <w:right w:val="single" w:sz="4" w:space="31" w:color="auto"/>
        </w:pBdr>
        <w:ind w:right="706"/>
        <w:jc w:val="both"/>
        <w:rPr>
          <w:rFonts w:eastAsia="Arial"/>
        </w:rPr>
      </w:pPr>
      <w:r w:rsidRPr="00907E94">
        <w:rPr>
          <w:rFonts w:eastAsia="Arial"/>
          <w:b/>
          <w:bCs/>
        </w:rPr>
        <w:t xml:space="preserve">Nom du projet : </w:t>
      </w:r>
      <w:r w:rsidRPr="00907E94">
        <w:rPr>
          <w:rFonts w:eastAsia="Arial"/>
        </w:rPr>
        <w:t>Projet d’Appui institutionnel à la Réforme de l’Education (PAIRE)</w:t>
      </w:r>
    </w:p>
    <w:p w14:paraId="586D9615" w14:textId="77777777" w:rsidR="009608E0" w:rsidRPr="00907E94" w:rsidRDefault="009608E0" w:rsidP="00E33A12">
      <w:pPr>
        <w:pBdr>
          <w:top w:val="single" w:sz="4" w:space="1" w:color="auto"/>
          <w:left w:val="single" w:sz="4" w:space="4" w:color="auto"/>
          <w:bottom w:val="single" w:sz="4" w:space="1" w:color="auto"/>
          <w:right w:val="single" w:sz="4" w:space="31" w:color="auto"/>
        </w:pBdr>
        <w:ind w:right="706"/>
        <w:jc w:val="both"/>
        <w:rPr>
          <w:rFonts w:eastAsia="Arial"/>
        </w:rPr>
      </w:pPr>
    </w:p>
    <w:p w14:paraId="4E8AD165" w14:textId="32881B22" w:rsidR="009608E0" w:rsidRPr="00907E94" w:rsidRDefault="00E33A12" w:rsidP="00E33A12">
      <w:pPr>
        <w:pBdr>
          <w:top w:val="single" w:sz="4" w:space="1" w:color="auto"/>
          <w:left w:val="single" w:sz="4" w:space="4" w:color="auto"/>
          <w:bottom w:val="single" w:sz="4" w:space="1" w:color="auto"/>
          <w:right w:val="single" w:sz="4" w:space="31" w:color="auto"/>
        </w:pBdr>
        <w:ind w:right="706"/>
        <w:jc w:val="both"/>
        <w:rPr>
          <w:rFonts w:eastAsia="Arial"/>
        </w:rPr>
      </w:pPr>
      <w:r w:rsidRPr="00907E94">
        <w:rPr>
          <w:rFonts w:eastAsia="Arial"/>
          <w:b/>
          <w:bCs/>
        </w:rPr>
        <w:t xml:space="preserve">Intitulé de la mission : </w:t>
      </w:r>
      <w:r w:rsidRPr="00907E94">
        <w:rPr>
          <w:rFonts w:eastAsia="Arial"/>
        </w:rPr>
        <w:t xml:space="preserve">Expertise </w:t>
      </w:r>
      <w:r w:rsidR="009608E0" w:rsidRPr="00907E94">
        <w:rPr>
          <w:rFonts w:eastAsia="Arial"/>
        </w:rPr>
        <w:t>court terme</w:t>
      </w:r>
      <w:r w:rsidRPr="00907E94">
        <w:rPr>
          <w:rFonts w:eastAsia="Arial"/>
        </w:rPr>
        <w:t xml:space="preserve"> </w:t>
      </w:r>
      <w:bookmarkStart w:id="2" w:name="_Hlk198389006"/>
      <w:r w:rsidRPr="00907E94">
        <w:rPr>
          <w:rFonts w:eastAsia="Arial"/>
        </w:rPr>
        <w:t xml:space="preserve">pour </w:t>
      </w:r>
      <w:bookmarkStart w:id="3" w:name="_Hlk198282974"/>
      <w:r w:rsidR="002B5801" w:rsidRPr="00907E94">
        <w:rPr>
          <w:rFonts w:eastAsia="Arial"/>
        </w:rPr>
        <w:t xml:space="preserve">la </w:t>
      </w:r>
      <w:r w:rsidR="000F6213" w:rsidRPr="00907E94">
        <w:rPr>
          <w:rFonts w:eastAsia="Arial"/>
        </w:rPr>
        <w:t>formation en gestion participative des subventions</w:t>
      </w:r>
    </w:p>
    <w:bookmarkEnd w:id="3"/>
    <w:p w14:paraId="31FED814" w14:textId="77777777" w:rsidR="009608E0" w:rsidRPr="00907E94" w:rsidRDefault="009608E0" w:rsidP="00E33A12">
      <w:pPr>
        <w:pBdr>
          <w:top w:val="single" w:sz="4" w:space="1" w:color="auto"/>
          <w:left w:val="single" w:sz="4" w:space="4" w:color="auto"/>
          <w:bottom w:val="single" w:sz="4" w:space="1" w:color="auto"/>
          <w:right w:val="single" w:sz="4" w:space="31" w:color="auto"/>
        </w:pBdr>
        <w:ind w:right="706"/>
        <w:jc w:val="both"/>
        <w:rPr>
          <w:rFonts w:eastAsia="Arial"/>
        </w:rPr>
      </w:pPr>
    </w:p>
    <w:bookmarkEnd w:id="2"/>
    <w:p w14:paraId="14548605" w14:textId="3A8707E9" w:rsidR="00E33A12" w:rsidRPr="00907E94" w:rsidRDefault="00E33A12" w:rsidP="00E33A12">
      <w:pPr>
        <w:pBdr>
          <w:top w:val="single" w:sz="4" w:space="1" w:color="auto"/>
          <w:left w:val="single" w:sz="4" w:space="4" w:color="auto"/>
          <w:bottom w:val="single" w:sz="4" w:space="1" w:color="auto"/>
          <w:right w:val="single" w:sz="4" w:space="31" w:color="auto"/>
        </w:pBdr>
        <w:ind w:right="706"/>
        <w:jc w:val="both"/>
        <w:rPr>
          <w:rFonts w:eastAsia="Arial"/>
        </w:rPr>
      </w:pPr>
      <w:r w:rsidRPr="00907E94">
        <w:rPr>
          <w:rFonts w:eastAsia="Arial"/>
          <w:b/>
          <w:bCs/>
        </w:rPr>
        <w:t xml:space="preserve">Pays / zone géographique : </w:t>
      </w:r>
      <w:r w:rsidRPr="00907E94">
        <w:rPr>
          <w:rFonts w:eastAsia="Arial"/>
        </w:rPr>
        <w:t xml:space="preserve">Mauritanie </w:t>
      </w:r>
      <w:r w:rsidR="009608E0" w:rsidRPr="00907E94">
        <w:rPr>
          <w:rFonts w:eastAsia="Arial"/>
        </w:rPr>
        <w:t>–</w:t>
      </w:r>
      <w:r w:rsidRPr="00907E94">
        <w:rPr>
          <w:rFonts w:eastAsia="Arial"/>
        </w:rPr>
        <w:t xml:space="preserve"> Nouakchott</w:t>
      </w:r>
    </w:p>
    <w:p w14:paraId="58870B41" w14:textId="77777777" w:rsidR="009608E0" w:rsidRPr="00907E94" w:rsidRDefault="009608E0" w:rsidP="00E33A12">
      <w:pPr>
        <w:pBdr>
          <w:top w:val="single" w:sz="4" w:space="1" w:color="auto"/>
          <w:left w:val="single" w:sz="4" w:space="4" w:color="auto"/>
          <w:bottom w:val="single" w:sz="4" w:space="1" w:color="auto"/>
          <w:right w:val="single" w:sz="4" w:space="31" w:color="auto"/>
        </w:pBdr>
        <w:ind w:right="706"/>
        <w:jc w:val="both"/>
        <w:rPr>
          <w:rFonts w:eastAsia="Arial"/>
          <w:b/>
          <w:bCs/>
        </w:rPr>
      </w:pPr>
    </w:p>
    <w:p w14:paraId="09A62737" w14:textId="76241467" w:rsidR="00E33A12" w:rsidRPr="00907E94" w:rsidRDefault="00E33A12" w:rsidP="0063385D">
      <w:pPr>
        <w:pBdr>
          <w:top w:val="single" w:sz="4" w:space="1" w:color="auto"/>
          <w:left w:val="single" w:sz="4" w:space="4" w:color="auto"/>
          <w:bottom w:val="single" w:sz="4" w:space="1" w:color="auto"/>
          <w:right w:val="single" w:sz="4" w:space="31" w:color="auto"/>
        </w:pBdr>
        <w:ind w:right="706"/>
        <w:jc w:val="both"/>
        <w:rPr>
          <w:rFonts w:eastAsia="Arial"/>
        </w:rPr>
      </w:pPr>
      <w:r w:rsidRPr="00907E94">
        <w:rPr>
          <w:rFonts w:eastAsia="Arial"/>
          <w:b/>
          <w:bCs/>
        </w:rPr>
        <w:t xml:space="preserve">Durée de la mission : </w:t>
      </w:r>
      <w:r w:rsidR="00945AF9" w:rsidRPr="00907E94">
        <w:rPr>
          <w:rFonts w:eastAsia="Arial"/>
        </w:rPr>
        <w:t xml:space="preserve">50 </w:t>
      </w:r>
      <w:r w:rsidRPr="00907E94">
        <w:rPr>
          <w:rFonts w:eastAsia="Arial"/>
        </w:rPr>
        <w:t>jours</w:t>
      </w:r>
    </w:p>
    <w:p w14:paraId="70CF4D8F" w14:textId="77777777" w:rsidR="009608E0" w:rsidRPr="00907E94" w:rsidRDefault="009608E0" w:rsidP="0063385D">
      <w:pPr>
        <w:pBdr>
          <w:top w:val="single" w:sz="4" w:space="1" w:color="auto"/>
          <w:left w:val="single" w:sz="4" w:space="4" w:color="auto"/>
          <w:bottom w:val="single" w:sz="4" w:space="1" w:color="auto"/>
          <w:right w:val="single" w:sz="4" w:space="31" w:color="auto"/>
        </w:pBdr>
        <w:ind w:right="706"/>
        <w:jc w:val="both"/>
        <w:rPr>
          <w:rFonts w:eastAsia="Arial"/>
          <w:b/>
          <w:bCs/>
        </w:rPr>
      </w:pPr>
    </w:p>
    <w:p w14:paraId="463B21B3" w14:textId="77777777" w:rsidR="00E33A12" w:rsidRPr="00907E94" w:rsidRDefault="00E33A12" w:rsidP="00E33A12">
      <w:pPr>
        <w:pBdr>
          <w:top w:val="single" w:sz="4" w:space="1" w:color="auto"/>
          <w:left w:val="single" w:sz="4" w:space="4" w:color="auto"/>
          <w:bottom w:val="single" w:sz="4" w:space="1" w:color="auto"/>
          <w:right w:val="single" w:sz="4" w:space="31" w:color="auto"/>
        </w:pBdr>
        <w:ind w:right="706"/>
        <w:jc w:val="both"/>
        <w:rPr>
          <w:rFonts w:eastAsia="Arial"/>
          <w:b/>
          <w:bCs/>
        </w:rPr>
      </w:pPr>
      <w:r w:rsidRPr="00907E94">
        <w:rPr>
          <w:rFonts w:eastAsia="Arial"/>
          <w:b/>
          <w:bCs/>
        </w:rPr>
        <w:t xml:space="preserve">Type de contrat : </w:t>
      </w:r>
      <w:r w:rsidRPr="00907E94">
        <w:rPr>
          <w:rFonts w:eastAsia="Arial"/>
        </w:rPr>
        <w:t>Contrat de Prestation de Service (CPS)</w:t>
      </w:r>
    </w:p>
    <w:p w14:paraId="2F9E06EF" w14:textId="168B4897" w:rsidR="00E33A12" w:rsidRPr="00907E94" w:rsidRDefault="00E33A12" w:rsidP="00E47289">
      <w:pPr>
        <w:tabs>
          <w:tab w:val="left" w:pos="8595"/>
          <w:tab w:val="right" w:pos="9498"/>
        </w:tabs>
        <w:jc w:val="both"/>
        <w:rPr>
          <w:rFonts w:eastAsia="Arial"/>
          <w:b/>
          <w:bCs/>
          <w:color w:val="FFFFFF" w:themeColor="background1"/>
        </w:rPr>
      </w:pPr>
    </w:p>
    <w:p w14:paraId="786C7C1A" w14:textId="77777777" w:rsidR="00E33A12" w:rsidRPr="00907E94" w:rsidRDefault="00E33A12" w:rsidP="00E47289">
      <w:pPr>
        <w:tabs>
          <w:tab w:val="left" w:pos="8595"/>
          <w:tab w:val="right" w:pos="9498"/>
        </w:tabs>
        <w:jc w:val="both"/>
        <w:rPr>
          <w:rFonts w:eastAsia="Arial"/>
          <w:b/>
          <w:bCs/>
          <w:color w:val="FFFFFF" w:themeColor="background1"/>
        </w:rPr>
      </w:pPr>
    </w:p>
    <w:p w14:paraId="183E4DB4" w14:textId="77777777" w:rsidR="00E47289" w:rsidRPr="00907E94" w:rsidRDefault="00E47289" w:rsidP="00E47289">
      <w:pPr>
        <w:shd w:val="clear" w:color="auto" w:fill="8EAADB" w:themeFill="accent5" w:themeFillTint="99"/>
        <w:jc w:val="both"/>
        <w:rPr>
          <w:rFonts w:eastAsia="Arial"/>
          <w:b/>
          <w:bCs/>
          <w:color w:val="FFFFFF" w:themeColor="background1"/>
        </w:rPr>
      </w:pPr>
      <w:r w:rsidRPr="00907E94">
        <w:rPr>
          <w:rFonts w:eastAsia="Arial"/>
          <w:b/>
          <w:bCs/>
          <w:color w:val="FFFFFF" w:themeColor="background1"/>
        </w:rPr>
        <w:t>Description du projet </w:t>
      </w:r>
    </w:p>
    <w:p w14:paraId="15F64D5C" w14:textId="77777777" w:rsidR="009A788A" w:rsidRPr="00907E94" w:rsidRDefault="009A788A" w:rsidP="00E47289">
      <w:pPr>
        <w:pStyle w:val="Default"/>
        <w:jc w:val="both"/>
        <w:rPr>
          <w:rFonts w:eastAsia="Times New Roman"/>
          <w:iCs/>
          <w:color w:val="auto"/>
          <w:sz w:val="22"/>
          <w:szCs w:val="22"/>
          <w:lang w:eastAsia="fr-FR"/>
        </w:rPr>
      </w:pPr>
    </w:p>
    <w:p w14:paraId="4DA61CAA" w14:textId="77777777" w:rsidR="00F22591" w:rsidRPr="00907E94" w:rsidRDefault="00F22591" w:rsidP="00F22591">
      <w:pPr>
        <w:pStyle w:val="Default"/>
        <w:jc w:val="both"/>
        <w:rPr>
          <w:rFonts w:eastAsia="Times New Roman"/>
          <w:iCs/>
          <w:color w:val="auto"/>
          <w:sz w:val="22"/>
          <w:szCs w:val="22"/>
          <w:lang w:eastAsia="fr-FR"/>
        </w:rPr>
      </w:pPr>
      <w:r w:rsidRPr="00907E94">
        <w:rPr>
          <w:rFonts w:eastAsia="Times New Roman"/>
          <w:iCs/>
          <w:color w:val="auto"/>
          <w:sz w:val="22"/>
          <w:szCs w:val="22"/>
          <w:lang w:eastAsia="fr-FR"/>
        </w:rPr>
        <w:t xml:space="preserve">La présente mission de consultance s’inscrit dans le cadre de la mise en œuvre du « Projet d’Appui institutionnel à la Réforme de l’Education » (PAIRE) en Mauritanie. </w:t>
      </w:r>
    </w:p>
    <w:p w14:paraId="78A68583" w14:textId="77777777" w:rsidR="00F22591" w:rsidRPr="00907E94" w:rsidRDefault="00F22591" w:rsidP="00F22591">
      <w:pPr>
        <w:pStyle w:val="Default"/>
        <w:spacing w:before="120"/>
        <w:jc w:val="both"/>
        <w:rPr>
          <w:rFonts w:eastAsia="Times New Roman"/>
          <w:iCs/>
          <w:color w:val="auto"/>
          <w:sz w:val="22"/>
          <w:szCs w:val="22"/>
          <w:lang w:eastAsia="fr-FR"/>
        </w:rPr>
      </w:pPr>
      <w:r w:rsidRPr="00907E94">
        <w:rPr>
          <w:rFonts w:eastAsia="Times New Roman"/>
          <w:iCs/>
          <w:color w:val="auto"/>
          <w:sz w:val="22"/>
          <w:szCs w:val="22"/>
          <w:lang w:eastAsia="fr-FR"/>
        </w:rPr>
        <w:t>Ce projet financé par l’Union européenne est actuellement en phase de démarrage pour une durée de 48 mois (2023-2026).</w:t>
      </w:r>
    </w:p>
    <w:p w14:paraId="275CF80A" w14:textId="77777777" w:rsidR="00F22591" w:rsidRPr="00907E94" w:rsidRDefault="00F22591" w:rsidP="00F22591">
      <w:pPr>
        <w:pStyle w:val="Default"/>
        <w:spacing w:before="120"/>
        <w:jc w:val="both"/>
        <w:rPr>
          <w:rFonts w:eastAsia="Times New Roman"/>
          <w:iCs/>
          <w:color w:val="auto"/>
          <w:sz w:val="22"/>
          <w:szCs w:val="22"/>
          <w:lang w:eastAsia="fr-FR"/>
        </w:rPr>
      </w:pPr>
      <w:r w:rsidRPr="00907E94">
        <w:rPr>
          <w:rFonts w:eastAsia="Times New Roman"/>
          <w:iCs/>
          <w:color w:val="auto"/>
          <w:sz w:val="22"/>
          <w:szCs w:val="22"/>
          <w:lang w:eastAsia="fr-FR"/>
        </w:rPr>
        <w:t>L’</w:t>
      </w:r>
      <w:r w:rsidRPr="00907E94">
        <w:rPr>
          <w:rFonts w:eastAsia="Times New Roman"/>
          <w:b/>
          <w:bCs/>
          <w:iCs/>
          <w:color w:val="auto"/>
          <w:sz w:val="22"/>
          <w:szCs w:val="22"/>
          <w:lang w:eastAsia="fr-FR"/>
        </w:rPr>
        <w:t xml:space="preserve">objectif </w:t>
      </w:r>
      <w:r w:rsidRPr="00907E94">
        <w:rPr>
          <w:rFonts w:eastAsia="Times New Roman"/>
          <w:iCs/>
          <w:color w:val="auto"/>
          <w:sz w:val="22"/>
          <w:szCs w:val="22"/>
          <w:lang w:eastAsia="fr-FR"/>
        </w:rPr>
        <w:t>du PAIRE est de renforcer le système éducatif à travers l’appui à la mise en œuvre de la politique nationale dans le secteur de l'éducation et de la réforme du système éducatif.</w:t>
      </w:r>
    </w:p>
    <w:p w14:paraId="34A45E71" w14:textId="77777777" w:rsidR="00F22591" w:rsidRPr="00907E94" w:rsidRDefault="00F22591" w:rsidP="00F22591">
      <w:pPr>
        <w:pStyle w:val="Default"/>
        <w:spacing w:before="120" w:after="120"/>
        <w:jc w:val="both"/>
        <w:rPr>
          <w:rFonts w:eastAsia="Times New Roman"/>
          <w:iCs/>
          <w:color w:val="auto"/>
          <w:sz w:val="22"/>
          <w:szCs w:val="22"/>
          <w:lang w:eastAsia="fr-FR"/>
        </w:rPr>
      </w:pPr>
      <w:r w:rsidRPr="00907E94">
        <w:rPr>
          <w:rFonts w:eastAsia="Times New Roman"/>
          <w:iCs/>
          <w:color w:val="auto"/>
          <w:sz w:val="22"/>
          <w:szCs w:val="22"/>
          <w:lang w:eastAsia="fr-FR"/>
        </w:rPr>
        <w:t xml:space="preserve">Les résultats visés sont les suivants : </w:t>
      </w:r>
    </w:p>
    <w:p w14:paraId="20C7E17B" w14:textId="692896B2" w:rsidR="00F22591" w:rsidRPr="00907E94" w:rsidRDefault="00F22591" w:rsidP="00F22591">
      <w:pPr>
        <w:pStyle w:val="Default"/>
        <w:jc w:val="both"/>
        <w:rPr>
          <w:rFonts w:eastAsia="Times New Roman"/>
          <w:iCs/>
          <w:color w:val="auto"/>
          <w:sz w:val="22"/>
          <w:szCs w:val="22"/>
          <w:lang w:eastAsia="fr-FR"/>
        </w:rPr>
      </w:pPr>
      <w:r w:rsidRPr="00907E94">
        <w:rPr>
          <w:rFonts w:eastAsia="Times New Roman"/>
          <w:b/>
          <w:iCs/>
          <w:color w:val="auto"/>
          <w:sz w:val="22"/>
          <w:szCs w:val="22"/>
          <w:lang w:eastAsia="fr-FR"/>
        </w:rPr>
        <w:t>Résultat 1 :</w:t>
      </w:r>
      <w:r w:rsidRPr="00907E94">
        <w:rPr>
          <w:rFonts w:eastAsia="Times New Roman"/>
          <w:iCs/>
          <w:color w:val="auto"/>
          <w:sz w:val="22"/>
          <w:szCs w:val="22"/>
          <w:lang w:eastAsia="fr-FR"/>
        </w:rPr>
        <w:t xml:space="preserve"> </w:t>
      </w:r>
      <w:r w:rsidR="009608E0" w:rsidRPr="00907E94">
        <w:rPr>
          <w:rFonts w:eastAsia="Times New Roman"/>
          <w:iCs/>
          <w:color w:val="auto"/>
          <w:sz w:val="22"/>
          <w:szCs w:val="22"/>
          <w:lang w:eastAsia="fr-FR"/>
        </w:rPr>
        <w:t>La qualité pédagogique et physique, l’accessibilité, la disponibilité et l’utilisation dans le système éducatif des manuels scolaires et autres matériels pédagogiques sont améliorées durablement pour renforcer/améliorer la qualité et la pertinence de l’enseignement</w:t>
      </w:r>
      <w:r w:rsidRPr="00907E94">
        <w:rPr>
          <w:rFonts w:eastAsia="Times New Roman"/>
          <w:iCs/>
          <w:color w:val="auto"/>
          <w:sz w:val="22"/>
          <w:szCs w:val="22"/>
          <w:lang w:eastAsia="fr-FR"/>
        </w:rPr>
        <w:t xml:space="preserve">.  </w:t>
      </w:r>
    </w:p>
    <w:p w14:paraId="2F21E9A7" w14:textId="44F32A77" w:rsidR="00F22591" w:rsidRPr="00907E94" w:rsidRDefault="00F22591" w:rsidP="00F22591">
      <w:pPr>
        <w:pStyle w:val="Default"/>
        <w:spacing w:before="120" w:after="120"/>
        <w:jc w:val="both"/>
        <w:rPr>
          <w:rFonts w:eastAsia="Times New Roman"/>
          <w:iCs/>
          <w:color w:val="auto"/>
          <w:sz w:val="22"/>
          <w:szCs w:val="22"/>
          <w:lang w:eastAsia="fr-FR"/>
        </w:rPr>
      </w:pPr>
      <w:r w:rsidRPr="00907E94">
        <w:rPr>
          <w:rFonts w:eastAsia="Times New Roman"/>
          <w:b/>
          <w:iCs/>
          <w:color w:val="auto"/>
          <w:sz w:val="22"/>
          <w:szCs w:val="22"/>
          <w:lang w:eastAsia="fr-FR"/>
        </w:rPr>
        <w:t>Résultat 2 :</w:t>
      </w:r>
      <w:r w:rsidRPr="00907E94">
        <w:rPr>
          <w:rFonts w:eastAsia="Times New Roman"/>
          <w:iCs/>
          <w:color w:val="auto"/>
          <w:sz w:val="22"/>
          <w:szCs w:val="22"/>
          <w:lang w:eastAsia="fr-FR"/>
        </w:rPr>
        <w:t xml:space="preserve"> </w:t>
      </w:r>
      <w:r w:rsidR="009608E0" w:rsidRPr="00907E94">
        <w:rPr>
          <w:rFonts w:eastAsia="Times New Roman"/>
          <w:iCs/>
          <w:color w:val="auto"/>
          <w:sz w:val="22"/>
          <w:szCs w:val="22"/>
          <w:lang w:eastAsia="fr-FR"/>
        </w:rPr>
        <w:t>Résultat 2 : Le pilotage des politiques éducatives et la gestion des ressources du MENRSE et au niveau déconcentré sont renforcés</w:t>
      </w:r>
      <w:r w:rsidRPr="00907E94">
        <w:rPr>
          <w:rFonts w:eastAsia="Times New Roman"/>
          <w:iCs/>
          <w:color w:val="auto"/>
          <w:sz w:val="22"/>
          <w:szCs w:val="22"/>
          <w:lang w:eastAsia="fr-FR"/>
        </w:rPr>
        <w:t>.</w:t>
      </w:r>
    </w:p>
    <w:p w14:paraId="2F8D9C95" w14:textId="0C24A8D6" w:rsidR="00C11C2C" w:rsidRPr="00907E94" w:rsidRDefault="00F22591" w:rsidP="009608E0">
      <w:pPr>
        <w:pStyle w:val="TableParagraph"/>
        <w:tabs>
          <w:tab w:val="left" w:pos="9356"/>
        </w:tabs>
        <w:spacing w:before="120" w:after="120"/>
        <w:jc w:val="both"/>
        <w:rPr>
          <w:rFonts w:eastAsia="Times New Roman"/>
          <w:bCs/>
          <w:iCs/>
          <w:lang w:eastAsia="fr-FR"/>
        </w:rPr>
      </w:pPr>
      <w:r w:rsidRPr="00907E94">
        <w:rPr>
          <w:rFonts w:eastAsia="Times New Roman"/>
          <w:iCs/>
          <w:lang w:eastAsia="fr-FR"/>
        </w:rPr>
        <w:t xml:space="preserve">La mission s’insère plus spécifiquement au niveau </w:t>
      </w:r>
      <w:r w:rsidR="009608E0" w:rsidRPr="00907E94">
        <w:rPr>
          <w:rFonts w:eastAsia="Times New Roman"/>
          <w:iCs/>
          <w:lang w:eastAsia="fr-FR"/>
        </w:rPr>
        <w:t>au niveau de l’Activité</w:t>
      </w:r>
      <w:r w:rsidR="00E6084B" w:rsidRPr="00907E94">
        <w:rPr>
          <w:rFonts w:eastAsia="Times New Roman"/>
          <w:iCs/>
          <w:lang w:eastAsia="fr-FR"/>
        </w:rPr>
        <w:t xml:space="preserve"> 2.1.5 :</w:t>
      </w:r>
      <w:r w:rsidR="009608E0" w:rsidRPr="00907E94">
        <w:rPr>
          <w:rFonts w:eastAsia="Times New Roman"/>
          <w:iCs/>
          <w:lang w:eastAsia="fr-FR"/>
        </w:rPr>
        <w:t xml:space="preserve"> </w:t>
      </w:r>
      <w:r w:rsidR="00E6084B" w:rsidRPr="00907E94">
        <w:rPr>
          <w:rFonts w:eastAsia="Times New Roman"/>
          <w:iCs/>
          <w:lang w:eastAsia="fr-FR"/>
        </w:rPr>
        <w:t>- Renforcement des capacités managériales et de gestion des cadres des institutions déconcentrées du MENRSE</w:t>
      </w:r>
      <w:r w:rsidRPr="00907E94">
        <w:rPr>
          <w:rFonts w:eastAsia="Times New Roman"/>
          <w:iCs/>
          <w:lang w:eastAsia="fr-FR"/>
        </w:rPr>
        <w:t>.</w:t>
      </w:r>
    </w:p>
    <w:p w14:paraId="732011DD" w14:textId="4E451069" w:rsidR="00E33A12" w:rsidRPr="00907E94" w:rsidRDefault="00E33A12" w:rsidP="00F22591">
      <w:pPr>
        <w:pStyle w:val="Default"/>
        <w:jc w:val="both"/>
        <w:rPr>
          <w:rFonts w:eastAsia="Times New Roman"/>
          <w:iCs/>
          <w:color w:val="auto"/>
          <w:sz w:val="22"/>
          <w:szCs w:val="22"/>
          <w:lang w:eastAsia="fr-FR"/>
        </w:rPr>
      </w:pPr>
    </w:p>
    <w:p w14:paraId="3353E91E" w14:textId="18D49B93" w:rsidR="00E47289" w:rsidRPr="00907E94" w:rsidRDefault="00E47289" w:rsidP="00C11C2C">
      <w:pPr>
        <w:shd w:val="clear" w:color="auto" w:fill="8EAADB" w:themeFill="accent5" w:themeFillTint="99"/>
        <w:tabs>
          <w:tab w:val="center" w:pos="4535"/>
        </w:tabs>
        <w:jc w:val="both"/>
        <w:rPr>
          <w:rFonts w:eastAsia="Arial"/>
          <w:b/>
          <w:bCs/>
          <w:color w:val="FFFFFF" w:themeColor="background1"/>
        </w:rPr>
      </w:pPr>
      <w:r w:rsidRPr="00907E94">
        <w:rPr>
          <w:rFonts w:eastAsia="Arial"/>
          <w:b/>
          <w:bCs/>
          <w:color w:val="FFFFFF" w:themeColor="background1"/>
        </w:rPr>
        <w:t>Contexte de la mission</w:t>
      </w:r>
      <w:r w:rsidR="00C11C2C" w:rsidRPr="00907E94">
        <w:rPr>
          <w:rFonts w:eastAsia="Arial"/>
          <w:b/>
          <w:bCs/>
          <w:color w:val="FFFFFF" w:themeColor="background1"/>
        </w:rPr>
        <w:tab/>
      </w:r>
    </w:p>
    <w:p w14:paraId="65FE1DC7" w14:textId="77777777" w:rsidR="00671B6C" w:rsidRPr="00907E94" w:rsidRDefault="00671B6C"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Le Gouvernement mauritanien a lancé, depuis 2022, le processus d’élaboration de son nouveau Programme National de Développement du Secteur Éducatif (PNDSE III). Le PNDSE III devra répondre au triple défi d’apporter des solutions pertinentes aux principales problématiques du secteur, d’être en ligne avec la Stratégie de Croissance Accélérée et de Prospérité Partagée (SCAPP), et de traduire de manière opérationnelle les orientations politiques, organisationnelles et pédagogiques de la Loi 2022-023 d’Orientation du Système Éducatif.</w:t>
      </w:r>
    </w:p>
    <w:p w14:paraId="60C93F05" w14:textId="77777777" w:rsidR="00671B6C" w:rsidRPr="00907E94" w:rsidRDefault="00671B6C"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 xml:space="preserve">Il permettra de disposer d’une vision à moyen et long terme du système éducatif, traduite en stratégies et actions concrètes pour atteindre les objectifs et les cibles fixés. Le PNDSE III s’articule autour de trois </w:t>
      </w:r>
      <w:r w:rsidRPr="00907E94">
        <w:rPr>
          <w:rFonts w:eastAsia="Times New Roman"/>
          <w:bCs/>
          <w:iCs/>
          <w:color w:val="auto"/>
          <w:sz w:val="22"/>
          <w:szCs w:val="22"/>
          <w:lang w:eastAsia="fr-FR"/>
        </w:rPr>
        <w:lastRenderedPageBreak/>
        <w:t>axes stratégiques de développement : promouvoir un accès universel, équitable et inclusif à l’éducation ; renforcer la qualité et la pertinence de l’offre éducative ; et améliorer la gouvernance du système éducatif.</w:t>
      </w:r>
    </w:p>
    <w:p w14:paraId="238399F4" w14:textId="77777777" w:rsidR="00671B6C" w:rsidRPr="00907E94" w:rsidRDefault="00671B6C"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Le pilotage du processus d’élaboration et de planification du programme est assuré par la Direction des Projets de l’Éducation et de la Formation (DPEF), en collaboration avec les départements ministériels concernés et les partenaires techniques et financiers (PTF). La Direction Générale de la Réforme et de la Planification (DGRP) est chargée du suivi de la mise en œuvre du PNDSE III au niveau du MENRSE.</w:t>
      </w:r>
    </w:p>
    <w:p w14:paraId="0AB5F824" w14:textId="77777777" w:rsidR="00671B6C" w:rsidRPr="00907E94" w:rsidRDefault="00671B6C"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Le document du PNDSE III est accompagné d’un modèle de simulation actualisé 2024–2032, d’un plan d’action triennal budgétisé (PATB 2024–2026) et d’un cadre de suivi de la mise en œuvre. L’état d’avancement du programme est évalué annuellement à travers des revues sectorielles conjointes réunissant l’ensemble des parties prenantes : ministères concernés, GLPE, partenaires, société civile et administrations déconcentrées. Ces revues donnent lieu à un aide-mémoire conjoint, validé par le gouvernement et les partenaires, avec des recommandations opérationnelles. Une évaluation à mi-parcours puis une évaluation finale sont également prévues pour apprécier la performance de la mise en œuvre et les résultats obtenus.</w:t>
      </w:r>
    </w:p>
    <w:p w14:paraId="69286A29" w14:textId="77777777" w:rsidR="00671B6C" w:rsidRPr="00907E94" w:rsidRDefault="00671B6C"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Les précédentes phases de réforme, notamment dans le cadre du PNDSE II (2011–2021), ont permis des avancées significatives en matière d’accès à l’éducation, de réorganisation de l’offre scolaire et de développement de la planification sectorielle. Cependant, l’évaluation finale du PNDSE II a mis en lumière des limites structurelles, en particulier en ce qui concerne la gestion des ressources financières au niveau des établissements et la faible participation des communautés à la gouvernance budgétaire. La chaîne de gestion des subventions scolaires décentralisées souffre d’un déficit d’appropriation, d’une mauvaise compréhension des responsabilités entre les acteurs locaux (COGES, APE, direction), et d’un manque de transparence sur l’usage des fonds. Le rapport a souligné l’insuffisance de formation sur les règles de gestion budgétaire, la faible formalisation des procédures, et le manque de redevabilité à l’égard des structures déconcentrées et des communautés.</w:t>
      </w:r>
    </w:p>
    <w:p w14:paraId="440203F5" w14:textId="77777777" w:rsidR="00671B6C" w:rsidRPr="00907E94" w:rsidRDefault="00671B6C"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Ces constats sont confirmés par le RESEN 2023, qui indique que les mécanismes de transfert de ressources vers les écoles restent hétérogènes et mal encadrés, avec une absence de référentiels clairs, d’outils harmonisés et de systèmes de suivi robustes. Le rapport pointe également une capacité institutionnelle limitée pour produire des rapports financiers compréhensibles et conformes, en particulier dans les écoles publiques rurales. Il note en outre que la participation communautaire à la gestion budgétaire reste souvent symbolique, faute de formation adaptée et d’un cadre de gestion participative clair.</w:t>
      </w:r>
    </w:p>
    <w:p w14:paraId="55EEFFB8" w14:textId="7693588D" w:rsidR="00E6084B" w:rsidRPr="00907E94" w:rsidRDefault="00671B6C"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En réponse, le PNDSE III (2023–2030) fait de la décentralisation de la gestion financière et du renforcement de la gouvernance participative des établissements une priorité stratégique. Son axe 3 prévoit le développement d’outils standards de gestion financière à l’usage des écoles, la formation des directeurs et des membres de COGES/APE, et l’instauration de mécanismes transparents de planification, d’exécution et de suivi des subventions. Cette dynamique s’inscrit dans une volonté plus large d’autonomiser les établissements, d'améliorer la reddition de comptes et de responsabiliser l’ensemble des acteurs de la communauté éducative</w:t>
      </w:r>
      <w:r w:rsidR="00E6084B" w:rsidRPr="00907E94">
        <w:rPr>
          <w:rFonts w:eastAsia="Times New Roman"/>
          <w:bCs/>
          <w:iCs/>
          <w:color w:val="auto"/>
          <w:sz w:val="22"/>
          <w:szCs w:val="22"/>
          <w:lang w:eastAsia="fr-FR"/>
        </w:rPr>
        <w:t>.</w:t>
      </w:r>
    </w:p>
    <w:p w14:paraId="102586F4" w14:textId="51D71A3C" w:rsidR="00671B6C" w:rsidRPr="00907E94" w:rsidRDefault="00671B6C"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 xml:space="preserve">Cette orientation est confirmée et détaillée dans le rapport technique intitulé « Développement d’outils en appui à la mise en œuvre du PNDSE III » (janvier 2025), qui formule des constats clairs et des propositions opérationnelles pour améliorer le dispositif de subvention scolaire. </w:t>
      </w:r>
      <w:r w:rsidR="00244AD6" w:rsidRPr="00907E94">
        <w:rPr>
          <w:rFonts w:eastAsia="Times New Roman"/>
          <w:bCs/>
          <w:iCs/>
          <w:color w:val="auto"/>
          <w:sz w:val="22"/>
          <w:szCs w:val="22"/>
          <w:lang w:eastAsia="fr-FR"/>
        </w:rPr>
        <w:t xml:space="preserve">Le rapport souligne notamment la complexité excessive des procédures actuelles de transfert des subventions, l’insuffisance des capacités locales de gestion, le manque de formation des acteurs scolaires et </w:t>
      </w:r>
      <w:r w:rsidR="00244AD6" w:rsidRPr="00907E94">
        <w:rPr>
          <w:rFonts w:eastAsia="Times New Roman"/>
          <w:bCs/>
          <w:iCs/>
          <w:color w:val="auto"/>
          <w:sz w:val="22"/>
          <w:szCs w:val="22"/>
          <w:lang w:eastAsia="fr-FR"/>
        </w:rPr>
        <w:lastRenderedPageBreak/>
        <w:t xml:space="preserve">communautaires sur les règles de gestion financière et les outils de planification, ainsi qu’une coordination insuffisante entre les membres des COGES et </w:t>
      </w:r>
      <w:bookmarkStart w:id="4" w:name="_Hlk199923935"/>
      <w:r w:rsidR="00244AD6" w:rsidRPr="00907E94">
        <w:rPr>
          <w:rFonts w:eastAsia="Times New Roman"/>
          <w:bCs/>
          <w:iCs/>
          <w:color w:val="auto"/>
          <w:sz w:val="22"/>
          <w:szCs w:val="22"/>
          <w:lang w:eastAsia="fr-FR"/>
        </w:rPr>
        <w:t>les représentants</w:t>
      </w:r>
      <w:r w:rsidR="008A1C0D" w:rsidRPr="00907E94">
        <w:rPr>
          <w:rFonts w:eastAsia="Times New Roman"/>
          <w:bCs/>
          <w:iCs/>
          <w:color w:val="auto"/>
          <w:sz w:val="22"/>
          <w:szCs w:val="22"/>
          <w:lang w:eastAsia="fr-FR"/>
        </w:rPr>
        <w:t xml:space="preserve"> départementaux,</w:t>
      </w:r>
      <w:r w:rsidR="00244AD6" w:rsidRPr="00907E94">
        <w:rPr>
          <w:rFonts w:eastAsia="Times New Roman"/>
          <w:bCs/>
          <w:iCs/>
          <w:color w:val="auto"/>
          <w:sz w:val="22"/>
          <w:szCs w:val="22"/>
          <w:lang w:eastAsia="fr-FR"/>
        </w:rPr>
        <w:t xml:space="preserve"> régionaux et nationaux des associations de parents d’élèves (APE)</w:t>
      </w:r>
      <w:bookmarkEnd w:id="4"/>
      <w:r w:rsidR="00244AD6" w:rsidRPr="00907E94">
        <w:rPr>
          <w:rFonts w:eastAsia="Times New Roman"/>
          <w:bCs/>
          <w:iCs/>
          <w:color w:val="auto"/>
          <w:sz w:val="22"/>
          <w:szCs w:val="22"/>
          <w:lang w:eastAsia="fr-FR"/>
        </w:rPr>
        <w:t>, alors même que ces dernières sont parties prenantes des COGES</w:t>
      </w:r>
      <w:r w:rsidRPr="00907E94">
        <w:rPr>
          <w:rFonts w:eastAsia="Times New Roman"/>
          <w:bCs/>
          <w:iCs/>
          <w:color w:val="auto"/>
          <w:sz w:val="22"/>
          <w:szCs w:val="22"/>
          <w:lang w:eastAsia="fr-FR"/>
        </w:rPr>
        <w:t>. Il insiste sur la nécessité d’adopter une procédure simplifiée et harmonisée, de renforcer les compétences des directeurs d’école et des membres des comités de gestion, et de mettre en place un système de suivi fondé sur des canevas clairs et des mécanismes de responsabilisation. Le rapport appelle également à une meilleure articulation entre les ressources transférées et les plans d’amélioration des écoles (PAE), et à une formation ciblée pour assurer une appropriation durable du dispositif de gestion participative des subventions.</w:t>
      </w:r>
    </w:p>
    <w:p w14:paraId="5FF6252C" w14:textId="5E576898" w:rsidR="00671B6C" w:rsidRPr="00907E94" w:rsidRDefault="00671B6C"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 xml:space="preserve">Dans ce cadre, le Projet </w:t>
      </w:r>
      <w:r w:rsidR="009C5A7F" w:rsidRPr="00907E94">
        <w:rPr>
          <w:rFonts w:eastAsia="Times New Roman"/>
          <w:bCs/>
          <w:iCs/>
          <w:color w:val="auto"/>
          <w:sz w:val="22"/>
          <w:szCs w:val="22"/>
          <w:lang w:eastAsia="fr-FR"/>
        </w:rPr>
        <w:t xml:space="preserve">d’appui institutionnel à la réforme de l’éducation </w:t>
      </w:r>
      <w:r w:rsidRPr="00907E94">
        <w:rPr>
          <w:rFonts w:eastAsia="Times New Roman"/>
          <w:bCs/>
          <w:iCs/>
          <w:color w:val="auto"/>
          <w:sz w:val="22"/>
          <w:szCs w:val="22"/>
          <w:lang w:eastAsia="fr-FR"/>
        </w:rPr>
        <w:t>(PAIRE), financé par l’Union européenne, accompagne le MERSE dans ses efforts de professionnalisation de la gestion locale. La présente mission vise à concevoir et déployer un programme de formation ciblé, à</w:t>
      </w:r>
      <w:r w:rsidR="008F6F57">
        <w:rPr>
          <w:rFonts w:eastAsia="Times New Roman"/>
          <w:bCs/>
          <w:iCs/>
          <w:color w:val="auto"/>
          <w:sz w:val="22"/>
          <w:szCs w:val="22"/>
          <w:lang w:eastAsia="fr-FR"/>
        </w:rPr>
        <w:t xml:space="preserve"> destination</w:t>
      </w:r>
      <w:r w:rsidRPr="00907E94">
        <w:rPr>
          <w:rFonts w:eastAsia="Times New Roman"/>
          <w:bCs/>
          <w:iCs/>
          <w:color w:val="auto"/>
          <w:sz w:val="22"/>
          <w:szCs w:val="22"/>
          <w:lang w:eastAsia="fr-FR"/>
        </w:rPr>
        <w:t xml:space="preserve"> des directeurs d’écoles, des membres des COGES et des APE des écoles pilotes, pour renforcer leur capacité à gérer les subventions scolaires de manière participative, transparente, efficace et conforme aux règles nationales. Elle constitue un levier opérationnel pour la mise en œuvre des engagements du PNDSE III, en matière de performance budgétaire et de gouvernance inclusive à l’échelle de l’école.</w:t>
      </w:r>
    </w:p>
    <w:p w14:paraId="53B9027D" w14:textId="4BB6A812" w:rsidR="00AA0601" w:rsidRPr="00907E94" w:rsidRDefault="00AA0601" w:rsidP="00671B6C">
      <w:pPr>
        <w:pStyle w:val="Default"/>
        <w:spacing w:before="120"/>
        <w:jc w:val="both"/>
        <w:rPr>
          <w:rFonts w:eastAsia="Times New Roman"/>
          <w:bCs/>
          <w:iCs/>
          <w:color w:val="auto"/>
          <w:sz w:val="22"/>
          <w:szCs w:val="22"/>
          <w:lang w:eastAsia="fr-FR"/>
        </w:rPr>
      </w:pPr>
      <w:r w:rsidRPr="00907E94">
        <w:rPr>
          <w:rFonts w:eastAsia="Times New Roman"/>
          <w:bCs/>
          <w:iCs/>
          <w:color w:val="auto"/>
          <w:sz w:val="22"/>
          <w:szCs w:val="22"/>
          <w:lang w:eastAsia="fr-FR"/>
        </w:rPr>
        <w:t xml:space="preserve">La présente formation contribuera à renforcer l’alignement des subventions sur les priorités éducatives locales, en renforçant la capacité des écoles à planifier et exécuter leurs dépenses sur la base de leur Plan </w:t>
      </w:r>
      <w:r w:rsidR="009C5A7F" w:rsidRPr="00907E94">
        <w:rPr>
          <w:rFonts w:eastAsia="Times New Roman"/>
          <w:bCs/>
          <w:iCs/>
          <w:color w:val="auto"/>
          <w:sz w:val="22"/>
          <w:szCs w:val="22"/>
          <w:lang w:eastAsia="fr-FR"/>
        </w:rPr>
        <w:t xml:space="preserve">d’amélioration de l’école </w:t>
      </w:r>
      <w:r w:rsidRPr="00907E94">
        <w:rPr>
          <w:rFonts w:eastAsia="Times New Roman"/>
          <w:bCs/>
          <w:iCs/>
          <w:color w:val="auto"/>
          <w:sz w:val="22"/>
          <w:szCs w:val="22"/>
          <w:lang w:eastAsia="fr-FR"/>
        </w:rPr>
        <w:t>(PAE). Elle vise ainsi à établir un lien organique entre les ressources transférées, les objectifs du PNDSE III et les besoins identifiés par les communautés éducatives dans leurs projets d’école</w:t>
      </w:r>
    </w:p>
    <w:p w14:paraId="354580C5" w14:textId="77777777" w:rsidR="00E15AB9" w:rsidRPr="00907E94" w:rsidRDefault="00E15AB9" w:rsidP="00E15AB9">
      <w:pPr>
        <w:tabs>
          <w:tab w:val="left" w:pos="1280"/>
        </w:tabs>
        <w:rPr>
          <w:b/>
        </w:rPr>
      </w:pPr>
    </w:p>
    <w:p w14:paraId="3258BCD0" w14:textId="77777777" w:rsidR="00F22591" w:rsidRPr="00907E94" w:rsidRDefault="00F22591" w:rsidP="00F22591">
      <w:pPr>
        <w:shd w:val="clear" w:color="auto" w:fill="8EAADB" w:themeFill="accent5" w:themeFillTint="99"/>
        <w:jc w:val="both"/>
        <w:rPr>
          <w:rFonts w:eastAsia="Arial"/>
          <w:b/>
          <w:bCs/>
          <w:color w:val="FFFFFF" w:themeColor="background1"/>
        </w:rPr>
      </w:pPr>
      <w:r w:rsidRPr="00907E94">
        <w:rPr>
          <w:rFonts w:eastAsia="Arial"/>
          <w:b/>
          <w:bCs/>
          <w:color w:val="FFFFFF" w:themeColor="background1"/>
        </w:rPr>
        <w:t>Description de la mission</w:t>
      </w:r>
    </w:p>
    <w:p w14:paraId="27437B14" w14:textId="77777777" w:rsidR="00AA0601" w:rsidRPr="00907E94" w:rsidRDefault="00AA0601" w:rsidP="00AA0601">
      <w:pPr>
        <w:rPr>
          <w:rFonts w:eastAsia="Times New Roman"/>
          <w:iCs/>
          <w:lang w:eastAsia="fr-FR"/>
        </w:rPr>
      </w:pPr>
    </w:p>
    <w:p w14:paraId="1B9C8DD6" w14:textId="37E0449F" w:rsidR="00F22591" w:rsidRPr="00907E94" w:rsidRDefault="00F22591" w:rsidP="00AA0601">
      <w:pPr>
        <w:jc w:val="both"/>
        <w:rPr>
          <w:rFonts w:eastAsia="Times New Roman"/>
          <w:bCs/>
          <w:iCs/>
          <w:lang w:eastAsia="fr-FR"/>
        </w:rPr>
      </w:pPr>
      <w:r w:rsidRPr="00907E94">
        <w:rPr>
          <w:rFonts w:eastAsia="Times New Roman"/>
          <w:bCs/>
          <w:iCs/>
          <w:lang w:eastAsia="fr-FR"/>
        </w:rPr>
        <w:t xml:space="preserve">L’Assistance Technique (AT) du PAIRE </w:t>
      </w:r>
      <w:r w:rsidR="008F6F57">
        <w:rPr>
          <w:rFonts w:eastAsia="Times New Roman"/>
          <w:bCs/>
          <w:iCs/>
          <w:lang w:eastAsia="fr-FR"/>
        </w:rPr>
        <w:t>(Projet d’appui institutionnel à la Réforme de l’Education en Mauritanie, financé par l’Union européenne et mise en œuvre par Expertise France)</w:t>
      </w:r>
      <w:r w:rsidR="00D06172">
        <w:rPr>
          <w:rFonts w:eastAsia="Times New Roman"/>
          <w:bCs/>
          <w:iCs/>
          <w:lang w:eastAsia="fr-FR"/>
        </w:rPr>
        <w:t xml:space="preserve"> </w:t>
      </w:r>
      <w:r w:rsidRPr="00907E94">
        <w:rPr>
          <w:rFonts w:eastAsia="Times New Roman"/>
          <w:bCs/>
          <w:iCs/>
          <w:lang w:eastAsia="fr-FR"/>
        </w:rPr>
        <w:t xml:space="preserve">lance, par les présents </w:t>
      </w:r>
      <w:r w:rsidR="009C5A7F" w:rsidRPr="00907E94">
        <w:rPr>
          <w:rFonts w:eastAsia="Times New Roman"/>
          <w:bCs/>
          <w:iCs/>
          <w:lang w:eastAsia="fr-FR"/>
        </w:rPr>
        <w:t xml:space="preserve">termes de références </w:t>
      </w:r>
      <w:r w:rsidRPr="00907E94">
        <w:rPr>
          <w:rFonts w:eastAsia="Times New Roman"/>
          <w:bCs/>
          <w:iCs/>
          <w:lang w:eastAsia="fr-FR"/>
        </w:rPr>
        <w:t>(</w:t>
      </w:r>
      <w:proofErr w:type="spellStart"/>
      <w:r w:rsidRPr="00907E94">
        <w:rPr>
          <w:rFonts w:eastAsia="Times New Roman"/>
          <w:bCs/>
          <w:iCs/>
          <w:lang w:eastAsia="fr-FR"/>
        </w:rPr>
        <w:t>TdR</w:t>
      </w:r>
      <w:proofErr w:type="spellEnd"/>
      <w:r w:rsidRPr="00907E94">
        <w:rPr>
          <w:rFonts w:eastAsia="Times New Roman"/>
          <w:bCs/>
          <w:iCs/>
          <w:lang w:eastAsia="fr-FR"/>
        </w:rPr>
        <w:t xml:space="preserve">), un appel à candidature pour recruter </w:t>
      </w:r>
      <w:r w:rsidR="00945AF9" w:rsidRPr="00907E94">
        <w:rPr>
          <w:rFonts w:eastAsia="Times New Roman"/>
          <w:bCs/>
          <w:iCs/>
          <w:lang w:eastAsia="fr-FR"/>
        </w:rPr>
        <w:t>un</w:t>
      </w:r>
      <w:r w:rsidR="00D06172">
        <w:rPr>
          <w:rFonts w:eastAsia="Times New Roman"/>
          <w:bCs/>
          <w:iCs/>
          <w:lang w:eastAsia="fr-FR"/>
        </w:rPr>
        <w:t>e structure de type</w:t>
      </w:r>
      <w:r w:rsidR="00945AF9" w:rsidRPr="00907E94">
        <w:rPr>
          <w:rFonts w:eastAsia="Times New Roman"/>
          <w:bCs/>
          <w:iCs/>
          <w:lang w:eastAsia="fr-FR"/>
        </w:rPr>
        <w:t xml:space="preserve"> bureau</w:t>
      </w:r>
      <w:r w:rsidRPr="00907E94">
        <w:rPr>
          <w:rFonts w:eastAsia="Times New Roman"/>
          <w:bCs/>
          <w:iCs/>
          <w:lang w:eastAsia="fr-FR"/>
        </w:rPr>
        <w:t xml:space="preserve"> </w:t>
      </w:r>
      <w:r w:rsidR="00D06172">
        <w:rPr>
          <w:rFonts w:eastAsia="Times New Roman"/>
          <w:bCs/>
          <w:iCs/>
          <w:lang w:eastAsia="fr-FR"/>
        </w:rPr>
        <w:t>d’étude / cabinet de conseil et formation afin de réaliser la mise en œuvre d’une</w:t>
      </w:r>
      <w:r w:rsidR="00AA0601" w:rsidRPr="00907E94">
        <w:rPr>
          <w:rFonts w:eastAsia="Times New Roman"/>
          <w:bCs/>
          <w:iCs/>
          <w:lang w:eastAsia="fr-FR"/>
        </w:rPr>
        <w:t xml:space="preserve"> </w:t>
      </w:r>
      <w:r w:rsidR="00D06172">
        <w:rPr>
          <w:rFonts w:eastAsia="Times New Roman"/>
          <w:bCs/>
          <w:iCs/>
          <w:lang w:eastAsia="fr-FR"/>
        </w:rPr>
        <w:t xml:space="preserve">action de </w:t>
      </w:r>
      <w:r w:rsidR="00AA0601" w:rsidRPr="00907E94">
        <w:rPr>
          <w:rFonts w:eastAsia="Times New Roman"/>
          <w:bCs/>
          <w:iCs/>
          <w:lang w:eastAsia="fr-FR"/>
        </w:rPr>
        <w:t>formation en gestion participative des subventions</w:t>
      </w:r>
      <w:r w:rsidRPr="00907E94">
        <w:rPr>
          <w:rFonts w:eastAsia="Times New Roman"/>
          <w:bCs/>
          <w:iCs/>
          <w:lang w:eastAsia="fr-FR"/>
        </w:rPr>
        <w:t>.</w:t>
      </w:r>
    </w:p>
    <w:p w14:paraId="14D9B92C" w14:textId="77777777" w:rsidR="00F22591" w:rsidRPr="00907E94" w:rsidRDefault="00F22591" w:rsidP="000F5723">
      <w:pPr>
        <w:pStyle w:val="Paragraphedeliste"/>
        <w:numPr>
          <w:ilvl w:val="0"/>
          <w:numId w:val="2"/>
        </w:numPr>
        <w:tabs>
          <w:tab w:val="left" w:pos="1280"/>
        </w:tabs>
        <w:spacing w:before="120" w:after="120"/>
        <w:rPr>
          <w:b/>
        </w:rPr>
      </w:pPr>
      <w:r w:rsidRPr="00907E94">
        <w:rPr>
          <w:b/>
        </w:rPr>
        <w:t>Objectifs de la mission :</w:t>
      </w:r>
    </w:p>
    <w:p w14:paraId="7FA1986F" w14:textId="77777777" w:rsidR="00F22591" w:rsidRPr="00907E94" w:rsidRDefault="00F22591" w:rsidP="00F22591">
      <w:pPr>
        <w:tabs>
          <w:tab w:val="left" w:pos="1280"/>
        </w:tabs>
        <w:spacing w:before="120" w:after="120"/>
        <w:rPr>
          <w:b/>
        </w:rPr>
      </w:pPr>
      <w:r w:rsidRPr="00907E94">
        <w:rPr>
          <w:b/>
        </w:rPr>
        <w:t xml:space="preserve">Objectif général : </w:t>
      </w:r>
    </w:p>
    <w:p w14:paraId="7561D727" w14:textId="1BD25F97" w:rsidR="00F22591" w:rsidRPr="00907E94" w:rsidRDefault="00F22591" w:rsidP="00F22591">
      <w:pPr>
        <w:pStyle w:val="Default"/>
        <w:jc w:val="both"/>
        <w:rPr>
          <w:bCs/>
          <w:sz w:val="22"/>
          <w:szCs w:val="22"/>
        </w:rPr>
      </w:pPr>
      <w:r w:rsidRPr="00907E94">
        <w:rPr>
          <w:bCs/>
          <w:sz w:val="22"/>
          <w:szCs w:val="22"/>
        </w:rPr>
        <w:t xml:space="preserve">L’objectif général </w:t>
      </w:r>
      <w:r w:rsidR="009F5AA8" w:rsidRPr="00907E94">
        <w:rPr>
          <w:bCs/>
          <w:sz w:val="22"/>
          <w:szCs w:val="22"/>
        </w:rPr>
        <w:t>est de</w:t>
      </w:r>
      <w:r w:rsidR="00BA3A4B" w:rsidRPr="00907E94">
        <w:rPr>
          <w:bCs/>
          <w:sz w:val="22"/>
          <w:szCs w:val="22"/>
        </w:rPr>
        <w:t xml:space="preserve"> renforcer </w:t>
      </w:r>
      <w:r w:rsidR="00C622F0" w:rsidRPr="00907E94">
        <w:rPr>
          <w:bCs/>
          <w:sz w:val="22"/>
          <w:szCs w:val="22"/>
        </w:rPr>
        <w:t xml:space="preserve">les capacités des directeurs d’écoles, des membres des COGES et des APE des établissements pilotes du </w:t>
      </w:r>
      <w:r w:rsidR="008E1EB1">
        <w:rPr>
          <w:bCs/>
          <w:sz w:val="22"/>
          <w:szCs w:val="22"/>
        </w:rPr>
        <w:t xml:space="preserve">périmètre d’expérimentation du </w:t>
      </w:r>
      <w:r w:rsidR="00C622F0" w:rsidRPr="00907E94">
        <w:rPr>
          <w:bCs/>
          <w:sz w:val="22"/>
          <w:szCs w:val="22"/>
        </w:rPr>
        <w:t>PAIRE en matière de gestion participative, transparente et conforme des subventions scolaires, afin d’améliorer l’efficacité, la redevabilité et la gouvernance financière au niveau local</w:t>
      </w:r>
      <w:r w:rsidRPr="00907E94">
        <w:rPr>
          <w:bCs/>
          <w:sz w:val="22"/>
          <w:szCs w:val="22"/>
        </w:rPr>
        <w:t>.</w:t>
      </w:r>
    </w:p>
    <w:p w14:paraId="4587E4AF" w14:textId="77777777" w:rsidR="00F22591" w:rsidRPr="00907E94" w:rsidRDefault="00F22591" w:rsidP="00F22591">
      <w:pPr>
        <w:tabs>
          <w:tab w:val="left" w:pos="1280"/>
        </w:tabs>
        <w:spacing w:before="120" w:after="120"/>
        <w:rPr>
          <w:b/>
        </w:rPr>
      </w:pPr>
      <w:r w:rsidRPr="00907E94">
        <w:rPr>
          <w:b/>
        </w:rPr>
        <w:t xml:space="preserve">Objectifs spécifiques : </w:t>
      </w:r>
    </w:p>
    <w:p w14:paraId="30C72661" w14:textId="58ABB475" w:rsidR="009F5AA8" w:rsidRPr="00907E94" w:rsidRDefault="009F5AA8" w:rsidP="00F22591">
      <w:pPr>
        <w:tabs>
          <w:tab w:val="left" w:pos="1280"/>
        </w:tabs>
        <w:spacing w:before="120" w:after="120"/>
        <w:rPr>
          <w:bCs/>
        </w:rPr>
      </w:pPr>
      <w:r w:rsidRPr="00907E94">
        <w:rPr>
          <w:bCs/>
        </w:rPr>
        <w:t>Plus spécifiquement il s’agira de :</w:t>
      </w:r>
    </w:p>
    <w:p w14:paraId="2D49E523" w14:textId="77777777"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Adapter le modèle national de gestion des subventions scolaires, élaboré dans le cadre de la mission de janvier 2025, aux réalités spécifiques des écoles pilotes du PAIRE non couvertes par le PASEB, en tenant compte des capacités institutionnelles, des outils existants et des pratiques locales de gestion ;</w:t>
      </w:r>
    </w:p>
    <w:p w14:paraId="14B1886C" w14:textId="77777777"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 xml:space="preserve">Élaborer un programme de formation modulaire, fondé sur les procédures nationales harmonisées, intégrant des modules sur la planification budgétaire participative, le transfert </w:t>
      </w:r>
      <w:r w:rsidRPr="00907E94">
        <w:rPr>
          <w:rFonts w:eastAsia="Times New Roman"/>
          <w:iCs/>
          <w:color w:val="auto"/>
          <w:sz w:val="22"/>
          <w:szCs w:val="22"/>
          <w:lang w:eastAsia="fr-FR"/>
        </w:rPr>
        <w:lastRenderedPageBreak/>
        <w:t>et l'exécution des fonds, le suivi des dépenses, et la reddition de comptes à l’échelle des établissements scolaires ;</w:t>
      </w:r>
    </w:p>
    <w:p w14:paraId="07097947" w14:textId="70076F43"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 xml:space="preserve">Former un noyau de formateurs nationaux et régionaux, </w:t>
      </w:r>
      <w:r w:rsidR="00530609">
        <w:rPr>
          <w:rFonts w:eastAsia="Times New Roman"/>
          <w:iCs/>
          <w:color w:val="auto"/>
          <w:sz w:val="22"/>
          <w:szCs w:val="22"/>
          <w:lang w:eastAsia="fr-FR"/>
        </w:rPr>
        <w:t xml:space="preserve">issus de la </w:t>
      </w:r>
      <w:r w:rsidRPr="00907E94">
        <w:rPr>
          <w:rFonts w:eastAsia="Times New Roman"/>
          <w:iCs/>
          <w:color w:val="auto"/>
          <w:sz w:val="22"/>
          <w:szCs w:val="22"/>
          <w:lang w:eastAsia="fr-FR"/>
        </w:rPr>
        <w:t>DGE</w:t>
      </w:r>
      <w:r w:rsidR="00100CB9" w:rsidRPr="00907E94">
        <w:rPr>
          <w:rFonts w:eastAsia="Times New Roman"/>
          <w:iCs/>
          <w:color w:val="auto"/>
          <w:sz w:val="22"/>
          <w:szCs w:val="22"/>
          <w:lang w:eastAsia="fr-FR"/>
        </w:rPr>
        <w:t xml:space="preserve"> (1)</w:t>
      </w:r>
      <w:r w:rsidRPr="00907E94">
        <w:rPr>
          <w:rFonts w:eastAsia="Times New Roman"/>
          <w:iCs/>
          <w:color w:val="auto"/>
          <w:sz w:val="22"/>
          <w:szCs w:val="22"/>
          <w:lang w:eastAsia="fr-FR"/>
        </w:rPr>
        <w:t>, de la DEF</w:t>
      </w:r>
      <w:r w:rsidR="00100CB9" w:rsidRPr="00907E94">
        <w:rPr>
          <w:rFonts w:eastAsia="Times New Roman"/>
          <w:iCs/>
          <w:color w:val="auto"/>
          <w:sz w:val="22"/>
          <w:szCs w:val="22"/>
          <w:lang w:eastAsia="fr-FR"/>
        </w:rPr>
        <w:t xml:space="preserve"> (1),</w:t>
      </w:r>
      <w:r w:rsidRPr="00907E94">
        <w:rPr>
          <w:rFonts w:eastAsia="Times New Roman"/>
          <w:iCs/>
          <w:color w:val="auto"/>
          <w:sz w:val="22"/>
          <w:szCs w:val="22"/>
          <w:lang w:eastAsia="fr-FR"/>
        </w:rPr>
        <w:t xml:space="preserve"> de la DES</w:t>
      </w:r>
      <w:r w:rsidR="00100CB9" w:rsidRPr="00907E94">
        <w:rPr>
          <w:rFonts w:eastAsia="Times New Roman"/>
          <w:iCs/>
          <w:color w:val="auto"/>
          <w:sz w:val="22"/>
          <w:szCs w:val="22"/>
          <w:lang w:eastAsia="fr-FR"/>
        </w:rPr>
        <w:t xml:space="preserve"> (1)</w:t>
      </w:r>
      <w:r w:rsidRPr="00907E94">
        <w:rPr>
          <w:rFonts w:eastAsia="Times New Roman"/>
          <w:iCs/>
          <w:color w:val="auto"/>
          <w:sz w:val="22"/>
          <w:szCs w:val="22"/>
          <w:lang w:eastAsia="fr-FR"/>
        </w:rPr>
        <w:t xml:space="preserve">, </w:t>
      </w:r>
      <w:r w:rsidR="00100CB9" w:rsidRPr="00907E94">
        <w:rPr>
          <w:rFonts w:eastAsia="Times New Roman"/>
          <w:iCs/>
          <w:color w:val="auto"/>
          <w:sz w:val="22"/>
          <w:szCs w:val="22"/>
          <w:lang w:eastAsia="fr-FR"/>
        </w:rPr>
        <w:t xml:space="preserve">de l’IGEN (1), des DREN (2), des IDEF (6), des IC (26), les représentants départementaux (6), régionaux (2) et nationaux (5) des associations de parents d’élèves (APE), </w:t>
      </w:r>
      <w:r w:rsidRPr="00907E94">
        <w:rPr>
          <w:rFonts w:eastAsia="Times New Roman"/>
          <w:iCs/>
          <w:color w:val="auto"/>
          <w:sz w:val="22"/>
          <w:szCs w:val="22"/>
          <w:lang w:eastAsia="fr-FR"/>
        </w:rPr>
        <w:t>afin d’assurer</w:t>
      </w:r>
      <w:r w:rsidR="00F42A91">
        <w:rPr>
          <w:rFonts w:eastAsia="Times New Roman"/>
          <w:iCs/>
          <w:color w:val="auto"/>
          <w:sz w:val="22"/>
          <w:szCs w:val="22"/>
          <w:lang w:eastAsia="fr-FR"/>
        </w:rPr>
        <w:t xml:space="preserve"> par la suite</w:t>
      </w:r>
      <w:r w:rsidRPr="00907E94">
        <w:rPr>
          <w:rFonts w:eastAsia="Times New Roman"/>
          <w:iCs/>
          <w:color w:val="auto"/>
          <w:sz w:val="22"/>
          <w:szCs w:val="22"/>
          <w:lang w:eastAsia="fr-FR"/>
        </w:rPr>
        <w:t xml:space="preserve"> la démultiplication du dispositif de formation et le suivi technique de sa mise en œuvre dans les établissements cibles ;</w:t>
      </w:r>
    </w:p>
    <w:p w14:paraId="32BCE1B5" w14:textId="38030D95"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530609">
        <w:rPr>
          <w:rFonts w:eastAsia="Times New Roman"/>
          <w:iCs/>
          <w:color w:val="auto"/>
          <w:sz w:val="22"/>
          <w:szCs w:val="22"/>
          <w:lang w:eastAsia="fr-FR"/>
        </w:rPr>
        <w:t xml:space="preserve">Déployer la formation </w:t>
      </w:r>
      <w:r w:rsidR="00530609" w:rsidRPr="00530609">
        <w:rPr>
          <w:rFonts w:eastAsia="Times New Roman"/>
          <w:iCs/>
          <w:color w:val="auto"/>
          <w:sz w:val="22"/>
          <w:szCs w:val="22"/>
          <w:lang w:eastAsia="fr-FR"/>
        </w:rPr>
        <w:t xml:space="preserve">dans le périmètre d’expérimentation du PAIRE dans les écoles et </w:t>
      </w:r>
      <w:r w:rsidRPr="00530609">
        <w:rPr>
          <w:rFonts w:eastAsia="Times New Roman"/>
          <w:iCs/>
          <w:color w:val="auto"/>
          <w:sz w:val="22"/>
          <w:szCs w:val="22"/>
          <w:lang w:eastAsia="fr-FR"/>
        </w:rPr>
        <w:t xml:space="preserve">auprès </w:t>
      </w:r>
      <w:r w:rsidR="00530609" w:rsidRPr="00530609">
        <w:rPr>
          <w:rFonts w:eastAsia="Times New Roman"/>
          <w:iCs/>
          <w:color w:val="auto"/>
          <w:sz w:val="22"/>
          <w:szCs w:val="22"/>
          <w:lang w:eastAsia="fr-FR"/>
        </w:rPr>
        <w:t xml:space="preserve">des </w:t>
      </w:r>
      <w:r w:rsidRPr="00530609">
        <w:rPr>
          <w:rFonts w:eastAsia="Times New Roman"/>
          <w:iCs/>
          <w:color w:val="auto"/>
          <w:sz w:val="22"/>
          <w:szCs w:val="22"/>
          <w:lang w:eastAsia="fr-FR"/>
        </w:rPr>
        <w:t>membres des COGES (</w:t>
      </w:r>
      <w:r w:rsidRPr="00907E94">
        <w:rPr>
          <w:rFonts w:eastAsia="Times New Roman"/>
          <w:iCs/>
          <w:color w:val="auto"/>
          <w:sz w:val="22"/>
          <w:szCs w:val="22"/>
          <w:lang w:eastAsia="fr-FR"/>
        </w:rPr>
        <w:t>hors périmètre du PASEB), en combinant des sessions présentielles interactives, des outils pratiques, et des supports contextualisés pour favoriser l’appropriation locale ;</w:t>
      </w:r>
    </w:p>
    <w:p w14:paraId="5298FB97" w14:textId="7A7039E0"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 xml:space="preserve">Appuyer la mise en œuvre expérimentale du modèle dans les écoles </w:t>
      </w:r>
      <w:r w:rsidR="00530609">
        <w:rPr>
          <w:rFonts w:eastAsia="Times New Roman"/>
          <w:iCs/>
          <w:color w:val="auto"/>
          <w:sz w:val="22"/>
          <w:szCs w:val="22"/>
          <w:lang w:eastAsia="fr-FR"/>
        </w:rPr>
        <w:t>au profit desquelles la formation a eu lieu</w:t>
      </w:r>
      <w:r w:rsidRPr="00907E94">
        <w:rPr>
          <w:rFonts w:eastAsia="Times New Roman"/>
          <w:iCs/>
          <w:color w:val="auto"/>
          <w:sz w:val="22"/>
          <w:szCs w:val="22"/>
          <w:lang w:eastAsia="fr-FR"/>
        </w:rPr>
        <w:t>, à travers un accompagnement méthodologique sur le terrain, des séances de suivi et l’analyse des premiers retours d’expérience sur l’utilisation des outils et la gouvernance budgétaire ;</w:t>
      </w:r>
    </w:p>
    <w:p w14:paraId="5B1D369A" w14:textId="4D44EFCF" w:rsidR="00F22591"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Formuler des recommandations d’ajustement et de généralisation, en vue d’une adoption nationale progressive du dispositif de gestion participative des subventions, en cohérence avec les réformes engagées par le PNDSE III et les actions complémentaires des partenaires (notamment le PASEB)</w:t>
      </w:r>
      <w:r w:rsidR="00467EE9" w:rsidRPr="00907E94">
        <w:rPr>
          <w:rFonts w:eastAsia="Times New Roman"/>
          <w:iCs/>
          <w:color w:val="auto"/>
          <w:sz w:val="22"/>
          <w:szCs w:val="22"/>
          <w:lang w:eastAsia="fr-FR"/>
        </w:rPr>
        <w:t>.</w:t>
      </w:r>
    </w:p>
    <w:p w14:paraId="20A4FC47" w14:textId="77777777" w:rsidR="002044C5" w:rsidRPr="00907E94" w:rsidRDefault="002044C5" w:rsidP="002044C5">
      <w:pPr>
        <w:tabs>
          <w:tab w:val="left" w:pos="1280"/>
        </w:tabs>
        <w:spacing w:before="120" w:after="120"/>
        <w:rPr>
          <w:b/>
        </w:rPr>
      </w:pPr>
      <w:r w:rsidRPr="00907E94">
        <w:rPr>
          <w:b/>
        </w:rPr>
        <w:t>Résultats attendus</w:t>
      </w:r>
    </w:p>
    <w:p w14:paraId="52189E77" w14:textId="784CFE8F"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Le modèle national harmonisé de gestion des subventions scolaires est adapté aux réalités des écoles pilotes ciblées par le PAIRE hors zones couvertes par le PASEB, avec des outils simplifiés et contextualisés validés par les directions techniques du MENRSE ;</w:t>
      </w:r>
    </w:p>
    <w:p w14:paraId="0796604D" w14:textId="466FA5AE"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 xml:space="preserve">Un programme de formation complet est élaboré, comprenant des modules pédagogiques, des supports de formation, des guides pratiques à destination </w:t>
      </w:r>
      <w:r w:rsidR="00100CB9" w:rsidRPr="00907E94">
        <w:rPr>
          <w:rFonts w:eastAsia="Times New Roman"/>
          <w:iCs/>
          <w:color w:val="auto"/>
          <w:sz w:val="22"/>
          <w:szCs w:val="22"/>
          <w:lang w:eastAsia="fr-FR"/>
        </w:rPr>
        <w:t>des</w:t>
      </w:r>
      <w:r w:rsidRPr="00907E94">
        <w:rPr>
          <w:rFonts w:eastAsia="Times New Roman"/>
          <w:iCs/>
          <w:color w:val="auto"/>
          <w:sz w:val="22"/>
          <w:szCs w:val="22"/>
          <w:lang w:eastAsia="fr-FR"/>
        </w:rPr>
        <w:t xml:space="preserve"> </w:t>
      </w:r>
      <w:r w:rsidR="00AF6394" w:rsidRPr="00907E94">
        <w:rPr>
          <w:rFonts w:eastAsia="Times New Roman"/>
          <w:iCs/>
          <w:color w:val="auto"/>
          <w:sz w:val="22"/>
          <w:szCs w:val="22"/>
          <w:lang w:eastAsia="fr-FR"/>
        </w:rPr>
        <w:t xml:space="preserve">membres des </w:t>
      </w:r>
      <w:r w:rsidRPr="00907E94">
        <w:rPr>
          <w:rFonts w:eastAsia="Times New Roman"/>
          <w:iCs/>
          <w:color w:val="auto"/>
          <w:sz w:val="22"/>
          <w:szCs w:val="22"/>
          <w:lang w:eastAsia="fr-FR"/>
        </w:rPr>
        <w:t>COGES</w:t>
      </w:r>
      <w:r w:rsidR="00100CB9" w:rsidRPr="00907E94">
        <w:rPr>
          <w:rFonts w:eastAsia="Times New Roman"/>
          <w:iCs/>
          <w:color w:val="auto"/>
          <w:sz w:val="22"/>
          <w:szCs w:val="22"/>
          <w:lang w:eastAsia="fr-FR"/>
        </w:rPr>
        <w:t xml:space="preserve"> </w:t>
      </w:r>
      <w:r w:rsidRPr="00907E94">
        <w:rPr>
          <w:rFonts w:eastAsia="Times New Roman"/>
          <w:iCs/>
          <w:color w:val="auto"/>
          <w:sz w:val="22"/>
          <w:szCs w:val="22"/>
          <w:lang w:eastAsia="fr-FR"/>
        </w:rPr>
        <w:t>en lien avec les canevas nationaux de gestion et de suivi budgétaire ;</w:t>
      </w:r>
    </w:p>
    <w:p w14:paraId="25619CA9" w14:textId="0B4106D9"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Un noyau d</w:t>
      </w:r>
      <w:r w:rsidR="004F6F40">
        <w:rPr>
          <w:rFonts w:eastAsia="Times New Roman"/>
          <w:iCs/>
          <w:color w:val="auto"/>
          <w:sz w:val="22"/>
          <w:szCs w:val="22"/>
          <w:lang w:eastAsia="fr-FR"/>
        </w:rPr>
        <w:t>’une cinquantain</w:t>
      </w:r>
      <w:r w:rsidRPr="00907E94">
        <w:rPr>
          <w:rFonts w:eastAsia="Times New Roman"/>
          <w:iCs/>
          <w:color w:val="auto"/>
          <w:sz w:val="22"/>
          <w:szCs w:val="22"/>
          <w:lang w:eastAsia="fr-FR"/>
        </w:rPr>
        <w:t xml:space="preserve">e </w:t>
      </w:r>
      <w:r w:rsidR="004F6F40">
        <w:rPr>
          <w:rFonts w:eastAsia="Times New Roman"/>
          <w:iCs/>
          <w:color w:val="auto"/>
          <w:sz w:val="22"/>
          <w:szCs w:val="22"/>
          <w:lang w:eastAsia="fr-FR"/>
        </w:rPr>
        <w:t xml:space="preserve">de </w:t>
      </w:r>
      <w:r w:rsidRPr="00907E94">
        <w:rPr>
          <w:rFonts w:eastAsia="Times New Roman"/>
          <w:iCs/>
          <w:color w:val="auto"/>
          <w:sz w:val="22"/>
          <w:szCs w:val="22"/>
          <w:lang w:eastAsia="fr-FR"/>
        </w:rPr>
        <w:t xml:space="preserve">formateurs issus de </w:t>
      </w:r>
      <w:r w:rsidR="00100CB9" w:rsidRPr="00907E94">
        <w:rPr>
          <w:rFonts w:eastAsia="Times New Roman"/>
          <w:iCs/>
          <w:color w:val="auto"/>
          <w:sz w:val="22"/>
          <w:szCs w:val="22"/>
          <w:lang w:eastAsia="fr-FR"/>
        </w:rPr>
        <w:t>la DGE (1), de la DEF (1), de la DES (1), de l’IGEN (1), des DREN (2), des IDEF (6), des IC (26), les représentants départementaux (6), régionaux (2) et nationaux (5) des associations de parents d’élèves (APE)</w:t>
      </w:r>
      <w:r w:rsidR="00244AD6" w:rsidRPr="00907E94">
        <w:rPr>
          <w:rFonts w:eastAsia="Times New Roman"/>
          <w:iCs/>
          <w:color w:val="auto"/>
          <w:sz w:val="22"/>
          <w:szCs w:val="22"/>
          <w:lang w:eastAsia="fr-FR"/>
        </w:rPr>
        <w:t xml:space="preserve"> </w:t>
      </w:r>
      <w:r w:rsidRPr="00907E94">
        <w:rPr>
          <w:rFonts w:eastAsia="Times New Roman"/>
          <w:iCs/>
          <w:color w:val="auto"/>
          <w:sz w:val="22"/>
          <w:szCs w:val="22"/>
          <w:lang w:eastAsia="fr-FR"/>
        </w:rPr>
        <w:t>est opérationnel, formé sur le contenu technique, les outils pédagogiques et la méthodologie de déploiement terrain de la formation ;</w:t>
      </w:r>
    </w:p>
    <w:p w14:paraId="6B869D1C" w14:textId="1DC07574"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 xml:space="preserve">Les bénéficiaires </w:t>
      </w:r>
      <w:r w:rsidR="00100CB9" w:rsidRPr="00907E94">
        <w:rPr>
          <w:rFonts w:eastAsia="Times New Roman"/>
          <w:iCs/>
          <w:color w:val="auto"/>
          <w:sz w:val="22"/>
          <w:szCs w:val="22"/>
          <w:lang w:eastAsia="fr-FR"/>
        </w:rPr>
        <w:t>(</w:t>
      </w:r>
      <w:r w:rsidR="00890A4A" w:rsidRPr="00907E94">
        <w:rPr>
          <w:rFonts w:eastAsia="Times New Roman"/>
          <w:iCs/>
          <w:color w:val="auto"/>
          <w:sz w:val="22"/>
          <w:szCs w:val="22"/>
          <w:lang w:eastAsia="fr-FR"/>
        </w:rPr>
        <w:t>3</w:t>
      </w:r>
      <w:r w:rsidR="00100CB9" w:rsidRPr="00907E94">
        <w:rPr>
          <w:rFonts w:eastAsia="Times New Roman"/>
          <w:iCs/>
          <w:color w:val="auto"/>
          <w:sz w:val="22"/>
          <w:szCs w:val="22"/>
          <w:lang w:eastAsia="fr-FR"/>
        </w:rPr>
        <w:t xml:space="preserve"> membres des COGES</w:t>
      </w:r>
      <w:r w:rsidR="004F6F40">
        <w:rPr>
          <w:rFonts w:eastAsia="Times New Roman"/>
          <w:iCs/>
          <w:color w:val="auto"/>
          <w:sz w:val="22"/>
          <w:szCs w:val="22"/>
          <w:lang w:eastAsia="fr-FR"/>
        </w:rPr>
        <w:t>, soit 318 bénéficiaires au total</w:t>
      </w:r>
      <w:r w:rsidR="00100CB9" w:rsidRPr="00907E94">
        <w:rPr>
          <w:rFonts w:eastAsia="Times New Roman"/>
          <w:iCs/>
          <w:color w:val="auto"/>
          <w:sz w:val="22"/>
          <w:szCs w:val="22"/>
          <w:lang w:eastAsia="fr-FR"/>
        </w:rPr>
        <w:t xml:space="preserve">) </w:t>
      </w:r>
      <w:r w:rsidRPr="00907E94">
        <w:rPr>
          <w:rFonts w:eastAsia="Times New Roman"/>
          <w:iCs/>
          <w:color w:val="auto"/>
          <w:sz w:val="22"/>
          <w:szCs w:val="22"/>
          <w:lang w:eastAsia="fr-FR"/>
        </w:rPr>
        <w:t>des écoles pilotes du</w:t>
      </w:r>
      <w:r w:rsidR="00530609">
        <w:rPr>
          <w:rFonts w:eastAsia="Times New Roman"/>
          <w:iCs/>
          <w:color w:val="auto"/>
          <w:sz w:val="22"/>
          <w:szCs w:val="22"/>
          <w:lang w:eastAsia="fr-FR"/>
        </w:rPr>
        <w:t xml:space="preserve"> périmètre d’expérimentation du</w:t>
      </w:r>
      <w:r w:rsidRPr="00907E94">
        <w:rPr>
          <w:rFonts w:eastAsia="Times New Roman"/>
          <w:iCs/>
          <w:color w:val="auto"/>
          <w:sz w:val="22"/>
          <w:szCs w:val="22"/>
          <w:lang w:eastAsia="fr-FR"/>
        </w:rPr>
        <w:t xml:space="preserve"> PAIRE sont formés, maîtrisent les rôles et responsabilités liés à la gestion des subventions, et disposent d’outils adaptés à une gestion transparente et participative ;</w:t>
      </w:r>
    </w:p>
    <w:p w14:paraId="6F9A2108" w14:textId="1AE82D7A" w:rsidR="00E5359E" w:rsidRPr="00907E94"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La mise en œuvre expérimentale du modèle dans les écoles formées est accompagnée, documentée et évaluée, avec des éléments de suivi qualitatif et quantitatif sur l’appropriation, l’exécution des fonds et la redevabilité communautaire ;</w:t>
      </w:r>
    </w:p>
    <w:p w14:paraId="04C878A0" w14:textId="55756CED" w:rsidR="002044C5" w:rsidRDefault="00E5359E" w:rsidP="000F5723">
      <w:pPr>
        <w:pStyle w:val="Default"/>
        <w:numPr>
          <w:ilvl w:val="0"/>
          <w:numId w:val="1"/>
        </w:numPr>
        <w:spacing w:before="120"/>
        <w:jc w:val="both"/>
        <w:rPr>
          <w:rFonts w:eastAsia="Times New Roman"/>
          <w:iCs/>
          <w:color w:val="auto"/>
          <w:sz w:val="22"/>
          <w:szCs w:val="22"/>
          <w:lang w:eastAsia="fr-FR"/>
        </w:rPr>
      </w:pPr>
      <w:r w:rsidRPr="00907E94">
        <w:rPr>
          <w:rFonts w:eastAsia="Times New Roman"/>
          <w:iCs/>
          <w:color w:val="auto"/>
          <w:sz w:val="22"/>
          <w:szCs w:val="22"/>
          <w:lang w:eastAsia="fr-FR"/>
        </w:rPr>
        <w:t>Un rapport final est produit, comprenant un retour d’expérience sur la phase pilote, des ajustements techniques proposés, et des recommandations pour une extension progressive à d’autres écoles, en coordination avec les dispositifs existants</w:t>
      </w:r>
      <w:r w:rsidR="00EF6D3D" w:rsidRPr="00907E94">
        <w:rPr>
          <w:rFonts w:eastAsia="Times New Roman"/>
          <w:iCs/>
          <w:color w:val="auto"/>
          <w:sz w:val="22"/>
          <w:szCs w:val="22"/>
          <w:lang w:eastAsia="fr-FR"/>
        </w:rPr>
        <w:t>.</w:t>
      </w:r>
    </w:p>
    <w:p w14:paraId="14E09C56" w14:textId="2E4B77FB" w:rsidR="00530609" w:rsidRDefault="00530609" w:rsidP="00530609">
      <w:pPr>
        <w:pStyle w:val="Default"/>
        <w:spacing w:before="120"/>
        <w:jc w:val="both"/>
        <w:rPr>
          <w:rFonts w:eastAsia="Times New Roman"/>
          <w:iCs/>
          <w:color w:val="auto"/>
          <w:sz w:val="22"/>
          <w:szCs w:val="22"/>
          <w:lang w:eastAsia="fr-FR"/>
        </w:rPr>
      </w:pPr>
    </w:p>
    <w:p w14:paraId="2046AEE1" w14:textId="77777777" w:rsidR="00530609" w:rsidRPr="00907E94" w:rsidRDefault="00530609" w:rsidP="00530609">
      <w:pPr>
        <w:pStyle w:val="Default"/>
        <w:spacing w:before="120"/>
        <w:jc w:val="both"/>
        <w:rPr>
          <w:rFonts w:eastAsia="Times New Roman"/>
          <w:iCs/>
          <w:color w:val="auto"/>
          <w:sz w:val="22"/>
          <w:szCs w:val="22"/>
          <w:lang w:eastAsia="fr-FR"/>
        </w:rPr>
      </w:pPr>
    </w:p>
    <w:p w14:paraId="6617586D" w14:textId="77777777" w:rsidR="002044C5" w:rsidRPr="00907E94" w:rsidRDefault="002044C5" w:rsidP="002044C5">
      <w:pPr>
        <w:tabs>
          <w:tab w:val="left" w:pos="1280"/>
        </w:tabs>
        <w:spacing w:before="120" w:after="120"/>
        <w:rPr>
          <w:b/>
        </w:rPr>
      </w:pPr>
      <w:r w:rsidRPr="00907E94">
        <w:rPr>
          <w:b/>
        </w:rPr>
        <w:t>Étendue de la mission :</w:t>
      </w:r>
    </w:p>
    <w:p w14:paraId="4A3142B4" w14:textId="77777777" w:rsidR="00F22D21" w:rsidRPr="00907E94" w:rsidRDefault="00F22D21" w:rsidP="00F22D21">
      <w:pPr>
        <w:spacing w:before="120" w:after="120"/>
        <w:jc w:val="both"/>
      </w:pPr>
      <w:r w:rsidRPr="00907E94">
        <w:t>La mission portera sur l’appui technique à la conception, à l’adaptation et à la mise en œuvre d’un programme de formation en gestion participative des subventions scolaires, en lien avec les priorités de l’axe 3 du PNDSE III et les objectifs du projet PAIRE en matière de gouvernance locale, de transparence budgétaire et de renforcement des capacités à l’échelle des établissements.</w:t>
      </w:r>
    </w:p>
    <w:p w14:paraId="5ED8D58C" w14:textId="5E1DCA21" w:rsidR="00F22D21" w:rsidRPr="00907E94" w:rsidRDefault="00F22D21" w:rsidP="00F22D21">
      <w:pPr>
        <w:spacing w:before="120" w:after="120"/>
        <w:jc w:val="both"/>
      </w:pPr>
      <w:r w:rsidRPr="00907E94">
        <w:t xml:space="preserve">Elle sera conduite sous la supervision conjointe de la Direction </w:t>
      </w:r>
      <w:r w:rsidR="00AF6394" w:rsidRPr="00907E94">
        <w:t xml:space="preserve">générale de l’enseignement </w:t>
      </w:r>
      <w:r w:rsidRPr="00907E94">
        <w:t xml:space="preserve">(DGE) et de la Direction </w:t>
      </w:r>
      <w:r w:rsidR="00AF6394" w:rsidRPr="00907E94">
        <w:t>gé</w:t>
      </w:r>
      <w:r w:rsidR="00530609">
        <w:t>nérale de la réforme et de la prospective</w:t>
      </w:r>
      <w:r w:rsidR="00AF6394" w:rsidRPr="00907E94">
        <w:t xml:space="preserve"> </w:t>
      </w:r>
      <w:r w:rsidRPr="00907E94">
        <w:t xml:space="preserve">(DGRP), en collaboration étroite avec la Direction de </w:t>
      </w:r>
      <w:r w:rsidR="00AF6394" w:rsidRPr="00907E94">
        <w:t xml:space="preserve">l’enseignement fondamental </w:t>
      </w:r>
      <w:r w:rsidRPr="00907E94">
        <w:t xml:space="preserve">(DEF), la Direction de </w:t>
      </w:r>
      <w:r w:rsidR="00AF6394" w:rsidRPr="00907E94">
        <w:t xml:space="preserve">l’enseignement secondaire </w:t>
      </w:r>
      <w:r w:rsidRPr="00907E94">
        <w:t xml:space="preserve">(DES), et l’Inspection </w:t>
      </w:r>
      <w:r w:rsidR="00AF6394" w:rsidRPr="00907E94">
        <w:t xml:space="preserve">générale de l’éducation nationale </w:t>
      </w:r>
      <w:r w:rsidRPr="00907E94">
        <w:t>(IGEN). Le projet PAIRE assurera l’appui technique, logistique et méthodologique à toutes les étapes de la mission.</w:t>
      </w:r>
    </w:p>
    <w:p w14:paraId="3F8533C0" w14:textId="77777777" w:rsidR="00F22D21" w:rsidRPr="00907E94" w:rsidRDefault="00F22D21" w:rsidP="00F22D21">
      <w:pPr>
        <w:spacing w:before="120" w:after="120"/>
        <w:jc w:val="both"/>
      </w:pPr>
      <w:r w:rsidRPr="00907E94">
        <w:t>La mission couvrira notamment :</w:t>
      </w:r>
    </w:p>
    <w:p w14:paraId="741F290F" w14:textId="77777777" w:rsidR="00F22D21" w:rsidRPr="00907E94" w:rsidRDefault="00F22D21" w:rsidP="000F5723">
      <w:pPr>
        <w:pStyle w:val="Paragraphedeliste"/>
        <w:numPr>
          <w:ilvl w:val="0"/>
          <w:numId w:val="3"/>
        </w:numPr>
        <w:spacing w:before="120" w:after="120"/>
        <w:jc w:val="both"/>
      </w:pPr>
      <w:r w:rsidRPr="00907E94">
        <w:t>L’analyse du dispositif national proposé en janvier 2025 sur les subventions scolaires et son adaptation aux écoles pilotes du PAIRE non couvertes par le PASEB, en lien avec les outils disponibles et les besoins identifiés ;</w:t>
      </w:r>
    </w:p>
    <w:p w14:paraId="6A771C42" w14:textId="1208B61A" w:rsidR="00F22D21" w:rsidRPr="00907E94" w:rsidRDefault="00F22D21" w:rsidP="000F5723">
      <w:pPr>
        <w:pStyle w:val="Paragraphedeliste"/>
        <w:numPr>
          <w:ilvl w:val="0"/>
          <w:numId w:val="3"/>
        </w:numPr>
        <w:spacing w:before="120" w:after="120"/>
        <w:jc w:val="both"/>
      </w:pPr>
      <w:r w:rsidRPr="00907E94">
        <w:t>La conception d’un programme de formation contextualisé pour membres des COGES, intégrant des modules sur la planification, l’exécution, le suivi et la reddition des fonds scolaires ;</w:t>
      </w:r>
    </w:p>
    <w:p w14:paraId="7683FAE5" w14:textId="05186456" w:rsidR="00F22D21" w:rsidRPr="00907E94" w:rsidRDefault="00F22D21" w:rsidP="000F5723">
      <w:pPr>
        <w:pStyle w:val="Paragraphedeliste"/>
        <w:numPr>
          <w:ilvl w:val="0"/>
          <w:numId w:val="3"/>
        </w:numPr>
        <w:spacing w:before="120" w:after="120"/>
        <w:jc w:val="both"/>
      </w:pPr>
      <w:r w:rsidRPr="00907E94">
        <w:t>La formation d’un noyau de formateurs nationaux</w:t>
      </w:r>
      <w:r w:rsidR="00100CB9" w:rsidRPr="00907E94">
        <w:t>,</w:t>
      </w:r>
      <w:r w:rsidRPr="00907E94">
        <w:t xml:space="preserve"> régionaux</w:t>
      </w:r>
      <w:r w:rsidR="00100CB9" w:rsidRPr="00907E94">
        <w:t xml:space="preserve"> et départementaux </w:t>
      </w:r>
      <w:r w:rsidRPr="00907E94">
        <w:t>issus des structures techniques du MERSE</w:t>
      </w:r>
      <w:r w:rsidR="00100CB9" w:rsidRPr="00907E94">
        <w:t>,</w:t>
      </w:r>
      <w:r w:rsidRPr="00907E94">
        <w:t xml:space="preserve"> des DREN concernées</w:t>
      </w:r>
      <w:r w:rsidR="00100CB9" w:rsidRPr="00907E94">
        <w:t xml:space="preserve"> et de l’APE</w:t>
      </w:r>
      <w:r w:rsidRPr="00907E94">
        <w:t>, chargés de la réplication du dispositif</w:t>
      </w:r>
      <w:r w:rsidR="00100CB9" w:rsidRPr="00907E94">
        <w:t>. L’élargissement du noyau de formateurs aux représentants départementaux, régionaux et nationaux des associations de parents d’élèves (APE) permettra de renforcer l’articulation verticale entre l’action locale et les instances représentatives du pilotage communautaire. Cette stratégie garantit à la fois l’efficacité pédagogique, la représentativité fonctionnelle, et une appropriation locale renforcée, tout en restant compatible avec les contraintes logistiques, techniques et budgétaires du projet PAIRE</w:t>
      </w:r>
      <w:r w:rsidRPr="00907E94">
        <w:t xml:space="preserve"> ;</w:t>
      </w:r>
    </w:p>
    <w:p w14:paraId="403D2B1D" w14:textId="77777777" w:rsidR="00F22D21" w:rsidRPr="00907E94" w:rsidRDefault="00F22D21" w:rsidP="000F5723">
      <w:pPr>
        <w:pStyle w:val="Paragraphedeliste"/>
        <w:numPr>
          <w:ilvl w:val="0"/>
          <w:numId w:val="3"/>
        </w:numPr>
        <w:spacing w:before="120" w:after="120"/>
        <w:jc w:val="both"/>
      </w:pPr>
      <w:r w:rsidRPr="00907E94">
        <w:t>Le déploiement de la formation terrain auprès des bénéficiaires des écoles pilotes, selon une stratégie de ciblage progressive et adaptée à la capacité opérationnelle des régions ;</w:t>
      </w:r>
    </w:p>
    <w:p w14:paraId="05ABBE32" w14:textId="77777777" w:rsidR="00F22D21" w:rsidRPr="00907E94" w:rsidRDefault="00F22D21" w:rsidP="000F5723">
      <w:pPr>
        <w:pStyle w:val="Paragraphedeliste"/>
        <w:numPr>
          <w:ilvl w:val="0"/>
          <w:numId w:val="3"/>
        </w:numPr>
        <w:spacing w:before="120" w:after="120"/>
        <w:jc w:val="both"/>
      </w:pPr>
      <w:r w:rsidRPr="00907E94">
        <w:t>L’accompagnement de la mise en œuvre expérimentale, incluant le suivi de l’appropriation des outils et le renforcement de la coordination entre directeurs, comités de gestion et structures déconcentrées ;</w:t>
      </w:r>
    </w:p>
    <w:p w14:paraId="28AC42A8" w14:textId="77777777" w:rsidR="00F22D21" w:rsidRPr="00907E94" w:rsidRDefault="00F22D21" w:rsidP="000F5723">
      <w:pPr>
        <w:pStyle w:val="Paragraphedeliste"/>
        <w:numPr>
          <w:ilvl w:val="0"/>
          <w:numId w:val="3"/>
        </w:numPr>
        <w:spacing w:before="120" w:after="120"/>
        <w:jc w:val="both"/>
      </w:pPr>
      <w:r w:rsidRPr="00907E94">
        <w:t>La formulation de recommandations techniques pour la pérennisation du dispositif et son extension progressive à d’autres écoles, en assurant la complémentarité avec les interventions du PASEB et des autres partenaires du secteur.</w:t>
      </w:r>
    </w:p>
    <w:p w14:paraId="33E4F75B" w14:textId="0EA8264B" w:rsidR="00F22D21" w:rsidRPr="00907E94" w:rsidRDefault="00F22D21" w:rsidP="00AF6394">
      <w:pPr>
        <w:spacing w:before="120" w:after="120"/>
        <w:jc w:val="both"/>
      </w:pPr>
      <w:r w:rsidRPr="00907E94">
        <w:t xml:space="preserve">Compte tenu du nombre élevé d’écoles </w:t>
      </w:r>
      <w:r w:rsidR="00737A72">
        <w:t>pilotes</w:t>
      </w:r>
      <w:r w:rsidRPr="00907E94">
        <w:t xml:space="preserve"> concernées par l</w:t>
      </w:r>
      <w:r w:rsidR="00737A72">
        <w:t>’expérimentation engagée par le</w:t>
      </w:r>
      <w:r w:rsidRPr="00907E94">
        <w:t xml:space="preserve"> projet PAIRE (106 écoles</w:t>
      </w:r>
      <w:r w:rsidR="00737A72">
        <w:t xml:space="preserve"> au total</w:t>
      </w:r>
      <w:r w:rsidRPr="00907E94">
        <w:t xml:space="preserve">, dont 64 à Nouakchott-Nord et 42 </w:t>
      </w:r>
      <w:r w:rsidR="00AF6394" w:rsidRPr="00907E94">
        <w:t xml:space="preserve">dans le </w:t>
      </w:r>
      <w:proofErr w:type="spellStart"/>
      <w:r w:rsidRPr="00907E94">
        <w:t>Brakna</w:t>
      </w:r>
      <w:proofErr w:type="spellEnd"/>
      <w:r w:rsidRPr="00907E94">
        <w:t xml:space="preserve">), et du fait que chaque COGES compte </w:t>
      </w:r>
      <w:r w:rsidR="008A1C0D" w:rsidRPr="00907E94">
        <w:t>7</w:t>
      </w:r>
      <w:r w:rsidR="00AF6394" w:rsidRPr="00907E94">
        <w:t xml:space="preserve"> </w:t>
      </w:r>
      <w:r w:rsidRPr="00907E94">
        <w:t xml:space="preserve">membres, organiser une formation exhaustive pour plus de </w:t>
      </w:r>
      <w:r w:rsidR="008A1C0D" w:rsidRPr="00907E94">
        <w:t>742</w:t>
      </w:r>
      <w:r w:rsidRPr="00907E94">
        <w:t xml:space="preserve"> participants serait difficile à mettre en œuvre de manière efficace, pédagogique et soutenable. Afin de garantir la qualité des apprentissages tout en favorisant une démultiplication au niveau local, il a été retenu de former un noyau restreint de </w:t>
      </w:r>
      <w:r w:rsidR="00D524B1" w:rsidRPr="00907E94">
        <w:t xml:space="preserve">3 </w:t>
      </w:r>
      <w:r w:rsidRPr="00907E94">
        <w:t>membres par COGES, en ciblant les rôles clés</w:t>
      </w:r>
      <w:r w:rsidR="004F6F40">
        <w:t xml:space="preserve"> (soit 318 personnes à former au total)</w:t>
      </w:r>
      <w:r w:rsidRPr="00907E94">
        <w:t>.</w:t>
      </w:r>
    </w:p>
    <w:p w14:paraId="7542F99E" w14:textId="23F0EF79" w:rsidR="00F22D21" w:rsidRPr="00907E94" w:rsidRDefault="00F22D21" w:rsidP="00F22D21">
      <w:pPr>
        <w:spacing w:before="120" w:after="120"/>
        <w:jc w:val="both"/>
      </w:pPr>
      <w:r w:rsidRPr="00907E94">
        <w:lastRenderedPageBreak/>
        <w:t>Ce noyau sera composé du secrétaire</w:t>
      </w:r>
      <w:r w:rsidR="008A1C0D" w:rsidRPr="00907E94">
        <w:t xml:space="preserve"> général</w:t>
      </w:r>
      <w:r w:rsidR="00100CB9" w:rsidRPr="00907E94">
        <w:t xml:space="preserve"> (Directeur d’école)</w:t>
      </w:r>
      <w:r w:rsidRPr="00907E94">
        <w:t xml:space="preserve">, </w:t>
      </w:r>
      <w:r w:rsidR="008A1C0D" w:rsidRPr="00907E94">
        <w:t xml:space="preserve">du </w:t>
      </w:r>
      <w:r w:rsidRPr="00907E94">
        <w:t>représentant des parents d’élèves (APE)</w:t>
      </w:r>
      <w:r w:rsidR="00D524B1" w:rsidRPr="00907E94">
        <w:t xml:space="preserve"> et du représentant de la commune</w:t>
      </w:r>
      <w:r w:rsidRPr="00907E94">
        <w:t xml:space="preserve"> afin d’assurer une couverture des fonctions essentielles à la gestion des subventions scolaires et à la redevabilité. Cette composition équilibrée permettra de consolider les capacités internes des comités et d'assurer une restitution structurée et efficace des contenus de formation aux autres membres du COGES, avec le soutien actif du directeur d’école, également bénéficiaire de la formation.</w:t>
      </w:r>
    </w:p>
    <w:p w14:paraId="6AFD59F5" w14:textId="186C0EE2" w:rsidR="00C57339" w:rsidRPr="00907E94" w:rsidRDefault="00F22D21" w:rsidP="006F119D">
      <w:pPr>
        <w:spacing w:before="120" w:after="120"/>
        <w:jc w:val="both"/>
      </w:pPr>
      <w:r w:rsidRPr="00907E94">
        <w:t>Cette mission s’inscrit dans une logique de professionnalisation de la gestion scolaire à l’échelle locale et de responsabilisation accrue des communautés éducatives, conformément à la vision du PNDSE III et à l’approche inclusive portée par le projet PAIRE.</w:t>
      </w:r>
    </w:p>
    <w:p w14:paraId="0D14052D" w14:textId="0C1B9F29" w:rsidR="00A33D8B" w:rsidRPr="00907E94" w:rsidRDefault="00A33D8B" w:rsidP="0013577F">
      <w:pPr>
        <w:spacing w:before="120" w:after="120"/>
        <w:jc w:val="both"/>
      </w:pPr>
      <w:r w:rsidRPr="00907E94">
        <w:t xml:space="preserve">Le </w:t>
      </w:r>
      <w:r w:rsidR="00737A72">
        <w:t>prestataire retenu</w:t>
      </w:r>
      <w:r w:rsidRPr="00907E94">
        <w:t xml:space="preserve"> d</w:t>
      </w:r>
      <w:r w:rsidR="00737A72">
        <w:t>evra</w:t>
      </w:r>
      <w:r w:rsidRPr="00907E94">
        <w:t xml:space="preserve"> </w:t>
      </w:r>
      <w:r w:rsidR="00737A72">
        <w:t xml:space="preserve">en outre </w:t>
      </w:r>
      <w:r w:rsidRPr="00907E94">
        <w:t xml:space="preserve">veiller à intégrer les dimensions genre, inclusion et diversité territoriale dans les </w:t>
      </w:r>
      <w:r w:rsidR="006F119D" w:rsidRPr="00907E94">
        <w:t>modules</w:t>
      </w:r>
      <w:r w:rsidRPr="00907E94">
        <w:t xml:space="preserve"> produits.</w:t>
      </w:r>
    </w:p>
    <w:p w14:paraId="79096A96" w14:textId="77777777" w:rsidR="00727AD5" w:rsidRPr="00907E94" w:rsidRDefault="00727AD5" w:rsidP="00727AD5">
      <w:pPr>
        <w:shd w:val="clear" w:color="auto" w:fill="8EAADB" w:themeFill="accent5" w:themeFillTint="99"/>
        <w:spacing w:before="240"/>
        <w:jc w:val="both"/>
        <w:rPr>
          <w:rFonts w:eastAsia="Arial"/>
          <w:b/>
          <w:bCs/>
          <w:color w:val="FFFFFF" w:themeColor="background1"/>
        </w:rPr>
      </w:pPr>
      <w:r w:rsidRPr="00907E94">
        <w:rPr>
          <w:rFonts w:eastAsia="Arial"/>
          <w:b/>
          <w:bCs/>
          <w:color w:val="FFFFFF" w:themeColor="background1"/>
        </w:rPr>
        <w:t>Démarche méthodologique :</w:t>
      </w:r>
    </w:p>
    <w:p w14:paraId="27C2A12E" w14:textId="77777777" w:rsidR="00566B71" w:rsidRPr="00907E94" w:rsidRDefault="00566B71" w:rsidP="00566B71">
      <w:pPr>
        <w:spacing w:before="120" w:after="120"/>
        <w:jc w:val="both"/>
      </w:pPr>
      <w:r w:rsidRPr="00907E94">
        <w:t>La mission sera conduite sous la supervision directe de la Direction Générale de l’Enseignement (DGE), en collaboration avec la Direction Générale de la Réforme et de la Planification (DGRP), la Direction de l’Enseignement Fondamental (DEF), la Direction de l’Enseignement Secondaire (DES), l’Inspection Générale de l’Éducation Nationale (IGEN) et le projet PAIRE, qui assurera l’appui technique et logistique.</w:t>
      </w:r>
    </w:p>
    <w:p w14:paraId="65D67169" w14:textId="43F13391" w:rsidR="00566B71" w:rsidRPr="00907E94" w:rsidRDefault="00566B71" w:rsidP="00566B71">
      <w:pPr>
        <w:spacing w:before="120" w:after="120"/>
        <w:jc w:val="both"/>
      </w:pPr>
      <w:r w:rsidRPr="00907E94">
        <w:t xml:space="preserve">Le </w:t>
      </w:r>
      <w:r w:rsidR="006C7E1F">
        <w:t>prestataire retenu</w:t>
      </w:r>
      <w:r w:rsidRPr="00907E94">
        <w:t xml:space="preserve"> adoptera </w:t>
      </w:r>
      <w:r w:rsidR="00AE198D" w:rsidRPr="00907E94">
        <w:t>une approche participative, progressive et fondée sur des outils existants, afin d’assurer à la fois la pertinence technique, l’appropriation locale et la cohérence avec les orientations nationales. La mission se déroulera en six étapes principales :</w:t>
      </w:r>
    </w:p>
    <w:p w14:paraId="7E5DE87F" w14:textId="77777777" w:rsidR="00AE198D" w:rsidRPr="00907E94" w:rsidRDefault="00AE198D" w:rsidP="00AE198D">
      <w:pPr>
        <w:spacing w:before="120" w:after="120"/>
        <w:jc w:val="both"/>
        <w:rPr>
          <w:b/>
          <w:bCs/>
        </w:rPr>
      </w:pPr>
      <w:r w:rsidRPr="00907E94">
        <w:rPr>
          <w:b/>
          <w:bCs/>
        </w:rPr>
        <w:t>Étape 1 : Réunion de cadrage et validation du plan de travail</w:t>
      </w:r>
    </w:p>
    <w:p w14:paraId="5880277D" w14:textId="6989A6F0" w:rsidR="00AE198D" w:rsidRPr="00907E94" w:rsidRDefault="00AE198D" w:rsidP="00CE33DF">
      <w:pPr>
        <w:pStyle w:val="Paragraphedeliste"/>
        <w:numPr>
          <w:ilvl w:val="0"/>
          <w:numId w:val="6"/>
        </w:numPr>
        <w:spacing w:before="120" w:after="120"/>
        <w:ind w:left="284"/>
        <w:jc w:val="both"/>
      </w:pPr>
      <w:r w:rsidRPr="00907E94">
        <w:t>Organisation d’une réunion de lancement avec la DGE, la DGRP, la DEF, la DES, l’IGEN et le PAIRE</w:t>
      </w:r>
      <w:r w:rsidR="004F6F40">
        <w:t xml:space="preserve"> (réunion organisée par le PAIRE)</w:t>
      </w:r>
      <w:r w:rsidRPr="00907E94">
        <w:t>;</w:t>
      </w:r>
    </w:p>
    <w:p w14:paraId="633151C5" w14:textId="5F15961F" w:rsidR="00AE198D" w:rsidRPr="00907E94" w:rsidRDefault="00AE198D" w:rsidP="00CE33DF">
      <w:pPr>
        <w:pStyle w:val="Paragraphedeliste"/>
        <w:numPr>
          <w:ilvl w:val="0"/>
          <w:numId w:val="6"/>
        </w:numPr>
        <w:spacing w:before="120" w:after="120"/>
        <w:ind w:left="284"/>
        <w:jc w:val="both"/>
      </w:pPr>
      <w:r w:rsidRPr="00907E94">
        <w:t>Clarification des attentes, validation du chronogramme, des livrables et des modalités de collaboration ;</w:t>
      </w:r>
    </w:p>
    <w:p w14:paraId="010E61F4" w14:textId="5A2D1F91" w:rsidR="00AE198D" w:rsidRPr="00907E94" w:rsidRDefault="00AE198D" w:rsidP="00CE33DF">
      <w:pPr>
        <w:pStyle w:val="Paragraphedeliste"/>
        <w:numPr>
          <w:ilvl w:val="0"/>
          <w:numId w:val="6"/>
        </w:numPr>
        <w:spacing w:before="120" w:after="120"/>
        <w:ind w:left="284"/>
        <w:jc w:val="both"/>
      </w:pPr>
      <w:r w:rsidRPr="00907E94">
        <w:t>Alignement avec les orientations du MERSE, y compris la complémentarité avec le dispositif PASEB.</w:t>
      </w:r>
    </w:p>
    <w:p w14:paraId="1D100C69" w14:textId="792631FA" w:rsidR="00AE198D" w:rsidRPr="00907E94" w:rsidRDefault="00AE198D" w:rsidP="00AE198D">
      <w:pPr>
        <w:spacing w:before="120" w:after="120"/>
        <w:jc w:val="both"/>
      </w:pPr>
      <w:r w:rsidRPr="00907E94">
        <w:t>Livrable</w:t>
      </w:r>
      <w:r w:rsidR="006C7E1F">
        <w:t>s attendus</w:t>
      </w:r>
      <w:r w:rsidRPr="00907E94">
        <w:t xml:space="preserve"> : Compte rendu de réunion + plan de travail validé.</w:t>
      </w:r>
    </w:p>
    <w:p w14:paraId="4D413F29" w14:textId="77777777" w:rsidR="00AE198D" w:rsidRPr="00907E94" w:rsidRDefault="00AE198D" w:rsidP="00AE198D">
      <w:pPr>
        <w:spacing w:before="120" w:after="120"/>
        <w:jc w:val="both"/>
        <w:rPr>
          <w:b/>
          <w:bCs/>
        </w:rPr>
      </w:pPr>
      <w:r w:rsidRPr="00907E94">
        <w:rPr>
          <w:b/>
          <w:bCs/>
        </w:rPr>
        <w:t>Étape 2 : Analyse documentaire et adaptation du modèle national</w:t>
      </w:r>
    </w:p>
    <w:p w14:paraId="5B20DABA" w14:textId="096F168D" w:rsidR="00AE198D" w:rsidRPr="00907E94" w:rsidRDefault="00AE198D" w:rsidP="00CE33DF">
      <w:pPr>
        <w:pStyle w:val="Paragraphedeliste"/>
        <w:numPr>
          <w:ilvl w:val="0"/>
          <w:numId w:val="6"/>
        </w:numPr>
        <w:spacing w:before="120" w:after="120"/>
        <w:ind w:left="284"/>
        <w:jc w:val="both"/>
      </w:pPr>
      <w:r w:rsidRPr="00907E94">
        <w:t>Analyse du dispositif proposé en janvier 2025 pour la gestion des subventions ;</w:t>
      </w:r>
    </w:p>
    <w:p w14:paraId="79D878C5" w14:textId="6EA56024" w:rsidR="00AE198D" w:rsidRPr="00907E94" w:rsidRDefault="00AE198D" w:rsidP="00CE33DF">
      <w:pPr>
        <w:pStyle w:val="Paragraphedeliste"/>
        <w:numPr>
          <w:ilvl w:val="0"/>
          <w:numId w:val="6"/>
        </w:numPr>
        <w:spacing w:before="120" w:after="120"/>
        <w:ind w:left="284"/>
        <w:jc w:val="both"/>
      </w:pPr>
      <w:r w:rsidRPr="00907E94">
        <w:t>Identification des ajustements nécessaires pour une application dans les écoles pilotes du PAIRE non couvertes par le PASEB ;</w:t>
      </w:r>
    </w:p>
    <w:p w14:paraId="491A6C14" w14:textId="77777777" w:rsidR="00AE198D" w:rsidRPr="00907E94" w:rsidRDefault="00AE198D" w:rsidP="00CE33DF">
      <w:pPr>
        <w:pStyle w:val="Paragraphedeliste"/>
        <w:numPr>
          <w:ilvl w:val="0"/>
          <w:numId w:val="6"/>
        </w:numPr>
        <w:spacing w:before="120" w:after="120"/>
        <w:ind w:left="284"/>
        <w:jc w:val="both"/>
      </w:pPr>
      <w:r w:rsidRPr="00907E94">
        <w:t>Adaptation des outils standards (canevas de planification, modèles de PV, tableaux de suivi budgétaire, etc.).</w:t>
      </w:r>
    </w:p>
    <w:p w14:paraId="47D68F2D" w14:textId="6C76D2EA" w:rsidR="00AE198D" w:rsidRPr="00907E94" w:rsidRDefault="00AE198D" w:rsidP="00AE198D">
      <w:pPr>
        <w:spacing w:before="120" w:after="120"/>
        <w:jc w:val="both"/>
      </w:pPr>
      <w:r w:rsidRPr="00907E94">
        <w:t>Livrable</w:t>
      </w:r>
      <w:r w:rsidR="006C7E1F">
        <w:t>s attendus</w:t>
      </w:r>
      <w:r w:rsidRPr="00907E94">
        <w:t xml:space="preserve"> : Note technique d’adaptation du modèle + kit de gestion simplifié adapté au PAIRE.</w:t>
      </w:r>
    </w:p>
    <w:p w14:paraId="572AE05F" w14:textId="77777777" w:rsidR="00AE198D" w:rsidRPr="00907E94" w:rsidRDefault="00AE198D" w:rsidP="00AE198D">
      <w:pPr>
        <w:spacing w:before="120" w:after="120"/>
        <w:jc w:val="both"/>
        <w:rPr>
          <w:b/>
          <w:bCs/>
        </w:rPr>
      </w:pPr>
      <w:r w:rsidRPr="00907E94">
        <w:rPr>
          <w:b/>
          <w:bCs/>
        </w:rPr>
        <w:t>Étape 3 : Conception du programme et des modules de formation</w:t>
      </w:r>
    </w:p>
    <w:p w14:paraId="22EE7B26" w14:textId="2203AD81" w:rsidR="00AE198D" w:rsidRPr="00907E94" w:rsidRDefault="00AE198D" w:rsidP="00CE33DF">
      <w:pPr>
        <w:pStyle w:val="Paragraphedeliste"/>
        <w:numPr>
          <w:ilvl w:val="0"/>
          <w:numId w:val="6"/>
        </w:numPr>
        <w:spacing w:before="120" w:after="120"/>
        <w:ind w:left="284"/>
        <w:jc w:val="both"/>
      </w:pPr>
      <w:r w:rsidRPr="00907E94">
        <w:t>Élaboration d’un programme de formation spécifique, modulaire et contextualisé, à destination des membres des COGES (secrétaire</w:t>
      </w:r>
      <w:r w:rsidR="00D524B1" w:rsidRPr="00907E94">
        <w:t xml:space="preserve"> général </w:t>
      </w:r>
      <w:r w:rsidR="006C7E1F">
        <w:t>-</w:t>
      </w:r>
      <w:r w:rsidR="00D524B1" w:rsidRPr="00907E94">
        <w:t xml:space="preserve"> directeur d’école</w:t>
      </w:r>
      <w:r w:rsidRPr="00907E94">
        <w:t xml:space="preserve">, </w:t>
      </w:r>
      <w:r w:rsidR="008A1C0D" w:rsidRPr="00907E94">
        <w:t>représentant de l’</w:t>
      </w:r>
      <w:r w:rsidRPr="00907E94">
        <w:t>APE</w:t>
      </w:r>
      <w:r w:rsidR="00D524B1" w:rsidRPr="00907E94">
        <w:t xml:space="preserve"> et représentant de la commune</w:t>
      </w:r>
      <w:r w:rsidRPr="00907E94">
        <w:t xml:space="preserve">) et </w:t>
      </w:r>
      <w:r w:rsidR="008A1C0D" w:rsidRPr="00907E94">
        <w:t>représentants départementaux, régionaux et nationaux des associations de parents d’élèves (APE)</w:t>
      </w:r>
      <w:r w:rsidRPr="00907E94">
        <w:t>;</w:t>
      </w:r>
    </w:p>
    <w:p w14:paraId="7130648A" w14:textId="77777777" w:rsidR="00AE198D" w:rsidRPr="00907E94" w:rsidRDefault="00AE198D" w:rsidP="00CE33DF">
      <w:pPr>
        <w:pStyle w:val="Paragraphedeliste"/>
        <w:numPr>
          <w:ilvl w:val="0"/>
          <w:numId w:val="6"/>
        </w:numPr>
        <w:spacing w:before="120" w:after="120"/>
        <w:ind w:left="284"/>
        <w:jc w:val="both"/>
      </w:pPr>
      <w:r w:rsidRPr="00907E94">
        <w:lastRenderedPageBreak/>
        <w:t>Développement des supports pédagogiques : fiches pratiques, présentations, guides d’animation, outils de simulation.</w:t>
      </w:r>
    </w:p>
    <w:p w14:paraId="01099DDE" w14:textId="7580B83E" w:rsidR="00F063FA" w:rsidRPr="00907E94" w:rsidRDefault="00F063FA" w:rsidP="00F063FA">
      <w:pPr>
        <w:spacing w:before="120" w:after="120"/>
        <w:jc w:val="both"/>
      </w:pPr>
      <w:r w:rsidRPr="00907E94">
        <w:t>Les modules incluront des séquences spécifiques sur l’articulation entre la planification budgétaire locale, la gestion des subventions, et les objectifs du Plan d’Amélioration de l’École (PAE), afin de garantir la cohérence et l’efficience dans l’utilisation des ressources à l’échelle de l’établissement.</w:t>
      </w:r>
    </w:p>
    <w:p w14:paraId="2716FBCB" w14:textId="7A3C469C" w:rsidR="00AE198D" w:rsidRDefault="00AE198D" w:rsidP="00AE198D">
      <w:pPr>
        <w:spacing w:before="120" w:after="120"/>
        <w:jc w:val="both"/>
      </w:pPr>
      <w:r w:rsidRPr="00907E94">
        <w:t>Livrable</w:t>
      </w:r>
      <w:r w:rsidR="006C7E1F">
        <w:t>s attendus</w:t>
      </w:r>
      <w:r w:rsidRPr="00907E94">
        <w:t xml:space="preserve"> : Programme de formation + modules validés + supports pédagogiques prêts à l’usage.</w:t>
      </w:r>
    </w:p>
    <w:p w14:paraId="5175C664" w14:textId="77777777" w:rsidR="00907E94" w:rsidRPr="00907E94" w:rsidRDefault="00907E94" w:rsidP="00AE198D">
      <w:pPr>
        <w:spacing w:before="120" w:after="120"/>
        <w:jc w:val="both"/>
      </w:pPr>
    </w:p>
    <w:p w14:paraId="4F37C0EB" w14:textId="7E9381CC" w:rsidR="00AE198D" w:rsidRPr="00907E94" w:rsidRDefault="00AE198D" w:rsidP="00AE198D">
      <w:pPr>
        <w:spacing w:before="120" w:after="120"/>
        <w:jc w:val="both"/>
        <w:rPr>
          <w:b/>
          <w:bCs/>
        </w:rPr>
      </w:pPr>
      <w:r w:rsidRPr="00907E94">
        <w:rPr>
          <w:b/>
          <w:bCs/>
        </w:rPr>
        <w:t>Étape 4 : Formation d’un noyau de formateurs nationaux et régionaux</w:t>
      </w:r>
    </w:p>
    <w:p w14:paraId="28F0E3DE" w14:textId="2E19DD20" w:rsidR="00AE198D" w:rsidRPr="00907E94" w:rsidRDefault="005B39E5" w:rsidP="00CE33DF">
      <w:pPr>
        <w:pStyle w:val="Paragraphedeliste"/>
        <w:numPr>
          <w:ilvl w:val="0"/>
          <w:numId w:val="7"/>
        </w:numPr>
        <w:spacing w:before="120" w:after="120"/>
        <w:ind w:left="426"/>
        <w:jc w:val="both"/>
      </w:pPr>
      <w:r>
        <w:t>Contribution au processus de s</w:t>
      </w:r>
      <w:r w:rsidR="00AE198D" w:rsidRPr="00907E94">
        <w:t xml:space="preserve">élection de formateurs </w:t>
      </w:r>
      <w:r w:rsidR="004F6F40">
        <w:t xml:space="preserve">(une cinquantaine au total) </w:t>
      </w:r>
      <w:r w:rsidR="00AE198D" w:rsidRPr="00907E94">
        <w:t>parmi les cadres des structures techniques du MERSE (DGE, DEF, DES, IGEN, DREN</w:t>
      </w:r>
      <w:r w:rsidR="00D524B1" w:rsidRPr="00907E94">
        <w:t>, IDEF et IC</w:t>
      </w:r>
      <w:r w:rsidR="00AE198D" w:rsidRPr="00907E94">
        <w:t>)</w:t>
      </w:r>
      <w:r w:rsidR="008A1C0D" w:rsidRPr="00907E94">
        <w:t xml:space="preserve"> et représentants départementaux, régionaux et nationaux des associations de parents d’élèves (APE)</w:t>
      </w:r>
      <w:r w:rsidR="00AE198D" w:rsidRPr="00907E94">
        <w:t> ;</w:t>
      </w:r>
    </w:p>
    <w:p w14:paraId="2D24AD0D" w14:textId="742C15F8" w:rsidR="00AE198D" w:rsidRPr="00907E94" w:rsidRDefault="00AE198D" w:rsidP="00CE33DF">
      <w:pPr>
        <w:pStyle w:val="Paragraphedeliste"/>
        <w:numPr>
          <w:ilvl w:val="0"/>
          <w:numId w:val="6"/>
        </w:numPr>
        <w:spacing w:before="120" w:after="120"/>
        <w:ind w:left="426"/>
        <w:jc w:val="both"/>
      </w:pPr>
      <w:r w:rsidRPr="00907E94">
        <w:t>Formation intensive sur le contenu technique, les outils, et la méthodologie de facilitation ;</w:t>
      </w:r>
      <w:r w:rsidR="004F6F40">
        <w:t xml:space="preserve"> en trois sessions de cinq jours chacune ;</w:t>
      </w:r>
    </w:p>
    <w:p w14:paraId="354D50AA" w14:textId="0594BB93" w:rsidR="00AE198D" w:rsidRPr="00907E94" w:rsidRDefault="00AE198D" w:rsidP="00CE33DF">
      <w:pPr>
        <w:pStyle w:val="Paragraphedeliste"/>
        <w:numPr>
          <w:ilvl w:val="0"/>
          <w:numId w:val="6"/>
        </w:numPr>
        <w:spacing w:before="120" w:after="120"/>
        <w:ind w:left="426"/>
        <w:jc w:val="both"/>
      </w:pPr>
      <w:r w:rsidRPr="00907E94">
        <w:t>Préparation logistique et pédagogique du déploiement</w:t>
      </w:r>
      <w:r w:rsidR="005B39E5">
        <w:t xml:space="preserve"> ultérieur de la formation</w:t>
      </w:r>
      <w:r w:rsidRPr="00907E94">
        <w:t>.</w:t>
      </w:r>
    </w:p>
    <w:p w14:paraId="45903CFB" w14:textId="7D806CEB" w:rsidR="00AE198D" w:rsidRPr="00907E94" w:rsidRDefault="00AE198D" w:rsidP="00AE198D">
      <w:pPr>
        <w:spacing w:before="120" w:after="120"/>
        <w:jc w:val="both"/>
      </w:pPr>
      <w:r w:rsidRPr="00907E94">
        <w:t>Livrable</w:t>
      </w:r>
      <w:r w:rsidR="001314C7">
        <w:t>s attendus</w:t>
      </w:r>
      <w:r w:rsidRPr="00907E94">
        <w:t xml:space="preserve"> : Rapport de formation des formateurs + guide du formateur.</w:t>
      </w:r>
    </w:p>
    <w:p w14:paraId="2B9627B6" w14:textId="77777777" w:rsidR="00B84899" w:rsidRDefault="00B84899" w:rsidP="00AE198D">
      <w:pPr>
        <w:spacing w:before="120" w:after="120"/>
        <w:jc w:val="both"/>
        <w:rPr>
          <w:b/>
          <w:bCs/>
        </w:rPr>
      </w:pPr>
    </w:p>
    <w:p w14:paraId="562B2AC9" w14:textId="4816BE7A" w:rsidR="00AE198D" w:rsidRPr="00907E94" w:rsidRDefault="00AE198D" w:rsidP="00AE198D">
      <w:pPr>
        <w:spacing w:before="120" w:after="120"/>
        <w:jc w:val="both"/>
        <w:rPr>
          <w:b/>
          <w:bCs/>
        </w:rPr>
      </w:pPr>
      <w:r w:rsidRPr="00907E94">
        <w:rPr>
          <w:b/>
          <w:bCs/>
        </w:rPr>
        <w:t>Étape 5 : Déploiement de la formation dans les écoles pilotes</w:t>
      </w:r>
    </w:p>
    <w:p w14:paraId="387E5A8F" w14:textId="1D6B5311" w:rsidR="00C1578E" w:rsidRPr="00907E94" w:rsidRDefault="00C1578E" w:rsidP="00CE33DF">
      <w:pPr>
        <w:pStyle w:val="Paragraphedeliste"/>
        <w:numPr>
          <w:ilvl w:val="0"/>
          <w:numId w:val="7"/>
        </w:numPr>
        <w:suppressAutoHyphens/>
        <w:autoSpaceDN w:val="0"/>
        <w:spacing w:before="120" w:after="120"/>
        <w:ind w:left="426"/>
        <w:jc w:val="both"/>
        <w:textAlignment w:val="baseline"/>
      </w:pPr>
      <w:r w:rsidRPr="00907E94">
        <w:t>Elaboration et mise en œuvre d’une stratégie de mobilisation et de communication ciblée visant à informer, consulter et obtenir l’adhésion des autorités locales institutionnelles et traditionnelles, pour garantir l’intégration institutionnelle et sociale des actions de formation ;</w:t>
      </w:r>
    </w:p>
    <w:p w14:paraId="51154233" w14:textId="3839A909" w:rsidR="00AE198D" w:rsidRPr="00907E94" w:rsidRDefault="00AE198D" w:rsidP="00CE33DF">
      <w:pPr>
        <w:pStyle w:val="Paragraphedeliste"/>
        <w:numPr>
          <w:ilvl w:val="0"/>
          <w:numId w:val="7"/>
        </w:numPr>
        <w:spacing w:before="120" w:after="120"/>
        <w:ind w:left="426"/>
        <w:jc w:val="both"/>
      </w:pPr>
      <w:r w:rsidRPr="00907E94">
        <w:t>Organisation de sessions de formation sur 2 jours par groupe (</w:t>
      </w:r>
      <w:r w:rsidR="00D524B1" w:rsidRPr="00907E94">
        <w:t>2</w:t>
      </w:r>
      <w:r w:rsidR="00AD1DC5">
        <w:t>1</w:t>
      </w:r>
      <w:r w:rsidR="00D524B1" w:rsidRPr="00907E94">
        <w:t xml:space="preserve"> </w:t>
      </w:r>
      <w:r w:rsidRPr="00907E94">
        <w:t>participants max</w:t>
      </w:r>
      <w:r w:rsidR="000C740B">
        <w:t xml:space="preserve"> par groupe / </w:t>
      </w:r>
      <w:r w:rsidR="000C740B" w:rsidRPr="00907E94">
        <w:t>15 groupes pédagogiques</w:t>
      </w:r>
      <w:r w:rsidRPr="00907E94">
        <w:t>) ;</w:t>
      </w:r>
      <w:r w:rsidR="004F6F40">
        <w:t xml:space="preserve"> ces formations ayant lieu à Nouakchott pour les participants de la wilaya de Nouakchott Nord, et dans différentes localités du </w:t>
      </w:r>
      <w:proofErr w:type="spellStart"/>
      <w:r w:rsidR="004F6F40">
        <w:t>Brakna</w:t>
      </w:r>
      <w:proofErr w:type="spellEnd"/>
      <w:r w:rsidR="004F6F40">
        <w:t xml:space="preserve"> pour ceux issus de cette wilaya.</w:t>
      </w:r>
    </w:p>
    <w:p w14:paraId="190CB8E5" w14:textId="4471E40F" w:rsidR="00AE198D" w:rsidRPr="00907E94" w:rsidRDefault="00AE198D" w:rsidP="00CE33DF">
      <w:pPr>
        <w:pStyle w:val="Paragraphedeliste"/>
        <w:numPr>
          <w:ilvl w:val="0"/>
          <w:numId w:val="7"/>
        </w:numPr>
        <w:spacing w:before="120" w:after="120"/>
        <w:ind w:left="426"/>
        <w:jc w:val="both"/>
      </w:pPr>
      <w:r w:rsidRPr="00907E94">
        <w:t xml:space="preserve">Ciblage : </w:t>
      </w:r>
      <w:r w:rsidR="00D524B1" w:rsidRPr="00907E94">
        <w:t xml:space="preserve">3 </w:t>
      </w:r>
      <w:r w:rsidRPr="00907E94">
        <w:t>membres clés des COGES</w:t>
      </w:r>
      <w:r w:rsidR="00BC2BAE" w:rsidRPr="00907E94">
        <w:t xml:space="preserve"> (secrétaire général </w:t>
      </w:r>
      <w:r w:rsidR="005B39E5">
        <w:t>-</w:t>
      </w:r>
      <w:r w:rsidR="00BC2BAE" w:rsidRPr="00907E94">
        <w:t xml:space="preserve"> directeur d’école, représentant de l’APE et représentant de la commune) </w:t>
      </w:r>
      <w:r w:rsidR="004F6F40">
        <w:t xml:space="preserve">soit 318 personnes au total (106 COGES) </w:t>
      </w:r>
      <w:r w:rsidRPr="00907E94">
        <w:t>;</w:t>
      </w:r>
    </w:p>
    <w:p w14:paraId="506A5278" w14:textId="77777777" w:rsidR="00AE198D" w:rsidRPr="00907E94" w:rsidRDefault="00AE198D" w:rsidP="00CE33DF">
      <w:pPr>
        <w:pStyle w:val="Paragraphedeliste"/>
        <w:numPr>
          <w:ilvl w:val="0"/>
          <w:numId w:val="7"/>
        </w:numPr>
        <w:spacing w:before="120" w:after="120"/>
        <w:ind w:left="426"/>
        <w:jc w:val="both"/>
      </w:pPr>
      <w:r w:rsidRPr="00907E94">
        <w:t>Utilisation d’outils interactifs, d’exemples pratiques, de jeux de rôle et de canevas simplifiés.</w:t>
      </w:r>
    </w:p>
    <w:p w14:paraId="58F616DE" w14:textId="7561120C" w:rsidR="00AE198D" w:rsidRPr="00907E94" w:rsidRDefault="00AE198D" w:rsidP="00AE198D">
      <w:pPr>
        <w:spacing w:before="120" w:after="120"/>
        <w:jc w:val="both"/>
      </w:pPr>
      <w:r w:rsidRPr="00907E94">
        <w:t>Livrable</w:t>
      </w:r>
      <w:r w:rsidR="005B39E5">
        <w:t>s attendus</w:t>
      </w:r>
      <w:r w:rsidRPr="00907E94">
        <w:t xml:space="preserve"> : Liste des participants formés + note de capitalisation intermédiaire.</w:t>
      </w:r>
    </w:p>
    <w:p w14:paraId="35976073" w14:textId="3E41E941" w:rsidR="0069758F" w:rsidRPr="00907E94" w:rsidRDefault="0069758F" w:rsidP="00AE198D">
      <w:pPr>
        <w:spacing w:before="120" w:after="120"/>
        <w:jc w:val="both"/>
      </w:pPr>
      <w:r w:rsidRPr="00907E94">
        <w:t xml:space="preserve">Les formations des membres des COGES </w:t>
      </w:r>
      <w:r w:rsidR="005B39E5">
        <w:t xml:space="preserve">dans les écoles pilotes </w:t>
      </w:r>
      <w:r w:rsidRPr="00907E94">
        <w:t xml:space="preserve">seront assurées par le noyau de formateurs, avec l’accompagnement technique du </w:t>
      </w:r>
      <w:r w:rsidR="005B39E5">
        <w:t>prestataire retenu</w:t>
      </w:r>
      <w:r w:rsidRPr="00907E94">
        <w:t>.</w:t>
      </w:r>
    </w:p>
    <w:p w14:paraId="0E28F526" w14:textId="77777777" w:rsidR="00B84899" w:rsidRDefault="00B84899" w:rsidP="00AE198D">
      <w:pPr>
        <w:spacing w:before="120" w:after="120"/>
        <w:jc w:val="both"/>
        <w:rPr>
          <w:b/>
          <w:bCs/>
        </w:rPr>
      </w:pPr>
    </w:p>
    <w:p w14:paraId="441A60F9" w14:textId="17ED858B" w:rsidR="00AE198D" w:rsidRPr="00907E94" w:rsidRDefault="00AE198D" w:rsidP="00AE198D">
      <w:pPr>
        <w:spacing w:before="120" w:after="120"/>
        <w:jc w:val="both"/>
        <w:rPr>
          <w:b/>
          <w:bCs/>
        </w:rPr>
      </w:pPr>
      <w:r w:rsidRPr="00907E94">
        <w:rPr>
          <w:b/>
          <w:bCs/>
        </w:rPr>
        <w:t xml:space="preserve">Étape 6 : </w:t>
      </w:r>
      <w:r w:rsidR="00B84899">
        <w:rPr>
          <w:b/>
          <w:bCs/>
        </w:rPr>
        <w:t>Restitution et r</w:t>
      </w:r>
      <w:r w:rsidR="00B84899" w:rsidRPr="00B84899">
        <w:rPr>
          <w:b/>
          <w:bCs/>
        </w:rPr>
        <w:t>apport final</w:t>
      </w:r>
    </w:p>
    <w:p w14:paraId="2EB64E46" w14:textId="0AB08B72" w:rsidR="00AE198D" w:rsidRDefault="00AE198D" w:rsidP="00CE33DF">
      <w:pPr>
        <w:pStyle w:val="Paragraphedeliste"/>
        <w:numPr>
          <w:ilvl w:val="0"/>
          <w:numId w:val="7"/>
        </w:numPr>
        <w:spacing w:before="120" w:after="120"/>
        <w:ind w:left="426"/>
        <w:jc w:val="both"/>
      </w:pPr>
      <w:r w:rsidRPr="00907E94">
        <w:t>Animation d’un atelier nat</w:t>
      </w:r>
      <w:r w:rsidR="00CE33DF">
        <w:t>ional de restitution avec</w:t>
      </w:r>
      <w:r w:rsidRPr="00907E94">
        <w:t xml:space="preserve"> les parties prenantes</w:t>
      </w:r>
      <w:r w:rsidR="00CE33DF">
        <w:t xml:space="preserve"> (organisé par le PAIRE)</w:t>
      </w:r>
      <w:r w:rsidRPr="00907E94">
        <w:t>.</w:t>
      </w:r>
    </w:p>
    <w:p w14:paraId="2705DEAD" w14:textId="209195F7" w:rsidR="00B84899" w:rsidRPr="00907E94" w:rsidRDefault="00B84899" w:rsidP="00CE33DF">
      <w:pPr>
        <w:pStyle w:val="Paragraphedeliste"/>
        <w:numPr>
          <w:ilvl w:val="0"/>
          <w:numId w:val="7"/>
        </w:numPr>
        <w:spacing w:before="120" w:after="120"/>
        <w:ind w:left="426"/>
        <w:jc w:val="both"/>
      </w:pPr>
      <w:r>
        <w:t>Rédac</w:t>
      </w:r>
      <w:r w:rsidR="00CE33DF">
        <w:t>tion d’un rapport final assorti</w:t>
      </w:r>
      <w:r>
        <w:t xml:space="preserve"> de recommandations</w:t>
      </w:r>
      <w:r w:rsidR="00CE33DF">
        <w:t>.</w:t>
      </w:r>
    </w:p>
    <w:p w14:paraId="4C6210A6" w14:textId="08881772" w:rsidR="00AE198D" w:rsidRDefault="00AE198D" w:rsidP="00AE198D">
      <w:pPr>
        <w:spacing w:before="120" w:after="120"/>
        <w:jc w:val="both"/>
      </w:pPr>
      <w:r w:rsidRPr="00907E94">
        <w:t>Livrable</w:t>
      </w:r>
      <w:r w:rsidR="005B39E5">
        <w:t>s attendus</w:t>
      </w:r>
      <w:r w:rsidRPr="00907E94">
        <w:t xml:space="preserve"> : Rapport final complet incluant l’analyse de la phase pilote, les recommandations d’ajustement, et les propositions d’extension.</w:t>
      </w:r>
    </w:p>
    <w:p w14:paraId="7748E025" w14:textId="77777777" w:rsidR="00F22591" w:rsidRPr="00907E94" w:rsidRDefault="00F22591" w:rsidP="00F22591">
      <w:pPr>
        <w:shd w:val="clear" w:color="auto" w:fill="8EAADB" w:themeFill="accent5" w:themeFillTint="99"/>
        <w:spacing w:before="240"/>
        <w:jc w:val="both"/>
        <w:rPr>
          <w:rFonts w:eastAsia="Arial"/>
          <w:b/>
          <w:bCs/>
          <w:color w:val="FFFFFF" w:themeColor="background1"/>
        </w:rPr>
      </w:pPr>
      <w:r w:rsidRPr="00907E94">
        <w:rPr>
          <w:rFonts w:eastAsia="Arial"/>
          <w:b/>
          <w:bCs/>
          <w:color w:val="FFFFFF" w:themeColor="background1"/>
        </w:rPr>
        <w:lastRenderedPageBreak/>
        <w:t>Calendrier et livrables</w:t>
      </w:r>
    </w:p>
    <w:p w14:paraId="529FBA2D" w14:textId="77777777" w:rsidR="006200E4" w:rsidRPr="00907E94" w:rsidRDefault="006200E4" w:rsidP="00C63255">
      <w:pPr>
        <w:pStyle w:val="Default"/>
        <w:jc w:val="both"/>
        <w:rPr>
          <w:rFonts w:eastAsia="Times New Roman"/>
          <w:iCs/>
          <w:color w:val="auto"/>
          <w:sz w:val="22"/>
          <w:szCs w:val="22"/>
          <w:lang w:eastAsia="fr-FR"/>
        </w:rPr>
      </w:pPr>
    </w:p>
    <w:p w14:paraId="41CBF1DD" w14:textId="620CFD1C" w:rsidR="00F22591" w:rsidRPr="00907E94" w:rsidRDefault="00F22591" w:rsidP="00C63255">
      <w:pPr>
        <w:pStyle w:val="Default"/>
        <w:jc w:val="both"/>
        <w:rPr>
          <w:rFonts w:eastAsia="Times New Roman"/>
          <w:iCs/>
          <w:color w:val="auto"/>
          <w:sz w:val="22"/>
          <w:szCs w:val="22"/>
          <w:lang w:eastAsia="fr-FR"/>
        </w:rPr>
      </w:pPr>
      <w:r w:rsidRPr="00907E94">
        <w:rPr>
          <w:rFonts w:eastAsia="Times New Roman"/>
          <w:iCs/>
          <w:color w:val="auto"/>
          <w:sz w:val="22"/>
          <w:szCs w:val="22"/>
          <w:lang w:eastAsia="fr-FR"/>
        </w:rPr>
        <w:t xml:space="preserve">La mission d'appui aura </w:t>
      </w:r>
      <w:r w:rsidR="00DC22E8" w:rsidRPr="00907E94">
        <w:rPr>
          <w:rFonts w:eastAsia="Times New Roman"/>
          <w:iCs/>
          <w:color w:val="auto"/>
          <w:sz w:val="22"/>
          <w:szCs w:val="22"/>
          <w:lang w:eastAsia="fr-FR"/>
        </w:rPr>
        <w:t xml:space="preserve">une durée de </w:t>
      </w:r>
      <w:r w:rsidR="00890A4A" w:rsidRPr="00907E94">
        <w:rPr>
          <w:rFonts w:eastAsia="Times New Roman"/>
          <w:iCs/>
          <w:color w:val="auto"/>
          <w:sz w:val="22"/>
          <w:szCs w:val="22"/>
          <w:u w:val="single"/>
          <w:lang w:eastAsia="fr-FR"/>
        </w:rPr>
        <w:t xml:space="preserve">50 </w:t>
      </w:r>
      <w:r w:rsidR="00DC22E8" w:rsidRPr="00907E94">
        <w:rPr>
          <w:rFonts w:eastAsia="Times New Roman"/>
          <w:iCs/>
          <w:color w:val="auto"/>
          <w:sz w:val="22"/>
          <w:szCs w:val="22"/>
          <w:u w:val="single"/>
          <w:lang w:eastAsia="fr-FR"/>
        </w:rPr>
        <w:t>jour</w:t>
      </w:r>
      <w:r w:rsidR="00A24451" w:rsidRPr="00907E94">
        <w:rPr>
          <w:rFonts w:eastAsia="Times New Roman"/>
          <w:iCs/>
          <w:color w:val="auto"/>
          <w:sz w:val="22"/>
          <w:szCs w:val="22"/>
          <w:u w:val="single"/>
          <w:lang w:eastAsia="fr-FR"/>
        </w:rPr>
        <w:t>s</w:t>
      </w:r>
      <w:r w:rsidR="00DC22E8" w:rsidRPr="00907E94">
        <w:rPr>
          <w:rFonts w:eastAsia="Times New Roman"/>
          <w:iCs/>
          <w:color w:val="auto"/>
          <w:sz w:val="22"/>
          <w:szCs w:val="22"/>
          <w:u w:val="single"/>
          <w:lang w:eastAsia="fr-FR"/>
        </w:rPr>
        <w:t xml:space="preserve"> étalé</w:t>
      </w:r>
      <w:r w:rsidR="005B39E5">
        <w:rPr>
          <w:rFonts w:eastAsia="Times New Roman"/>
          <w:iCs/>
          <w:color w:val="auto"/>
          <w:sz w:val="22"/>
          <w:szCs w:val="22"/>
          <w:u w:val="single"/>
          <w:lang w:eastAsia="fr-FR"/>
        </w:rPr>
        <w:t>s</w:t>
      </w:r>
      <w:r w:rsidRPr="00907E94">
        <w:rPr>
          <w:rFonts w:eastAsia="Times New Roman"/>
          <w:iCs/>
          <w:color w:val="auto"/>
          <w:sz w:val="22"/>
          <w:szCs w:val="22"/>
          <w:u w:val="single"/>
          <w:lang w:eastAsia="fr-FR"/>
        </w:rPr>
        <w:t xml:space="preserve"> sur </w:t>
      </w:r>
      <w:r w:rsidR="000B3782" w:rsidRPr="00907E94">
        <w:rPr>
          <w:rFonts w:eastAsia="Times New Roman"/>
          <w:iCs/>
          <w:color w:val="auto"/>
          <w:sz w:val="22"/>
          <w:szCs w:val="22"/>
          <w:u w:val="single"/>
          <w:lang w:eastAsia="fr-FR"/>
        </w:rPr>
        <w:t xml:space="preserve">dix </w:t>
      </w:r>
      <w:r w:rsidR="00DC22E8" w:rsidRPr="00907E94">
        <w:rPr>
          <w:rFonts w:eastAsia="Times New Roman"/>
          <w:iCs/>
          <w:color w:val="auto"/>
          <w:sz w:val="22"/>
          <w:szCs w:val="22"/>
          <w:u w:val="single"/>
          <w:lang w:eastAsia="fr-FR"/>
        </w:rPr>
        <w:t>(</w:t>
      </w:r>
      <w:r w:rsidR="000B3782" w:rsidRPr="00907E94">
        <w:rPr>
          <w:rFonts w:eastAsia="Times New Roman"/>
          <w:iCs/>
          <w:color w:val="auto"/>
          <w:sz w:val="22"/>
          <w:szCs w:val="22"/>
          <w:u w:val="single"/>
          <w:lang w:eastAsia="fr-FR"/>
        </w:rPr>
        <w:t>10</w:t>
      </w:r>
      <w:r w:rsidR="00DC22E8" w:rsidRPr="00907E94">
        <w:rPr>
          <w:rFonts w:eastAsia="Times New Roman"/>
          <w:iCs/>
          <w:color w:val="auto"/>
          <w:sz w:val="22"/>
          <w:szCs w:val="22"/>
          <w:u w:val="single"/>
          <w:lang w:eastAsia="fr-FR"/>
        </w:rPr>
        <w:t>) semaines</w:t>
      </w:r>
      <w:r w:rsidR="00AD1DC5">
        <w:rPr>
          <w:rFonts w:eastAsia="Times New Roman"/>
          <w:iCs/>
          <w:color w:val="auto"/>
          <w:sz w:val="22"/>
          <w:szCs w:val="22"/>
          <w:u w:val="single"/>
          <w:lang w:eastAsia="fr-FR"/>
        </w:rPr>
        <w:t xml:space="preserve"> environ</w:t>
      </w:r>
      <w:r w:rsidRPr="00907E94">
        <w:rPr>
          <w:rFonts w:eastAsia="Times New Roman"/>
          <w:iCs/>
          <w:color w:val="auto"/>
          <w:sz w:val="22"/>
          <w:szCs w:val="22"/>
          <w:lang w:eastAsia="fr-FR"/>
        </w:rPr>
        <w:t xml:space="preserve">. Elle </w:t>
      </w:r>
      <w:r w:rsidR="00AD1DC5">
        <w:rPr>
          <w:rFonts w:eastAsia="Times New Roman"/>
          <w:iCs/>
          <w:color w:val="auto"/>
          <w:sz w:val="22"/>
          <w:szCs w:val="22"/>
          <w:lang w:eastAsia="fr-FR"/>
        </w:rPr>
        <w:t xml:space="preserve">sera organisée en </w:t>
      </w:r>
      <w:r w:rsidR="00EC2503">
        <w:rPr>
          <w:rFonts w:eastAsia="Times New Roman"/>
          <w:iCs/>
          <w:color w:val="auto"/>
          <w:sz w:val="22"/>
          <w:szCs w:val="22"/>
          <w:lang w:eastAsia="fr-FR"/>
        </w:rPr>
        <w:t>six étapes</w:t>
      </w:r>
      <w:r w:rsidRPr="00907E94">
        <w:rPr>
          <w:rFonts w:eastAsia="Times New Roman"/>
          <w:iCs/>
          <w:color w:val="auto"/>
          <w:sz w:val="22"/>
          <w:szCs w:val="22"/>
          <w:lang w:eastAsia="fr-FR"/>
        </w:rPr>
        <w:t xml:space="preserve">: </w:t>
      </w:r>
    </w:p>
    <w:p w14:paraId="2972EDFE" w14:textId="77777777" w:rsidR="00F22591" w:rsidRPr="00907E94" w:rsidRDefault="00F22591" w:rsidP="00F22591">
      <w:pPr>
        <w:pStyle w:val="Default"/>
        <w:jc w:val="both"/>
        <w:rPr>
          <w:rFonts w:eastAsia="Times New Roman"/>
          <w:iCs/>
          <w:color w:val="auto"/>
          <w:sz w:val="22"/>
          <w:szCs w:val="22"/>
          <w:lang w:eastAsia="fr-FR"/>
        </w:rPr>
      </w:pPr>
    </w:p>
    <w:tbl>
      <w:tblPr>
        <w:tblStyle w:val="Grilledutableau"/>
        <w:tblW w:w="5000" w:type="pct"/>
        <w:tblLook w:val="04A0" w:firstRow="1" w:lastRow="0" w:firstColumn="1" w:lastColumn="0" w:noHBand="0" w:noVBand="1"/>
      </w:tblPr>
      <w:tblGrid>
        <w:gridCol w:w="3475"/>
        <w:gridCol w:w="2835"/>
        <w:gridCol w:w="11"/>
        <w:gridCol w:w="1087"/>
        <w:gridCol w:w="10"/>
        <w:gridCol w:w="1632"/>
        <w:gridCol w:w="10"/>
      </w:tblGrid>
      <w:tr w:rsidR="00F22591" w:rsidRPr="00907E94" w14:paraId="66ADA08B" w14:textId="77777777" w:rsidTr="00AD1DC5">
        <w:trPr>
          <w:gridAfter w:val="1"/>
          <w:wAfter w:w="6" w:type="pct"/>
          <w:tblHeader/>
        </w:trPr>
        <w:tc>
          <w:tcPr>
            <w:tcW w:w="1919" w:type="pct"/>
            <w:shd w:val="clear" w:color="auto" w:fill="9CC2E5" w:themeFill="accent1" w:themeFillTint="99"/>
            <w:vAlign w:val="center"/>
          </w:tcPr>
          <w:p w14:paraId="3920FDDE" w14:textId="77777777" w:rsidR="00F22591" w:rsidRPr="00907E94" w:rsidRDefault="00F22591" w:rsidP="008F6F57">
            <w:pPr>
              <w:jc w:val="center"/>
              <w:rPr>
                <w:b/>
                <w:bCs/>
              </w:rPr>
            </w:pPr>
            <w:r w:rsidRPr="00907E94">
              <w:rPr>
                <w:b/>
                <w:bCs/>
              </w:rPr>
              <w:t>Activités</w:t>
            </w:r>
          </w:p>
        </w:tc>
        <w:tc>
          <w:tcPr>
            <w:tcW w:w="1565" w:type="pct"/>
            <w:shd w:val="clear" w:color="auto" w:fill="9CC2E5" w:themeFill="accent1" w:themeFillTint="99"/>
            <w:vAlign w:val="center"/>
          </w:tcPr>
          <w:p w14:paraId="41B80A43" w14:textId="06487F54" w:rsidR="00F22591" w:rsidRPr="00907E94" w:rsidRDefault="00F22591" w:rsidP="008F6F57">
            <w:pPr>
              <w:jc w:val="center"/>
              <w:rPr>
                <w:b/>
                <w:bCs/>
              </w:rPr>
            </w:pPr>
            <w:r w:rsidRPr="00907E94">
              <w:rPr>
                <w:b/>
                <w:bCs/>
              </w:rPr>
              <w:t>Livrable</w:t>
            </w:r>
            <w:r w:rsidR="006F5EAE" w:rsidRPr="00907E94">
              <w:rPr>
                <w:b/>
                <w:bCs/>
              </w:rPr>
              <w:t>s</w:t>
            </w:r>
          </w:p>
        </w:tc>
        <w:tc>
          <w:tcPr>
            <w:tcW w:w="603" w:type="pct"/>
            <w:gridSpan w:val="2"/>
            <w:shd w:val="clear" w:color="auto" w:fill="9CC2E5" w:themeFill="accent1" w:themeFillTint="99"/>
            <w:vAlign w:val="center"/>
          </w:tcPr>
          <w:p w14:paraId="4C6E734C" w14:textId="77777777" w:rsidR="00F22591" w:rsidRPr="00907E94" w:rsidRDefault="00F22591" w:rsidP="008F6F57">
            <w:pPr>
              <w:jc w:val="center"/>
              <w:rPr>
                <w:b/>
                <w:bCs/>
              </w:rPr>
            </w:pPr>
            <w:r w:rsidRPr="00907E94">
              <w:rPr>
                <w:b/>
                <w:bCs/>
              </w:rPr>
              <w:t>Nombre de jours (indicatif)</w:t>
            </w:r>
          </w:p>
        </w:tc>
        <w:tc>
          <w:tcPr>
            <w:tcW w:w="907" w:type="pct"/>
            <w:gridSpan w:val="2"/>
            <w:shd w:val="clear" w:color="auto" w:fill="9CC2E5" w:themeFill="accent1" w:themeFillTint="99"/>
            <w:vAlign w:val="center"/>
          </w:tcPr>
          <w:p w14:paraId="444A04F9" w14:textId="77777777" w:rsidR="00F22591" w:rsidRPr="00907E94" w:rsidRDefault="00F22591" w:rsidP="008F6F57">
            <w:pPr>
              <w:jc w:val="center"/>
              <w:rPr>
                <w:b/>
                <w:bCs/>
              </w:rPr>
            </w:pPr>
            <w:r w:rsidRPr="00907E94">
              <w:rPr>
                <w:b/>
                <w:bCs/>
              </w:rPr>
              <w:t>Période de mise en œuvre (indicatif)</w:t>
            </w:r>
          </w:p>
        </w:tc>
      </w:tr>
      <w:tr w:rsidR="00E1258E" w:rsidRPr="00907E94" w14:paraId="380BE772" w14:textId="77777777" w:rsidTr="00AD1DC5">
        <w:trPr>
          <w:trHeight w:val="158"/>
        </w:trPr>
        <w:tc>
          <w:tcPr>
            <w:tcW w:w="5000" w:type="pct"/>
            <w:gridSpan w:val="7"/>
            <w:shd w:val="clear" w:color="auto" w:fill="D9D9D9" w:themeFill="background1" w:themeFillShade="D9"/>
            <w:vAlign w:val="center"/>
          </w:tcPr>
          <w:p w14:paraId="5E8F3C5F" w14:textId="257CA96D" w:rsidR="00E1258E" w:rsidRPr="00907E94" w:rsidRDefault="00CC0604" w:rsidP="00CC0604">
            <w:pPr>
              <w:spacing w:before="120" w:after="120"/>
              <w:jc w:val="both"/>
              <w:rPr>
                <w:b/>
                <w:bCs/>
              </w:rPr>
            </w:pPr>
            <w:r w:rsidRPr="00907E94">
              <w:rPr>
                <w:b/>
                <w:bCs/>
              </w:rPr>
              <w:t>Étape 1 : Réunion de démarrage</w:t>
            </w:r>
          </w:p>
        </w:tc>
      </w:tr>
      <w:tr w:rsidR="00F06995" w:rsidRPr="00907E94" w14:paraId="71FD6EB4" w14:textId="77777777" w:rsidTr="00AD1DC5">
        <w:trPr>
          <w:gridAfter w:val="1"/>
          <w:wAfter w:w="6" w:type="pct"/>
          <w:trHeight w:val="175"/>
        </w:trPr>
        <w:tc>
          <w:tcPr>
            <w:tcW w:w="1919" w:type="pct"/>
            <w:vAlign w:val="center"/>
          </w:tcPr>
          <w:p w14:paraId="408F86F6" w14:textId="5E7AC38B" w:rsidR="00F06995" w:rsidRPr="00907E94" w:rsidRDefault="00AE0774" w:rsidP="00F06995">
            <w:pPr>
              <w:pStyle w:val="Default"/>
              <w:rPr>
                <w:sz w:val="22"/>
                <w:szCs w:val="22"/>
              </w:rPr>
            </w:pPr>
            <w:r w:rsidRPr="00907E94">
              <w:rPr>
                <w:color w:val="auto"/>
                <w:sz w:val="22"/>
                <w:szCs w:val="22"/>
              </w:rPr>
              <w:t>Réunion de démarrage (MERSE, DGE, DEF, DES, IGEN, PAIRE)</w:t>
            </w:r>
          </w:p>
        </w:tc>
        <w:tc>
          <w:tcPr>
            <w:tcW w:w="1565" w:type="pct"/>
            <w:vAlign w:val="center"/>
          </w:tcPr>
          <w:p w14:paraId="5D395FA9" w14:textId="6E86651D" w:rsidR="00F06995" w:rsidRPr="00907E94" w:rsidRDefault="00FA12C9" w:rsidP="00F06995">
            <w:pPr>
              <w:jc w:val="both"/>
            </w:pPr>
            <w:r w:rsidRPr="00907E94">
              <w:t>Compte rendu validé de la réunion de lancement</w:t>
            </w:r>
          </w:p>
        </w:tc>
        <w:tc>
          <w:tcPr>
            <w:tcW w:w="603" w:type="pct"/>
            <w:gridSpan w:val="2"/>
            <w:vAlign w:val="center"/>
          </w:tcPr>
          <w:p w14:paraId="7D17BD7E" w14:textId="1C575453" w:rsidR="00F06995" w:rsidRPr="00907E94" w:rsidRDefault="00FE2CB2" w:rsidP="001D2260">
            <w:pPr>
              <w:pStyle w:val="Default"/>
              <w:jc w:val="center"/>
              <w:rPr>
                <w:rFonts w:eastAsia="Times New Roman"/>
                <w:iCs/>
                <w:color w:val="auto"/>
                <w:sz w:val="22"/>
                <w:szCs w:val="22"/>
                <w:lang w:eastAsia="fr-FR"/>
              </w:rPr>
            </w:pPr>
            <w:r w:rsidRPr="00907E94">
              <w:rPr>
                <w:rFonts w:eastAsia="Times New Roman"/>
                <w:iCs/>
                <w:color w:val="auto"/>
                <w:sz w:val="22"/>
                <w:szCs w:val="22"/>
                <w:lang w:eastAsia="fr-FR"/>
              </w:rPr>
              <w:t>1</w:t>
            </w:r>
            <w:r w:rsidR="00F06995" w:rsidRPr="00907E94">
              <w:rPr>
                <w:rFonts w:eastAsia="Times New Roman"/>
                <w:iCs/>
                <w:color w:val="auto"/>
                <w:sz w:val="22"/>
                <w:szCs w:val="22"/>
                <w:lang w:eastAsia="fr-FR"/>
              </w:rPr>
              <w:t>j</w:t>
            </w:r>
          </w:p>
        </w:tc>
        <w:tc>
          <w:tcPr>
            <w:tcW w:w="907" w:type="pct"/>
            <w:gridSpan w:val="2"/>
            <w:vAlign w:val="center"/>
          </w:tcPr>
          <w:p w14:paraId="12CD8895" w14:textId="3F4DE189" w:rsidR="00F06995" w:rsidRPr="00907E94" w:rsidRDefault="00DC22E8" w:rsidP="00B00DB3">
            <w:pPr>
              <w:jc w:val="center"/>
            </w:pPr>
            <w:r w:rsidRPr="00907E94">
              <w:t>Semaine 1</w:t>
            </w:r>
          </w:p>
        </w:tc>
      </w:tr>
      <w:tr w:rsidR="00F06995" w:rsidRPr="00907E94" w14:paraId="5678738A" w14:textId="77777777" w:rsidTr="00AD1DC5">
        <w:trPr>
          <w:trHeight w:val="50"/>
        </w:trPr>
        <w:tc>
          <w:tcPr>
            <w:tcW w:w="5000" w:type="pct"/>
            <w:gridSpan w:val="7"/>
            <w:shd w:val="clear" w:color="auto" w:fill="D9D9D9" w:themeFill="background1" w:themeFillShade="D9"/>
            <w:vAlign w:val="center"/>
          </w:tcPr>
          <w:p w14:paraId="0ABED831" w14:textId="7D9E7409" w:rsidR="00F06995" w:rsidRPr="00907E94" w:rsidRDefault="00CC0604" w:rsidP="00CC0604">
            <w:pPr>
              <w:spacing w:before="120" w:after="120"/>
              <w:jc w:val="both"/>
              <w:rPr>
                <w:b/>
                <w:bCs/>
              </w:rPr>
            </w:pPr>
            <w:r w:rsidRPr="00907E94">
              <w:rPr>
                <w:b/>
                <w:bCs/>
              </w:rPr>
              <w:t xml:space="preserve">Étape 2 : </w:t>
            </w:r>
            <w:r w:rsidR="00AE198D" w:rsidRPr="00907E94">
              <w:rPr>
                <w:b/>
                <w:bCs/>
              </w:rPr>
              <w:t>Analyse documentaire et adaptation du modèle national</w:t>
            </w:r>
          </w:p>
        </w:tc>
      </w:tr>
      <w:tr w:rsidR="00F06995" w:rsidRPr="00907E94" w14:paraId="1AA977F7" w14:textId="77777777" w:rsidTr="00AD1DC5">
        <w:trPr>
          <w:gridAfter w:val="1"/>
          <w:wAfter w:w="6" w:type="pct"/>
          <w:trHeight w:val="50"/>
        </w:trPr>
        <w:tc>
          <w:tcPr>
            <w:tcW w:w="1919" w:type="pct"/>
            <w:vAlign w:val="center"/>
          </w:tcPr>
          <w:p w14:paraId="16318B30" w14:textId="22847579" w:rsidR="00F06995" w:rsidRPr="00907E94" w:rsidRDefault="00AE198D" w:rsidP="00F06995">
            <w:pPr>
              <w:jc w:val="both"/>
            </w:pPr>
            <w:r w:rsidRPr="00907E94">
              <w:t>Analyse du modèle national et adaptation aux écoles PAIRE</w:t>
            </w:r>
          </w:p>
        </w:tc>
        <w:tc>
          <w:tcPr>
            <w:tcW w:w="1565" w:type="pct"/>
            <w:vAlign w:val="center"/>
          </w:tcPr>
          <w:p w14:paraId="05B57ED1" w14:textId="4272AB0E" w:rsidR="00F06995" w:rsidRPr="00907E94" w:rsidRDefault="00AE198D" w:rsidP="00F06995">
            <w:pPr>
              <w:jc w:val="both"/>
            </w:pPr>
            <w:r w:rsidRPr="00907E94">
              <w:t>Note technique d’adaptation + version contextualisée des outils (canevas, supports)</w:t>
            </w:r>
          </w:p>
        </w:tc>
        <w:tc>
          <w:tcPr>
            <w:tcW w:w="603" w:type="pct"/>
            <w:gridSpan w:val="2"/>
            <w:vAlign w:val="center"/>
          </w:tcPr>
          <w:p w14:paraId="1ECECB41" w14:textId="6ECB9F9E" w:rsidR="00F06995" w:rsidRPr="00907E94" w:rsidRDefault="00A24451" w:rsidP="00F06995">
            <w:pPr>
              <w:pStyle w:val="Default"/>
              <w:jc w:val="center"/>
              <w:rPr>
                <w:rFonts w:eastAsia="Times New Roman"/>
                <w:iCs/>
                <w:color w:val="auto"/>
                <w:sz w:val="22"/>
                <w:szCs w:val="22"/>
                <w:lang w:eastAsia="fr-FR"/>
              </w:rPr>
            </w:pPr>
            <w:r w:rsidRPr="00907E94">
              <w:rPr>
                <w:rFonts w:eastAsia="Times New Roman"/>
                <w:iCs/>
                <w:color w:val="auto"/>
                <w:sz w:val="22"/>
                <w:szCs w:val="22"/>
                <w:lang w:eastAsia="fr-FR"/>
              </w:rPr>
              <w:t>6</w:t>
            </w:r>
            <w:r w:rsidR="00F06995" w:rsidRPr="00907E94">
              <w:rPr>
                <w:rFonts w:eastAsia="Times New Roman"/>
                <w:iCs/>
                <w:color w:val="auto"/>
                <w:sz w:val="22"/>
                <w:szCs w:val="22"/>
                <w:lang w:eastAsia="fr-FR"/>
              </w:rPr>
              <w:t>j</w:t>
            </w:r>
          </w:p>
        </w:tc>
        <w:tc>
          <w:tcPr>
            <w:tcW w:w="907" w:type="pct"/>
            <w:gridSpan w:val="2"/>
            <w:vAlign w:val="center"/>
          </w:tcPr>
          <w:p w14:paraId="7E584058" w14:textId="4C446544" w:rsidR="00F06995" w:rsidRPr="00907E94" w:rsidRDefault="00DC22E8" w:rsidP="00F06995">
            <w:pPr>
              <w:jc w:val="center"/>
            </w:pPr>
            <w:r w:rsidRPr="00907E94">
              <w:t>Semaine 1 et Semaine 2</w:t>
            </w:r>
          </w:p>
        </w:tc>
      </w:tr>
      <w:tr w:rsidR="00FA12C9" w:rsidRPr="00907E94" w14:paraId="1102B842" w14:textId="77777777" w:rsidTr="00AD1DC5">
        <w:trPr>
          <w:trHeight w:val="50"/>
        </w:trPr>
        <w:tc>
          <w:tcPr>
            <w:tcW w:w="5000" w:type="pct"/>
            <w:gridSpan w:val="7"/>
            <w:shd w:val="clear" w:color="auto" w:fill="D9D9D9" w:themeFill="background1" w:themeFillShade="D9"/>
            <w:vAlign w:val="center"/>
          </w:tcPr>
          <w:p w14:paraId="559D5CEC" w14:textId="428B7891" w:rsidR="00FA12C9" w:rsidRPr="00907E94" w:rsidRDefault="00FA12C9" w:rsidP="00FA12C9">
            <w:pPr>
              <w:spacing w:before="120" w:after="120"/>
              <w:jc w:val="both"/>
              <w:rPr>
                <w:b/>
                <w:bCs/>
              </w:rPr>
            </w:pPr>
            <w:r w:rsidRPr="00907E94">
              <w:rPr>
                <w:b/>
                <w:bCs/>
              </w:rPr>
              <w:t xml:space="preserve">Etape 3 : </w:t>
            </w:r>
            <w:r w:rsidR="00AE198D" w:rsidRPr="00907E94">
              <w:rPr>
                <w:b/>
                <w:bCs/>
              </w:rPr>
              <w:t>Conception du programme et des modules de formation</w:t>
            </w:r>
          </w:p>
        </w:tc>
      </w:tr>
      <w:tr w:rsidR="00FA12C9" w:rsidRPr="00907E94" w14:paraId="2DB1C609" w14:textId="77777777" w:rsidTr="00AD1DC5">
        <w:trPr>
          <w:gridAfter w:val="1"/>
          <w:wAfter w:w="6" w:type="pct"/>
          <w:trHeight w:val="50"/>
        </w:trPr>
        <w:tc>
          <w:tcPr>
            <w:tcW w:w="1919" w:type="pct"/>
            <w:vAlign w:val="center"/>
          </w:tcPr>
          <w:p w14:paraId="1C177A59" w14:textId="697E07CF" w:rsidR="00FA12C9" w:rsidRPr="00907E94" w:rsidRDefault="00AE198D" w:rsidP="00F06995">
            <w:pPr>
              <w:jc w:val="both"/>
            </w:pPr>
            <w:r w:rsidRPr="00907E94">
              <w:t>Conception du programme de formation et des modules</w:t>
            </w:r>
          </w:p>
        </w:tc>
        <w:tc>
          <w:tcPr>
            <w:tcW w:w="1565" w:type="pct"/>
            <w:vAlign w:val="center"/>
          </w:tcPr>
          <w:p w14:paraId="4BBD7C1A" w14:textId="4FB11CEB" w:rsidR="00FA12C9" w:rsidRPr="00907E94" w:rsidRDefault="00AE198D" w:rsidP="00F06995">
            <w:pPr>
              <w:jc w:val="both"/>
            </w:pPr>
            <w:r w:rsidRPr="00907E94">
              <w:t>Programme structuré + modules thématiques + supports pédagogiques</w:t>
            </w:r>
          </w:p>
        </w:tc>
        <w:tc>
          <w:tcPr>
            <w:tcW w:w="603" w:type="pct"/>
            <w:gridSpan w:val="2"/>
            <w:vAlign w:val="center"/>
          </w:tcPr>
          <w:p w14:paraId="3F4ECE22" w14:textId="7F4FB9D7" w:rsidR="00FA12C9" w:rsidRPr="00907E94" w:rsidRDefault="00A24451" w:rsidP="00F06995">
            <w:pPr>
              <w:pStyle w:val="Default"/>
              <w:jc w:val="center"/>
              <w:rPr>
                <w:rFonts w:eastAsia="Times New Roman"/>
                <w:iCs/>
                <w:color w:val="auto"/>
                <w:sz w:val="22"/>
                <w:szCs w:val="22"/>
                <w:lang w:eastAsia="fr-FR"/>
              </w:rPr>
            </w:pPr>
            <w:r w:rsidRPr="00907E94">
              <w:rPr>
                <w:rFonts w:eastAsia="Times New Roman"/>
                <w:iCs/>
                <w:color w:val="auto"/>
                <w:sz w:val="22"/>
                <w:szCs w:val="22"/>
                <w:lang w:eastAsia="fr-FR"/>
              </w:rPr>
              <w:t>10j</w:t>
            </w:r>
          </w:p>
        </w:tc>
        <w:tc>
          <w:tcPr>
            <w:tcW w:w="907" w:type="pct"/>
            <w:gridSpan w:val="2"/>
            <w:vAlign w:val="center"/>
          </w:tcPr>
          <w:p w14:paraId="4D46BC47" w14:textId="7976422E" w:rsidR="00FA12C9" w:rsidRPr="00907E94" w:rsidRDefault="00FA12C9" w:rsidP="00F06995">
            <w:pPr>
              <w:jc w:val="center"/>
            </w:pPr>
            <w:r w:rsidRPr="00907E94">
              <w:t>Semaine 2</w:t>
            </w:r>
            <w:r w:rsidR="00AE198D" w:rsidRPr="00907E94">
              <w:t xml:space="preserve"> </w:t>
            </w:r>
            <w:r w:rsidR="00A24451" w:rsidRPr="00907E94">
              <w:t>-Semaine 4</w:t>
            </w:r>
          </w:p>
        </w:tc>
      </w:tr>
      <w:tr w:rsidR="00F06995" w:rsidRPr="00907E94" w14:paraId="08A786A8" w14:textId="77777777" w:rsidTr="00AD1DC5">
        <w:trPr>
          <w:trHeight w:val="276"/>
        </w:trPr>
        <w:tc>
          <w:tcPr>
            <w:tcW w:w="5000" w:type="pct"/>
            <w:gridSpan w:val="7"/>
            <w:shd w:val="clear" w:color="auto" w:fill="D9D9D9" w:themeFill="background1" w:themeFillShade="D9"/>
            <w:vAlign w:val="center"/>
          </w:tcPr>
          <w:p w14:paraId="6EA9F1A0" w14:textId="5FBBAE36" w:rsidR="00F06995" w:rsidRPr="00907E94" w:rsidRDefault="00CC0604" w:rsidP="00CC0604">
            <w:pPr>
              <w:spacing w:before="120" w:after="120"/>
              <w:jc w:val="both"/>
              <w:rPr>
                <w:b/>
                <w:bCs/>
              </w:rPr>
            </w:pPr>
            <w:r w:rsidRPr="00907E94">
              <w:rPr>
                <w:b/>
                <w:bCs/>
              </w:rPr>
              <w:t xml:space="preserve">Étape </w:t>
            </w:r>
            <w:r w:rsidR="00A24451" w:rsidRPr="00907E94">
              <w:rPr>
                <w:b/>
                <w:bCs/>
              </w:rPr>
              <w:t>4</w:t>
            </w:r>
            <w:r w:rsidRPr="00907E94">
              <w:rPr>
                <w:b/>
                <w:bCs/>
              </w:rPr>
              <w:t xml:space="preserve"> : Mise en œuvre de la formation</w:t>
            </w:r>
            <w:r w:rsidR="00855391">
              <w:rPr>
                <w:b/>
                <w:bCs/>
              </w:rPr>
              <w:t xml:space="preserve"> des formateurs</w:t>
            </w:r>
          </w:p>
        </w:tc>
      </w:tr>
      <w:tr w:rsidR="00F06995" w:rsidRPr="00907E94" w14:paraId="3139F729" w14:textId="77777777" w:rsidTr="00AD1DC5">
        <w:trPr>
          <w:gridAfter w:val="1"/>
          <w:wAfter w:w="6" w:type="pct"/>
          <w:trHeight w:val="552"/>
        </w:trPr>
        <w:tc>
          <w:tcPr>
            <w:tcW w:w="1919" w:type="pct"/>
            <w:vAlign w:val="center"/>
          </w:tcPr>
          <w:p w14:paraId="2604E092" w14:textId="58A22E84" w:rsidR="00DC22E8" w:rsidRPr="00907E94" w:rsidRDefault="00AE0774" w:rsidP="00F06995">
            <w:pPr>
              <w:jc w:val="both"/>
            </w:pPr>
            <w:r w:rsidRPr="00907E94">
              <w:t xml:space="preserve">Formation du noyau national de </w:t>
            </w:r>
            <w:r w:rsidR="00CE33DF">
              <w:t xml:space="preserve">50 </w:t>
            </w:r>
            <w:r w:rsidRPr="00907E94">
              <w:t xml:space="preserve">formateurs (cadres des DGE, DEF, DES, </w:t>
            </w:r>
            <w:r w:rsidR="00D524B1" w:rsidRPr="00907E94">
              <w:t>IGEN</w:t>
            </w:r>
            <w:r w:rsidRPr="00907E94">
              <w:t xml:space="preserve">, </w:t>
            </w:r>
            <w:r w:rsidR="00945AF9" w:rsidRPr="00907E94">
              <w:t xml:space="preserve">DREN, IDEF et </w:t>
            </w:r>
            <w:r w:rsidR="00D524B1" w:rsidRPr="00907E94">
              <w:t>IC</w:t>
            </w:r>
            <w:r w:rsidRPr="00907E94">
              <w:t>)</w:t>
            </w:r>
            <w:r w:rsidR="008A1C0D" w:rsidRPr="00907E94">
              <w:t xml:space="preserve"> et représentants départementaux, régionaux et nationaux des associations de parents d’élèves (APE)</w:t>
            </w:r>
          </w:p>
          <w:p w14:paraId="726C0C47" w14:textId="0914EB83" w:rsidR="00BC2BAE" w:rsidRPr="00907E94" w:rsidRDefault="00BC2BAE" w:rsidP="00F06995">
            <w:pPr>
              <w:jc w:val="both"/>
            </w:pPr>
            <w:r w:rsidRPr="00907E94">
              <w:t>Trois sessions de cinq jours chacune.</w:t>
            </w:r>
          </w:p>
        </w:tc>
        <w:tc>
          <w:tcPr>
            <w:tcW w:w="1565" w:type="pct"/>
            <w:vAlign w:val="center"/>
          </w:tcPr>
          <w:p w14:paraId="361FFFEC" w14:textId="71DBF9D6" w:rsidR="00F06995" w:rsidRPr="00907E94" w:rsidRDefault="00A24451" w:rsidP="00F06995">
            <w:pPr>
              <w:jc w:val="both"/>
            </w:pPr>
            <w:r w:rsidRPr="00907E94">
              <w:t>Rapport de formation des formateurs + guide du formateur</w:t>
            </w:r>
          </w:p>
        </w:tc>
        <w:tc>
          <w:tcPr>
            <w:tcW w:w="603" w:type="pct"/>
            <w:gridSpan w:val="2"/>
            <w:vAlign w:val="center"/>
          </w:tcPr>
          <w:p w14:paraId="04A9CB97" w14:textId="01FF2170" w:rsidR="00F06995" w:rsidRPr="00907E94" w:rsidRDefault="00D524B1" w:rsidP="00F06995">
            <w:pPr>
              <w:pStyle w:val="Default"/>
              <w:jc w:val="center"/>
              <w:rPr>
                <w:rFonts w:eastAsia="Times New Roman"/>
                <w:iCs/>
                <w:color w:val="auto"/>
                <w:sz w:val="22"/>
                <w:szCs w:val="22"/>
                <w:lang w:eastAsia="fr-FR"/>
              </w:rPr>
            </w:pPr>
            <w:r w:rsidRPr="00907E94">
              <w:rPr>
                <w:rFonts w:eastAsia="Times New Roman"/>
                <w:iCs/>
                <w:color w:val="auto"/>
                <w:sz w:val="22"/>
                <w:szCs w:val="22"/>
                <w:lang w:eastAsia="fr-FR"/>
              </w:rPr>
              <w:t>1</w:t>
            </w:r>
            <w:r w:rsidR="00BC2BAE" w:rsidRPr="00907E94">
              <w:rPr>
                <w:rFonts w:eastAsia="Times New Roman"/>
                <w:iCs/>
                <w:color w:val="auto"/>
                <w:sz w:val="22"/>
                <w:szCs w:val="22"/>
                <w:lang w:eastAsia="fr-FR"/>
              </w:rPr>
              <w:t>5</w:t>
            </w:r>
            <w:r w:rsidRPr="00907E94">
              <w:rPr>
                <w:rFonts w:eastAsia="Times New Roman"/>
                <w:iCs/>
                <w:color w:val="auto"/>
                <w:sz w:val="22"/>
                <w:szCs w:val="22"/>
                <w:lang w:eastAsia="fr-FR"/>
              </w:rPr>
              <w:t>j</w:t>
            </w:r>
            <w:r w:rsidR="00BC2BAE" w:rsidRPr="00907E94">
              <w:rPr>
                <w:rFonts w:eastAsia="Times New Roman"/>
                <w:iCs/>
                <w:color w:val="auto"/>
                <w:sz w:val="22"/>
                <w:szCs w:val="22"/>
                <w:lang w:eastAsia="fr-FR"/>
              </w:rPr>
              <w:t xml:space="preserve"> (5j × 3 sessions)</w:t>
            </w:r>
          </w:p>
        </w:tc>
        <w:tc>
          <w:tcPr>
            <w:tcW w:w="907" w:type="pct"/>
            <w:gridSpan w:val="2"/>
            <w:vAlign w:val="center"/>
          </w:tcPr>
          <w:p w14:paraId="00F424F2" w14:textId="33B26AEE" w:rsidR="00F06995" w:rsidRPr="00907E94" w:rsidRDefault="00FA12C9" w:rsidP="00F06995">
            <w:pPr>
              <w:jc w:val="center"/>
            </w:pPr>
            <w:r w:rsidRPr="00907E94">
              <w:t>Semaine</w:t>
            </w:r>
            <w:r w:rsidR="00A24451" w:rsidRPr="00907E94">
              <w:t xml:space="preserve"> </w:t>
            </w:r>
            <w:r w:rsidR="000F5723" w:rsidRPr="00907E94">
              <w:t>4 -</w:t>
            </w:r>
            <w:r w:rsidR="00A24451" w:rsidRPr="00907E94">
              <w:t xml:space="preserve">Semaine </w:t>
            </w:r>
            <w:r w:rsidR="000B3782" w:rsidRPr="00907E94">
              <w:t>8</w:t>
            </w:r>
          </w:p>
        </w:tc>
      </w:tr>
      <w:tr w:rsidR="00CC0604" w:rsidRPr="00907E94" w14:paraId="10C6535D" w14:textId="77777777" w:rsidTr="00AD1DC5">
        <w:tc>
          <w:tcPr>
            <w:tcW w:w="5000" w:type="pct"/>
            <w:gridSpan w:val="7"/>
            <w:shd w:val="clear" w:color="auto" w:fill="D9D9D9" w:themeFill="background1" w:themeFillShade="D9"/>
            <w:vAlign w:val="center"/>
          </w:tcPr>
          <w:p w14:paraId="48BCDF10" w14:textId="243B2446" w:rsidR="00CC0604" w:rsidRPr="00907E94" w:rsidRDefault="00CC0604" w:rsidP="00EC2503">
            <w:pPr>
              <w:spacing w:before="120" w:after="120"/>
              <w:jc w:val="both"/>
              <w:rPr>
                <w:b/>
                <w:bCs/>
              </w:rPr>
            </w:pPr>
            <w:r w:rsidRPr="00907E94">
              <w:rPr>
                <w:b/>
                <w:bCs/>
              </w:rPr>
              <w:t>Étape</w:t>
            </w:r>
            <w:r w:rsidR="00FA12C9" w:rsidRPr="00907E94">
              <w:rPr>
                <w:b/>
                <w:bCs/>
              </w:rPr>
              <w:t xml:space="preserve"> </w:t>
            </w:r>
            <w:r w:rsidR="00EC2503">
              <w:rPr>
                <w:b/>
                <w:bCs/>
              </w:rPr>
              <w:t>5</w:t>
            </w:r>
            <w:r w:rsidRPr="00907E94">
              <w:rPr>
                <w:b/>
                <w:bCs/>
              </w:rPr>
              <w:t xml:space="preserve"> : </w:t>
            </w:r>
            <w:r w:rsidR="00FA12C9" w:rsidRPr="00907E94">
              <w:rPr>
                <w:b/>
                <w:bCs/>
              </w:rPr>
              <w:t xml:space="preserve">Phase pilote -Expérimentation </w:t>
            </w:r>
            <w:r w:rsidR="00855391">
              <w:rPr>
                <w:b/>
                <w:bCs/>
              </w:rPr>
              <w:t>– formation des COGES</w:t>
            </w:r>
          </w:p>
        </w:tc>
      </w:tr>
      <w:tr w:rsidR="00CC0604" w:rsidRPr="00907E94" w14:paraId="457114DB" w14:textId="77777777" w:rsidTr="00AD1DC5">
        <w:trPr>
          <w:gridAfter w:val="1"/>
          <w:wAfter w:w="6" w:type="pct"/>
          <w:trHeight w:val="552"/>
        </w:trPr>
        <w:tc>
          <w:tcPr>
            <w:tcW w:w="1919" w:type="pct"/>
            <w:vAlign w:val="center"/>
          </w:tcPr>
          <w:p w14:paraId="13E8523E" w14:textId="39EACC0F" w:rsidR="00CC0604" w:rsidRPr="00907E94" w:rsidRDefault="00AE0774" w:rsidP="00F06995">
            <w:pPr>
              <w:jc w:val="both"/>
            </w:pPr>
            <w:r w:rsidRPr="00907E94">
              <w:t xml:space="preserve">Organiser </w:t>
            </w:r>
            <w:r w:rsidR="00BC2BAE" w:rsidRPr="00907E94">
              <w:t xml:space="preserve">15 </w:t>
            </w:r>
            <w:r w:rsidRPr="00907E94">
              <w:t xml:space="preserve">sessions de </w:t>
            </w:r>
            <w:r w:rsidR="00BC2BAE" w:rsidRPr="00907E94">
              <w:t xml:space="preserve">1 </w:t>
            </w:r>
            <w:r w:rsidRPr="00907E94">
              <w:t xml:space="preserve">jour (max. </w:t>
            </w:r>
            <w:r w:rsidR="002875BE" w:rsidRPr="00907E94">
              <w:t>2</w:t>
            </w:r>
            <w:r w:rsidR="00AD1DC5">
              <w:t>1</w:t>
            </w:r>
            <w:r w:rsidR="002875BE" w:rsidRPr="00907E94">
              <w:t xml:space="preserve"> </w:t>
            </w:r>
            <w:r w:rsidRPr="00907E94">
              <w:t>participants/session)</w:t>
            </w:r>
          </w:p>
          <w:p w14:paraId="2E31E38B" w14:textId="77777777" w:rsidR="00BC2BAE" w:rsidRPr="00907E94" w:rsidRDefault="00BC2BAE" w:rsidP="00BC2BAE">
            <w:pPr>
              <w:suppressAutoHyphens/>
              <w:autoSpaceDN w:val="0"/>
              <w:spacing w:before="120" w:after="120"/>
              <w:jc w:val="both"/>
              <w:textAlignment w:val="baseline"/>
            </w:pPr>
            <w:r w:rsidRPr="00907E94">
              <w:t>106 écoles pilotes réparties sur 2 DREN ;</w:t>
            </w:r>
          </w:p>
          <w:p w14:paraId="4AF31094" w14:textId="77777777" w:rsidR="00BC2BAE" w:rsidRPr="00907E94" w:rsidRDefault="00BC2BAE" w:rsidP="00BC2BAE">
            <w:r w:rsidRPr="00907E94">
              <w:t>3 membres de COGES : Directeur d’écoles, le représentant de l’APE, représentant de la commune = 318 personnes à former</w:t>
            </w:r>
          </w:p>
          <w:p w14:paraId="69CFE9BC" w14:textId="77777777" w:rsidR="00BC2BAE" w:rsidRPr="00907E94" w:rsidRDefault="00BC2BAE" w:rsidP="00BC2BAE"/>
          <w:p w14:paraId="6846C7AE" w14:textId="77777777" w:rsidR="00BC2BAE" w:rsidRPr="00907E94" w:rsidRDefault="00BC2BAE" w:rsidP="00BC2BAE">
            <w:r w:rsidRPr="00907E94">
              <w:t xml:space="preserve">Nombre de groupes : 318/20 = environ 15 groupes pédagogiques </w:t>
            </w:r>
          </w:p>
          <w:p w14:paraId="07915FB7" w14:textId="1B809070" w:rsidR="00D524B1" w:rsidRPr="00907E94" w:rsidRDefault="00D524B1" w:rsidP="00D524B1">
            <w:pPr>
              <w:jc w:val="both"/>
            </w:pPr>
          </w:p>
        </w:tc>
        <w:tc>
          <w:tcPr>
            <w:tcW w:w="1565" w:type="pct"/>
            <w:vAlign w:val="center"/>
          </w:tcPr>
          <w:p w14:paraId="770C8DA8" w14:textId="2AAF3B67" w:rsidR="00AE0774" w:rsidRPr="00907E94" w:rsidRDefault="00AE0774" w:rsidP="00F06995">
            <w:pPr>
              <w:jc w:val="both"/>
            </w:pPr>
            <w:r w:rsidRPr="00907E94">
              <w:t>Rapport de formation + kit pédagogique complet,</w:t>
            </w:r>
          </w:p>
          <w:p w14:paraId="6F11AFB1" w14:textId="604FF8E7" w:rsidR="00CC0604" w:rsidRPr="00907E94" w:rsidRDefault="00FA12C9" w:rsidP="00F06995">
            <w:pPr>
              <w:jc w:val="both"/>
            </w:pPr>
            <w:r w:rsidRPr="00907E94">
              <w:t>Note de capitalisation sur la phase pilote</w:t>
            </w:r>
          </w:p>
        </w:tc>
        <w:tc>
          <w:tcPr>
            <w:tcW w:w="603" w:type="pct"/>
            <w:gridSpan w:val="2"/>
            <w:vAlign w:val="center"/>
          </w:tcPr>
          <w:p w14:paraId="148E0CB1" w14:textId="1F0A3018" w:rsidR="00CC0604" w:rsidRPr="00907E94" w:rsidRDefault="00BC2BAE" w:rsidP="00F06995">
            <w:pPr>
              <w:pStyle w:val="Default"/>
              <w:jc w:val="center"/>
              <w:rPr>
                <w:rFonts w:eastAsia="Times New Roman"/>
                <w:iCs/>
                <w:color w:val="auto"/>
                <w:sz w:val="22"/>
                <w:szCs w:val="22"/>
                <w:lang w:eastAsia="fr-FR"/>
              </w:rPr>
            </w:pPr>
            <w:r w:rsidRPr="00907E94">
              <w:rPr>
                <w:rFonts w:eastAsia="Times New Roman"/>
                <w:iCs/>
                <w:color w:val="auto"/>
                <w:sz w:val="22"/>
                <w:szCs w:val="22"/>
                <w:lang w:eastAsia="fr-FR"/>
              </w:rPr>
              <w:t xml:space="preserve">15j </w:t>
            </w:r>
            <w:r w:rsidR="00AE0774" w:rsidRPr="00907E94">
              <w:rPr>
                <w:rFonts w:eastAsia="Times New Roman"/>
                <w:iCs/>
                <w:color w:val="auto"/>
                <w:sz w:val="22"/>
                <w:szCs w:val="22"/>
                <w:lang w:eastAsia="fr-FR"/>
              </w:rPr>
              <w:t>(</w:t>
            </w:r>
            <w:r w:rsidRPr="00907E94">
              <w:rPr>
                <w:rFonts w:eastAsia="Times New Roman"/>
                <w:iCs/>
                <w:color w:val="auto"/>
                <w:sz w:val="22"/>
                <w:szCs w:val="22"/>
                <w:lang w:eastAsia="fr-FR"/>
              </w:rPr>
              <w:t xml:space="preserve">1 </w:t>
            </w:r>
            <w:r w:rsidR="00AE0774" w:rsidRPr="00907E94">
              <w:rPr>
                <w:rFonts w:eastAsia="Times New Roman"/>
                <w:iCs/>
                <w:color w:val="auto"/>
                <w:sz w:val="22"/>
                <w:szCs w:val="22"/>
                <w:lang w:eastAsia="fr-FR"/>
              </w:rPr>
              <w:t xml:space="preserve">j × </w:t>
            </w:r>
            <w:r w:rsidRPr="00907E94">
              <w:rPr>
                <w:rFonts w:eastAsia="Times New Roman"/>
                <w:iCs/>
                <w:color w:val="auto"/>
                <w:sz w:val="22"/>
                <w:szCs w:val="22"/>
                <w:lang w:eastAsia="fr-FR"/>
              </w:rPr>
              <w:t xml:space="preserve">15 </w:t>
            </w:r>
            <w:r w:rsidR="00AE0774" w:rsidRPr="00907E94">
              <w:rPr>
                <w:rFonts w:eastAsia="Times New Roman"/>
                <w:iCs/>
                <w:color w:val="auto"/>
                <w:sz w:val="22"/>
                <w:szCs w:val="22"/>
                <w:lang w:eastAsia="fr-FR"/>
              </w:rPr>
              <w:t>sessions)</w:t>
            </w:r>
          </w:p>
        </w:tc>
        <w:tc>
          <w:tcPr>
            <w:tcW w:w="907" w:type="pct"/>
            <w:gridSpan w:val="2"/>
            <w:vAlign w:val="center"/>
          </w:tcPr>
          <w:p w14:paraId="2889B1A7" w14:textId="116F680D" w:rsidR="00CC0604" w:rsidRPr="00907E94" w:rsidRDefault="00DC22E8" w:rsidP="00F06995">
            <w:pPr>
              <w:jc w:val="center"/>
            </w:pPr>
            <w:r w:rsidRPr="00907E94">
              <w:t xml:space="preserve">Semaine </w:t>
            </w:r>
            <w:r w:rsidR="000B3782" w:rsidRPr="00907E94">
              <w:t>8</w:t>
            </w:r>
            <w:r w:rsidR="00AE0774" w:rsidRPr="00907E94">
              <w:t xml:space="preserve">-Sermaine </w:t>
            </w:r>
            <w:r w:rsidR="000B3782" w:rsidRPr="00907E94">
              <w:t>10</w:t>
            </w:r>
          </w:p>
        </w:tc>
      </w:tr>
      <w:tr w:rsidR="00F06995" w:rsidRPr="00907E94" w14:paraId="294D6D6F" w14:textId="77777777" w:rsidTr="00AD1DC5">
        <w:tc>
          <w:tcPr>
            <w:tcW w:w="5000" w:type="pct"/>
            <w:gridSpan w:val="7"/>
            <w:shd w:val="clear" w:color="auto" w:fill="D9D9D9" w:themeFill="background1" w:themeFillShade="D9"/>
            <w:vAlign w:val="center"/>
          </w:tcPr>
          <w:p w14:paraId="32A2C431" w14:textId="10662FFA" w:rsidR="00F06995" w:rsidRPr="00907E94" w:rsidRDefault="00CC0604" w:rsidP="00CC0604">
            <w:pPr>
              <w:spacing w:before="120" w:after="120"/>
              <w:jc w:val="both"/>
              <w:rPr>
                <w:b/>
                <w:bCs/>
              </w:rPr>
            </w:pPr>
            <w:r w:rsidRPr="00907E94">
              <w:rPr>
                <w:b/>
                <w:bCs/>
              </w:rPr>
              <w:lastRenderedPageBreak/>
              <w:t>Étape</w:t>
            </w:r>
            <w:r w:rsidR="00A24451" w:rsidRPr="00907E94">
              <w:rPr>
                <w:b/>
                <w:bCs/>
              </w:rPr>
              <w:t xml:space="preserve"> 6</w:t>
            </w:r>
            <w:r w:rsidR="00BD2A55" w:rsidRPr="00907E94">
              <w:rPr>
                <w:b/>
                <w:bCs/>
              </w:rPr>
              <w:t xml:space="preserve"> </w:t>
            </w:r>
            <w:r w:rsidRPr="00907E94">
              <w:rPr>
                <w:b/>
                <w:bCs/>
              </w:rPr>
              <w:t>: Rapport final et recommandations</w:t>
            </w:r>
          </w:p>
        </w:tc>
      </w:tr>
      <w:tr w:rsidR="00F06995" w:rsidRPr="00907E94" w14:paraId="10D6E6E8" w14:textId="77777777" w:rsidTr="00AD1DC5">
        <w:trPr>
          <w:gridAfter w:val="1"/>
          <w:wAfter w:w="6" w:type="pct"/>
        </w:trPr>
        <w:tc>
          <w:tcPr>
            <w:tcW w:w="1919" w:type="pct"/>
            <w:vAlign w:val="center"/>
          </w:tcPr>
          <w:p w14:paraId="17CBAFEC" w14:textId="146DFD6B" w:rsidR="00F06995" w:rsidRPr="00907E94" w:rsidRDefault="00FA12C9" w:rsidP="00CC0604">
            <w:pPr>
              <w:jc w:val="both"/>
            </w:pPr>
            <w:r w:rsidRPr="00907E94">
              <w:t>Restitution et rapport final incluant recommandations pour la généralisation</w:t>
            </w:r>
          </w:p>
        </w:tc>
        <w:tc>
          <w:tcPr>
            <w:tcW w:w="1565" w:type="pct"/>
            <w:vAlign w:val="center"/>
          </w:tcPr>
          <w:p w14:paraId="7C28AF69" w14:textId="5A542547" w:rsidR="00F06995" w:rsidRPr="00907E94" w:rsidRDefault="00F45863" w:rsidP="00F06995">
            <w:pPr>
              <w:jc w:val="both"/>
            </w:pPr>
            <w:r w:rsidRPr="00907E94">
              <w:t>Rapport final de mission avec recommandations</w:t>
            </w:r>
          </w:p>
        </w:tc>
        <w:tc>
          <w:tcPr>
            <w:tcW w:w="603" w:type="pct"/>
            <w:gridSpan w:val="2"/>
            <w:vAlign w:val="center"/>
          </w:tcPr>
          <w:p w14:paraId="3FDE39F5" w14:textId="28A6C8F4" w:rsidR="00F06995" w:rsidRPr="00907E94" w:rsidRDefault="00FE2CB2" w:rsidP="00F06995">
            <w:pPr>
              <w:pStyle w:val="Default"/>
              <w:jc w:val="center"/>
              <w:rPr>
                <w:rFonts w:eastAsia="Times New Roman"/>
                <w:iCs/>
                <w:color w:val="auto"/>
                <w:sz w:val="22"/>
                <w:szCs w:val="22"/>
                <w:lang w:eastAsia="fr-FR"/>
              </w:rPr>
            </w:pPr>
            <w:r w:rsidRPr="00907E94">
              <w:rPr>
                <w:rFonts w:eastAsia="Times New Roman"/>
                <w:iCs/>
                <w:color w:val="auto"/>
                <w:sz w:val="22"/>
                <w:szCs w:val="22"/>
                <w:lang w:eastAsia="fr-FR"/>
              </w:rPr>
              <w:t>3</w:t>
            </w:r>
            <w:r w:rsidR="00F06995" w:rsidRPr="00907E94">
              <w:rPr>
                <w:rFonts w:eastAsia="Times New Roman"/>
                <w:iCs/>
                <w:color w:val="auto"/>
                <w:sz w:val="22"/>
                <w:szCs w:val="22"/>
                <w:lang w:eastAsia="fr-FR"/>
              </w:rPr>
              <w:t>j</w:t>
            </w:r>
          </w:p>
        </w:tc>
        <w:tc>
          <w:tcPr>
            <w:tcW w:w="907" w:type="pct"/>
            <w:gridSpan w:val="2"/>
            <w:vAlign w:val="center"/>
          </w:tcPr>
          <w:p w14:paraId="4B622FF7" w14:textId="79F78366" w:rsidR="00F06995" w:rsidRPr="00907E94" w:rsidRDefault="00DC22E8" w:rsidP="00F06995">
            <w:pPr>
              <w:jc w:val="center"/>
            </w:pPr>
            <w:r w:rsidRPr="00907E94">
              <w:t xml:space="preserve">Semaine </w:t>
            </w:r>
            <w:r w:rsidR="000B3782" w:rsidRPr="00907E94">
              <w:t>10</w:t>
            </w:r>
          </w:p>
        </w:tc>
      </w:tr>
      <w:tr w:rsidR="00F06995" w:rsidRPr="00907E94" w14:paraId="0ECCED4C" w14:textId="77777777" w:rsidTr="00AD1DC5">
        <w:trPr>
          <w:trHeight w:val="50"/>
        </w:trPr>
        <w:tc>
          <w:tcPr>
            <w:tcW w:w="3490" w:type="pct"/>
            <w:gridSpan w:val="3"/>
            <w:shd w:val="clear" w:color="auto" w:fill="E7E6E6" w:themeFill="background2"/>
            <w:vAlign w:val="center"/>
          </w:tcPr>
          <w:p w14:paraId="1F651365" w14:textId="77777777" w:rsidR="00F06995" w:rsidRPr="00907E94" w:rsidRDefault="00F06995" w:rsidP="00F06995">
            <w:pPr>
              <w:pStyle w:val="Default"/>
              <w:jc w:val="right"/>
              <w:rPr>
                <w:rFonts w:eastAsia="Times New Roman"/>
                <w:b/>
                <w:bCs/>
                <w:iCs/>
                <w:color w:val="auto"/>
                <w:sz w:val="22"/>
                <w:szCs w:val="22"/>
                <w:lang w:eastAsia="fr-FR"/>
              </w:rPr>
            </w:pPr>
            <w:r w:rsidRPr="00907E94">
              <w:rPr>
                <w:rFonts w:eastAsia="Times New Roman"/>
                <w:b/>
                <w:bCs/>
                <w:iCs/>
                <w:color w:val="auto"/>
                <w:sz w:val="22"/>
                <w:szCs w:val="22"/>
                <w:lang w:eastAsia="fr-FR"/>
              </w:rPr>
              <w:t>TOTAL</w:t>
            </w:r>
          </w:p>
        </w:tc>
        <w:tc>
          <w:tcPr>
            <w:tcW w:w="603" w:type="pct"/>
            <w:gridSpan w:val="2"/>
            <w:shd w:val="clear" w:color="auto" w:fill="E7E6E6" w:themeFill="background2"/>
            <w:vAlign w:val="center"/>
          </w:tcPr>
          <w:p w14:paraId="03A5DD9D" w14:textId="2778E79A" w:rsidR="00F06995" w:rsidRPr="00907E94" w:rsidRDefault="00BC2BAE" w:rsidP="00F06995">
            <w:pPr>
              <w:pStyle w:val="Default"/>
              <w:jc w:val="center"/>
              <w:rPr>
                <w:rFonts w:eastAsia="Times New Roman"/>
                <w:b/>
                <w:bCs/>
                <w:iCs/>
                <w:color w:val="auto"/>
                <w:sz w:val="22"/>
                <w:szCs w:val="22"/>
                <w:lang w:eastAsia="fr-FR"/>
              </w:rPr>
            </w:pPr>
            <w:r w:rsidRPr="00907E94">
              <w:rPr>
                <w:rFonts w:eastAsia="Times New Roman"/>
                <w:b/>
                <w:bCs/>
                <w:iCs/>
                <w:color w:val="auto"/>
                <w:sz w:val="22"/>
                <w:szCs w:val="22"/>
                <w:lang w:eastAsia="fr-FR"/>
              </w:rPr>
              <w:t>50j</w:t>
            </w:r>
          </w:p>
        </w:tc>
        <w:tc>
          <w:tcPr>
            <w:tcW w:w="907" w:type="pct"/>
            <w:gridSpan w:val="2"/>
            <w:shd w:val="clear" w:color="auto" w:fill="E7E6E6" w:themeFill="background2"/>
            <w:vAlign w:val="center"/>
          </w:tcPr>
          <w:p w14:paraId="0D33944C" w14:textId="77777777" w:rsidR="00F06995" w:rsidRPr="00907E94" w:rsidRDefault="00F06995" w:rsidP="00F06995">
            <w:pPr>
              <w:pStyle w:val="Default"/>
              <w:jc w:val="both"/>
              <w:rPr>
                <w:rFonts w:eastAsia="Times New Roman"/>
                <w:b/>
                <w:bCs/>
                <w:iCs/>
                <w:color w:val="auto"/>
                <w:sz w:val="22"/>
                <w:szCs w:val="22"/>
                <w:lang w:eastAsia="fr-FR"/>
              </w:rPr>
            </w:pPr>
          </w:p>
        </w:tc>
      </w:tr>
    </w:tbl>
    <w:p w14:paraId="2B15BFF4" w14:textId="221F9257" w:rsidR="00C11C2C" w:rsidRDefault="0069758F" w:rsidP="00E33A12">
      <w:pPr>
        <w:spacing w:before="120" w:after="120"/>
        <w:jc w:val="both"/>
      </w:pPr>
      <w:r w:rsidRPr="00907E94">
        <w:t xml:space="preserve">Le </w:t>
      </w:r>
      <w:r w:rsidR="00AD1DC5">
        <w:t xml:space="preserve">prestataire </w:t>
      </w:r>
      <w:r w:rsidR="00F22591" w:rsidRPr="00907E94">
        <w:t>proposera dans son offre méthodologique une démarche et un planning prévisionnel des opérations et modalités de travail pour chaque étape de la mission.</w:t>
      </w:r>
    </w:p>
    <w:p w14:paraId="3339E6AD" w14:textId="7201D6DC" w:rsidR="008C2007" w:rsidRPr="00907E94" w:rsidRDefault="008C2007" w:rsidP="008C2007">
      <w:pPr>
        <w:shd w:val="clear" w:color="auto" w:fill="8EAADB" w:themeFill="accent5" w:themeFillTint="99"/>
        <w:spacing w:before="240"/>
        <w:jc w:val="both"/>
        <w:rPr>
          <w:rFonts w:eastAsia="Arial"/>
          <w:b/>
          <w:bCs/>
          <w:color w:val="FFFFFF" w:themeColor="background1"/>
        </w:rPr>
      </w:pPr>
      <w:r w:rsidRPr="00907E94">
        <w:rPr>
          <w:rFonts w:eastAsia="Arial"/>
          <w:b/>
          <w:bCs/>
          <w:color w:val="FFFFFF" w:themeColor="background1"/>
        </w:rPr>
        <w:t xml:space="preserve">Dispositions logistiques </w:t>
      </w:r>
      <w:r w:rsidR="00AD1DC5">
        <w:rPr>
          <w:rFonts w:eastAsia="Arial"/>
          <w:b/>
          <w:bCs/>
          <w:color w:val="FFFFFF" w:themeColor="background1"/>
        </w:rPr>
        <w:t xml:space="preserve">et organisationnelles </w:t>
      </w:r>
      <w:r w:rsidRPr="00907E94">
        <w:rPr>
          <w:rFonts w:eastAsia="Arial"/>
          <w:b/>
          <w:bCs/>
          <w:color w:val="FFFFFF" w:themeColor="background1"/>
        </w:rPr>
        <w:t xml:space="preserve">à la charge du </w:t>
      </w:r>
      <w:r w:rsidR="00AD1DC5">
        <w:rPr>
          <w:rFonts w:eastAsia="Arial"/>
          <w:b/>
          <w:bCs/>
          <w:color w:val="FFFFFF" w:themeColor="background1"/>
        </w:rPr>
        <w:t>prestataire</w:t>
      </w:r>
    </w:p>
    <w:p w14:paraId="1B979763" w14:textId="4921F0D4" w:rsidR="008C2007" w:rsidRPr="00907E94" w:rsidRDefault="008C2007" w:rsidP="008C2007">
      <w:pPr>
        <w:spacing w:before="120" w:after="120"/>
        <w:jc w:val="both"/>
      </w:pPr>
      <w:r w:rsidRPr="00907E94">
        <w:t xml:space="preserve">Le </w:t>
      </w:r>
      <w:r w:rsidR="00AD1DC5">
        <w:t>prestataire</w:t>
      </w:r>
      <w:r w:rsidRPr="00907E94">
        <w:t xml:space="preserve"> sélectionné sera entièrement responsable de la prise en charge des aspects logistiques </w:t>
      </w:r>
      <w:r w:rsidR="00AD1DC5">
        <w:t xml:space="preserve">et organisationnels </w:t>
      </w:r>
      <w:r w:rsidRPr="00907E94">
        <w:t>liés à la mise en œuvre des activités prévues dans le cadre de ce mandat. À ce titre, il devra notamment :</w:t>
      </w:r>
    </w:p>
    <w:p w14:paraId="21977946" w14:textId="77777777" w:rsidR="008C2007" w:rsidRPr="00907E94" w:rsidRDefault="008C2007" w:rsidP="008C2007">
      <w:pPr>
        <w:numPr>
          <w:ilvl w:val="0"/>
          <w:numId w:val="14"/>
        </w:numPr>
        <w:spacing w:before="120" w:after="120"/>
        <w:jc w:val="both"/>
      </w:pPr>
      <w:r w:rsidRPr="00907E94">
        <w:t>Mobiliser les moyens humains et matériels nécessaires au bon déroulement des sessions de travail (experts, assistants, animateurs, etc.).</w:t>
      </w:r>
    </w:p>
    <w:p w14:paraId="4B1430C5" w14:textId="77777777" w:rsidR="008C2007" w:rsidRPr="00907E94" w:rsidRDefault="008C2007" w:rsidP="008C2007">
      <w:pPr>
        <w:numPr>
          <w:ilvl w:val="0"/>
          <w:numId w:val="14"/>
        </w:numPr>
        <w:spacing w:before="120" w:after="120"/>
        <w:jc w:val="both"/>
      </w:pPr>
      <w:r w:rsidRPr="00907E94">
        <w:t>Assurer l’organisation matérielle des ateliers, sessions de formation ou réunions, incluant :</w:t>
      </w:r>
    </w:p>
    <w:p w14:paraId="609FD433" w14:textId="4264E7B0" w:rsidR="008C2007" w:rsidRPr="00907E94" w:rsidRDefault="008C2007" w:rsidP="008C2007">
      <w:pPr>
        <w:numPr>
          <w:ilvl w:val="1"/>
          <w:numId w:val="14"/>
        </w:numPr>
        <w:spacing w:before="120" w:after="120"/>
        <w:jc w:val="both"/>
      </w:pPr>
      <w:r w:rsidRPr="00907E94">
        <w:t xml:space="preserve">Réservation et mise à disposition de la salle de travail </w:t>
      </w:r>
      <w:r w:rsidR="00E67C9C">
        <w:t xml:space="preserve">(NB : les formations des membres des COGES auront lieu dans des écoles publiques) </w:t>
      </w:r>
      <w:r w:rsidRPr="00907E94">
        <w:t>;</w:t>
      </w:r>
    </w:p>
    <w:p w14:paraId="6E9C922C" w14:textId="12CC56D6" w:rsidR="008C2007" w:rsidRPr="00907E94" w:rsidRDefault="00E67C9C" w:rsidP="008C2007">
      <w:pPr>
        <w:numPr>
          <w:ilvl w:val="1"/>
          <w:numId w:val="14"/>
        </w:numPr>
        <w:spacing w:before="120" w:after="120"/>
        <w:jc w:val="both"/>
      </w:pPr>
      <w:r>
        <w:t>Fourniture</w:t>
      </w:r>
      <w:r w:rsidR="008C2007" w:rsidRPr="00907E94">
        <w:t xml:space="preserve"> de matériel (vidéoprojecteur, </w:t>
      </w:r>
      <w:proofErr w:type="spellStart"/>
      <w:r w:rsidR="008C2007" w:rsidRPr="00907E94">
        <w:t>paperboard</w:t>
      </w:r>
      <w:proofErr w:type="spellEnd"/>
      <w:r w:rsidR="008C2007" w:rsidRPr="00907E94">
        <w:t>, etc.) ;</w:t>
      </w:r>
    </w:p>
    <w:p w14:paraId="07A0A689" w14:textId="77777777" w:rsidR="008C2007" w:rsidRPr="00907E94" w:rsidRDefault="008C2007" w:rsidP="008C2007">
      <w:pPr>
        <w:numPr>
          <w:ilvl w:val="1"/>
          <w:numId w:val="14"/>
        </w:numPr>
        <w:spacing w:before="120" w:after="120"/>
        <w:jc w:val="both"/>
      </w:pPr>
      <w:r w:rsidRPr="00907E94">
        <w:t>Impression et reproduction des documents de travail ;</w:t>
      </w:r>
    </w:p>
    <w:p w14:paraId="392195AF" w14:textId="77777777" w:rsidR="008C2007" w:rsidRPr="00907E94" w:rsidRDefault="008C2007" w:rsidP="008C2007">
      <w:pPr>
        <w:numPr>
          <w:ilvl w:val="1"/>
          <w:numId w:val="14"/>
        </w:numPr>
        <w:spacing w:before="120" w:after="120"/>
        <w:jc w:val="both"/>
      </w:pPr>
      <w:r w:rsidRPr="00907E94">
        <w:t>Gestion des feuilles de présence et attestations ;</w:t>
      </w:r>
    </w:p>
    <w:p w14:paraId="58783217" w14:textId="799A965C" w:rsidR="008C2007" w:rsidRDefault="008C2007" w:rsidP="008C2007">
      <w:pPr>
        <w:numPr>
          <w:ilvl w:val="0"/>
          <w:numId w:val="14"/>
        </w:numPr>
        <w:spacing w:before="120" w:after="120"/>
        <w:jc w:val="both"/>
      </w:pPr>
      <w:r w:rsidRPr="00907E94">
        <w:t>Gérer la restauration des participants (pauses café, déjeuners,</w:t>
      </w:r>
      <w:r w:rsidR="00475008">
        <w:t xml:space="preserve"> selon les modalités convenues)</w:t>
      </w:r>
    </w:p>
    <w:p w14:paraId="3A874CDF" w14:textId="7017A317" w:rsidR="00475008" w:rsidRPr="00907E94" w:rsidRDefault="00475008" w:rsidP="008C2007">
      <w:pPr>
        <w:numPr>
          <w:ilvl w:val="0"/>
          <w:numId w:val="14"/>
        </w:numPr>
        <w:spacing w:before="120" w:after="120"/>
        <w:jc w:val="both"/>
      </w:pPr>
      <w:r>
        <w:t>Gérer les indemnisations des participants (</w:t>
      </w:r>
      <w:r w:rsidRPr="00475008">
        <w:rPr>
          <w:i/>
        </w:rPr>
        <w:t>per diem</w:t>
      </w:r>
      <w:r>
        <w:t xml:space="preserve"> et déplacement, en fonction des règles et barèmes en vigueur)</w:t>
      </w:r>
    </w:p>
    <w:p w14:paraId="16267C31" w14:textId="363C8F09" w:rsidR="008C2007" w:rsidRPr="00907E94" w:rsidRDefault="008C2007" w:rsidP="008C2007">
      <w:pPr>
        <w:numPr>
          <w:ilvl w:val="0"/>
          <w:numId w:val="14"/>
        </w:numPr>
        <w:spacing w:before="120" w:after="120"/>
        <w:jc w:val="both"/>
      </w:pPr>
      <w:r w:rsidRPr="00907E94">
        <w:t xml:space="preserve">Assurer la logistique des déplacements </w:t>
      </w:r>
      <w:r w:rsidR="00475008">
        <w:t>des équipes</w:t>
      </w:r>
    </w:p>
    <w:p w14:paraId="5D77237D" w14:textId="77777777" w:rsidR="008C2007" w:rsidRPr="00907E94" w:rsidRDefault="008C2007" w:rsidP="008C2007">
      <w:pPr>
        <w:numPr>
          <w:ilvl w:val="0"/>
          <w:numId w:val="14"/>
        </w:numPr>
        <w:spacing w:before="120" w:after="120"/>
        <w:jc w:val="both"/>
      </w:pPr>
      <w:r w:rsidRPr="00907E94">
        <w:t>Coordonner avec les institutions bénéficiaires pour garantir la disponibilité des participants et du lieu.</w:t>
      </w:r>
    </w:p>
    <w:p w14:paraId="3E995B63" w14:textId="77777777" w:rsidR="008C2007" w:rsidRPr="00907E94" w:rsidRDefault="008C2007" w:rsidP="008C2007">
      <w:pPr>
        <w:numPr>
          <w:ilvl w:val="0"/>
          <w:numId w:val="14"/>
        </w:numPr>
        <w:spacing w:before="120" w:after="120"/>
        <w:jc w:val="both"/>
      </w:pPr>
      <w:r w:rsidRPr="00907E94">
        <w:t>Fournir un appui administratif à la bonne tenue des sessions, notamment la rédaction des procès-verbaux et rapports de restitution intermédiaires (si requis).</w:t>
      </w:r>
    </w:p>
    <w:p w14:paraId="6FFDEEFC" w14:textId="6DD07B7D" w:rsidR="00945AF9" w:rsidRPr="00907E94" w:rsidRDefault="00945AF9" w:rsidP="00945AF9">
      <w:pPr>
        <w:spacing w:before="120" w:after="120"/>
        <w:jc w:val="both"/>
      </w:pPr>
      <w:bookmarkStart w:id="5" w:name="_Hlk204873818"/>
      <w:r w:rsidRPr="00907E94">
        <w:t xml:space="preserve">À partir de la liste des 106 écoles ciblées, le </w:t>
      </w:r>
      <w:r w:rsidR="00AD1DC5">
        <w:t>prestataire</w:t>
      </w:r>
      <w:r w:rsidRPr="00907E94">
        <w:t xml:space="preserve"> devra proposer, dans son offre, des regroupements d’au plus 7 écoles par session de formation.</w:t>
      </w:r>
    </w:p>
    <w:p w14:paraId="7BC62477" w14:textId="77777777" w:rsidR="00945AF9" w:rsidRPr="00907E94" w:rsidRDefault="00945AF9" w:rsidP="00945AF9">
      <w:pPr>
        <w:spacing w:before="120" w:after="120"/>
        <w:jc w:val="both"/>
      </w:pPr>
      <w:r w:rsidRPr="00907E94">
        <w:t>Les formations des membres des COGES se dérouleront dans les écoles publiques. Les candidats devront donc prévoir une source d’énergie autonome (système solaire ou mini-groupe électrogène), afin d’assurer le fonctionnement des équipements de projection (ordinateurs, vidéoprojecteurs).</w:t>
      </w:r>
    </w:p>
    <w:p w14:paraId="7B71F139" w14:textId="77777777" w:rsidR="00945AF9" w:rsidRPr="00907E94" w:rsidRDefault="00945AF9" w:rsidP="00945AF9">
      <w:pPr>
        <w:spacing w:before="120" w:after="120"/>
        <w:jc w:val="both"/>
      </w:pPr>
      <w:r w:rsidRPr="00907E94">
        <w:t>Tous les documents produits devront être rédigés en français et en arabe.</w:t>
      </w:r>
    </w:p>
    <w:p w14:paraId="5D400B9F" w14:textId="11726794" w:rsidR="00945AF9" w:rsidRPr="00907E94" w:rsidRDefault="00945AF9" w:rsidP="00945AF9">
      <w:pPr>
        <w:spacing w:before="120" w:after="120"/>
        <w:jc w:val="both"/>
      </w:pPr>
      <w:r w:rsidRPr="00907E94">
        <w:t xml:space="preserve">Par ailleurs, les participants étant à la fois francophones et </w:t>
      </w:r>
      <w:proofErr w:type="spellStart"/>
      <w:r w:rsidRPr="00907E94">
        <w:t>hassanophones</w:t>
      </w:r>
      <w:proofErr w:type="spellEnd"/>
      <w:r w:rsidRPr="00907E94">
        <w:t>, les formateurs devront être en mesure de communiquer dans les langues du milieu.</w:t>
      </w:r>
    </w:p>
    <w:p w14:paraId="7D0AAC99" w14:textId="3BD2408F" w:rsidR="00945AF9" w:rsidRPr="00907E94" w:rsidRDefault="00945AF9" w:rsidP="00945AF9">
      <w:pPr>
        <w:spacing w:before="120" w:after="120"/>
        <w:jc w:val="both"/>
      </w:pPr>
      <w:r w:rsidRPr="00907E94">
        <w:lastRenderedPageBreak/>
        <w:t xml:space="preserve">Le </w:t>
      </w:r>
      <w:r w:rsidR="00475008">
        <w:t>prestataire</w:t>
      </w:r>
      <w:r w:rsidRPr="00907E94">
        <w:t xml:space="preserve"> retenu devra également prendre en charge le noyau de formateurs, tant durant leur formation initiale que pendant la phase de démultiplication dans les 106 écoles</w:t>
      </w:r>
      <w:bookmarkEnd w:id="5"/>
      <w:r w:rsidR="00475008">
        <w:t xml:space="preserve"> pilotes</w:t>
      </w:r>
      <w:r w:rsidRPr="00907E94">
        <w:t>.</w:t>
      </w:r>
    </w:p>
    <w:p w14:paraId="1C53AACD" w14:textId="2EFB8DD0" w:rsidR="008C2007" w:rsidRPr="00907E94" w:rsidRDefault="008C2007" w:rsidP="008C2007">
      <w:pPr>
        <w:spacing w:before="120" w:after="120"/>
        <w:jc w:val="both"/>
      </w:pPr>
      <w:r w:rsidRPr="00907E94">
        <w:t xml:space="preserve">Le </w:t>
      </w:r>
      <w:r w:rsidR="00475008">
        <w:t>prestataire</w:t>
      </w:r>
      <w:r w:rsidRPr="00907E94">
        <w:t xml:space="preserve"> devra soumettre, dans son offre technique, une proposition logistique détaillée, incluant un calendrier d'exécution prévisionnel, ainsi que les moyens qu’il envisage de mobiliser pour chaque activité.</w:t>
      </w:r>
    </w:p>
    <w:p w14:paraId="03E06F2A" w14:textId="73BDAC58" w:rsidR="008C2007" w:rsidRPr="00907E94" w:rsidRDefault="008C2007" w:rsidP="008C2007">
      <w:pPr>
        <w:shd w:val="clear" w:color="auto" w:fill="8EAADB" w:themeFill="accent5" w:themeFillTint="99"/>
        <w:spacing w:before="240"/>
        <w:jc w:val="both"/>
        <w:rPr>
          <w:rFonts w:eastAsia="Arial"/>
          <w:b/>
          <w:bCs/>
          <w:color w:val="FFFFFF" w:themeColor="background1"/>
        </w:rPr>
      </w:pPr>
      <w:r w:rsidRPr="00907E94">
        <w:rPr>
          <w:rFonts w:eastAsia="Arial"/>
          <w:b/>
          <w:bCs/>
          <w:color w:val="FFFFFF" w:themeColor="background1"/>
        </w:rPr>
        <w:t>Barème de référence pour la prise en charge financière</w:t>
      </w:r>
    </w:p>
    <w:p w14:paraId="4E41EBBB" w14:textId="79B26680" w:rsidR="002405EF" w:rsidRPr="00907E94" w:rsidRDefault="002405EF" w:rsidP="002405EF">
      <w:pPr>
        <w:spacing w:before="120" w:after="120"/>
        <w:jc w:val="both"/>
      </w:pPr>
      <w:bookmarkStart w:id="6" w:name="_Hlk204869872"/>
      <w:r w:rsidRPr="00907E94">
        <w:t>Les prestations logistiques et les coûts associés devront être établis en conformité avec le barème en vigueur du PAIRE. Ce barème constitue la référence unique pour l’évaluation et le remboursement des frais liés aux activités (</w:t>
      </w:r>
      <w:r w:rsidRPr="00475008">
        <w:rPr>
          <w:i/>
        </w:rPr>
        <w:t>per diem</w:t>
      </w:r>
      <w:r w:rsidRPr="00907E94">
        <w:t xml:space="preserve">, </w:t>
      </w:r>
      <w:r w:rsidR="00475008">
        <w:t>indemnités de déplacement</w:t>
      </w:r>
      <w:r w:rsidR="00FC0A45">
        <w:t xml:space="preserve"> des participants et des organisateurs versés dans le cadre du PAIRE)</w:t>
      </w:r>
      <w:r w:rsidRPr="00907E94">
        <w:t>.</w:t>
      </w:r>
    </w:p>
    <w:p w14:paraId="7A66CEB8" w14:textId="6B6EB692" w:rsidR="002405EF" w:rsidRPr="00907E94" w:rsidRDefault="00FC0A45" w:rsidP="002405EF">
      <w:pPr>
        <w:spacing w:before="120" w:after="120"/>
        <w:jc w:val="both"/>
      </w:pPr>
      <w:r>
        <w:t>Ce barème</w:t>
      </w:r>
      <w:r w:rsidR="002405EF" w:rsidRPr="00907E94">
        <w:t xml:space="preserve"> sera mis à disposition </w:t>
      </w:r>
      <w:r w:rsidR="00475008">
        <w:t>d</w:t>
      </w:r>
      <w:r>
        <w:t>es</w:t>
      </w:r>
      <w:r w:rsidR="00475008">
        <w:t xml:space="preserve"> </w:t>
      </w:r>
      <w:r>
        <w:t>candidats</w:t>
      </w:r>
      <w:r w:rsidR="002405EF" w:rsidRPr="00907E94">
        <w:t xml:space="preserve"> sur simple demande adressée à l’équipe de coordination du projet</w:t>
      </w:r>
      <w:r>
        <w:t>, via l’adresse mail dédiée à la réception des candidatures</w:t>
      </w:r>
      <w:r w:rsidR="002405EF" w:rsidRPr="00907E94">
        <w:t>. Il revient aux candidats d</w:t>
      </w:r>
      <w:r>
        <w:t>’</w:t>
      </w:r>
      <w:r w:rsidR="002405EF" w:rsidRPr="00907E94">
        <w:t xml:space="preserve">intégrer strictement </w:t>
      </w:r>
      <w:r>
        <w:t xml:space="preserve">les éléments de ce barème </w:t>
      </w:r>
      <w:r w:rsidR="002405EF" w:rsidRPr="00907E94">
        <w:t>da</w:t>
      </w:r>
      <w:r w:rsidR="00667C01">
        <w:t xml:space="preserve">ns l’élaboration de leur offre </w:t>
      </w:r>
      <w:r w:rsidR="002405EF" w:rsidRPr="00907E94">
        <w:t>financière.</w:t>
      </w:r>
    </w:p>
    <w:bookmarkEnd w:id="6"/>
    <w:p w14:paraId="187CED2F" w14:textId="3A4C626A" w:rsidR="00D60836" w:rsidRPr="00907E94" w:rsidRDefault="00D60836" w:rsidP="00D60836">
      <w:pPr>
        <w:shd w:val="clear" w:color="auto" w:fill="8EAADB" w:themeFill="accent5" w:themeFillTint="99"/>
        <w:spacing w:before="240"/>
        <w:jc w:val="both"/>
        <w:rPr>
          <w:rFonts w:eastAsia="Arial"/>
          <w:b/>
          <w:bCs/>
          <w:color w:val="FFFFFF" w:themeColor="background1"/>
        </w:rPr>
      </w:pPr>
      <w:r w:rsidRPr="00907E94">
        <w:rPr>
          <w:rFonts w:eastAsia="Arial"/>
          <w:b/>
          <w:bCs/>
          <w:color w:val="FFFFFF" w:themeColor="background1"/>
        </w:rPr>
        <w:t xml:space="preserve">Profil du </w:t>
      </w:r>
      <w:r w:rsidR="00FC0A45">
        <w:rPr>
          <w:rFonts w:eastAsia="Arial"/>
          <w:b/>
          <w:bCs/>
          <w:color w:val="FFFFFF" w:themeColor="background1"/>
        </w:rPr>
        <w:t>prestataire</w:t>
      </w:r>
      <w:r w:rsidR="00FB45DF">
        <w:rPr>
          <w:rFonts w:eastAsia="Arial"/>
          <w:b/>
          <w:bCs/>
          <w:color w:val="FFFFFF" w:themeColor="background1"/>
        </w:rPr>
        <w:t xml:space="preserve"> et des expertises à mobiliser</w:t>
      </w:r>
    </w:p>
    <w:p w14:paraId="501568F8" w14:textId="6EAB952C" w:rsidR="00890A4A" w:rsidRPr="00CE33DF" w:rsidRDefault="00890A4A" w:rsidP="00890A4A">
      <w:pPr>
        <w:spacing w:before="120" w:after="120"/>
        <w:jc w:val="both"/>
      </w:pPr>
      <w:bookmarkStart w:id="7" w:name="_Hlk204873779"/>
      <w:r w:rsidRPr="00CE33DF">
        <w:t xml:space="preserve">La mission est ouverte </w:t>
      </w:r>
      <w:r w:rsidR="00FC0A45" w:rsidRPr="00CE33DF">
        <w:t>à toute structure de type bureau d’étude, cabinet de conseil et de formation</w:t>
      </w:r>
      <w:r w:rsidRPr="00CE33DF">
        <w:t>.</w:t>
      </w:r>
    </w:p>
    <w:p w14:paraId="4435BCAF" w14:textId="4AD1923F" w:rsidR="00890A4A" w:rsidRPr="00CE33DF" w:rsidRDefault="00890A4A" w:rsidP="00890A4A">
      <w:pPr>
        <w:spacing w:before="120" w:after="120"/>
        <w:jc w:val="both"/>
      </w:pPr>
      <w:r w:rsidRPr="00CE33DF">
        <w:t>Conformément aux règles de passation des marchés, les bureaux peuvent soumissionner seuls ou en s’associant à d’autres bureaux, qu’ils soient nationaux ou internationaux, afin de mutualiser leurs expertises.</w:t>
      </w:r>
    </w:p>
    <w:p w14:paraId="79580229" w14:textId="77777777" w:rsidR="00890A4A" w:rsidRPr="00CE33DF" w:rsidRDefault="00890A4A" w:rsidP="00890A4A">
      <w:pPr>
        <w:spacing w:before="120" w:after="120"/>
        <w:jc w:val="both"/>
      </w:pPr>
      <w:r w:rsidRPr="00CE33DF">
        <w:t>Ces modalités d’association doivent être clairement présentées dans l’offre, dans le respect des dispositions réglementaires applicables.</w:t>
      </w:r>
    </w:p>
    <w:bookmarkEnd w:id="7"/>
    <w:p w14:paraId="099FBFC2" w14:textId="77777777" w:rsidR="00683385" w:rsidRDefault="00683385" w:rsidP="004566F1">
      <w:pPr>
        <w:spacing w:before="120" w:after="120"/>
        <w:jc w:val="both"/>
        <w:rPr>
          <w:b/>
          <w:bCs/>
          <w:u w:val="single"/>
        </w:rPr>
      </w:pPr>
    </w:p>
    <w:p w14:paraId="055187A7" w14:textId="4B2E796A" w:rsidR="00683385" w:rsidRPr="00683385" w:rsidRDefault="00334BE1" w:rsidP="004566F1">
      <w:pPr>
        <w:spacing w:before="120" w:after="120"/>
        <w:jc w:val="both"/>
        <w:rPr>
          <w:b/>
          <w:bCs/>
          <w:u w:val="single"/>
        </w:rPr>
      </w:pPr>
      <w:proofErr w:type="spellStart"/>
      <w:r>
        <w:rPr>
          <w:b/>
          <w:bCs/>
          <w:u w:val="single"/>
        </w:rPr>
        <w:t>C</w:t>
      </w:r>
      <w:r w:rsidRPr="00334BE1">
        <w:rPr>
          <w:b/>
          <w:bCs/>
          <w:u w:val="single"/>
        </w:rPr>
        <w:t>apacite</w:t>
      </w:r>
      <w:proofErr w:type="spellEnd"/>
      <w:r w:rsidRPr="00334BE1">
        <w:rPr>
          <w:b/>
          <w:bCs/>
          <w:u w:val="single"/>
        </w:rPr>
        <w:t xml:space="preserve"> technique et professionnelle</w:t>
      </w:r>
      <w:r>
        <w:rPr>
          <w:b/>
          <w:bCs/>
          <w:u w:val="single"/>
        </w:rPr>
        <w:t xml:space="preserve"> </w:t>
      </w:r>
      <w:r w:rsidR="00683385" w:rsidRPr="00683385">
        <w:rPr>
          <w:b/>
          <w:bCs/>
          <w:u w:val="single"/>
        </w:rPr>
        <w:t>du prestataire :</w:t>
      </w:r>
    </w:p>
    <w:p w14:paraId="0AA13955" w14:textId="12FCBC14" w:rsidR="004566F1" w:rsidRPr="00907E94" w:rsidRDefault="00CB5253" w:rsidP="004566F1">
      <w:pPr>
        <w:pStyle w:val="Paragraphedeliste"/>
        <w:numPr>
          <w:ilvl w:val="0"/>
          <w:numId w:val="4"/>
        </w:numPr>
        <w:spacing w:before="120" w:after="120"/>
        <w:jc w:val="both"/>
      </w:pPr>
      <w:r>
        <w:t>Expériences</w:t>
      </w:r>
      <w:r w:rsidR="002E5E74">
        <w:t xml:space="preserve"> démontrées dans les domaines suivants : </w:t>
      </w:r>
      <w:r w:rsidR="004566F1" w:rsidRPr="00907E94">
        <w:t>Éducation, planification de l’éducation, gouvernance locale, ou développement communautaire ;</w:t>
      </w:r>
    </w:p>
    <w:p w14:paraId="23C7C185" w14:textId="1A3D9121" w:rsidR="004566F1" w:rsidRPr="00907E94" w:rsidRDefault="004566F1" w:rsidP="002E5E74">
      <w:pPr>
        <w:pStyle w:val="Paragraphedeliste"/>
        <w:numPr>
          <w:ilvl w:val="0"/>
          <w:numId w:val="4"/>
        </w:numPr>
        <w:spacing w:before="120" w:after="120"/>
        <w:jc w:val="both"/>
      </w:pPr>
      <w:r w:rsidRPr="00907E94">
        <w:t>Expertise en formation des acteurs éducatifs (COGES, etc.) ;</w:t>
      </w:r>
      <w:r w:rsidR="002E5E74">
        <w:t xml:space="preserve"> fournir des exemples de projets réalisés (Fournir u</w:t>
      </w:r>
      <w:r w:rsidR="002E5E74" w:rsidRPr="002E5E74">
        <w:t xml:space="preserve">ne liste des travaux </w:t>
      </w:r>
      <w:r w:rsidR="002E5E74">
        <w:t xml:space="preserve">similaires </w:t>
      </w:r>
      <w:r w:rsidR="002E5E74" w:rsidRPr="002E5E74">
        <w:t xml:space="preserve">exécutés </w:t>
      </w:r>
      <w:r w:rsidR="002E5E74">
        <w:t xml:space="preserve">ou des </w:t>
      </w:r>
      <w:r w:rsidR="002E5E74" w:rsidRPr="002E5E74">
        <w:t>attestations de bonne exécution pour les travaux les</w:t>
      </w:r>
      <w:r w:rsidR="002E5E74">
        <w:t xml:space="preserve"> </w:t>
      </w:r>
      <w:r w:rsidR="002E5E74" w:rsidRPr="002E5E74">
        <w:t>plus importants</w:t>
      </w:r>
      <w:r w:rsidR="002E5E74">
        <w:t xml:space="preserve">. Les listes </w:t>
      </w:r>
      <w:r w:rsidR="002E5E74" w:rsidRPr="002E5E74">
        <w:t>indiquent le montant, la date et</w:t>
      </w:r>
      <w:r w:rsidR="002E5E74">
        <w:t xml:space="preserve"> </w:t>
      </w:r>
      <w:r w:rsidR="002E5E74" w:rsidRPr="002E5E74">
        <w:t>le lieu d'exécution des travaux</w:t>
      </w:r>
      <w:r w:rsidR="002E5E74">
        <w:t xml:space="preserve">, le nom du </w:t>
      </w:r>
      <w:proofErr w:type="gramStart"/>
      <w:r w:rsidR="002E5E74">
        <w:t>client..</w:t>
      </w:r>
      <w:proofErr w:type="gramEnd"/>
      <w:r w:rsidR="002E5E74">
        <w:t xml:space="preserve"> )</w:t>
      </w:r>
    </w:p>
    <w:p w14:paraId="637AC726" w14:textId="77991DC5" w:rsidR="004566F1" w:rsidRPr="00907E94" w:rsidRDefault="004566F1" w:rsidP="004566F1">
      <w:pPr>
        <w:pStyle w:val="Paragraphedeliste"/>
        <w:numPr>
          <w:ilvl w:val="0"/>
          <w:numId w:val="4"/>
        </w:numPr>
        <w:spacing w:before="120" w:after="120"/>
        <w:jc w:val="both"/>
      </w:pPr>
      <w:r w:rsidRPr="00907E94">
        <w:t>Capacité avérée à mobiliser une équipe multidisciplinaire</w:t>
      </w:r>
      <w:r w:rsidR="00CE33DF">
        <w:t xml:space="preserve"> (présentation de l’équipe mobilisée, des rôles de chacun(e) dans l’exécution de la mission, comportant une description des apports de chacun des membres à la réalisation de la mission, en fonction de ses compétences et expériences)</w:t>
      </w:r>
      <w:r w:rsidRPr="00907E94">
        <w:t>.</w:t>
      </w:r>
    </w:p>
    <w:p w14:paraId="4EDA3528" w14:textId="47BB2863" w:rsidR="004566F1" w:rsidRPr="00907E94" w:rsidRDefault="00334BE1" w:rsidP="004566F1">
      <w:pPr>
        <w:pStyle w:val="Paragraphedeliste"/>
        <w:numPr>
          <w:ilvl w:val="0"/>
          <w:numId w:val="4"/>
        </w:numPr>
        <w:spacing w:before="120" w:after="120"/>
        <w:jc w:val="both"/>
      </w:pPr>
      <w:r>
        <w:t xml:space="preserve"> Fournir</w:t>
      </w:r>
      <w:r w:rsidR="004566F1" w:rsidRPr="00907E94">
        <w:t xml:space="preserve"> </w:t>
      </w:r>
      <w:r>
        <w:t>des références d’</w:t>
      </w:r>
      <w:r w:rsidR="004566F1" w:rsidRPr="00907E94">
        <w:t>au moins 3 missions similaires en appui aux réformes de l’éducation ou à la gouvernance scolaire locale ;</w:t>
      </w:r>
    </w:p>
    <w:p w14:paraId="49EB4985" w14:textId="193F44E5" w:rsidR="004566F1" w:rsidRPr="00907E94" w:rsidRDefault="004566F1" w:rsidP="004566F1">
      <w:pPr>
        <w:pStyle w:val="Paragraphedeliste"/>
        <w:numPr>
          <w:ilvl w:val="0"/>
          <w:numId w:val="4"/>
        </w:numPr>
        <w:spacing w:before="120" w:after="120"/>
        <w:jc w:val="both"/>
      </w:pPr>
      <w:r w:rsidRPr="00907E94">
        <w:t>Justifier d’une connaissance approfondie du contexte mauritanien et des dynami</w:t>
      </w:r>
      <w:r w:rsidR="00CB5253">
        <w:t>ques communautaires éducatives</w:t>
      </w:r>
      <w:r w:rsidR="00334BE1">
        <w:t xml:space="preserve"> (Liste de projets réalisés en Mauritanie)</w:t>
      </w:r>
      <w:r w:rsidR="00CB5253">
        <w:t> ;</w:t>
      </w:r>
    </w:p>
    <w:p w14:paraId="0ABF9886" w14:textId="3D43A637" w:rsidR="004566F1" w:rsidRPr="00907E94" w:rsidRDefault="00334BE1" w:rsidP="004566F1">
      <w:pPr>
        <w:pStyle w:val="Paragraphedeliste"/>
        <w:numPr>
          <w:ilvl w:val="0"/>
          <w:numId w:val="4"/>
        </w:numPr>
        <w:spacing w:before="120" w:after="120"/>
        <w:jc w:val="both"/>
      </w:pPr>
      <w:r>
        <w:t xml:space="preserve"> Fournir</w:t>
      </w:r>
      <w:r w:rsidRPr="00907E94">
        <w:t xml:space="preserve"> </w:t>
      </w:r>
      <w:r>
        <w:t xml:space="preserve">des références ou liste de projets réalisées </w:t>
      </w:r>
      <w:r w:rsidR="004566F1" w:rsidRPr="00907E94">
        <w:t>dans la production d’outils de formation, guides pratiques, et appui au déploiement de modèles participatifs dans des projets financés par des partenaires techniques et financiers (UE, AFD, Banque mondiale, etc.).</w:t>
      </w:r>
    </w:p>
    <w:p w14:paraId="25F4A16E" w14:textId="77777777" w:rsidR="00683385" w:rsidRDefault="00683385" w:rsidP="004566F1">
      <w:pPr>
        <w:spacing w:before="120" w:after="120"/>
        <w:jc w:val="both"/>
        <w:rPr>
          <w:b/>
          <w:bCs/>
        </w:rPr>
      </w:pPr>
    </w:p>
    <w:p w14:paraId="2D9C5B6F" w14:textId="41D17158" w:rsidR="004566F1" w:rsidRPr="00683385" w:rsidRDefault="004566F1" w:rsidP="004566F1">
      <w:pPr>
        <w:spacing w:before="120" w:after="120"/>
        <w:jc w:val="both"/>
        <w:rPr>
          <w:b/>
          <w:bCs/>
          <w:u w:val="single"/>
        </w:rPr>
      </w:pPr>
      <w:r w:rsidRPr="00683385">
        <w:rPr>
          <w:b/>
          <w:bCs/>
          <w:u w:val="single"/>
        </w:rPr>
        <w:t>Personnel-clé à mobiliser</w:t>
      </w:r>
      <w:r w:rsidR="00683385">
        <w:rPr>
          <w:b/>
          <w:bCs/>
          <w:u w:val="single"/>
        </w:rPr>
        <w:t xml:space="preserve"> par le prestataire :</w:t>
      </w:r>
    </w:p>
    <w:p w14:paraId="626C80F9" w14:textId="163CD10E" w:rsidR="004566F1" w:rsidRDefault="004566F1" w:rsidP="00683385">
      <w:pPr>
        <w:spacing w:before="120"/>
        <w:jc w:val="both"/>
        <w:rPr>
          <w:b/>
          <w:bCs/>
        </w:rPr>
      </w:pPr>
      <w:r w:rsidRPr="00907E94">
        <w:rPr>
          <w:b/>
          <w:bCs/>
        </w:rPr>
        <w:t>Chef de mission – Expert en gouvernance scolaire</w:t>
      </w:r>
      <w:r w:rsidR="00683385">
        <w:rPr>
          <w:b/>
          <w:bCs/>
        </w:rPr>
        <w:t>,</w:t>
      </w:r>
    </w:p>
    <w:p w14:paraId="362CBAB0" w14:textId="3D46EF8C" w:rsidR="00683385" w:rsidRPr="00907E94" w:rsidRDefault="00683385" w:rsidP="00683385">
      <w:pPr>
        <w:spacing w:after="120"/>
        <w:jc w:val="both"/>
        <w:rPr>
          <w:b/>
          <w:bCs/>
        </w:rPr>
      </w:pPr>
      <w:proofErr w:type="gramStart"/>
      <w:r>
        <w:rPr>
          <w:bCs/>
        </w:rPr>
        <w:t>q</w:t>
      </w:r>
      <w:r w:rsidRPr="00683385">
        <w:rPr>
          <w:bCs/>
        </w:rPr>
        <w:t>ui</w:t>
      </w:r>
      <w:proofErr w:type="gramEnd"/>
      <w:r w:rsidRPr="00683385">
        <w:rPr>
          <w:bCs/>
        </w:rPr>
        <w:t xml:space="preserve"> sera en charge de</w:t>
      </w:r>
      <w:r>
        <w:rPr>
          <w:b/>
          <w:bCs/>
        </w:rPr>
        <w:t xml:space="preserve"> </w:t>
      </w:r>
      <w:r w:rsidRPr="00907E94">
        <w:t>supervision de l’ensemble de la mission, qualité technique des livrables, relation avec le MERSE/PAIRE</w:t>
      </w:r>
      <w:r>
        <w:t> :</w:t>
      </w:r>
    </w:p>
    <w:p w14:paraId="779CAD84" w14:textId="2970557E" w:rsidR="004566F1" w:rsidRPr="00907E94" w:rsidRDefault="004566F1" w:rsidP="004566F1">
      <w:pPr>
        <w:pStyle w:val="Paragraphedeliste"/>
        <w:numPr>
          <w:ilvl w:val="0"/>
          <w:numId w:val="4"/>
        </w:numPr>
        <w:spacing w:before="120" w:after="120"/>
        <w:jc w:val="both"/>
      </w:pPr>
      <w:r w:rsidRPr="00907E94">
        <w:t>Diplôme minimum Bac+5 en sciences de l’éducation, gestion des systèmes éducatifs, économie de l’éducation, planification de l’éducation, gouvernance locale, ou disciplines connexes ;</w:t>
      </w:r>
    </w:p>
    <w:p w14:paraId="7A1827EA" w14:textId="3D5C6862" w:rsidR="004566F1" w:rsidRPr="00907E94" w:rsidRDefault="004566F1" w:rsidP="004566F1">
      <w:pPr>
        <w:pStyle w:val="Paragraphedeliste"/>
        <w:numPr>
          <w:ilvl w:val="0"/>
          <w:numId w:val="4"/>
        </w:numPr>
        <w:spacing w:before="120" w:after="120"/>
        <w:jc w:val="both"/>
      </w:pPr>
      <w:r w:rsidRPr="00907E94">
        <w:t>Expérience de 10 ans dans le secteur éducatif, dont au moins 5 ans d’expérience professionnelle dans le domaine de la gestion des établissements scolaires, de la planification locale participative, ou de l’appui à la gouvernance scolaire ;</w:t>
      </w:r>
    </w:p>
    <w:p w14:paraId="2527AC0E" w14:textId="536CCFC6" w:rsidR="004670BE" w:rsidRPr="00907E94" w:rsidRDefault="004670BE" w:rsidP="004566F1">
      <w:pPr>
        <w:pStyle w:val="Paragraphedeliste"/>
        <w:numPr>
          <w:ilvl w:val="0"/>
          <w:numId w:val="4"/>
        </w:numPr>
        <w:spacing w:before="120" w:after="120"/>
        <w:jc w:val="both"/>
      </w:pPr>
      <w:r w:rsidRPr="00907E94">
        <w:t>Connaissance des référentiels du PNDSE III, des pratiques de formation continue en milieu scolaire, et des dynamiques communautaires autour de l’école ;</w:t>
      </w:r>
    </w:p>
    <w:p w14:paraId="090639BB" w14:textId="5A5CCAFF" w:rsidR="004670BE" w:rsidRPr="00907E94" w:rsidRDefault="004670BE" w:rsidP="004566F1">
      <w:pPr>
        <w:pStyle w:val="Paragraphedeliste"/>
        <w:numPr>
          <w:ilvl w:val="0"/>
          <w:numId w:val="4"/>
        </w:numPr>
        <w:spacing w:before="120" w:after="120"/>
        <w:jc w:val="both"/>
      </w:pPr>
      <w:r w:rsidRPr="00907E94">
        <w:t>Avoir mené avec succès au moins une mission similaire dans un pays en développement, de préférence dans un contexte francophone ou sahélien ;</w:t>
      </w:r>
    </w:p>
    <w:p w14:paraId="51E97B99" w14:textId="77777777" w:rsidR="004670BE" w:rsidRPr="00907E94" w:rsidRDefault="004670BE" w:rsidP="004670BE">
      <w:pPr>
        <w:pStyle w:val="Paragraphedeliste"/>
        <w:numPr>
          <w:ilvl w:val="0"/>
          <w:numId w:val="4"/>
        </w:numPr>
        <w:spacing w:before="120" w:after="120"/>
        <w:jc w:val="both"/>
      </w:pPr>
      <w:r w:rsidRPr="00907E94">
        <w:t>Excellente maîtrise du français, à l’écrit comme à l’oral ;</w:t>
      </w:r>
    </w:p>
    <w:p w14:paraId="05376C16" w14:textId="6940058F" w:rsidR="004670BE" w:rsidRPr="00907E94" w:rsidRDefault="004670BE" w:rsidP="004670BE">
      <w:pPr>
        <w:pStyle w:val="Paragraphedeliste"/>
        <w:numPr>
          <w:ilvl w:val="0"/>
          <w:numId w:val="4"/>
        </w:numPr>
        <w:spacing w:before="120" w:after="120"/>
        <w:jc w:val="both"/>
      </w:pPr>
      <w:r w:rsidRPr="00907E94">
        <w:t>La connaissance de l’arabe (lecture ou expression orale)</w:t>
      </w:r>
      <w:r w:rsidR="00683385">
        <w:t xml:space="preserve"> </w:t>
      </w:r>
      <w:r w:rsidRPr="00907E94">
        <w:t>constitue un atout appréciable pour les interactions communautaires ;</w:t>
      </w:r>
    </w:p>
    <w:p w14:paraId="525D57AE" w14:textId="72BFB73F" w:rsidR="004566F1" w:rsidRDefault="004566F1" w:rsidP="00683385">
      <w:pPr>
        <w:spacing w:before="120"/>
        <w:jc w:val="both"/>
        <w:rPr>
          <w:b/>
          <w:bCs/>
        </w:rPr>
      </w:pPr>
      <w:r w:rsidRPr="00907E94">
        <w:rPr>
          <w:b/>
          <w:bCs/>
        </w:rPr>
        <w:t>Spécialiste en formation et ingénierie pédagogique</w:t>
      </w:r>
      <w:r w:rsidR="00683385">
        <w:rPr>
          <w:b/>
          <w:bCs/>
        </w:rPr>
        <w:t>,</w:t>
      </w:r>
    </w:p>
    <w:p w14:paraId="3FE5F1A2" w14:textId="51C26A85" w:rsidR="00683385" w:rsidRPr="00683385" w:rsidRDefault="00FB45DF" w:rsidP="00683385">
      <w:pPr>
        <w:spacing w:after="120"/>
        <w:jc w:val="both"/>
        <w:rPr>
          <w:bCs/>
        </w:rPr>
      </w:pPr>
      <w:proofErr w:type="gramStart"/>
      <w:r>
        <w:rPr>
          <w:bCs/>
        </w:rPr>
        <w:t>q</w:t>
      </w:r>
      <w:r w:rsidR="00683385" w:rsidRPr="00683385">
        <w:rPr>
          <w:bCs/>
        </w:rPr>
        <w:t>ui</w:t>
      </w:r>
      <w:proofErr w:type="gramEnd"/>
      <w:r w:rsidR="00683385" w:rsidRPr="00683385">
        <w:rPr>
          <w:bCs/>
        </w:rPr>
        <w:t xml:space="preserve"> sera en charge de l’élaboration du programme de formation, </w:t>
      </w:r>
      <w:r>
        <w:rPr>
          <w:bCs/>
        </w:rPr>
        <w:t xml:space="preserve">de la </w:t>
      </w:r>
      <w:r w:rsidR="00683385" w:rsidRPr="00683385">
        <w:rPr>
          <w:bCs/>
        </w:rPr>
        <w:t>production des supports et guides pratiques</w:t>
      </w:r>
      <w:r w:rsidR="00683385">
        <w:rPr>
          <w:bCs/>
        </w:rPr>
        <w:t> :</w:t>
      </w:r>
    </w:p>
    <w:p w14:paraId="61F9A126" w14:textId="5DA4826B" w:rsidR="004566F1" w:rsidRPr="00907E94" w:rsidRDefault="004566F1" w:rsidP="004566F1">
      <w:pPr>
        <w:pStyle w:val="Paragraphedeliste"/>
        <w:numPr>
          <w:ilvl w:val="0"/>
          <w:numId w:val="4"/>
        </w:numPr>
        <w:spacing w:before="120" w:after="120"/>
        <w:jc w:val="both"/>
      </w:pPr>
      <w:r w:rsidRPr="00907E94">
        <w:t>Diplôme minimum Bac+4 en sciences de l’éducation, gestion des systèmes éducatifs, économie de l’éducation, planification de l’éducation, gouvernance locale, ou disciplines connexes ;</w:t>
      </w:r>
    </w:p>
    <w:p w14:paraId="2EEFBA61" w14:textId="77777777" w:rsidR="004566F1" w:rsidRPr="00907E94" w:rsidRDefault="004566F1" w:rsidP="004566F1">
      <w:pPr>
        <w:pStyle w:val="Paragraphedeliste"/>
        <w:numPr>
          <w:ilvl w:val="0"/>
          <w:numId w:val="4"/>
        </w:numPr>
        <w:spacing w:before="120" w:after="120"/>
        <w:jc w:val="both"/>
      </w:pPr>
      <w:r w:rsidRPr="00907E94">
        <w:t>Au moins 5 ans d’expérience professionnelle dans la conception et la mise en œuvre de programmes de formation à destination de directeurs d’écoles, COGES, APE ou structures communautaires ;</w:t>
      </w:r>
    </w:p>
    <w:p w14:paraId="4705EE7D" w14:textId="77777777" w:rsidR="004670BE" w:rsidRPr="00907E94" w:rsidRDefault="004670BE" w:rsidP="004670BE">
      <w:pPr>
        <w:pStyle w:val="Paragraphedeliste"/>
        <w:numPr>
          <w:ilvl w:val="0"/>
          <w:numId w:val="4"/>
        </w:numPr>
        <w:spacing w:before="120" w:after="120"/>
        <w:jc w:val="both"/>
      </w:pPr>
      <w:r w:rsidRPr="00907E94">
        <w:t>Capacité avérée à produire des outils pédagogiques, des canevas simplifiés et des documents de formation adaptés aux profils communautaires et non spécialisés ;</w:t>
      </w:r>
    </w:p>
    <w:p w14:paraId="5F7EF08C" w14:textId="73F6473F" w:rsidR="004670BE" w:rsidRPr="00907E94" w:rsidRDefault="004670BE" w:rsidP="004670BE">
      <w:pPr>
        <w:pStyle w:val="Paragraphedeliste"/>
        <w:numPr>
          <w:ilvl w:val="0"/>
          <w:numId w:val="4"/>
        </w:numPr>
        <w:spacing w:before="120" w:after="120"/>
        <w:jc w:val="both"/>
      </w:pPr>
      <w:r w:rsidRPr="00907E94">
        <w:t>Avoir mené avec succès au moins une mission similaire dans un pays en développement, de préférence dans un contexte francophone ou sahélien ;</w:t>
      </w:r>
    </w:p>
    <w:p w14:paraId="3D14D8CA" w14:textId="77777777" w:rsidR="004670BE" w:rsidRPr="00907E94" w:rsidRDefault="004670BE" w:rsidP="004670BE">
      <w:pPr>
        <w:pStyle w:val="Paragraphedeliste"/>
        <w:numPr>
          <w:ilvl w:val="0"/>
          <w:numId w:val="4"/>
        </w:numPr>
      </w:pPr>
      <w:r w:rsidRPr="00907E94">
        <w:t>Excellente maîtrise du français, à l’écrit comme à l’oral ;</w:t>
      </w:r>
    </w:p>
    <w:p w14:paraId="23DF26A5" w14:textId="352C8C53" w:rsidR="004670BE" w:rsidRPr="00907E94" w:rsidRDefault="004670BE" w:rsidP="004670BE">
      <w:pPr>
        <w:pStyle w:val="Paragraphedeliste"/>
        <w:numPr>
          <w:ilvl w:val="0"/>
          <w:numId w:val="4"/>
        </w:numPr>
        <w:spacing w:before="120" w:after="120"/>
        <w:jc w:val="both"/>
      </w:pPr>
      <w:r w:rsidRPr="00907E94">
        <w:t>La connaissance de l’arabe (lecture ou expression orale) constitue un atout appréciable pour les interactions communautaires ;</w:t>
      </w:r>
    </w:p>
    <w:p w14:paraId="46E3BE1D" w14:textId="77777777" w:rsidR="00CB5253" w:rsidRDefault="00CB5253" w:rsidP="00FB45DF">
      <w:pPr>
        <w:spacing w:before="120"/>
        <w:jc w:val="both"/>
        <w:rPr>
          <w:b/>
          <w:bCs/>
        </w:rPr>
      </w:pPr>
    </w:p>
    <w:p w14:paraId="495F3E6F" w14:textId="50938860" w:rsidR="00FB45DF" w:rsidRDefault="004566F1" w:rsidP="00FB45DF">
      <w:pPr>
        <w:spacing w:before="120"/>
        <w:jc w:val="both"/>
        <w:rPr>
          <w:b/>
          <w:bCs/>
        </w:rPr>
      </w:pPr>
      <w:proofErr w:type="spellStart"/>
      <w:r w:rsidRPr="00907E94">
        <w:rPr>
          <w:b/>
          <w:bCs/>
        </w:rPr>
        <w:t>Expert</w:t>
      </w:r>
      <w:r w:rsidR="00FB45DF">
        <w:rPr>
          <w:b/>
          <w:bCs/>
        </w:rPr>
        <w:t>.e</w:t>
      </w:r>
      <w:proofErr w:type="spellEnd"/>
      <w:r w:rsidRPr="00907E94">
        <w:rPr>
          <w:b/>
          <w:bCs/>
        </w:rPr>
        <w:t xml:space="preserve"> terrain – Facilitation communautaire</w:t>
      </w:r>
      <w:r w:rsidR="00FB45DF">
        <w:rPr>
          <w:b/>
          <w:bCs/>
        </w:rPr>
        <w:t>,</w:t>
      </w:r>
    </w:p>
    <w:p w14:paraId="3E6DB892" w14:textId="458A7FFC" w:rsidR="00FB45DF" w:rsidRPr="00FB45DF" w:rsidRDefault="00FB45DF" w:rsidP="00FB45DF">
      <w:pPr>
        <w:spacing w:after="120"/>
        <w:jc w:val="both"/>
        <w:rPr>
          <w:b/>
          <w:bCs/>
        </w:rPr>
      </w:pPr>
      <w:proofErr w:type="gramStart"/>
      <w:r>
        <w:rPr>
          <w:bCs/>
        </w:rPr>
        <w:t>qui</w:t>
      </w:r>
      <w:proofErr w:type="gramEnd"/>
      <w:r>
        <w:rPr>
          <w:bCs/>
        </w:rPr>
        <w:t xml:space="preserve"> sera en charge d’</w:t>
      </w:r>
      <w:r w:rsidRPr="00FB45DF">
        <w:rPr>
          <w:bCs/>
        </w:rPr>
        <w:t xml:space="preserve">accompagner la mise en place des formations en milieu scolaire en favorisant l’adhésion et la mobilisation des acteurs locaux institutionnels et traditionnels, </w:t>
      </w:r>
      <w:r>
        <w:rPr>
          <w:bCs/>
        </w:rPr>
        <w:t>de l’</w:t>
      </w:r>
      <w:r w:rsidRPr="00FB45DF">
        <w:rPr>
          <w:bCs/>
        </w:rPr>
        <w:t xml:space="preserve">adaptation contextuelle des contenus, </w:t>
      </w:r>
      <w:r>
        <w:rPr>
          <w:bCs/>
        </w:rPr>
        <w:t>de l’</w:t>
      </w:r>
      <w:r w:rsidRPr="00FB45DF">
        <w:rPr>
          <w:bCs/>
        </w:rPr>
        <w:t>animation des formations sur le terrain</w:t>
      </w:r>
    </w:p>
    <w:p w14:paraId="3128B730" w14:textId="38B975F6" w:rsidR="004566F1" w:rsidRPr="00907E94" w:rsidRDefault="004566F1" w:rsidP="004566F1">
      <w:pPr>
        <w:pStyle w:val="Paragraphedeliste"/>
        <w:numPr>
          <w:ilvl w:val="0"/>
          <w:numId w:val="4"/>
        </w:numPr>
        <w:jc w:val="both"/>
      </w:pPr>
      <w:r w:rsidRPr="00907E94">
        <w:lastRenderedPageBreak/>
        <w:t>Diplôme minimum Bac+3 en sciences de l’éducation, gestion des systèmes éducatifs, économie de l’éducation, planification de l’éducation, gouvernance locale, ou disciplines connexes</w:t>
      </w:r>
      <w:r w:rsidR="004670BE" w:rsidRPr="00907E94">
        <w:t> ;</w:t>
      </w:r>
    </w:p>
    <w:p w14:paraId="64517724" w14:textId="3DE5BE48" w:rsidR="004670BE" w:rsidRPr="00907E94" w:rsidRDefault="004670BE" w:rsidP="004670BE">
      <w:pPr>
        <w:pStyle w:val="Paragraphedeliste"/>
        <w:numPr>
          <w:ilvl w:val="0"/>
          <w:numId w:val="4"/>
        </w:numPr>
      </w:pPr>
      <w:r w:rsidRPr="00907E94">
        <w:t>Au moins 5 ans d’expérience professionnelle dans la mise en place des approches de gestion participative, de planification budgétaire locale, et de conduite du changement au niveau des établissements ;</w:t>
      </w:r>
    </w:p>
    <w:p w14:paraId="6FDFB10E" w14:textId="37FDE4B6" w:rsidR="004670BE" w:rsidRPr="00907E94" w:rsidRDefault="004670BE" w:rsidP="004566F1">
      <w:pPr>
        <w:pStyle w:val="Paragraphedeliste"/>
        <w:numPr>
          <w:ilvl w:val="0"/>
          <w:numId w:val="4"/>
        </w:numPr>
        <w:jc w:val="both"/>
      </w:pPr>
      <w:r w:rsidRPr="00907E94">
        <w:t>Avoir mené avec succès au moins une mission similaire dans un pays en développement, de préférence dans un contexte francophone ou sahélien ;</w:t>
      </w:r>
    </w:p>
    <w:p w14:paraId="64F95E7D" w14:textId="405DCF60" w:rsidR="004566F1" w:rsidRPr="00907E94" w:rsidRDefault="004670BE" w:rsidP="004566F1">
      <w:pPr>
        <w:pStyle w:val="Paragraphedeliste"/>
        <w:numPr>
          <w:ilvl w:val="0"/>
          <w:numId w:val="4"/>
        </w:numPr>
        <w:spacing w:before="120" w:after="120"/>
        <w:jc w:val="both"/>
      </w:pPr>
      <w:r w:rsidRPr="00907E94">
        <w:t>Bonne connaissance des mécanismes de subvention scolaire, des procédures de suivi budgétaire et des outils de reddition de comptes ;</w:t>
      </w:r>
    </w:p>
    <w:p w14:paraId="20A7D36D" w14:textId="77777777" w:rsidR="004670BE" w:rsidRPr="00907E94" w:rsidRDefault="004670BE" w:rsidP="004670BE">
      <w:pPr>
        <w:pStyle w:val="Paragraphedeliste"/>
        <w:numPr>
          <w:ilvl w:val="0"/>
          <w:numId w:val="4"/>
        </w:numPr>
        <w:spacing w:before="120" w:after="120"/>
        <w:jc w:val="both"/>
      </w:pPr>
      <w:bookmarkStart w:id="8" w:name="_Hlk199948281"/>
      <w:r w:rsidRPr="00907E94">
        <w:t>Excellente maîtrise du français, à l’écrit comme à l’oral ;</w:t>
      </w:r>
    </w:p>
    <w:p w14:paraId="2A85106C" w14:textId="5386F0B5" w:rsidR="004566F1" w:rsidRDefault="004670BE" w:rsidP="004670BE">
      <w:pPr>
        <w:pStyle w:val="Paragraphedeliste"/>
        <w:numPr>
          <w:ilvl w:val="0"/>
          <w:numId w:val="4"/>
        </w:numPr>
        <w:spacing w:before="120" w:after="120"/>
        <w:jc w:val="both"/>
      </w:pPr>
      <w:r w:rsidRPr="00907E94">
        <w:t>La connaissance de l’arabe (lecture ou expression orale)</w:t>
      </w:r>
      <w:r w:rsidR="00FB45DF">
        <w:t xml:space="preserve"> et du </w:t>
      </w:r>
      <w:proofErr w:type="spellStart"/>
      <w:r w:rsidR="00FB45DF">
        <w:t>hassaniya</w:t>
      </w:r>
      <w:proofErr w:type="spellEnd"/>
      <w:r w:rsidRPr="00907E94">
        <w:t xml:space="preserve"> constitue un atout appréciable pour l</w:t>
      </w:r>
      <w:r w:rsidR="00AB424D">
        <w:t>es interactions communautaires.</w:t>
      </w:r>
    </w:p>
    <w:p w14:paraId="7ACD2984" w14:textId="77777777" w:rsidR="00AB424D" w:rsidRDefault="00AB424D" w:rsidP="00AB424D">
      <w:pPr>
        <w:pStyle w:val="Paragraphedeliste"/>
        <w:spacing w:before="120" w:after="120"/>
        <w:jc w:val="both"/>
      </w:pPr>
    </w:p>
    <w:p w14:paraId="0F3AEAD5" w14:textId="3A5CE92B" w:rsidR="00FB45DF" w:rsidRPr="00907E94" w:rsidRDefault="00FB45DF" w:rsidP="00FB45DF">
      <w:pPr>
        <w:shd w:val="clear" w:color="auto" w:fill="8EAADB" w:themeFill="accent5" w:themeFillTint="99"/>
        <w:spacing w:before="240"/>
        <w:jc w:val="both"/>
        <w:rPr>
          <w:rFonts w:eastAsia="Arial"/>
          <w:b/>
          <w:bCs/>
          <w:color w:val="FFFFFF" w:themeColor="background1"/>
        </w:rPr>
      </w:pPr>
      <w:r>
        <w:rPr>
          <w:rFonts w:eastAsia="Arial"/>
          <w:b/>
          <w:bCs/>
          <w:color w:val="FFFFFF" w:themeColor="background1"/>
        </w:rPr>
        <w:t>Modalités de candidature</w:t>
      </w:r>
    </w:p>
    <w:p w14:paraId="59128D54" w14:textId="77777777" w:rsidR="00C107D3" w:rsidRDefault="00C107D3" w:rsidP="00C107D3">
      <w:pPr>
        <w:spacing w:line="259" w:lineRule="auto"/>
      </w:pPr>
    </w:p>
    <w:p w14:paraId="3D130FA4" w14:textId="4CA46063" w:rsidR="004844EB" w:rsidRDefault="004844EB" w:rsidP="004844EB">
      <w:pPr>
        <w:spacing w:after="160" w:line="259" w:lineRule="auto"/>
      </w:pPr>
      <w:r>
        <w:t xml:space="preserve">Les candidatures doivent inclure les éléments suivants : </w:t>
      </w:r>
    </w:p>
    <w:p w14:paraId="053F94E4" w14:textId="6AF42AF5" w:rsidR="004844EB" w:rsidRDefault="004844EB" w:rsidP="004844EB">
      <w:pPr>
        <w:pStyle w:val="Paragraphedeliste"/>
        <w:numPr>
          <w:ilvl w:val="0"/>
          <w:numId w:val="19"/>
        </w:numPr>
        <w:spacing w:after="120"/>
        <w:ind w:left="714" w:hanging="357"/>
      </w:pPr>
      <w:r>
        <w:t>Une note de compréhension des termes de référence de la mission et des enjeux qu’elle contient</w:t>
      </w:r>
    </w:p>
    <w:p w14:paraId="2C7E041B" w14:textId="740B9271" w:rsidR="004844EB" w:rsidRDefault="004844EB" w:rsidP="004844EB">
      <w:pPr>
        <w:pStyle w:val="Paragraphedeliste"/>
        <w:numPr>
          <w:ilvl w:val="0"/>
          <w:numId w:val="19"/>
        </w:numPr>
        <w:spacing w:after="120"/>
        <w:ind w:left="714" w:hanging="357"/>
      </w:pPr>
      <w:r>
        <w:t>Une offre technique incluant une proposition méthodologique, un schéma organisationnel et logistique ainsi qu’un calendrier indicatif d’exécution</w:t>
      </w:r>
    </w:p>
    <w:p w14:paraId="3273A959" w14:textId="39393A5D" w:rsidR="004844EB" w:rsidRDefault="004844EB" w:rsidP="004844EB">
      <w:pPr>
        <w:pStyle w:val="Paragraphedeliste"/>
        <w:numPr>
          <w:ilvl w:val="0"/>
          <w:numId w:val="19"/>
        </w:numPr>
        <w:spacing w:after="120"/>
        <w:ind w:left="714" w:hanging="357"/>
      </w:pPr>
      <w:r>
        <w:t xml:space="preserve">Une offre financière incluant les honoraires, les coûts organisationnels et logistiques, ainsi que la prise en charge </w:t>
      </w:r>
      <w:r w:rsidR="00AB424D">
        <w:t xml:space="preserve">des </w:t>
      </w:r>
      <w:r>
        <w:t>participants aux sessions de formation</w:t>
      </w:r>
      <w:r w:rsidR="0022545C">
        <w:t xml:space="preserve"> (selon le cadre de décomposition du prix global et forfaitaire fourni</w:t>
      </w:r>
    </w:p>
    <w:p w14:paraId="3C797C63" w14:textId="45DCE5CA" w:rsidR="004844EB" w:rsidRPr="00CB5253" w:rsidRDefault="004844EB" w:rsidP="004844EB">
      <w:pPr>
        <w:pStyle w:val="Paragraphedeliste"/>
        <w:numPr>
          <w:ilvl w:val="0"/>
          <w:numId w:val="19"/>
        </w:numPr>
        <w:spacing w:after="120"/>
        <w:ind w:left="714" w:hanging="357"/>
      </w:pPr>
      <w:r w:rsidRPr="00CB5253">
        <w:t>Une présentation du candidat (bureau ou cabinet)</w:t>
      </w:r>
    </w:p>
    <w:p w14:paraId="26D446D5" w14:textId="0A1DAC0F" w:rsidR="004844EB" w:rsidRDefault="004844EB" w:rsidP="004844EB">
      <w:pPr>
        <w:pStyle w:val="Paragraphedeliste"/>
        <w:numPr>
          <w:ilvl w:val="0"/>
          <w:numId w:val="19"/>
        </w:numPr>
        <w:spacing w:after="120"/>
        <w:ind w:left="714" w:hanging="357"/>
      </w:pPr>
      <w:r>
        <w:t>Les CV des membres du personnel-clé mobilisé pour la mission</w:t>
      </w:r>
    </w:p>
    <w:p w14:paraId="7E2D6755" w14:textId="77777777" w:rsidR="004844EB" w:rsidRDefault="004844EB" w:rsidP="004844EB">
      <w:pPr>
        <w:pStyle w:val="Paragraphedeliste"/>
        <w:numPr>
          <w:ilvl w:val="0"/>
          <w:numId w:val="19"/>
        </w:numPr>
        <w:spacing w:after="120"/>
        <w:ind w:left="714" w:hanging="357"/>
      </w:pPr>
      <w:r>
        <w:t>Une présentation des références de missions similaires démontrant la pertinence de la candidature pour cette mission.</w:t>
      </w:r>
    </w:p>
    <w:p w14:paraId="1C2C66F2" w14:textId="77777777" w:rsidR="00AB424D" w:rsidRDefault="00AB424D" w:rsidP="004844EB">
      <w:pPr>
        <w:spacing w:after="120"/>
        <w:ind w:left="357"/>
      </w:pPr>
    </w:p>
    <w:p w14:paraId="2794B49C" w14:textId="7919FC1D" w:rsidR="00AB424D" w:rsidRDefault="00AB424D">
      <w:pPr>
        <w:spacing w:after="160" w:line="259" w:lineRule="auto"/>
      </w:pPr>
      <w:r>
        <w:br w:type="page"/>
      </w:r>
    </w:p>
    <w:p w14:paraId="74E9DD2B" w14:textId="77777777" w:rsidR="00FB45DF" w:rsidRDefault="00FB45DF" w:rsidP="00C107D3">
      <w:pPr>
        <w:spacing w:after="120"/>
      </w:pPr>
    </w:p>
    <w:p w14:paraId="082963AD" w14:textId="6868C3CA" w:rsidR="00FB45DF" w:rsidRPr="00FB45DF" w:rsidRDefault="00FB45DF" w:rsidP="00FB45DF">
      <w:pPr>
        <w:spacing w:before="120" w:after="120"/>
        <w:jc w:val="both"/>
        <w:rPr>
          <w:b/>
          <w:sz w:val="24"/>
        </w:rPr>
      </w:pPr>
      <w:r w:rsidRPr="00FB45DF">
        <w:rPr>
          <w:b/>
          <w:sz w:val="24"/>
        </w:rPr>
        <w:t>ANNEXE</w:t>
      </w:r>
    </w:p>
    <w:tbl>
      <w:tblPr>
        <w:tblW w:w="5236" w:type="pct"/>
        <w:tblCellMar>
          <w:left w:w="70" w:type="dxa"/>
          <w:right w:w="70" w:type="dxa"/>
        </w:tblCellMar>
        <w:tblLook w:val="04A0" w:firstRow="1" w:lastRow="0" w:firstColumn="1" w:lastColumn="0" w:noHBand="0" w:noVBand="1"/>
      </w:tblPr>
      <w:tblGrid>
        <w:gridCol w:w="3817"/>
        <w:gridCol w:w="1852"/>
        <w:gridCol w:w="1713"/>
        <w:gridCol w:w="2116"/>
      </w:tblGrid>
      <w:tr w:rsidR="002405EF" w:rsidRPr="00907E94" w14:paraId="2EA859BC" w14:textId="77777777" w:rsidTr="002405EF">
        <w:trPr>
          <w:trHeight w:val="360"/>
        </w:trPr>
        <w:tc>
          <w:tcPr>
            <w:tcW w:w="5000" w:type="pct"/>
            <w:gridSpan w:val="4"/>
            <w:tcBorders>
              <w:top w:val="nil"/>
              <w:left w:val="nil"/>
              <w:bottom w:val="nil"/>
              <w:right w:val="nil"/>
            </w:tcBorders>
            <w:shd w:val="clear" w:color="auto" w:fill="auto"/>
            <w:noWrap/>
            <w:vAlign w:val="bottom"/>
            <w:hideMark/>
          </w:tcPr>
          <w:bookmarkEnd w:id="8"/>
          <w:p w14:paraId="20F33E43" w14:textId="7809CE3F" w:rsidR="002405EF" w:rsidRPr="00907E94" w:rsidRDefault="002405EF" w:rsidP="002405EF">
            <w:pPr>
              <w:rPr>
                <w:rFonts w:eastAsia="Times New Roman"/>
                <w:b/>
                <w:bCs/>
                <w:color w:val="000000"/>
                <w:lang w:eastAsia="fr-FR"/>
              </w:rPr>
            </w:pPr>
            <w:r w:rsidRPr="00907E94">
              <w:rPr>
                <w:rFonts w:eastAsia="Times New Roman"/>
                <w:b/>
                <w:bCs/>
                <w:color w:val="000000"/>
                <w:lang w:eastAsia="fr-FR"/>
              </w:rPr>
              <w:t xml:space="preserve">Ecoles </w:t>
            </w:r>
            <w:r w:rsidR="00FB45DF">
              <w:rPr>
                <w:rFonts w:eastAsia="Times New Roman"/>
                <w:b/>
                <w:bCs/>
                <w:color w:val="000000"/>
                <w:lang w:eastAsia="fr-FR"/>
              </w:rPr>
              <w:t xml:space="preserve">pilotes </w:t>
            </w:r>
            <w:r w:rsidRPr="00907E94">
              <w:rPr>
                <w:rFonts w:eastAsia="Times New Roman"/>
                <w:b/>
                <w:bCs/>
                <w:color w:val="000000"/>
                <w:lang w:eastAsia="fr-FR"/>
              </w:rPr>
              <w:t>du périmètre de l'expérimentation du PAIRE</w:t>
            </w:r>
          </w:p>
        </w:tc>
      </w:tr>
      <w:tr w:rsidR="002405EF" w:rsidRPr="00907E94" w14:paraId="02D71B91" w14:textId="77777777" w:rsidTr="00FB45DF">
        <w:trPr>
          <w:trHeight w:val="288"/>
        </w:trPr>
        <w:tc>
          <w:tcPr>
            <w:tcW w:w="2009" w:type="pct"/>
            <w:tcBorders>
              <w:top w:val="single" w:sz="4" w:space="0" w:color="auto"/>
              <w:left w:val="single" w:sz="4" w:space="0" w:color="auto"/>
              <w:bottom w:val="single" w:sz="4" w:space="0" w:color="auto"/>
              <w:right w:val="single" w:sz="4" w:space="0" w:color="auto"/>
            </w:tcBorders>
            <w:shd w:val="clear" w:color="auto" w:fill="auto"/>
            <w:hideMark/>
          </w:tcPr>
          <w:p w14:paraId="0B8744C6" w14:textId="77777777" w:rsidR="002405EF" w:rsidRPr="00907E94" w:rsidRDefault="002405EF" w:rsidP="002405EF">
            <w:pPr>
              <w:jc w:val="center"/>
              <w:rPr>
                <w:rFonts w:eastAsia="Times New Roman"/>
                <w:b/>
                <w:bCs/>
                <w:color w:val="000000"/>
                <w:lang w:eastAsia="fr-FR"/>
              </w:rPr>
            </w:pPr>
            <w:r w:rsidRPr="00907E94">
              <w:rPr>
                <w:rFonts w:eastAsia="Times New Roman"/>
                <w:b/>
                <w:bCs/>
                <w:color w:val="000000"/>
                <w:lang w:eastAsia="fr-FR"/>
              </w:rPr>
              <w:t>Ecole</w:t>
            </w:r>
          </w:p>
        </w:tc>
        <w:tc>
          <w:tcPr>
            <w:tcW w:w="975" w:type="pct"/>
            <w:tcBorders>
              <w:top w:val="single" w:sz="4" w:space="0" w:color="auto"/>
              <w:left w:val="nil"/>
              <w:bottom w:val="single" w:sz="4" w:space="0" w:color="auto"/>
              <w:right w:val="single" w:sz="4" w:space="0" w:color="auto"/>
            </w:tcBorders>
            <w:shd w:val="clear" w:color="auto" w:fill="auto"/>
            <w:hideMark/>
          </w:tcPr>
          <w:p w14:paraId="5F6615FD" w14:textId="77777777" w:rsidR="002405EF" w:rsidRPr="00907E94" w:rsidRDefault="002405EF" w:rsidP="002405EF">
            <w:pPr>
              <w:jc w:val="center"/>
              <w:rPr>
                <w:rFonts w:eastAsia="Times New Roman"/>
                <w:b/>
                <w:bCs/>
                <w:color w:val="000000"/>
                <w:lang w:eastAsia="fr-FR"/>
              </w:rPr>
            </w:pPr>
            <w:r w:rsidRPr="00907E94">
              <w:rPr>
                <w:rFonts w:eastAsia="Times New Roman"/>
                <w:b/>
                <w:bCs/>
                <w:color w:val="000000"/>
                <w:lang w:eastAsia="fr-FR"/>
              </w:rPr>
              <w:t>Commune</w:t>
            </w:r>
          </w:p>
        </w:tc>
        <w:tc>
          <w:tcPr>
            <w:tcW w:w="902" w:type="pct"/>
            <w:tcBorders>
              <w:top w:val="single" w:sz="4" w:space="0" w:color="auto"/>
              <w:left w:val="nil"/>
              <w:bottom w:val="single" w:sz="4" w:space="0" w:color="auto"/>
              <w:right w:val="single" w:sz="4" w:space="0" w:color="auto"/>
            </w:tcBorders>
            <w:shd w:val="clear" w:color="auto" w:fill="auto"/>
            <w:hideMark/>
          </w:tcPr>
          <w:p w14:paraId="6A6679FD" w14:textId="77777777" w:rsidR="002405EF" w:rsidRPr="00907E94" w:rsidRDefault="002405EF" w:rsidP="002405EF">
            <w:pPr>
              <w:jc w:val="center"/>
              <w:rPr>
                <w:rFonts w:eastAsia="Times New Roman"/>
                <w:b/>
                <w:bCs/>
                <w:color w:val="000000"/>
                <w:lang w:eastAsia="fr-FR"/>
              </w:rPr>
            </w:pPr>
            <w:proofErr w:type="spellStart"/>
            <w:r w:rsidRPr="00907E94">
              <w:rPr>
                <w:rFonts w:eastAsia="Times New Roman"/>
                <w:b/>
                <w:bCs/>
                <w:color w:val="000000"/>
                <w:lang w:eastAsia="fr-FR"/>
              </w:rPr>
              <w:t>Moughataa</w:t>
            </w:r>
            <w:proofErr w:type="spellEnd"/>
          </w:p>
        </w:tc>
        <w:tc>
          <w:tcPr>
            <w:tcW w:w="1114" w:type="pct"/>
            <w:tcBorders>
              <w:top w:val="single" w:sz="4" w:space="0" w:color="auto"/>
              <w:left w:val="nil"/>
              <w:bottom w:val="single" w:sz="4" w:space="0" w:color="auto"/>
              <w:right w:val="single" w:sz="4" w:space="0" w:color="auto"/>
            </w:tcBorders>
            <w:shd w:val="clear" w:color="auto" w:fill="auto"/>
            <w:hideMark/>
          </w:tcPr>
          <w:p w14:paraId="7862D6CB" w14:textId="77777777" w:rsidR="002405EF" w:rsidRPr="00907E94" w:rsidRDefault="002405EF" w:rsidP="002405EF">
            <w:pPr>
              <w:jc w:val="center"/>
              <w:rPr>
                <w:rFonts w:eastAsia="Times New Roman"/>
                <w:b/>
                <w:bCs/>
                <w:color w:val="000000"/>
                <w:lang w:eastAsia="fr-FR"/>
              </w:rPr>
            </w:pPr>
            <w:r w:rsidRPr="00907E94">
              <w:rPr>
                <w:rFonts w:eastAsia="Times New Roman"/>
                <w:b/>
                <w:bCs/>
                <w:color w:val="000000"/>
                <w:lang w:eastAsia="fr-FR"/>
              </w:rPr>
              <w:t>Wilaya</w:t>
            </w:r>
          </w:p>
        </w:tc>
      </w:tr>
      <w:tr w:rsidR="002405EF" w:rsidRPr="00907E94" w14:paraId="2FE5E4BD"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14939D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Babe</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Maata</w:t>
            </w:r>
            <w:proofErr w:type="spellEnd"/>
            <w:r w:rsidRPr="00907E94">
              <w:rPr>
                <w:rFonts w:eastAsia="Times New Roman"/>
                <w:color w:val="000000"/>
                <w:lang w:eastAsia="fr-FR"/>
              </w:rPr>
              <w:t xml:space="preserve"> 1</w:t>
            </w:r>
          </w:p>
        </w:tc>
        <w:tc>
          <w:tcPr>
            <w:tcW w:w="975" w:type="pct"/>
            <w:tcBorders>
              <w:top w:val="nil"/>
              <w:left w:val="nil"/>
              <w:bottom w:val="single" w:sz="4" w:space="0" w:color="auto"/>
              <w:right w:val="single" w:sz="4" w:space="0" w:color="auto"/>
            </w:tcBorders>
            <w:shd w:val="clear" w:color="auto" w:fill="auto"/>
            <w:vAlign w:val="bottom"/>
            <w:hideMark/>
          </w:tcPr>
          <w:p w14:paraId="413D588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97A3F4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11DB94BE"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2222AA33"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184E47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Mohamed El-</w:t>
            </w:r>
            <w:proofErr w:type="spellStart"/>
            <w:r w:rsidRPr="00907E94">
              <w:rPr>
                <w:rFonts w:eastAsia="Times New Roman"/>
                <w:color w:val="000000"/>
                <w:lang w:eastAsia="fr-FR"/>
              </w:rPr>
              <w:t>emine</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Ndjeyane</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023DF08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1D41BE4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7E2D124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596115A6"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6E824C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Tarigh</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32D8576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309E44E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42C6A2D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E980D83"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7C88667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Oumar Ibn Yasser</w:t>
            </w:r>
          </w:p>
        </w:tc>
        <w:tc>
          <w:tcPr>
            <w:tcW w:w="975" w:type="pct"/>
            <w:tcBorders>
              <w:top w:val="nil"/>
              <w:left w:val="nil"/>
              <w:bottom w:val="single" w:sz="4" w:space="0" w:color="auto"/>
              <w:right w:val="single" w:sz="4" w:space="0" w:color="auto"/>
            </w:tcBorders>
            <w:shd w:val="clear" w:color="auto" w:fill="auto"/>
            <w:vAlign w:val="center"/>
            <w:hideMark/>
          </w:tcPr>
          <w:p w14:paraId="17CF789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0D51E37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199119D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E75B6DB"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5A4B495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Elhadj</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Ould</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Vahou</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15492DB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336B147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2DFD6E1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5C432D3"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34F4E07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Esselam</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315477F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108B422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4975C2E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7EA3AB6"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12DEA6F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Cheikh </w:t>
            </w:r>
            <w:proofErr w:type="spellStart"/>
            <w:r w:rsidRPr="00907E94">
              <w:rPr>
                <w:rFonts w:eastAsia="Times New Roman"/>
                <w:color w:val="000000"/>
                <w:lang w:eastAsia="fr-FR"/>
              </w:rPr>
              <w:t>Maalaïnine</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02B905B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0F1BF93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3F35A43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375EA501"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3FDB125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Mohamed </w:t>
            </w:r>
            <w:proofErr w:type="spellStart"/>
            <w:r w:rsidRPr="00907E94">
              <w:rPr>
                <w:rFonts w:eastAsia="Times New Roman"/>
                <w:color w:val="000000"/>
                <w:lang w:eastAsia="fr-FR"/>
              </w:rPr>
              <w:t>Ould</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Adoubba</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525B4C4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1389196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0D9F67D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FC320AF"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4ECD64E"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Ibn </w:t>
            </w:r>
            <w:proofErr w:type="spellStart"/>
            <w:r w:rsidRPr="00907E94">
              <w:rPr>
                <w:rFonts w:eastAsia="Times New Roman"/>
                <w:color w:val="000000"/>
                <w:lang w:eastAsia="fr-FR"/>
              </w:rPr>
              <w:t>Abass</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4CE637F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36FED3F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691618D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14073C66"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BC99EB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Mousaab</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10DB5EE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4AD3834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2F6014B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1680B5FC"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74A4C3F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Cheikh </w:t>
            </w:r>
            <w:proofErr w:type="spellStart"/>
            <w:r w:rsidRPr="00907E94">
              <w:rPr>
                <w:rFonts w:eastAsia="Times New Roman"/>
                <w:color w:val="000000"/>
                <w:lang w:eastAsia="fr-FR"/>
              </w:rPr>
              <w:t>Tourad</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6FFE82F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11F32C6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38FB29D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041B32A"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2D243B6" w14:textId="77777777" w:rsidR="002405EF" w:rsidRPr="00907E94" w:rsidRDefault="002405EF" w:rsidP="002405EF">
            <w:pPr>
              <w:rPr>
                <w:rFonts w:eastAsia="Times New Roman"/>
                <w:color w:val="000000"/>
                <w:lang w:val="en-GB" w:eastAsia="fr-FR"/>
              </w:rPr>
            </w:pPr>
            <w:r w:rsidRPr="00907E94">
              <w:rPr>
                <w:rFonts w:eastAsia="Times New Roman"/>
                <w:color w:val="000000"/>
                <w:lang w:val="en-GB" w:eastAsia="fr-FR"/>
              </w:rPr>
              <w:t xml:space="preserve">Cheikh </w:t>
            </w:r>
            <w:proofErr w:type="spellStart"/>
            <w:r w:rsidRPr="00907E94">
              <w:rPr>
                <w:rFonts w:eastAsia="Times New Roman"/>
                <w:color w:val="000000"/>
                <w:lang w:val="en-GB" w:eastAsia="fr-FR"/>
              </w:rPr>
              <w:t>Cheikh</w:t>
            </w:r>
            <w:proofErr w:type="spellEnd"/>
            <w:r w:rsidRPr="00907E94">
              <w:rPr>
                <w:rFonts w:eastAsia="Times New Roman"/>
                <w:color w:val="000000"/>
                <w:lang w:val="en-GB" w:eastAsia="fr-FR"/>
              </w:rPr>
              <w:t xml:space="preserve"> </w:t>
            </w:r>
            <w:proofErr w:type="spellStart"/>
            <w:r w:rsidRPr="00907E94">
              <w:rPr>
                <w:rFonts w:eastAsia="Times New Roman"/>
                <w:color w:val="000000"/>
                <w:lang w:val="en-GB" w:eastAsia="fr-FR"/>
              </w:rPr>
              <w:t>Ould</w:t>
            </w:r>
            <w:proofErr w:type="spellEnd"/>
            <w:r w:rsidRPr="00907E94">
              <w:rPr>
                <w:rFonts w:eastAsia="Times New Roman"/>
                <w:color w:val="000000"/>
                <w:lang w:val="en-GB" w:eastAsia="fr-FR"/>
              </w:rPr>
              <w:t xml:space="preserve"> El-</w:t>
            </w:r>
            <w:proofErr w:type="spellStart"/>
            <w:r w:rsidRPr="00907E94">
              <w:rPr>
                <w:rFonts w:eastAsia="Times New Roman"/>
                <w:color w:val="000000"/>
                <w:lang w:val="en-GB" w:eastAsia="fr-FR"/>
              </w:rPr>
              <w:t>alem</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377C7BA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3DA17E8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777FE35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182A1C26"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7383000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Cheikh </w:t>
            </w:r>
            <w:proofErr w:type="spellStart"/>
            <w:r w:rsidRPr="00907E94">
              <w:rPr>
                <w:rFonts w:eastAsia="Times New Roman"/>
                <w:color w:val="000000"/>
                <w:lang w:eastAsia="fr-FR"/>
              </w:rPr>
              <w:t>Tourad</w:t>
            </w:r>
            <w:proofErr w:type="spellEnd"/>
            <w:r w:rsidRPr="00907E94">
              <w:rPr>
                <w:rFonts w:eastAsia="Times New Roman"/>
                <w:color w:val="000000"/>
                <w:lang w:eastAsia="fr-FR"/>
              </w:rPr>
              <w:t xml:space="preserve"> 2</w:t>
            </w:r>
          </w:p>
        </w:tc>
        <w:tc>
          <w:tcPr>
            <w:tcW w:w="975" w:type="pct"/>
            <w:tcBorders>
              <w:top w:val="nil"/>
              <w:left w:val="nil"/>
              <w:bottom w:val="single" w:sz="4" w:space="0" w:color="auto"/>
              <w:right w:val="single" w:sz="4" w:space="0" w:color="auto"/>
            </w:tcBorders>
            <w:shd w:val="clear" w:color="auto" w:fill="auto"/>
            <w:vAlign w:val="center"/>
            <w:hideMark/>
          </w:tcPr>
          <w:p w14:paraId="03A558C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794C782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05AB500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F14BE93"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2869E18"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Mohamed Mahmoud </w:t>
            </w:r>
            <w:proofErr w:type="spellStart"/>
            <w:r w:rsidRPr="00907E94">
              <w:rPr>
                <w:rFonts w:eastAsia="Times New Roman"/>
                <w:color w:val="000000"/>
                <w:lang w:eastAsia="fr-FR"/>
              </w:rPr>
              <w:t>Ould</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Hamady</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216BD2B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407F81B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769FE4A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309358D0"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09E005D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Ch. Ahmed </w:t>
            </w:r>
            <w:proofErr w:type="spellStart"/>
            <w:r w:rsidRPr="00907E94">
              <w:rPr>
                <w:rFonts w:eastAsia="Times New Roman"/>
                <w:color w:val="000000"/>
                <w:lang w:eastAsia="fr-FR"/>
              </w:rPr>
              <w:t>Ebou</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Elmaaly</w:t>
            </w:r>
            <w:proofErr w:type="spellEnd"/>
            <w:r w:rsidRPr="00907E94">
              <w:rPr>
                <w:rFonts w:eastAsia="Times New Roman"/>
                <w:color w:val="000000"/>
                <w:lang w:eastAsia="fr-FR"/>
              </w:rPr>
              <w:t xml:space="preserve"> 2</w:t>
            </w:r>
          </w:p>
        </w:tc>
        <w:tc>
          <w:tcPr>
            <w:tcW w:w="975" w:type="pct"/>
            <w:tcBorders>
              <w:top w:val="nil"/>
              <w:left w:val="nil"/>
              <w:bottom w:val="single" w:sz="4" w:space="0" w:color="auto"/>
              <w:right w:val="single" w:sz="4" w:space="0" w:color="auto"/>
            </w:tcBorders>
            <w:shd w:val="clear" w:color="auto" w:fill="auto"/>
            <w:vAlign w:val="center"/>
            <w:hideMark/>
          </w:tcPr>
          <w:p w14:paraId="724BD28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61D785D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24356C9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52BD562C"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1FC2DE6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Baba </w:t>
            </w:r>
            <w:proofErr w:type="spellStart"/>
            <w:r w:rsidRPr="00907E94">
              <w:rPr>
                <w:rFonts w:eastAsia="Times New Roman"/>
                <w:color w:val="000000"/>
                <w:lang w:eastAsia="fr-FR"/>
              </w:rPr>
              <w:t>Maata</w:t>
            </w:r>
            <w:proofErr w:type="spellEnd"/>
            <w:r w:rsidRPr="00907E94">
              <w:rPr>
                <w:rFonts w:eastAsia="Times New Roman"/>
                <w:color w:val="000000"/>
                <w:lang w:eastAsia="fr-FR"/>
              </w:rPr>
              <w:t xml:space="preserve"> 2</w:t>
            </w:r>
          </w:p>
        </w:tc>
        <w:tc>
          <w:tcPr>
            <w:tcW w:w="975" w:type="pct"/>
            <w:tcBorders>
              <w:top w:val="nil"/>
              <w:left w:val="nil"/>
              <w:bottom w:val="single" w:sz="4" w:space="0" w:color="auto"/>
              <w:right w:val="single" w:sz="4" w:space="0" w:color="auto"/>
            </w:tcBorders>
            <w:shd w:val="clear" w:color="auto" w:fill="auto"/>
            <w:vAlign w:val="center"/>
            <w:hideMark/>
          </w:tcPr>
          <w:p w14:paraId="11DA1FA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77FC4F0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256FF2A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9CE1109"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49FBDD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El-</w:t>
            </w:r>
            <w:proofErr w:type="spellStart"/>
            <w:r w:rsidRPr="00907E94">
              <w:rPr>
                <w:rFonts w:eastAsia="Times New Roman"/>
                <w:color w:val="000000"/>
                <w:lang w:eastAsia="fr-FR"/>
              </w:rPr>
              <w:t>Inghadh</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3F428B2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76E0BA1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265018A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1C21682"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1706EB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Ghaza</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Essamida</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71546A9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4E8B578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52AA13B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7DAEA333"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DE675A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Abd-Esselam</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Tandia</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3D3D891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7CC16BB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234DE09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E7225D7"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FB7D643"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Cheikh Sidi Mohamed</w:t>
            </w:r>
          </w:p>
        </w:tc>
        <w:tc>
          <w:tcPr>
            <w:tcW w:w="975" w:type="pct"/>
            <w:tcBorders>
              <w:top w:val="nil"/>
              <w:left w:val="nil"/>
              <w:bottom w:val="single" w:sz="4" w:space="0" w:color="auto"/>
              <w:right w:val="single" w:sz="4" w:space="0" w:color="auto"/>
            </w:tcBorders>
            <w:shd w:val="clear" w:color="auto" w:fill="auto"/>
            <w:vAlign w:val="center"/>
            <w:hideMark/>
          </w:tcPr>
          <w:p w14:paraId="3AA3903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2FDFAF6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3359933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7CB123DF"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C224FB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Jaavar</w:t>
            </w:r>
            <w:proofErr w:type="spellEnd"/>
            <w:r w:rsidRPr="00907E94">
              <w:rPr>
                <w:rFonts w:eastAsia="Times New Roman"/>
                <w:color w:val="000000"/>
                <w:lang w:eastAsia="fr-FR"/>
              </w:rPr>
              <w:t xml:space="preserve"> Ibn </w:t>
            </w:r>
            <w:proofErr w:type="spellStart"/>
            <w:r w:rsidRPr="00907E94">
              <w:rPr>
                <w:rFonts w:eastAsia="Times New Roman"/>
                <w:color w:val="000000"/>
                <w:lang w:eastAsia="fr-FR"/>
              </w:rPr>
              <w:t>Ebi</w:t>
            </w:r>
            <w:proofErr w:type="spellEnd"/>
            <w:r w:rsidRPr="00907E94">
              <w:rPr>
                <w:rFonts w:eastAsia="Times New Roman"/>
                <w:color w:val="000000"/>
                <w:lang w:eastAsia="fr-FR"/>
              </w:rPr>
              <w:t xml:space="preserve"> Taleb</w:t>
            </w:r>
          </w:p>
        </w:tc>
        <w:tc>
          <w:tcPr>
            <w:tcW w:w="975" w:type="pct"/>
            <w:tcBorders>
              <w:top w:val="nil"/>
              <w:left w:val="nil"/>
              <w:bottom w:val="single" w:sz="4" w:space="0" w:color="auto"/>
              <w:right w:val="single" w:sz="4" w:space="0" w:color="auto"/>
            </w:tcBorders>
            <w:shd w:val="clear" w:color="auto" w:fill="auto"/>
            <w:vAlign w:val="center"/>
            <w:hideMark/>
          </w:tcPr>
          <w:p w14:paraId="5B58280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600519A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3EB68FA3"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7F04024"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32BA230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Khadijetou</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Bint</w:t>
            </w:r>
            <w:proofErr w:type="spellEnd"/>
            <w:r w:rsidRPr="00907E94">
              <w:rPr>
                <w:rFonts w:eastAsia="Times New Roman"/>
                <w:color w:val="000000"/>
                <w:lang w:eastAsia="fr-FR"/>
              </w:rPr>
              <w:t xml:space="preserve"> El-</w:t>
            </w:r>
            <w:proofErr w:type="spellStart"/>
            <w:r w:rsidRPr="00907E94">
              <w:rPr>
                <w:rFonts w:eastAsia="Times New Roman"/>
                <w:color w:val="000000"/>
                <w:lang w:eastAsia="fr-FR"/>
              </w:rPr>
              <w:t>Aghib</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29DF086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6C51519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06B424B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5B808943"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6D97480" w14:textId="77777777" w:rsidR="002405EF" w:rsidRPr="00907E94" w:rsidRDefault="002405EF" w:rsidP="002405EF">
            <w:pPr>
              <w:rPr>
                <w:rFonts w:eastAsia="Times New Roman"/>
                <w:color w:val="000000"/>
                <w:lang w:val="en-GB" w:eastAsia="fr-FR"/>
              </w:rPr>
            </w:pPr>
            <w:r w:rsidRPr="00907E94">
              <w:rPr>
                <w:rFonts w:eastAsia="Times New Roman"/>
                <w:color w:val="000000"/>
                <w:lang w:val="en-GB" w:eastAsia="fr-FR"/>
              </w:rPr>
              <w:t>Bah Ben Mohamed El-</w:t>
            </w:r>
            <w:proofErr w:type="spellStart"/>
            <w:r w:rsidRPr="00907E94">
              <w:rPr>
                <w:rFonts w:eastAsia="Times New Roman"/>
                <w:color w:val="000000"/>
                <w:lang w:val="en-GB" w:eastAsia="fr-FR"/>
              </w:rPr>
              <w:t>Emine</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3F57410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1166339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18D5C20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53AA31F"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D1EB49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Sidi </w:t>
            </w:r>
            <w:proofErr w:type="spellStart"/>
            <w:r w:rsidRPr="00907E94">
              <w:rPr>
                <w:rFonts w:eastAsia="Times New Roman"/>
                <w:color w:val="000000"/>
                <w:lang w:eastAsia="fr-FR"/>
              </w:rPr>
              <w:t>Ould</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Moulaye</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Zeine</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4E0207B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3EEF378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7A31D80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7748B97B"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1590B6D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Cherif Ahmed</w:t>
            </w:r>
          </w:p>
        </w:tc>
        <w:tc>
          <w:tcPr>
            <w:tcW w:w="975" w:type="pct"/>
            <w:tcBorders>
              <w:top w:val="nil"/>
              <w:left w:val="nil"/>
              <w:bottom w:val="single" w:sz="4" w:space="0" w:color="auto"/>
              <w:right w:val="single" w:sz="4" w:space="0" w:color="auto"/>
            </w:tcBorders>
            <w:shd w:val="clear" w:color="auto" w:fill="auto"/>
            <w:vAlign w:val="center"/>
            <w:hideMark/>
          </w:tcPr>
          <w:p w14:paraId="6BC393D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490ADC3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40AE3C3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377BC819"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3C00AA08"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Mohamed </w:t>
            </w:r>
            <w:proofErr w:type="spellStart"/>
            <w:r w:rsidRPr="00907E94">
              <w:rPr>
                <w:rFonts w:eastAsia="Times New Roman"/>
                <w:color w:val="000000"/>
                <w:lang w:eastAsia="fr-FR"/>
              </w:rPr>
              <w:t>Ould</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Bouakssa</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0087C29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73419C0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370AE18E"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66D09CC"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2B833D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Ibn </w:t>
            </w:r>
            <w:proofErr w:type="spellStart"/>
            <w:r w:rsidRPr="00907E94">
              <w:rPr>
                <w:rFonts w:eastAsia="Times New Roman"/>
                <w:color w:val="000000"/>
                <w:lang w:eastAsia="fr-FR"/>
              </w:rPr>
              <w:t>Khaldoune</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0FA8660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4A5F5F4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47D80CB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C884097"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01DA2D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Cheikh Mohamed </w:t>
            </w:r>
            <w:proofErr w:type="spellStart"/>
            <w:r w:rsidRPr="00907E94">
              <w:rPr>
                <w:rFonts w:eastAsia="Times New Roman"/>
                <w:color w:val="000000"/>
                <w:lang w:eastAsia="fr-FR"/>
              </w:rPr>
              <w:t>Lemine</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6BFDC44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015F1F3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393DA24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52A5190"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62228CE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Salah-Dine</w:t>
            </w:r>
          </w:p>
        </w:tc>
        <w:tc>
          <w:tcPr>
            <w:tcW w:w="975" w:type="pct"/>
            <w:tcBorders>
              <w:top w:val="nil"/>
              <w:left w:val="nil"/>
              <w:bottom w:val="single" w:sz="4" w:space="0" w:color="auto"/>
              <w:right w:val="single" w:sz="4" w:space="0" w:color="auto"/>
            </w:tcBorders>
            <w:shd w:val="clear" w:color="auto" w:fill="auto"/>
            <w:vAlign w:val="center"/>
            <w:hideMark/>
          </w:tcPr>
          <w:p w14:paraId="6284BF5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19ADD17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3C48853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F7A271D"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0387D3F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Ahmed </w:t>
            </w:r>
            <w:proofErr w:type="spellStart"/>
            <w:r w:rsidRPr="00907E94">
              <w:rPr>
                <w:rFonts w:eastAsia="Times New Roman"/>
                <w:color w:val="000000"/>
                <w:lang w:eastAsia="fr-FR"/>
              </w:rPr>
              <w:t>Ould</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Hbib</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0CDB454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52FCB3F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Toujinine</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4391E7E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1613D115"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1C3B6518"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Dar-</w:t>
            </w:r>
            <w:proofErr w:type="spellStart"/>
            <w:r w:rsidRPr="00907E94">
              <w:rPr>
                <w:rFonts w:eastAsia="Times New Roman"/>
                <w:color w:val="000000"/>
                <w:lang w:eastAsia="fr-FR"/>
              </w:rPr>
              <w:t>Esselma</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2DA2103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3D5557F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0E1D535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F1B3185"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1148D23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Zeid</w:t>
            </w:r>
            <w:proofErr w:type="spellEnd"/>
            <w:r w:rsidRPr="00907E94">
              <w:rPr>
                <w:rFonts w:eastAsia="Times New Roman"/>
                <w:color w:val="000000"/>
                <w:lang w:eastAsia="fr-FR"/>
              </w:rPr>
              <w:t xml:space="preserve"> Ibn </w:t>
            </w:r>
            <w:proofErr w:type="spellStart"/>
            <w:r w:rsidRPr="00907E94">
              <w:rPr>
                <w:rFonts w:eastAsia="Times New Roman"/>
                <w:color w:val="000000"/>
                <w:lang w:eastAsia="fr-FR"/>
              </w:rPr>
              <w:t>Haritha</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31B67688"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3FEE095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29E9F2F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1FC77CE1"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214786D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Ely </w:t>
            </w:r>
            <w:proofErr w:type="spellStart"/>
            <w:r w:rsidRPr="00907E94">
              <w:rPr>
                <w:rFonts w:eastAsia="Times New Roman"/>
                <w:color w:val="000000"/>
                <w:lang w:eastAsia="fr-FR"/>
              </w:rPr>
              <w:t>Ould</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Meyara</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500CE9E7"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1A76302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43228EA7"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5C5C5A67"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430E7FE8"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Youssef 2</w:t>
            </w:r>
          </w:p>
        </w:tc>
        <w:tc>
          <w:tcPr>
            <w:tcW w:w="975" w:type="pct"/>
            <w:tcBorders>
              <w:top w:val="nil"/>
              <w:left w:val="nil"/>
              <w:bottom w:val="single" w:sz="4" w:space="0" w:color="auto"/>
              <w:right w:val="single" w:sz="4" w:space="0" w:color="auto"/>
            </w:tcBorders>
            <w:shd w:val="clear" w:color="auto" w:fill="auto"/>
            <w:vAlign w:val="center"/>
            <w:hideMark/>
          </w:tcPr>
          <w:p w14:paraId="1E4DBBA7"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2724BD6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4781DF3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A2CF0AF"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5E05081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Bintou</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Jahch</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02136E8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3E8448F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73F1469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829BCB7"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791A327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Ebou</w:t>
            </w:r>
            <w:proofErr w:type="spellEnd"/>
            <w:r w:rsidRPr="00907E94">
              <w:rPr>
                <w:rFonts w:eastAsia="Times New Roman"/>
                <w:color w:val="000000"/>
                <w:lang w:eastAsia="fr-FR"/>
              </w:rPr>
              <w:t xml:space="preserve"> Saïd 1</w:t>
            </w:r>
          </w:p>
        </w:tc>
        <w:tc>
          <w:tcPr>
            <w:tcW w:w="975" w:type="pct"/>
            <w:tcBorders>
              <w:top w:val="nil"/>
              <w:left w:val="nil"/>
              <w:bottom w:val="single" w:sz="4" w:space="0" w:color="auto"/>
              <w:right w:val="single" w:sz="4" w:space="0" w:color="auto"/>
            </w:tcBorders>
            <w:shd w:val="clear" w:color="auto" w:fill="auto"/>
            <w:vAlign w:val="center"/>
            <w:hideMark/>
          </w:tcPr>
          <w:p w14:paraId="7D0F6867"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532541C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575A8EE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A106C25"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04398F2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Ebou</w:t>
            </w:r>
            <w:proofErr w:type="spellEnd"/>
            <w:r w:rsidRPr="00907E94">
              <w:rPr>
                <w:rFonts w:eastAsia="Times New Roman"/>
                <w:color w:val="000000"/>
                <w:lang w:eastAsia="fr-FR"/>
              </w:rPr>
              <w:t xml:space="preserve"> Saïd 2</w:t>
            </w:r>
          </w:p>
        </w:tc>
        <w:tc>
          <w:tcPr>
            <w:tcW w:w="975" w:type="pct"/>
            <w:tcBorders>
              <w:top w:val="nil"/>
              <w:left w:val="nil"/>
              <w:bottom w:val="single" w:sz="4" w:space="0" w:color="auto"/>
              <w:right w:val="single" w:sz="4" w:space="0" w:color="auto"/>
            </w:tcBorders>
            <w:shd w:val="clear" w:color="auto" w:fill="auto"/>
            <w:vAlign w:val="center"/>
            <w:hideMark/>
          </w:tcPr>
          <w:p w14:paraId="2F366AE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55AF99D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4CADFEA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25854CA"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center"/>
            <w:hideMark/>
          </w:tcPr>
          <w:p w14:paraId="7311A8D8"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Cheikh El-</w:t>
            </w:r>
            <w:proofErr w:type="spellStart"/>
            <w:r w:rsidRPr="00907E94">
              <w:rPr>
                <w:rFonts w:eastAsia="Times New Roman"/>
                <w:color w:val="000000"/>
                <w:lang w:eastAsia="fr-FR"/>
              </w:rPr>
              <w:t>Ghazouani</w:t>
            </w:r>
            <w:proofErr w:type="spellEnd"/>
          </w:p>
        </w:tc>
        <w:tc>
          <w:tcPr>
            <w:tcW w:w="975" w:type="pct"/>
            <w:tcBorders>
              <w:top w:val="nil"/>
              <w:left w:val="nil"/>
              <w:bottom w:val="single" w:sz="4" w:space="0" w:color="auto"/>
              <w:right w:val="single" w:sz="4" w:space="0" w:color="auto"/>
            </w:tcBorders>
            <w:shd w:val="clear" w:color="auto" w:fill="auto"/>
            <w:vAlign w:val="center"/>
            <w:hideMark/>
          </w:tcPr>
          <w:p w14:paraId="07876BC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center"/>
            <w:hideMark/>
          </w:tcPr>
          <w:p w14:paraId="713E1D6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center"/>
            <w:hideMark/>
          </w:tcPr>
          <w:p w14:paraId="76FC265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9C98AF4"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1B99A3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Abdel Aziz </w:t>
            </w:r>
            <w:proofErr w:type="spellStart"/>
            <w:r w:rsidRPr="00907E94">
              <w:rPr>
                <w:rFonts w:eastAsia="Times New Roman"/>
                <w:color w:val="000000"/>
                <w:lang w:eastAsia="fr-FR"/>
              </w:rPr>
              <w:t>Sy</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585EA2E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419C26C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1E875B6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1ED81D77"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3E4900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Youssef 1</w:t>
            </w:r>
          </w:p>
        </w:tc>
        <w:tc>
          <w:tcPr>
            <w:tcW w:w="975" w:type="pct"/>
            <w:tcBorders>
              <w:top w:val="nil"/>
              <w:left w:val="nil"/>
              <w:bottom w:val="single" w:sz="4" w:space="0" w:color="auto"/>
              <w:right w:val="single" w:sz="4" w:space="0" w:color="auto"/>
            </w:tcBorders>
            <w:shd w:val="clear" w:color="auto" w:fill="auto"/>
            <w:vAlign w:val="bottom"/>
            <w:hideMark/>
          </w:tcPr>
          <w:p w14:paraId="02753648"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5B0194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2FC7CB8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8A5BB6F"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3EF17C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lastRenderedPageBreak/>
              <w:t>Elmoudjahid</w:t>
            </w:r>
            <w:proofErr w:type="spellEnd"/>
            <w:r w:rsidRPr="00907E94">
              <w:rPr>
                <w:rFonts w:eastAsia="Times New Roman"/>
                <w:color w:val="000000"/>
                <w:lang w:eastAsia="fr-FR"/>
              </w:rPr>
              <w:t xml:space="preserve"> Ely </w:t>
            </w:r>
            <w:proofErr w:type="spellStart"/>
            <w:r w:rsidRPr="00907E94">
              <w:rPr>
                <w:rFonts w:eastAsia="Times New Roman"/>
                <w:color w:val="000000"/>
                <w:lang w:eastAsia="fr-FR"/>
              </w:rPr>
              <w:t>Mhaïmed</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666FF3F3"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FEE962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2F025C9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4DC2749"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91450D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Elmoudjahid</w:t>
            </w:r>
            <w:proofErr w:type="spellEnd"/>
            <w:r w:rsidRPr="00907E94">
              <w:rPr>
                <w:rFonts w:eastAsia="Times New Roman"/>
                <w:color w:val="000000"/>
                <w:lang w:eastAsia="fr-FR"/>
              </w:rPr>
              <w:t xml:space="preserve"> Mohamed </w:t>
            </w:r>
            <w:proofErr w:type="spellStart"/>
            <w:r w:rsidRPr="00907E94">
              <w:rPr>
                <w:rFonts w:eastAsia="Times New Roman"/>
                <w:color w:val="000000"/>
                <w:lang w:eastAsia="fr-FR"/>
              </w:rPr>
              <w:t>Lejrab</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7B6F095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DC5833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4D482C6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237E6A6C"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CDBFA6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Selmane</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Elvarissy</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4E21336E"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ABED4D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35F8C3D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28BDF360"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3C57E1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Bouyaghi</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Ould</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Abidine</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0A83DFF3"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003336B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47C697E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504FDDB4"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A2E812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Bintou</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Khoueilid</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051E198E"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EC7024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63AF1F47"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13C1AAAF"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2F9265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Cheikh </w:t>
            </w:r>
            <w:proofErr w:type="spellStart"/>
            <w:r w:rsidRPr="00907E94">
              <w:rPr>
                <w:rFonts w:eastAsia="Times New Roman"/>
                <w:color w:val="000000"/>
                <w:lang w:eastAsia="fr-FR"/>
              </w:rPr>
              <w:t>Abdouck</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4B40E3A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136A1D7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68F82C2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1935F9AB"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7BDB40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El-Emany</w:t>
            </w:r>
          </w:p>
        </w:tc>
        <w:tc>
          <w:tcPr>
            <w:tcW w:w="975" w:type="pct"/>
            <w:tcBorders>
              <w:top w:val="nil"/>
              <w:left w:val="nil"/>
              <w:bottom w:val="single" w:sz="4" w:space="0" w:color="auto"/>
              <w:right w:val="single" w:sz="4" w:space="0" w:color="auto"/>
            </w:tcBorders>
            <w:shd w:val="clear" w:color="auto" w:fill="auto"/>
            <w:vAlign w:val="bottom"/>
            <w:hideMark/>
          </w:tcPr>
          <w:p w14:paraId="13AF0ED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3DD9E3D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6B077C3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F4714C6"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6B7CFF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El-imam </w:t>
            </w:r>
            <w:proofErr w:type="spellStart"/>
            <w:r w:rsidRPr="00907E94">
              <w:rPr>
                <w:rFonts w:eastAsia="Times New Roman"/>
                <w:color w:val="000000"/>
                <w:lang w:eastAsia="fr-FR"/>
              </w:rPr>
              <w:t>Bouddah</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14B11A9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9558B4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11CD627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316D65F9"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4F4A37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Nasser Dine</w:t>
            </w:r>
          </w:p>
        </w:tc>
        <w:tc>
          <w:tcPr>
            <w:tcW w:w="975" w:type="pct"/>
            <w:tcBorders>
              <w:top w:val="nil"/>
              <w:left w:val="nil"/>
              <w:bottom w:val="single" w:sz="4" w:space="0" w:color="auto"/>
              <w:right w:val="single" w:sz="4" w:space="0" w:color="auto"/>
            </w:tcBorders>
            <w:shd w:val="clear" w:color="auto" w:fill="auto"/>
            <w:vAlign w:val="bottom"/>
            <w:hideMark/>
          </w:tcPr>
          <w:p w14:paraId="28307E53"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76B0B6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10A1FCD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29EBAAEF"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CEDDF3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El-</w:t>
            </w:r>
            <w:proofErr w:type="spellStart"/>
            <w:r w:rsidRPr="00907E94">
              <w:rPr>
                <w:rFonts w:eastAsia="Times New Roman"/>
                <w:color w:val="000000"/>
                <w:lang w:eastAsia="fr-FR"/>
              </w:rPr>
              <w:t>Imtiyaze</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5C983D8E"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577E59D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254A2EA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12611182"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1096180"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El-imam Ahmed</w:t>
            </w:r>
          </w:p>
        </w:tc>
        <w:tc>
          <w:tcPr>
            <w:tcW w:w="975" w:type="pct"/>
            <w:tcBorders>
              <w:top w:val="nil"/>
              <w:left w:val="nil"/>
              <w:bottom w:val="single" w:sz="4" w:space="0" w:color="auto"/>
              <w:right w:val="single" w:sz="4" w:space="0" w:color="auto"/>
            </w:tcBorders>
            <w:shd w:val="clear" w:color="auto" w:fill="auto"/>
            <w:vAlign w:val="bottom"/>
            <w:hideMark/>
          </w:tcPr>
          <w:p w14:paraId="6FEE3AB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214EBEA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Dar </w:t>
            </w:r>
            <w:proofErr w:type="spellStart"/>
            <w:r w:rsidRPr="00907E94">
              <w:rPr>
                <w:rFonts w:eastAsia="Times New Roman"/>
                <w:color w:val="000000"/>
                <w:lang w:eastAsia="fr-FR"/>
              </w:rPr>
              <w:t>Naim</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64F47CB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7E1D50D8"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0E9755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Mohamed </w:t>
            </w:r>
            <w:proofErr w:type="spellStart"/>
            <w:r w:rsidRPr="00907E94">
              <w:rPr>
                <w:rFonts w:eastAsia="Times New Roman"/>
                <w:color w:val="000000"/>
                <w:lang w:eastAsia="fr-FR"/>
              </w:rPr>
              <w:t>Maouloud</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0746EDD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471EE7C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07AFCB77"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51E22628"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5B36CA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Ethmane</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0F5BF1A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555242D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4FDC4F7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333C19B"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BDEABC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Tewvigh</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587052D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82818B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654A01C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CE3D536"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397309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El-Imam </w:t>
            </w:r>
            <w:proofErr w:type="spellStart"/>
            <w:r w:rsidRPr="00907E94">
              <w:rPr>
                <w:rFonts w:eastAsia="Times New Roman"/>
                <w:color w:val="000000"/>
                <w:lang w:eastAsia="fr-FR"/>
              </w:rPr>
              <w:t>Elboukhari</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6A31316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7C404C7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49C2AFE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0A58FE3"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B7768B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Lemrabott</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Mohamedhen</w:t>
            </w:r>
            <w:proofErr w:type="spellEnd"/>
            <w:r w:rsidRPr="00907E94">
              <w:rPr>
                <w:rFonts w:eastAsia="Times New Roman"/>
                <w:color w:val="000000"/>
                <w:lang w:eastAsia="fr-FR"/>
              </w:rPr>
              <w:t xml:space="preserve"> Vall </w:t>
            </w:r>
            <w:proofErr w:type="spellStart"/>
            <w:r w:rsidRPr="00907E94">
              <w:rPr>
                <w:rFonts w:eastAsia="Times New Roman"/>
                <w:color w:val="000000"/>
                <w:lang w:eastAsia="fr-FR"/>
              </w:rPr>
              <w:t>Moutaly</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0EF8DDC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7C60854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1DE54C1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A99D52D"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A8DB66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Essaada</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599B7D7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3D2805D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4374958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53A07253"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A941DD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Lemrabott</w:t>
            </w:r>
            <w:proofErr w:type="spellEnd"/>
            <w:r w:rsidRPr="00907E94">
              <w:rPr>
                <w:rFonts w:eastAsia="Times New Roman"/>
                <w:color w:val="000000"/>
                <w:lang w:eastAsia="fr-FR"/>
              </w:rPr>
              <w:t xml:space="preserve"> Ahmedou Vall</w:t>
            </w:r>
          </w:p>
        </w:tc>
        <w:tc>
          <w:tcPr>
            <w:tcW w:w="975" w:type="pct"/>
            <w:tcBorders>
              <w:top w:val="nil"/>
              <w:left w:val="nil"/>
              <w:bottom w:val="single" w:sz="4" w:space="0" w:color="auto"/>
              <w:right w:val="single" w:sz="4" w:space="0" w:color="auto"/>
            </w:tcBorders>
            <w:shd w:val="clear" w:color="auto" w:fill="auto"/>
            <w:vAlign w:val="bottom"/>
            <w:hideMark/>
          </w:tcPr>
          <w:p w14:paraId="0F4918D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024BE81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3513CCB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0F1F5BE0"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D4ECAB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Lemrabott</w:t>
            </w:r>
            <w:proofErr w:type="spellEnd"/>
            <w:r w:rsidRPr="00907E94">
              <w:rPr>
                <w:rFonts w:eastAsia="Times New Roman"/>
                <w:color w:val="000000"/>
                <w:lang w:eastAsia="fr-FR"/>
              </w:rPr>
              <w:t xml:space="preserve"> Bah Mohamed </w:t>
            </w:r>
            <w:proofErr w:type="spellStart"/>
            <w:r w:rsidRPr="00907E94">
              <w:rPr>
                <w:rFonts w:eastAsia="Times New Roman"/>
                <w:color w:val="000000"/>
                <w:lang w:eastAsia="fr-FR"/>
              </w:rPr>
              <w:t>Lemine</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62C2E1C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95BBA2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7F021CF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F3DBA7C"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1144FF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Ahmed </w:t>
            </w:r>
            <w:proofErr w:type="spellStart"/>
            <w:r w:rsidRPr="00907E94">
              <w:rPr>
                <w:rFonts w:eastAsia="Times New Roman"/>
                <w:color w:val="000000"/>
                <w:lang w:eastAsia="fr-FR"/>
              </w:rPr>
              <w:t>Deid</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434C2A9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5C0AD2B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2642E45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4CA5CDCE"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E2816B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Talha</w:t>
            </w:r>
            <w:proofErr w:type="spellEnd"/>
            <w:r w:rsidRPr="00907E94">
              <w:rPr>
                <w:rFonts w:eastAsia="Times New Roman"/>
                <w:color w:val="000000"/>
                <w:lang w:eastAsia="fr-FR"/>
              </w:rPr>
              <w:t xml:space="preserve"> Ibn Abdellah</w:t>
            </w:r>
          </w:p>
        </w:tc>
        <w:tc>
          <w:tcPr>
            <w:tcW w:w="975" w:type="pct"/>
            <w:tcBorders>
              <w:top w:val="nil"/>
              <w:left w:val="nil"/>
              <w:bottom w:val="single" w:sz="4" w:space="0" w:color="auto"/>
              <w:right w:val="single" w:sz="4" w:space="0" w:color="auto"/>
            </w:tcBorders>
            <w:shd w:val="clear" w:color="auto" w:fill="auto"/>
            <w:vAlign w:val="bottom"/>
            <w:hideMark/>
          </w:tcPr>
          <w:p w14:paraId="52FB50A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0E51F40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790B96D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2AC1DC76"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FD537A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Ebou</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Dherine</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01C5812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10F95DF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49966C3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6F377075"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A335EF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Ely </w:t>
            </w:r>
            <w:proofErr w:type="spellStart"/>
            <w:r w:rsidRPr="00907E94">
              <w:rPr>
                <w:rFonts w:eastAsia="Times New Roman"/>
                <w:color w:val="000000"/>
                <w:lang w:eastAsia="fr-FR"/>
              </w:rPr>
              <w:t>Chandhoura</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4FCF7AE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5ABDBB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0D18105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5013272F"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CE221B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Cheikh Mohamed El </w:t>
            </w:r>
            <w:proofErr w:type="spellStart"/>
            <w:r w:rsidRPr="00907E94">
              <w:rPr>
                <w:rFonts w:eastAsia="Times New Roman"/>
                <w:color w:val="000000"/>
                <w:lang w:eastAsia="fr-FR"/>
              </w:rPr>
              <w:t>Mamay</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4A33D12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40EAB78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Teyarett</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079090E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Nouakchott Nord</w:t>
            </w:r>
          </w:p>
        </w:tc>
      </w:tr>
      <w:tr w:rsidR="002405EF" w:rsidRPr="00907E94" w14:paraId="7E30471A"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9D3244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 2</w:t>
            </w:r>
          </w:p>
        </w:tc>
        <w:tc>
          <w:tcPr>
            <w:tcW w:w="975" w:type="pct"/>
            <w:tcBorders>
              <w:top w:val="nil"/>
              <w:left w:val="nil"/>
              <w:bottom w:val="single" w:sz="4" w:space="0" w:color="auto"/>
              <w:right w:val="single" w:sz="4" w:space="0" w:color="auto"/>
            </w:tcBorders>
            <w:shd w:val="clear" w:color="auto" w:fill="auto"/>
            <w:vAlign w:val="bottom"/>
            <w:hideMark/>
          </w:tcPr>
          <w:p w14:paraId="0424328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7BB24FD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02AE925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1587C9C6"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D249F3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aleg</w:t>
            </w:r>
            <w:proofErr w:type="spellEnd"/>
            <w:r w:rsidRPr="00907E94">
              <w:rPr>
                <w:rFonts w:eastAsia="Times New Roman"/>
                <w:color w:val="000000"/>
                <w:lang w:eastAsia="fr-FR"/>
              </w:rPr>
              <w:t xml:space="preserve"> 10</w:t>
            </w:r>
          </w:p>
        </w:tc>
        <w:tc>
          <w:tcPr>
            <w:tcW w:w="975" w:type="pct"/>
            <w:tcBorders>
              <w:top w:val="nil"/>
              <w:left w:val="nil"/>
              <w:bottom w:val="single" w:sz="4" w:space="0" w:color="auto"/>
              <w:right w:val="single" w:sz="4" w:space="0" w:color="auto"/>
            </w:tcBorders>
            <w:shd w:val="clear" w:color="auto" w:fill="auto"/>
            <w:vAlign w:val="bottom"/>
            <w:hideMark/>
          </w:tcPr>
          <w:p w14:paraId="20FBF73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7D46C4D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1EFAC5E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30AAC799"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5547F0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 3</w:t>
            </w:r>
          </w:p>
        </w:tc>
        <w:tc>
          <w:tcPr>
            <w:tcW w:w="975" w:type="pct"/>
            <w:tcBorders>
              <w:top w:val="nil"/>
              <w:left w:val="nil"/>
              <w:bottom w:val="single" w:sz="4" w:space="0" w:color="auto"/>
              <w:right w:val="single" w:sz="4" w:space="0" w:color="auto"/>
            </w:tcBorders>
            <w:shd w:val="clear" w:color="auto" w:fill="auto"/>
            <w:vAlign w:val="bottom"/>
            <w:hideMark/>
          </w:tcPr>
          <w:p w14:paraId="65992D8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407501B7"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3CFA99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3435A83B"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2B81113"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 4</w:t>
            </w:r>
          </w:p>
        </w:tc>
        <w:tc>
          <w:tcPr>
            <w:tcW w:w="975" w:type="pct"/>
            <w:tcBorders>
              <w:top w:val="nil"/>
              <w:left w:val="nil"/>
              <w:bottom w:val="single" w:sz="4" w:space="0" w:color="auto"/>
              <w:right w:val="single" w:sz="4" w:space="0" w:color="auto"/>
            </w:tcBorders>
            <w:shd w:val="clear" w:color="auto" w:fill="auto"/>
            <w:vAlign w:val="bottom"/>
            <w:hideMark/>
          </w:tcPr>
          <w:p w14:paraId="0A73CD3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17954DA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55D0540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0F1F12DB"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9839EAD"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 5</w:t>
            </w:r>
          </w:p>
        </w:tc>
        <w:tc>
          <w:tcPr>
            <w:tcW w:w="975" w:type="pct"/>
            <w:tcBorders>
              <w:top w:val="nil"/>
              <w:left w:val="nil"/>
              <w:bottom w:val="single" w:sz="4" w:space="0" w:color="auto"/>
              <w:right w:val="single" w:sz="4" w:space="0" w:color="auto"/>
            </w:tcBorders>
            <w:shd w:val="clear" w:color="auto" w:fill="auto"/>
            <w:vAlign w:val="bottom"/>
            <w:hideMark/>
          </w:tcPr>
          <w:p w14:paraId="196B1204"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3B9EDBA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585D51F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5029AEF4" w14:textId="77777777" w:rsidTr="00FB45DF">
        <w:trPr>
          <w:trHeight w:val="20"/>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6231B0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 8</w:t>
            </w:r>
          </w:p>
        </w:tc>
        <w:tc>
          <w:tcPr>
            <w:tcW w:w="975" w:type="pct"/>
            <w:tcBorders>
              <w:top w:val="nil"/>
              <w:left w:val="nil"/>
              <w:bottom w:val="single" w:sz="4" w:space="0" w:color="auto"/>
              <w:right w:val="single" w:sz="4" w:space="0" w:color="auto"/>
            </w:tcBorders>
            <w:shd w:val="clear" w:color="auto" w:fill="auto"/>
            <w:vAlign w:val="bottom"/>
            <w:hideMark/>
          </w:tcPr>
          <w:p w14:paraId="7BD0893F"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0A2E2E73"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28B8AF4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3FC1904B"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A29B74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 1</w:t>
            </w:r>
          </w:p>
        </w:tc>
        <w:tc>
          <w:tcPr>
            <w:tcW w:w="975" w:type="pct"/>
            <w:tcBorders>
              <w:top w:val="nil"/>
              <w:left w:val="nil"/>
              <w:bottom w:val="single" w:sz="4" w:space="0" w:color="auto"/>
              <w:right w:val="single" w:sz="4" w:space="0" w:color="auto"/>
            </w:tcBorders>
            <w:shd w:val="clear" w:color="auto" w:fill="auto"/>
            <w:vAlign w:val="bottom"/>
            <w:hideMark/>
          </w:tcPr>
          <w:p w14:paraId="5D68390A"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902" w:type="pct"/>
            <w:tcBorders>
              <w:top w:val="nil"/>
              <w:left w:val="nil"/>
              <w:bottom w:val="single" w:sz="4" w:space="0" w:color="auto"/>
              <w:right w:val="single" w:sz="4" w:space="0" w:color="auto"/>
            </w:tcBorders>
            <w:shd w:val="clear" w:color="auto" w:fill="auto"/>
            <w:vAlign w:val="bottom"/>
            <w:hideMark/>
          </w:tcPr>
          <w:p w14:paraId="02611B37"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25DB3A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682BAF69"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FC9656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Bouhdida</w:t>
            </w:r>
            <w:proofErr w:type="spellEnd"/>
            <w:r w:rsidRPr="00907E94">
              <w:rPr>
                <w:rFonts w:eastAsia="Times New Roman"/>
                <w:color w:val="000000"/>
                <w:lang w:eastAsia="fr-FR"/>
              </w:rPr>
              <w:t xml:space="preserve"> 3</w:t>
            </w:r>
          </w:p>
        </w:tc>
        <w:tc>
          <w:tcPr>
            <w:tcW w:w="975" w:type="pct"/>
            <w:tcBorders>
              <w:top w:val="nil"/>
              <w:left w:val="nil"/>
              <w:bottom w:val="single" w:sz="4" w:space="0" w:color="auto"/>
              <w:right w:val="single" w:sz="4" w:space="0" w:color="auto"/>
            </w:tcBorders>
            <w:shd w:val="clear" w:color="auto" w:fill="auto"/>
            <w:vAlign w:val="bottom"/>
            <w:hideMark/>
          </w:tcPr>
          <w:p w14:paraId="6C454B8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Bouhdida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396EA18E"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4388AA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334DE81D"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EF5365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Bouhdida</w:t>
            </w:r>
            <w:proofErr w:type="spellEnd"/>
            <w:r w:rsidRPr="00907E94">
              <w:rPr>
                <w:rFonts w:eastAsia="Times New Roman"/>
                <w:color w:val="000000"/>
                <w:lang w:eastAsia="fr-FR"/>
              </w:rPr>
              <w:t xml:space="preserve"> 4</w:t>
            </w:r>
          </w:p>
        </w:tc>
        <w:tc>
          <w:tcPr>
            <w:tcW w:w="975" w:type="pct"/>
            <w:tcBorders>
              <w:top w:val="nil"/>
              <w:left w:val="nil"/>
              <w:bottom w:val="single" w:sz="4" w:space="0" w:color="auto"/>
              <w:right w:val="single" w:sz="4" w:space="0" w:color="auto"/>
            </w:tcBorders>
            <w:shd w:val="clear" w:color="auto" w:fill="auto"/>
            <w:vAlign w:val="bottom"/>
            <w:hideMark/>
          </w:tcPr>
          <w:p w14:paraId="5031C63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Bouhdida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208D6746"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BBFAC9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7D71FBB6"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ECE7BB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Bouhdida</w:t>
            </w:r>
            <w:proofErr w:type="spellEnd"/>
            <w:r w:rsidRPr="00907E94">
              <w:rPr>
                <w:rFonts w:eastAsia="Times New Roman"/>
                <w:color w:val="000000"/>
                <w:lang w:eastAsia="fr-FR"/>
              </w:rPr>
              <w:t xml:space="preserve"> 5</w:t>
            </w:r>
          </w:p>
        </w:tc>
        <w:tc>
          <w:tcPr>
            <w:tcW w:w="975" w:type="pct"/>
            <w:tcBorders>
              <w:top w:val="nil"/>
              <w:left w:val="nil"/>
              <w:bottom w:val="single" w:sz="4" w:space="0" w:color="auto"/>
              <w:right w:val="single" w:sz="4" w:space="0" w:color="auto"/>
            </w:tcBorders>
            <w:shd w:val="clear" w:color="auto" w:fill="auto"/>
            <w:vAlign w:val="bottom"/>
            <w:hideMark/>
          </w:tcPr>
          <w:p w14:paraId="626D443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Bouhdida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14DEF44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484E432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312D761C"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8D2743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Chinguitti</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5CC07E6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Bouhdida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5FBDFFE5"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170EE32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72AF5295"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818DE5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Zighlane</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2D15DAF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Bouhdida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3A7CF94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774460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45436662"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B00086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Mouftah</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Elkhaïr</w:t>
            </w:r>
            <w:proofErr w:type="spellEnd"/>
            <w:r w:rsidRPr="00907E94">
              <w:rPr>
                <w:rFonts w:eastAsia="Times New Roman"/>
                <w:color w:val="000000"/>
                <w:lang w:eastAsia="fr-FR"/>
              </w:rPr>
              <w:t xml:space="preserve"> 2</w:t>
            </w:r>
          </w:p>
        </w:tc>
        <w:tc>
          <w:tcPr>
            <w:tcW w:w="975" w:type="pct"/>
            <w:tcBorders>
              <w:top w:val="nil"/>
              <w:left w:val="nil"/>
              <w:bottom w:val="single" w:sz="4" w:space="0" w:color="auto"/>
              <w:right w:val="single" w:sz="4" w:space="0" w:color="auto"/>
            </w:tcBorders>
            <w:shd w:val="clear" w:color="auto" w:fill="auto"/>
            <w:vAlign w:val="bottom"/>
            <w:hideMark/>
          </w:tcPr>
          <w:p w14:paraId="5B4E3A9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Bouhdida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32AAC63"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772443A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7FBF607A"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5BB90D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Chegar</w:t>
            </w:r>
            <w:proofErr w:type="spellEnd"/>
            <w:r w:rsidRPr="00907E94">
              <w:rPr>
                <w:rFonts w:eastAsia="Times New Roman"/>
                <w:color w:val="000000"/>
                <w:lang w:eastAsia="fr-FR"/>
              </w:rPr>
              <w:t xml:space="preserve"> 2</w:t>
            </w:r>
          </w:p>
        </w:tc>
        <w:tc>
          <w:tcPr>
            <w:tcW w:w="975" w:type="pct"/>
            <w:tcBorders>
              <w:top w:val="nil"/>
              <w:left w:val="nil"/>
              <w:bottom w:val="single" w:sz="4" w:space="0" w:color="auto"/>
              <w:right w:val="single" w:sz="4" w:space="0" w:color="auto"/>
            </w:tcBorders>
            <w:shd w:val="clear" w:color="auto" w:fill="auto"/>
            <w:vAlign w:val="bottom"/>
            <w:hideMark/>
          </w:tcPr>
          <w:p w14:paraId="47B0A71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Chegar</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5F077B37"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3D0EE6F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7D8E1F75"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BE524D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Chegar</w:t>
            </w:r>
            <w:proofErr w:type="spellEnd"/>
            <w:r w:rsidRPr="00907E94">
              <w:rPr>
                <w:rFonts w:eastAsia="Times New Roman"/>
                <w:color w:val="000000"/>
                <w:lang w:eastAsia="fr-FR"/>
              </w:rPr>
              <w:t xml:space="preserve"> 3</w:t>
            </w:r>
          </w:p>
        </w:tc>
        <w:tc>
          <w:tcPr>
            <w:tcW w:w="975" w:type="pct"/>
            <w:tcBorders>
              <w:top w:val="nil"/>
              <w:left w:val="nil"/>
              <w:bottom w:val="single" w:sz="4" w:space="0" w:color="auto"/>
              <w:right w:val="single" w:sz="4" w:space="0" w:color="auto"/>
            </w:tcBorders>
            <w:shd w:val="clear" w:color="auto" w:fill="auto"/>
            <w:vAlign w:val="bottom"/>
            <w:hideMark/>
          </w:tcPr>
          <w:p w14:paraId="50C394D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Chegar</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7A31C74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62B60FE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1B71298D"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059D15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Chegar</w:t>
            </w:r>
            <w:proofErr w:type="spellEnd"/>
            <w:r w:rsidRPr="00907E94">
              <w:rPr>
                <w:rFonts w:eastAsia="Times New Roman"/>
                <w:color w:val="000000"/>
                <w:lang w:eastAsia="fr-FR"/>
              </w:rPr>
              <w:t xml:space="preserve"> 4</w:t>
            </w:r>
          </w:p>
        </w:tc>
        <w:tc>
          <w:tcPr>
            <w:tcW w:w="975" w:type="pct"/>
            <w:tcBorders>
              <w:top w:val="nil"/>
              <w:left w:val="nil"/>
              <w:bottom w:val="single" w:sz="4" w:space="0" w:color="auto"/>
              <w:right w:val="single" w:sz="4" w:space="0" w:color="auto"/>
            </w:tcBorders>
            <w:shd w:val="clear" w:color="auto" w:fill="auto"/>
            <w:vAlign w:val="bottom"/>
            <w:hideMark/>
          </w:tcPr>
          <w:p w14:paraId="20C046E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Chegar</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0B6BE488"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452AF12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428FF74E"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F53C04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Aghchorguitt</w:t>
            </w:r>
            <w:proofErr w:type="spellEnd"/>
            <w:r w:rsidRPr="00907E94">
              <w:rPr>
                <w:rFonts w:eastAsia="Times New Roman"/>
                <w:color w:val="000000"/>
                <w:lang w:eastAsia="fr-FR"/>
              </w:rPr>
              <w:t xml:space="preserve"> 1</w:t>
            </w:r>
          </w:p>
        </w:tc>
        <w:tc>
          <w:tcPr>
            <w:tcW w:w="975" w:type="pct"/>
            <w:tcBorders>
              <w:top w:val="nil"/>
              <w:left w:val="nil"/>
              <w:bottom w:val="single" w:sz="4" w:space="0" w:color="auto"/>
              <w:right w:val="single" w:sz="4" w:space="0" w:color="auto"/>
            </w:tcBorders>
            <w:shd w:val="clear" w:color="auto" w:fill="auto"/>
            <w:vAlign w:val="bottom"/>
            <w:hideMark/>
          </w:tcPr>
          <w:p w14:paraId="2B04CE5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Agchourguitt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726BE7C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30A845F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5FC192EA"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80F537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Lemdene</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6F02A85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Agchourguitt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54001752"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228B943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6F526273"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02DF6C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Ouad</w:t>
            </w:r>
            <w:proofErr w:type="spellEnd"/>
            <w:r w:rsidRPr="00907E94">
              <w:rPr>
                <w:rFonts w:eastAsia="Times New Roman"/>
                <w:color w:val="000000"/>
                <w:lang w:eastAsia="fr-FR"/>
              </w:rPr>
              <w:t xml:space="preserve">-El </w:t>
            </w:r>
            <w:proofErr w:type="spellStart"/>
            <w:r w:rsidRPr="00907E94">
              <w:rPr>
                <w:rFonts w:eastAsia="Times New Roman"/>
                <w:color w:val="000000"/>
                <w:lang w:eastAsia="fr-FR"/>
              </w:rPr>
              <w:t>Gharegue</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1E61B72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Agchourguitt</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25BBC169"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Aleg</w:t>
            </w:r>
          </w:p>
        </w:tc>
        <w:tc>
          <w:tcPr>
            <w:tcW w:w="1114" w:type="pct"/>
            <w:tcBorders>
              <w:top w:val="nil"/>
              <w:left w:val="nil"/>
              <w:bottom w:val="single" w:sz="4" w:space="0" w:color="auto"/>
              <w:right w:val="single" w:sz="4" w:space="0" w:color="auto"/>
            </w:tcBorders>
            <w:shd w:val="clear" w:color="auto" w:fill="auto"/>
            <w:vAlign w:val="bottom"/>
            <w:hideMark/>
          </w:tcPr>
          <w:p w14:paraId="2EF7B11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4B557F11"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697C97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Boulel</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Doukou</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4818C57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Hayré</w:t>
            </w:r>
            <w:proofErr w:type="spellEnd"/>
            <w:r w:rsidRPr="00907E94">
              <w:rPr>
                <w:rFonts w:eastAsia="Times New Roman"/>
                <w:color w:val="000000"/>
                <w:lang w:eastAsia="fr-FR"/>
              </w:rPr>
              <w:t xml:space="preserve"> Mbar</w:t>
            </w:r>
          </w:p>
        </w:tc>
        <w:tc>
          <w:tcPr>
            <w:tcW w:w="902" w:type="pct"/>
            <w:tcBorders>
              <w:top w:val="nil"/>
              <w:left w:val="nil"/>
              <w:bottom w:val="single" w:sz="4" w:space="0" w:color="auto"/>
              <w:right w:val="single" w:sz="4" w:space="0" w:color="auto"/>
            </w:tcBorders>
            <w:shd w:val="clear" w:color="auto" w:fill="auto"/>
            <w:vAlign w:val="bottom"/>
            <w:hideMark/>
          </w:tcPr>
          <w:p w14:paraId="795BCA3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51692FA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425BB7BF"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9F89CD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Elvarea</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41A6EDD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El </w:t>
            </w:r>
            <w:proofErr w:type="spellStart"/>
            <w:r w:rsidRPr="00907E94">
              <w:rPr>
                <w:rFonts w:eastAsia="Times New Roman"/>
                <w:color w:val="000000"/>
                <w:lang w:eastAsia="fr-FR"/>
              </w:rPr>
              <w:t>Vareh</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3BFFB20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5B5E0E6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6689257B"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3A4FFE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lastRenderedPageBreak/>
              <w:t>Hayré</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Gueller</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7BFA929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Hayré</w:t>
            </w:r>
            <w:proofErr w:type="spellEnd"/>
            <w:r w:rsidRPr="00907E94">
              <w:rPr>
                <w:rFonts w:eastAsia="Times New Roman"/>
                <w:color w:val="000000"/>
                <w:lang w:eastAsia="fr-FR"/>
              </w:rPr>
              <w:t xml:space="preserve"> Mbar</w:t>
            </w:r>
          </w:p>
        </w:tc>
        <w:tc>
          <w:tcPr>
            <w:tcW w:w="902" w:type="pct"/>
            <w:tcBorders>
              <w:top w:val="nil"/>
              <w:left w:val="nil"/>
              <w:bottom w:val="single" w:sz="4" w:space="0" w:color="auto"/>
              <w:right w:val="single" w:sz="4" w:space="0" w:color="auto"/>
            </w:tcBorders>
            <w:shd w:val="clear" w:color="auto" w:fill="auto"/>
            <w:vAlign w:val="bottom"/>
            <w:hideMark/>
          </w:tcPr>
          <w:p w14:paraId="56D5A75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5D82307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5FB23F2F"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66FD5F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Samboullah</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7B716A3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Hayré</w:t>
            </w:r>
            <w:proofErr w:type="spellEnd"/>
            <w:r w:rsidRPr="00907E94">
              <w:rPr>
                <w:rFonts w:eastAsia="Times New Roman"/>
                <w:color w:val="000000"/>
                <w:lang w:eastAsia="fr-FR"/>
              </w:rPr>
              <w:t xml:space="preserve"> Mbar</w:t>
            </w:r>
          </w:p>
        </w:tc>
        <w:tc>
          <w:tcPr>
            <w:tcW w:w="902" w:type="pct"/>
            <w:tcBorders>
              <w:top w:val="nil"/>
              <w:left w:val="nil"/>
              <w:bottom w:val="single" w:sz="4" w:space="0" w:color="auto"/>
              <w:right w:val="single" w:sz="4" w:space="0" w:color="auto"/>
            </w:tcBorders>
            <w:shd w:val="clear" w:color="auto" w:fill="auto"/>
            <w:vAlign w:val="bottom"/>
            <w:hideMark/>
          </w:tcPr>
          <w:p w14:paraId="4904538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4605985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416DBFEB"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42ED86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Seinou</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Bousoubé</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2430913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Hayré</w:t>
            </w:r>
            <w:proofErr w:type="spellEnd"/>
            <w:r w:rsidRPr="00907E94">
              <w:rPr>
                <w:rFonts w:eastAsia="Times New Roman"/>
                <w:color w:val="000000"/>
                <w:lang w:eastAsia="fr-FR"/>
              </w:rPr>
              <w:t xml:space="preserve"> Mbar</w:t>
            </w:r>
          </w:p>
        </w:tc>
        <w:tc>
          <w:tcPr>
            <w:tcW w:w="902" w:type="pct"/>
            <w:tcBorders>
              <w:top w:val="nil"/>
              <w:left w:val="nil"/>
              <w:bottom w:val="single" w:sz="4" w:space="0" w:color="auto"/>
              <w:right w:val="single" w:sz="4" w:space="0" w:color="auto"/>
            </w:tcBorders>
            <w:shd w:val="clear" w:color="auto" w:fill="auto"/>
            <w:vAlign w:val="bottom"/>
            <w:hideMark/>
          </w:tcPr>
          <w:p w14:paraId="7640458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1AB8DFC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011AA608"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A68600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Djodjeiry</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0139D01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21F064B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1E536A1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5DCB4D67"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660214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r w:rsidRPr="00907E94">
              <w:rPr>
                <w:rFonts w:eastAsia="Times New Roman"/>
                <w:color w:val="000000"/>
                <w:lang w:eastAsia="fr-FR"/>
              </w:rPr>
              <w:t xml:space="preserve"> 1</w:t>
            </w:r>
          </w:p>
        </w:tc>
        <w:tc>
          <w:tcPr>
            <w:tcW w:w="975" w:type="pct"/>
            <w:tcBorders>
              <w:top w:val="nil"/>
              <w:left w:val="nil"/>
              <w:bottom w:val="single" w:sz="4" w:space="0" w:color="auto"/>
              <w:right w:val="single" w:sz="4" w:space="0" w:color="auto"/>
            </w:tcBorders>
            <w:shd w:val="clear" w:color="auto" w:fill="auto"/>
            <w:vAlign w:val="bottom"/>
            <w:hideMark/>
          </w:tcPr>
          <w:p w14:paraId="60EAD63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2C27CE3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0E1F31E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1CDB2E3B"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B654F5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r w:rsidRPr="00907E94">
              <w:rPr>
                <w:rFonts w:eastAsia="Times New Roman"/>
                <w:color w:val="000000"/>
                <w:lang w:eastAsia="fr-FR"/>
              </w:rPr>
              <w:t xml:space="preserve"> 3</w:t>
            </w:r>
          </w:p>
        </w:tc>
        <w:tc>
          <w:tcPr>
            <w:tcW w:w="975" w:type="pct"/>
            <w:tcBorders>
              <w:top w:val="nil"/>
              <w:left w:val="nil"/>
              <w:bottom w:val="single" w:sz="4" w:space="0" w:color="auto"/>
              <w:right w:val="single" w:sz="4" w:space="0" w:color="auto"/>
            </w:tcBorders>
            <w:shd w:val="clear" w:color="auto" w:fill="auto"/>
            <w:vAlign w:val="bottom"/>
            <w:hideMark/>
          </w:tcPr>
          <w:p w14:paraId="58A2B90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75A0AF8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307BEA6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75E3E901"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F89609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Abdella</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Djeiry</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744BE59C"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El </w:t>
            </w:r>
            <w:proofErr w:type="spellStart"/>
            <w:r w:rsidRPr="00907E94">
              <w:rPr>
                <w:rFonts w:eastAsia="Times New Roman"/>
                <w:color w:val="000000"/>
                <w:lang w:eastAsia="fr-FR"/>
              </w:rPr>
              <w:t>Vareh</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1EB4809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Bababé</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0DB50DE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2FEB8BBF"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36EB623"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 xml:space="preserve">Haye </w:t>
            </w:r>
            <w:proofErr w:type="spellStart"/>
            <w:r w:rsidRPr="00907E94">
              <w:rPr>
                <w:rFonts w:eastAsia="Times New Roman"/>
                <w:color w:val="000000"/>
                <w:lang w:eastAsia="fr-FR"/>
              </w:rPr>
              <w:t>Elkit</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094E306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Djonaba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17A401D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09E84D5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21DF484F"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7A5CFE5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Alghoudss</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5C97502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33EA2F7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3A2B155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5D4B77FA"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0DE5C90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Aljazeera</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435DF293"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062FD3D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73DF6C5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609EA9A6"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346AB2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Ecole 4</w:t>
            </w:r>
          </w:p>
        </w:tc>
        <w:tc>
          <w:tcPr>
            <w:tcW w:w="975" w:type="pct"/>
            <w:tcBorders>
              <w:top w:val="nil"/>
              <w:left w:val="nil"/>
              <w:bottom w:val="single" w:sz="4" w:space="0" w:color="auto"/>
              <w:right w:val="single" w:sz="4" w:space="0" w:color="auto"/>
            </w:tcBorders>
            <w:shd w:val="clear" w:color="auto" w:fill="auto"/>
            <w:vAlign w:val="bottom"/>
            <w:hideMark/>
          </w:tcPr>
          <w:p w14:paraId="391FEDC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18F0B3A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6528931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4F1B55DE"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1DF212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Lahjar</w:t>
            </w:r>
            <w:proofErr w:type="spellEnd"/>
            <w:r w:rsidRPr="00907E94">
              <w:rPr>
                <w:rFonts w:eastAsia="Times New Roman"/>
                <w:color w:val="000000"/>
                <w:lang w:eastAsia="fr-FR"/>
              </w:rPr>
              <w:t xml:space="preserve"> 8</w:t>
            </w:r>
          </w:p>
        </w:tc>
        <w:tc>
          <w:tcPr>
            <w:tcW w:w="975" w:type="pct"/>
            <w:tcBorders>
              <w:top w:val="nil"/>
              <w:left w:val="nil"/>
              <w:bottom w:val="single" w:sz="4" w:space="0" w:color="auto"/>
              <w:right w:val="single" w:sz="4" w:space="0" w:color="auto"/>
            </w:tcBorders>
            <w:shd w:val="clear" w:color="auto" w:fill="auto"/>
            <w:vAlign w:val="bottom"/>
            <w:hideMark/>
          </w:tcPr>
          <w:p w14:paraId="28083CA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5F0A7CF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306934C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0A141295"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6BA04BB"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Ecole 5</w:t>
            </w:r>
          </w:p>
        </w:tc>
        <w:tc>
          <w:tcPr>
            <w:tcW w:w="975" w:type="pct"/>
            <w:tcBorders>
              <w:top w:val="nil"/>
              <w:left w:val="nil"/>
              <w:bottom w:val="single" w:sz="4" w:space="0" w:color="auto"/>
              <w:right w:val="single" w:sz="4" w:space="0" w:color="auto"/>
            </w:tcBorders>
            <w:shd w:val="clear" w:color="auto" w:fill="auto"/>
            <w:vAlign w:val="bottom"/>
            <w:hideMark/>
          </w:tcPr>
          <w:p w14:paraId="0954670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0601635E"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7E4DCF3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087C0D5D"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3F199341" w14:textId="77777777" w:rsidR="002405EF" w:rsidRPr="00907E94" w:rsidRDefault="002405EF" w:rsidP="002405EF">
            <w:pPr>
              <w:rPr>
                <w:rFonts w:eastAsia="Times New Roman"/>
                <w:color w:val="000000"/>
                <w:lang w:eastAsia="fr-FR"/>
              </w:rPr>
            </w:pPr>
            <w:r w:rsidRPr="00907E94">
              <w:rPr>
                <w:rFonts w:eastAsia="Times New Roman"/>
                <w:color w:val="000000"/>
                <w:lang w:eastAsia="fr-FR"/>
              </w:rPr>
              <w:t>Ecole 7</w:t>
            </w:r>
          </w:p>
        </w:tc>
        <w:tc>
          <w:tcPr>
            <w:tcW w:w="975" w:type="pct"/>
            <w:tcBorders>
              <w:top w:val="nil"/>
              <w:left w:val="nil"/>
              <w:bottom w:val="single" w:sz="4" w:space="0" w:color="auto"/>
              <w:right w:val="single" w:sz="4" w:space="0" w:color="auto"/>
            </w:tcBorders>
            <w:shd w:val="clear" w:color="auto" w:fill="auto"/>
            <w:vAlign w:val="bottom"/>
            <w:hideMark/>
          </w:tcPr>
          <w:p w14:paraId="5332F62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519682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1ABE101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39DB07E5"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A19557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Ndally</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58EFB3C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Wad</w:t>
            </w:r>
            <w:proofErr w:type="spellEnd"/>
            <w:r w:rsidRPr="00907E94">
              <w:rPr>
                <w:rFonts w:eastAsia="Times New Roman"/>
                <w:color w:val="000000"/>
                <w:lang w:eastAsia="fr-FR"/>
              </w:rPr>
              <w:t xml:space="preserve"> amour</w:t>
            </w:r>
          </w:p>
        </w:tc>
        <w:tc>
          <w:tcPr>
            <w:tcW w:w="902" w:type="pct"/>
            <w:tcBorders>
              <w:top w:val="nil"/>
              <w:left w:val="nil"/>
              <w:bottom w:val="single" w:sz="4" w:space="0" w:color="auto"/>
              <w:right w:val="single" w:sz="4" w:space="0" w:color="auto"/>
            </w:tcBorders>
            <w:shd w:val="clear" w:color="auto" w:fill="auto"/>
            <w:vAlign w:val="bottom"/>
            <w:hideMark/>
          </w:tcPr>
          <w:p w14:paraId="7ED0D06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2BD8DE7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18ADBD0A"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2CAAA6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Assikra</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53F8969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Wad</w:t>
            </w:r>
            <w:proofErr w:type="spellEnd"/>
            <w:r w:rsidRPr="00907E94">
              <w:rPr>
                <w:rFonts w:eastAsia="Times New Roman"/>
                <w:color w:val="000000"/>
                <w:lang w:eastAsia="fr-FR"/>
              </w:rPr>
              <w:t xml:space="preserve"> amour</w:t>
            </w:r>
          </w:p>
        </w:tc>
        <w:tc>
          <w:tcPr>
            <w:tcW w:w="902" w:type="pct"/>
            <w:tcBorders>
              <w:top w:val="nil"/>
              <w:left w:val="nil"/>
              <w:bottom w:val="single" w:sz="4" w:space="0" w:color="auto"/>
              <w:right w:val="single" w:sz="4" w:space="0" w:color="auto"/>
            </w:tcBorders>
            <w:shd w:val="clear" w:color="auto" w:fill="auto"/>
            <w:vAlign w:val="bottom"/>
            <w:hideMark/>
          </w:tcPr>
          <w:p w14:paraId="02B7441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4BBC7A5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64536F2C"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5C39EEE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Bernit</w:t>
            </w:r>
            <w:proofErr w:type="spellEnd"/>
            <w:r w:rsidRPr="00907E94">
              <w:rPr>
                <w:rFonts w:eastAsia="Times New Roman"/>
                <w:color w:val="000000"/>
                <w:lang w:eastAsia="fr-FR"/>
              </w:rPr>
              <w:t xml:space="preserve"> </w:t>
            </w:r>
            <w:proofErr w:type="spellStart"/>
            <w:r w:rsidRPr="00907E94">
              <w:rPr>
                <w:rFonts w:eastAsia="Times New Roman"/>
                <w:color w:val="000000"/>
                <w:lang w:eastAsia="fr-FR"/>
              </w:rPr>
              <w:t>Ideynibe</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358F6F62"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Wad</w:t>
            </w:r>
            <w:proofErr w:type="spellEnd"/>
            <w:r w:rsidRPr="00907E94">
              <w:rPr>
                <w:rFonts w:eastAsia="Times New Roman"/>
                <w:color w:val="000000"/>
                <w:lang w:eastAsia="fr-FR"/>
              </w:rPr>
              <w:t xml:space="preserve"> amour</w:t>
            </w:r>
          </w:p>
        </w:tc>
        <w:tc>
          <w:tcPr>
            <w:tcW w:w="902" w:type="pct"/>
            <w:tcBorders>
              <w:top w:val="nil"/>
              <w:left w:val="nil"/>
              <w:bottom w:val="single" w:sz="4" w:space="0" w:color="auto"/>
              <w:right w:val="single" w:sz="4" w:space="0" w:color="auto"/>
            </w:tcBorders>
            <w:shd w:val="clear" w:color="auto" w:fill="auto"/>
            <w:vAlign w:val="bottom"/>
            <w:hideMark/>
          </w:tcPr>
          <w:p w14:paraId="5AB0DD6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4E2B0B0A"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7FC4E9AC"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6FDCE47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Elb-Elkheir</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0834ADC1"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Sangrava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67FA6B66"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0CF7214B"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0C6BC854"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40456AD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Koueiwa</w:t>
            </w:r>
            <w:proofErr w:type="spellEnd"/>
            <w:r w:rsidRPr="00907E94">
              <w:rPr>
                <w:rFonts w:eastAsia="Times New Roman"/>
                <w:color w:val="000000"/>
                <w:lang w:eastAsia="fr-FR"/>
              </w:rPr>
              <w:t xml:space="preserve"> 3</w:t>
            </w:r>
          </w:p>
        </w:tc>
        <w:tc>
          <w:tcPr>
            <w:tcW w:w="975" w:type="pct"/>
            <w:tcBorders>
              <w:top w:val="nil"/>
              <w:left w:val="nil"/>
              <w:bottom w:val="single" w:sz="4" w:space="0" w:color="auto"/>
              <w:right w:val="single" w:sz="4" w:space="0" w:color="auto"/>
            </w:tcBorders>
            <w:shd w:val="clear" w:color="auto" w:fill="auto"/>
            <w:vAlign w:val="bottom"/>
            <w:hideMark/>
          </w:tcPr>
          <w:p w14:paraId="42217208"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Sangrava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18207D44"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317263CF"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5212A062"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1DF106F9"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Sangrava</w:t>
            </w:r>
            <w:proofErr w:type="spellEnd"/>
            <w:r w:rsidRPr="00907E94">
              <w:rPr>
                <w:rFonts w:eastAsia="Times New Roman"/>
                <w:color w:val="000000"/>
                <w:lang w:eastAsia="fr-FR"/>
              </w:rPr>
              <w:t xml:space="preserve"> 3</w:t>
            </w:r>
          </w:p>
        </w:tc>
        <w:tc>
          <w:tcPr>
            <w:tcW w:w="975" w:type="pct"/>
            <w:tcBorders>
              <w:top w:val="nil"/>
              <w:left w:val="nil"/>
              <w:bottom w:val="single" w:sz="4" w:space="0" w:color="auto"/>
              <w:right w:val="single" w:sz="4" w:space="0" w:color="auto"/>
            </w:tcBorders>
            <w:shd w:val="clear" w:color="auto" w:fill="auto"/>
            <w:vAlign w:val="bottom"/>
            <w:hideMark/>
          </w:tcPr>
          <w:p w14:paraId="42A54ABC"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Sangrava</w:t>
            </w:r>
            <w:proofErr w:type="spellEnd"/>
          </w:p>
        </w:tc>
        <w:tc>
          <w:tcPr>
            <w:tcW w:w="902" w:type="pct"/>
            <w:tcBorders>
              <w:top w:val="nil"/>
              <w:left w:val="nil"/>
              <w:bottom w:val="single" w:sz="4" w:space="0" w:color="auto"/>
              <w:right w:val="single" w:sz="4" w:space="0" w:color="auto"/>
            </w:tcBorders>
            <w:shd w:val="clear" w:color="auto" w:fill="auto"/>
            <w:vAlign w:val="bottom"/>
            <w:hideMark/>
          </w:tcPr>
          <w:p w14:paraId="5A30E4B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20C21E57"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r w:rsidR="002405EF" w:rsidRPr="00907E94" w14:paraId="0744F2E5" w14:textId="77777777" w:rsidTr="00FB45DF">
        <w:trPr>
          <w:trHeight w:val="288"/>
        </w:trPr>
        <w:tc>
          <w:tcPr>
            <w:tcW w:w="2009" w:type="pct"/>
            <w:tcBorders>
              <w:top w:val="nil"/>
              <w:left w:val="single" w:sz="4" w:space="0" w:color="auto"/>
              <w:bottom w:val="single" w:sz="4" w:space="0" w:color="auto"/>
              <w:right w:val="single" w:sz="4" w:space="0" w:color="auto"/>
            </w:tcBorders>
            <w:shd w:val="clear" w:color="auto" w:fill="auto"/>
            <w:vAlign w:val="bottom"/>
            <w:hideMark/>
          </w:tcPr>
          <w:p w14:paraId="2F9FB2F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Tachoutt-Twila</w:t>
            </w:r>
            <w:proofErr w:type="spellEnd"/>
          </w:p>
        </w:tc>
        <w:tc>
          <w:tcPr>
            <w:tcW w:w="975" w:type="pct"/>
            <w:tcBorders>
              <w:top w:val="nil"/>
              <w:left w:val="nil"/>
              <w:bottom w:val="single" w:sz="4" w:space="0" w:color="auto"/>
              <w:right w:val="single" w:sz="4" w:space="0" w:color="auto"/>
            </w:tcBorders>
            <w:shd w:val="clear" w:color="auto" w:fill="auto"/>
            <w:vAlign w:val="bottom"/>
            <w:hideMark/>
          </w:tcPr>
          <w:p w14:paraId="1CA1354D"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Wad</w:t>
            </w:r>
            <w:proofErr w:type="spellEnd"/>
            <w:r w:rsidRPr="00907E94">
              <w:rPr>
                <w:rFonts w:eastAsia="Times New Roman"/>
                <w:color w:val="000000"/>
                <w:lang w:eastAsia="fr-FR"/>
              </w:rPr>
              <w:t xml:space="preserve"> amour</w:t>
            </w:r>
          </w:p>
        </w:tc>
        <w:tc>
          <w:tcPr>
            <w:tcW w:w="902" w:type="pct"/>
            <w:tcBorders>
              <w:top w:val="nil"/>
              <w:left w:val="nil"/>
              <w:bottom w:val="single" w:sz="4" w:space="0" w:color="auto"/>
              <w:right w:val="single" w:sz="4" w:space="0" w:color="auto"/>
            </w:tcBorders>
            <w:shd w:val="clear" w:color="auto" w:fill="auto"/>
            <w:vAlign w:val="bottom"/>
            <w:hideMark/>
          </w:tcPr>
          <w:p w14:paraId="6F868BB5"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Magtalahjar</w:t>
            </w:r>
            <w:proofErr w:type="spellEnd"/>
          </w:p>
        </w:tc>
        <w:tc>
          <w:tcPr>
            <w:tcW w:w="1114" w:type="pct"/>
            <w:tcBorders>
              <w:top w:val="nil"/>
              <w:left w:val="nil"/>
              <w:bottom w:val="single" w:sz="4" w:space="0" w:color="auto"/>
              <w:right w:val="single" w:sz="4" w:space="0" w:color="auto"/>
            </w:tcBorders>
            <w:shd w:val="clear" w:color="auto" w:fill="auto"/>
            <w:vAlign w:val="bottom"/>
            <w:hideMark/>
          </w:tcPr>
          <w:p w14:paraId="17AA9C90" w14:textId="77777777" w:rsidR="002405EF" w:rsidRPr="00907E94" w:rsidRDefault="002405EF" w:rsidP="002405EF">
            <w:pPr>
              <w:rPr>
                <w:rFonts w:eastAsia="Times New Roman"/>
                <w:color w:val="000000"/>
                <w:lang w:eastAsia="fr-FR"/>
              </w:rPr>
            </w:pPr>
            <w:proofErr w:type="spellStart"/>
            <w:r w:rsidRPr="00907E94">
              <w:rPr>
                <w:rFonts w:eastAsia="Times New Roman"/>
                <w:color w:val="000000"/>
                <w:lang w:eastAsia="fr-FR"/>
              </w:rPr>
              <w:t>Brakna</w:t>
            </w:r>
            <w:proofErr w:type="spellEnd"/>
          </w:p>
        </w:tc>
      </w:tr>
    </w:tbl>
    <w:p w14:paraId="63F1FFAC" w14:textId="78774B08" w:rsidR="00783199" w:rsidRPr="00907E94" w:rsidRDefault="00783199" w:rsidP="004670BE">
      <w:pPr>
        <w:spacing w:before="120" w:after="120"/>
        <w:jc w:val="both"/>
      </w:pPr>
    </w:p>
    <w:sectPr w:rsidR="00783199" w:rsidRPr="00907E94" w:rsidSect="00E47289">
      <w:headerReference w:type="default" r:id="rId8"/>
      <w:footerReference w:type="default" r:id="rId9"/>
      <w:pgSz w:w="11906" w:h="16838"/>
      <w:pgMar w:top="226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F7BDF" w14:textId="77777777" w:rsidR="00051E36" w:rsidRDefault="00051E36" w:rsidP="00E7509E">
      <w:r>
        <w:separator/>
      </w:r>
    </w:p>
  </w:endnote>
  <w:endnote w:type="continuationSeparator" w:id="0">
    <w:p w14:paraId="0B592F87" w14:textId="77777777" w:rsidR="00051E36" w:rsidRDefault="00051E36" w:rsidP="00E75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8866358"/>
      <w:docPartObj>
        <w:docPartGallery w:val="Page Numbers (Bottom of Page)"/>
        <w:docPartUnique/>
      </w:docPartObj>
    </w:sdtPr>
    <w:sdtEndPr/>
    <w:sdtContent>
      <w:sdt>
        <w:sdtPr>
          <w:id w:val="1728636285"/>
          <w:docPartObj>
            <w:docPartGallery w:val="Page Numbers (Top of Page)"/>
            <w:docPartUnique/>
          </w:docPartObj>
        </w:sdtPr>
        <w:sdtEndPr/>
        <w:sdtContent>
          <w:p w14:paraId="2C29DBBD" w14:textId="660E5652" w:rsidR="004F6F40" w:rsidRDefault="004F6F40" w:rsidP="00CB5253">
            <w:pPr>
              <w:pStyle w:val="Pieddepage"/>
              <w:ind w:left="3960" w:firstLine="3695"/>
            </w:pPr>
            <w:r>
              <w:t xml:space="preserve">Page </w:t>
            </w:r>
            <w:r>
              <w:rPr>
                <w:b/>
                <w:bCs/>
                <w:sz w:val="24"/>
                <w:szCs w:val="24"/>
              </w:rPr>
              <w:fldChar w:fldCharType="begin"/>
            </w:r>
            <w:r>
              <w:rPr>
                <w:b/>
                <w:bCs/>
              </w:rPr>
              <w:instrText>PAGE</w:instrText>
            </w:r>
            <w:r>
              <w:rPr>
                <w:b/>
                <w:bCs/>
                <w:sz w:val="24"/>
                <w:szCs w:val="24"/>
              </w:rPr>
              <w:fldChar w:fldCharType="separate"/>
            </w:r>
            <w:r w:rsidR="00C949DE">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949DE">
              <w:rPr>
                <w:b/>
                <w:bCs/>
                <w:noProof/>
              </w:rPr>
              <w:t>15</w:t>
            </w:r>
            <w:r>
              <w:rPr>
                <w:b/>
                <w:bCs/>
                <w:sz w:val="24"/>
                <w:szCs w:val="24"/>
              </w:rPr>
              <w:fldChar w:fldCharType="end"/>
            </w:r>
          </w:p>
        </w:sdtContent>
      </w:sdt>
    </w:sdtContent>
  </w:sdt>
  <w:p w14:paraId="3B270E7A" w14:textId="62330D12" w:rsidR="004F6F40" w:rsidRDefault="004F6F40" w:rsidP="00C832D4">
    <w:pPr>
      <w:pStyle w:val="Pieddepage"/>
      <w:jc w:val="center"/>
    </w:pPr>
    <w:r>
      <w:rPr>
        <w:noProof/>
        <w:lang w:eastAsia="fr-FR"/>
      </w:rPr>
      <w:drawing>
        <wp:inline distT="0" distB="0" distL="0" distR="0" wp14:anchorId="5B89533D" wp14:editId="1E59539C">
          <wp:extent cx="951478" cy="485775"/>
          <wp:effectExtent l="0" t="0" r="1270" b="0"/>
          <wp:docPr id="7" name="Image 7" descr="Accueil | L'Initi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cueil | L'Initiat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612" cy="52158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7F9FE" w14:textId="77777777" w:rsidR="00051E36" w:rsidRDefault="00051E36" w:rsidP="00E7509E">
      <w:r>
        <w:separator/>
      </w:r>
    </w:p>
  </w:footnote>
  <w:footnote w:type="continuationSeparator" w:id="0">
    <w:p w14:paraId="05BC6DEE" w14:textId="77777777" w:rsidR="00051E36" w:rsidRDefault="00051E36" w:rsidP="00E75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41D73" w14:textId="4639E68D" w:rsidR="004F6F40" w:rsidRDefault="004F6F40" w:rsidP="009C1E81">
    <w:pPr>
      <w:pStyle w:val="En-tte"/>
      <w:jc w:val="right"/>
    </w:pPr>
    <w:r w:rsidRPr="009813CD">
      <w:rPr>
        <w:noProof/>
        <w:sz w:val="24"/>
        <w:szCs w:val="24"/>
        <w:lang w:eastAsia="fr-FR"/>
      </w:rPr>
      <w:drawing>
        <wp:anchor distT="0" distB="0" distL="114300" distR="114300" simplePos="0" relativeHeight="251658240" behindDoc="1" locked="0" layoutInCell="1" allowOverlap="1" wp14:anchorId="14311373" wp14:editId="6F8BCEEA">
          <wp:simplePos x="0" y="0"/>
          <wp:positionH relativeFrom="column">
            <wp:posOffset>164465</wp:posOffset>
          </wp:positionH>
          <wp:positionV relativeFrom="paragraph">
            <wp:posOffset>-119380</wp:posOffset>
          </wp:positionV>
          <wp:extent cx="624205" cy="633095"/>
          <wp:effectExtent l="0" t="0" r="4445" b="0"/>
          <wp:wrapTight wrapText="bothSides">
            <wp:wrapPolygon edited="0">
              <wp:start x="0" y="0"/>
              <wp:lineTo x="0" y="20798"/>
              <wp:lineTo x="21095" y="20798"/>
              <wp:lineTo x="21095" y="0"/>
              <wp:lineTo x="0" y="0"/>
            </wp:wrapPolygon>
          </wp:wrapTight>
          <wp:docPr id="4" name="Image 4" descr="C:\Users\expert\Downloads\R.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xpert\Downloads\R.jf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4205"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1E81">
      <w:rPr>
        <w:b/>
        <w:sz w:val="40"/>
        <w:szCs w:val="40"/>
      </w:rPr>
      <w:t>PAIRE</w:t>
    </w:r>
    <w:r>
      <w:t xml:space="preserve">                                    </w:t>
    </w:r>
    <w:r>
      <w:rPr>
        <w:noProof/>
        <w:lang w:eastAsia="fr-FR"/>
      </w:rPr>
      <w:drawing>
        <wp:inline distT="0" distB="0" distL="0" distR="0" wp14:anchorId="29B43150" wp14:editId="3CD7CF0A">
          <wp:extent cx="1620177" cy="409575"/>
          <wp:effectExtent l="0" t="0" r="0" b="0"/>
          <wp:docPr id="1" name="Image 1" descr="P:\protection_sociale_et_emploi\5.PROJETS EN COURS DE GESTION\22PSE0C196 - PAIRE\8. Communication\Logo MENRS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otection_sociale_et_emploi\5.PROJETS EN COURS DE GESTION\22PSE0C196 - PAIRE\8. Communication\Logo MENRSE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6777" cy="421355"/>
                  </a:xfrm>
                  <a:prstGeom prst="rect">
                    <a:avLst/>
                  </a:prstGeom>
                  <a:noFill/>
                  <a:ln>
                    <a:noFill/>
                  </a:ln>
                </pic:spPr>
              </pic:pic>
            </a:graphicData>
          </a:graphic>
        </wp:inline>
      </w:drawing>
    </w:r>
  </w:p>
  <w:p w14:paraId="364E8CBC" w14:textId="09AC3DBD" w:rsidR="004F6F40" w:rsidRPr="009C1E81" w:rsidRDefault="004F6F40" w:rsidP="009C1E81">
    <w:pPr>
      <w:pStyle w:val="En-tte"/>
      <w:rPr>
        <w:i/>
        <w:sz w:val="20"/>
        <w:szCs w:val="20"/>
      </w:rPr>
    </w:pPr>
    <w:r>
      <w:rPr>
        <w:i/>
        <w:sz w:val="20"/>
        <w:szCs w:val="20"/>
      </w:rPr>
      <w:t xml:space="preserve">             </w:t>
    </w:r>
    <w:r w:rsidRPr="009C1E81">
      <w:rPr>
        <w:i/>
        <w:sz w:val="20"/>
        <w:szCs w:val="20"/>
      </w:rPr>
      <w:t>P</w:t>
    </w:r>
    <w:r>
      <w:rPr>
        <w:i/>
        <w:sz w:val="20"/>
        <w:szCs w:val="20"/>
      </w:rPr>
      <w:t>rojet</w:t>
    </w:r>
    <w:r w:rsidRPr="009C1E81">
      <w:rPr>
        <w:i/>
        <w:sz w:val="20"/>
        <w:szCs w:val="20"/>
      </w:rPr>
      <w:t xml:space="preserve"> d’appui institutionnel à la réforme de l’éducation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7081"/>
    <w:multiLevelType w:val="multilevel"/>
    <w:tmpl w:val="04CC8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E77CE"/>
    <w:multiLevelType w:val="multilevel"/>
    <w:tmpl w:val="C65440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144105B"/>
    <w:multiLevelType w:val="hybridMultilevel"/>
    <w:tmpl w:val="6706D168"/>
    <w:lvl w:ilvl="0" w:tplc="38A0C16C">
      <w:start w:val="1"/>
      <w:numFmt w:val="bullet"/>
      <w:lvlText w:val=""/>
      <w:lvlJc w:val="left"/>
      <w:pPr>
        <w:ind w:left="720" w:hanging="360"/>
      </w:pPr>
      <w:rPr>
        <w:rFonts w:ascii="Symbol" w:hAnsi="Symbol"/>
      </w:rPr>
    </w:lvl>
    <w:lvl w:ilvl="1" w:tplc="F1B41090">
      <w:start w:val="1"/>
      <w:numFmt w:val="bullet"/>
      <w:lvlText w:val=""/>
      <w:lvlJc w:val="left"/>
      <w:pPr>
        <w:ind w:left="720" w:hanging="360"/>
      </w:pPr>
      <w:rPr>
        <w:rFonts w:ascii="Symbol" w:hAnsi="Symbol"/>
      </w:rPr>
    </w:lvl>
    <w:lvl w:ilvl="2" w:tplc="B0264644">
      <w:start w:val="1"/>
      <w:numFmt w:val="bullet"/>
      <w:lvlText w:val=""/>
      <w:lvlJc w:val="left"/>
      <w:pPr>
        <w:ind w:left="720" w:hanging="360"/>
      </w:pPr>
      <w:rPr>
        <w:rFonts w:ascii="Symbol" w:hAnsi="Symbol"/>
      </w:rPr>
    </w:lvl>
    <w:lvl w:ilvl="3" w:tplc="07886A60">
      <w:start w:val="1"/>
      <w:numFmt w:val="bullet"/>
      <w:lvlText w:val=""/>
      <w:lvlJc w:val="left"/>
      <w:pPr>
        <w:ind w:left="720" w:hanging="360"/>
      </w:pPr>
      <w:rPr>
        <w:rFonts w:ascii="Symbol" w:hAnsi="Symbol"/>
      </w:rPr>
    </w:lvl>
    <w:lvl w:ilvl="4" w:tplc="7004C420">
      <w:start w:val="1"/>
      <w:numFmt w:val="bullet"/>
      <w:lvlText w:val=""/>
      <w:lvlJc w:val="left"/>
      <w:pPr>
        <w:ind w:left="720" w:hanging="360"/>
      </w:pPr>
      <w:rPr>
        <w:rFonts w:ascii="Symbol" w:hAnsi="Symbol"/>
      </w:rPr>
    </w:lvl>
    <w:lvl w:ilvl="5" w:tplc="9E26C6F2">
      <w:start w:val="1"/>
      <w:numFmt w:val="bullet"/>
      <w:lvlText w:val=""/>
      <w:lvlJc w:val="left"/>
      <w:pPr>
        <w:ind w:left="720" w:hanging="360"/>
      </w:pPr>
      <w:rPr>
        <w:rFonts w:ascii="Symbol" w:hAnsi="Symbol"/>
      </w:rPr>
    </w:lvl>
    <w:lvl w:ilvl="6" w:tplc="ED3A919A">
      <w:start w:val="1"/>
      <w:numFmt w:val="bullet"/>
      <w:lvlText w:val=""/>
      <w:lvlJc w:val="left"/>
      <w:pPr>
        <w:ind w:left="720" w:hanging="360"/>
      </w:pPr>
      <w:rPr>
        <w:rFonts w:ascii="Symbol" w:hAnsi="Symbol"/>
      </w:rPr>
    </w:lvl>
    <w:lvl w:ilvl="7" w:tplc="288AB6C6">
      <w:start w:val="1"/>
      <w:numFmt w:val="bullet"/>
      <w:lvlText w:val=""/>
      <w:lvlJc w:val="left"/>
      <w:pPr>
        <w:ind w:left="720" w:hanging="360"/>
      </w:pPr>
      <w:rPr>
        <w:rFonts w:ascii="Symbol" w:hAnsi="Symbol"/>
      </w:rPr>
    </w:lvl>
    <w:lvl w:ilvl="8" w:tplc="3A00A51C">
      <w:start w:val="1"/>
      <w:numFmt w:val="bullet"/>
      <w:lvlText w:val=""/>
      <w:lvlJc w:val="left"/>
      <w:pPr>
        <w:ind w:left="720" w:hanging="360"/>
      </w:pPr>
      <w:rPr>
        <w:rFonts w:ascii="Symbol" w:hAnsi="Symbol"/>
      </w:rPr>
    </w:lvl>
  </w:abstractNum>
  <w:abstractNum w:abstractNumId="3" w15:restartNumberingAfterBreak="0">
    <w:nsid w:val="187F647F"/>
    <w:multiLevelType w:val="hybridMultilevel"/>
    <w:tmpl w:val="3A367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F622E9"/>
    <w:multiLevelType w:val="hybridMultilevel"/>
    <w:tmpl w:val="FD7AF0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F5261A"/>
    <w:multiLevelType w:val="hybridMultilevel"/>
    <w:tmpl w:val="D1FAEAA6"/>
    <w:lvl w:ilvl="0" w:tplc="8318C9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447065"/>
    <w:multiLevelType w:val="hybridMultilevel"/>
    <w:tmpl w:val="1EE491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51A26913"/>
    <w:multiLevelType w:val="multilevel"/>
    <w:tmpl w:val="A7FCF446"/>
    <w:styleLink w:val="WWNum5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3047B80"/>
    <w:multiLevelType w:val="hybridMultilevel"/>
    <w:tmpl w:val="78967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F026FB"/>
    <w:multiLevelType w:val="hybridMultilevel"/>
    <w:tmpl w:val="7A30E0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F560882"/>
    <w:multiLevelType w:val="hybridMultilevel"/>
    <w:tmpl w:val="2B9E9498"/>
    <w:lvl w:ilvl="0" w:tplc="25D024E8">
      <w:start w:val="1"/>
      <w:numFmt w:val="bullet"/>
      <w:lvlText w:val=""/>
      <w:lvlJc w:val="left"/>
      <w:pPr>
        <w:ind w:left="720" w:hanging="360"/>
      </w:pPr>
      <w:rPr>
        <w:rFonts w:ascii="Symbol" w:hAnsi="Symbol"/>
      </w:rPr>
    </w:lvl>
    <w:lvl w:ilvl="1" w:tplc="376CADF6">
      <w:start w:val="1"/>
      <w:numFmt w:val="bullet"/>
      <w:lvlText w:val=""/>
      <w:lvlJc w:val="left"/>
      <w:pPr>
        <w:ind w:left="720" w:hanging="360"/>
      </w:pPr>
      <w:rPr>
        <w:rFonts w:ascii="Symbol" w:hAnsi="Symbol"/>
      </w:rPr>
    </w:lvl>
    <w:lvl w:ilvl="2" w:tplc="498A9B74">
      <w:start w:val="1"/>
      <w:numFmt w:val="bullet"/>
      <w:lvlText w:val=""/>
      <w:lvlJc w:val="left"/>
      <w:pPr>
        <w:ind w:left="720" w:hanging="360"/>
      </w:pPr>
      <w:rPr>
        <w:rFonts w:ascii="Symbol" w:hAnsi="Symbol"/>
      </w:rPr>
    </w:lvl>
    <w:lvl w:ilvl="3" w:tplc="568CAB42">
      <w:start w:val="1"/>
      <w:numFmt w:val="bullet"/>
      <w:lvlText w:val=""/>
      <w:lvlJc w:val="left"/>
      <w:pPr>
        <w:ind w:left="720" w:hanging="360"/>
      </w:pPr>
      <w:rPr>
        <w:rFonts w:ascii="Symbol" w:hAnsi="Symbol"/>
      </w:rPr>
    </w:lvl>
    <w:lvl w:ilvl="4" w:tplc="AC3CF620">
      <w:start w:val="1"/>
      <w:numFmt w:val="bullet"/>
      <w:lvlText w:val=""/>
      <w:lvlJc w:val="left"/>
      <w:pPr>
        <w:ind w:left="720" w:hanging="360"/>
      </w:pPr>
      <w:rPr>
        <w:rFonts w:ascii="Symbol" w:hAnsi="Symbol"/>
      </w:rPr>
    </w:lvl>
    <w:lvl w:ilvl="5" w:tplc="B508A484">
      <w:start w:val="1"/>
      <w:numFmt w:val="bullet"/>
      <w:lvlText w:val=""/>
      <w:lvlJc w:val="left"/>
      <w:pPr>
        <w:ind w:left="720" w:hanging="360"/>
      </w:pPr>
      <w:rPr>
        <w:rFonts w:ascii="Symbol" w:hAnsi="Symbol"/>
      </w:rPr>
    </w:lvl>
    <w:lvl w:ilvl="6" w:tplc="C8DA0004">
      <w:start w:val="1"/>
      <w:numFmt w:val="bullet"/>
      <w:lvlText w:val=""/>
      <w:lvlJc w:val="left"/>
      <w:pPr>
        <w:ind w:left="720" w:hanging="360"/>
      </w:pPr>
      <w:rPr>
        <w:rFonts w:ascii="Symbol" w:hAnsi="Symbol"/>
      </w:rPr>
    </w:lvl>
    <w:lvl w:ilvl="7" w:tplc="175CA8FA">
      <w:start w:val="1"/>
      <w:numFmt w:val="bullet"/>
      <w:lvlText w:val=""/>
      <w:lvlJc w:val="left"/>
      <w:pPr>
        <w:ind w:left="720" w:hanging="360"/>
      </w:pPr>
      <w:rPr>
        <w:rFonts w:ascii="Symbol" w:hAnsi="Symbol"/>
      </w:rPr>
    </w:lvl>
    <w:lvl w:ilvl="8" w:tplc="095090FA">
      <w:start w:val="1"/>
      <w:numFmt w:val="bullet"/>
      <w:lvlText w:val=""/>
      <w:lvlJc w:val="left"/>
      <w:pPr>
        <w:ind w:left="720" w:hanging="360"/>
      </w:pPr>
      <w:rPr>
        <w:rFonts w:ascii="Symbol" w:hAnsi="Symbol"/>
      </w:rPr>
    </w:lvl>
  </w:abstractNum>
  <w:abstractNum w:abstractNumId="11" w15:restartNumberingAfterBreak="0">
    <w:nsid w:val="741525AC"/>
    <w:multiLevelType w:val="hybridMultilevel"/>
    <w:tmpl w:val="F1E232F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7682D42"/>
    <w:multiLevelType w:val="hybridMultilevel"/>
    <w:tmpl w:val="FA6823C0"/>
    <w:lvl w:ilvl="0" w:tplc="CA2A6C3C">
      <w:start w:val="1"/>
      <w:numFmt w:val="bullet"/>
      <w:lvlText w:val=""/>
      <w:lvlJc w:val="left"/>
      <w:pPr>
        <w:ind w:left="720" w:hanging="360"/>
      </w:pPr>
      <w:rPr>
        <w:rFonts w:ascii="Symbol" w:hAnsi="Symbol"/>
      </w:rPr>
    </w:lvl>
    <w:lvl w:ilvl="1" w:tplc="A2D0943A">
      <w:start w:val="1"/>
      <w:numFmt w:val="bullet"/>
      <w:lvlText w:val=""/>
      <w:lvlJc w:val="left"/>
      <w:pPr>
        <w:ind w:left="720" w:hanging="360"/>
      </w:pPr>
      <w:rPr>
        <w:rFonts w:ascii="Symbol" w:hAnsi="Symbol"/>
      </w:rPr>
    </w:lvl>
    <w:lvl w:ilvl="2" w:tplc="22C6822E">
      <w:start w:val="1"/>
      <w:numFmt w:val="bullet"/>
      <w:lvlText w:val=""/>
      <w:lvlJc w:val="left"/>
      <w:pPr>
        <w:ind w:left="720" w:hanging="360"/>
      </w:pPr>
      <w:rPr>
        <w:rFonts w:ascii="Symbol" w:hAnsi="Symbol"/>
      </w:rPr>
    </w:lvl>
    <w:lvl w:ilvl="3" w:tplc="90129426">
      <w:start w:val="1"/>
      <w:numFmt w:val="bullet"/>
      <w:lvlText w:val=""/>
      <w:lvlJc w:val="left"/>
      <w:pPr>
        <w:ind w:left="720" w:hanging="360"/>
      </w:pPr>
      <w:rPr>
        <w:rFonts w:ascii="Symbol" w:hAnsi="Symbol"/>
      </w:rPr>
    </w:lvl>
    <w:lvl w:ilvl="4" w:tplc="DC38EB8A">
      <w:start w:val="1"/>
      <w:numFmt w:val="bullet"/>
      <w:lvlText w:val=""/>
      <w:lvlJc w:val="left"/>
      <w:pPr>
        <w:ind w:left="720" w:hanging="360"/>
      </w:pPr>
      <w:rPr>
        <w:rFonts w:ascii="Symbol" w:hAnsi="Symbol"/>
      </w:rPr>
    </w:lvl>
    <w:lvl w:ilvl="5" w:tplc="A5B4783E">
      <w:start w:val="1"/>
      <w:numFmt w:val="bullet"/>
      <w:lvlText w:val=""/>
      <w:lvlJc w:val="left"/>
      <w:pPr>
        <w:ind w:left="720" w:hanging="360"/>
      </w:pPr>
      <w:rPr>
        <w:rFonts w:ascii="Symbol" w:hAnsi="Symbol"/>
      </w:rPr>
    </w:lvl>
    <w:lvl w:ilvl="6" w:tplc="743C8B80">
      <w:start w:val="1"/>
      <w:numFmt w:val="bullet"/>
      <w:lvlText w:val=""/>
      <w:lvlJc w:val="left"/>
      <w:pPr>
        <w:ind w:left="720" w:hanging="360"/>
      </w:pPr>
      <w:rPr>
        <w:rFonts w:ascii="Symbol" w:hAnsi="Symbol"/>
      </w:rPr>
    </w:lvl>
    <w:lvl w:ilvl="7" w:tplc="0E401962">
      <w:start w:val="1"/>
      <w:numFmt w:val="bullet"/>
      <w:lvlText w:val=""/>
      <w:lvlJc w:val="left"/>
      <w:pPr>
        <w:ind w:left="720" w:hanging="360"/>
      </w:pPr>
      <w:rPr>
        <w:rFonts w:ascii="Symbol" w:hAnsi="Symbol"/>
      </w:rPr>
    </w:lvl>
    <w:lvl w:ilvl="8" w:tplc="4C5258BE">
      <w:start w:val="1"/>
      <w:numFmt w:val="bullet"/>
      <w:lvlText w:val=""/>
      <w:lvlJc w:val="left"/>
      <w:pPr>
        <w:ind w:left="720" w:hanging="360"/>
      </w:pPr>
      <w:rPr>
        <w:rFonts w:ascii="Symbol" w:hAnsi="Symbol"/>
      </w:rPr>
    </w:lvl>
  </w:abstractNum>
  <w:abstractNum w:abstractNumId="13" w15:restartNumberingAfterBreak="0">
    <w:nsid w:val="7A525DDE"/>
    <w:multiLevelType w:val="hybridMultilevel"/>
    <w:tmpl w:val="ACB662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EC62B0"/>
    <w:multiLevelType w:val="hybridMultilevel"/>
    <w:tmpl w:val="8A7079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3"/>
  </w:num>
  <w:num w:numId="4">
    <w:abstractNumId w:val="3"/>
  </w:num>
  <w:num w:numId="5">
    <w:abstractNumId w:val="12"/>
  </w:num>
  <w:num w:numId="6">
    <w:abstractNumId w:val="4"/>
  </w:num>
  <w:num w:numId="7">
    <w:abstractNumId w:val="8"/>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10"/>
  </w:num>
  <w:num w:numId="17">
    <w:abstractNumId w:val="7"/>
  </w:num>
  <w:num w:numId="18">
    <w:abstractNumId w:val="6"/>
  </w:num>
  <w:num w:numId="19">
    <w:abstractNumId w:val="14"/>
  </w:num>
  <w:num w:numId="2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6" w:nlCheck="1" w:checkStyle="0"/>
  <w:activeWritingStyle w:appName="MSWord" w:lang="fr-FR" w:vendorID="64" w:dllVersion="0" w:nlCheck="1" w:checkStyle="0"/>
  <w:activeWritingStyle w:appName="MSWord" w:lang="en-GB" w:vendorID="64" w:dllVersion="0" w:nlCheck="1" w:checkStyle="0"/>
  <w:activeWritingStyle w:appName="MSWord" w:lang="fr-FR"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7C7F"/>
    <w:rsid w:val="000036E6"/>
    <w:rsid w:val="0000781F"/>
    <w:rsid w:val="0001320D"/>
    <w:rsid w:val="00015664"/>
    <w:rsid w:val="00026388"/>
    <w:rsid w:val="0002658F"/>
    <w:rsid w:val="00032FBC"/>
    <w:rsid w:val="00033767"/>
    <w:rsid w:val="0003572D"/>
    <w:rsid w:val="00042204"/>
    <w:rsid w:val="00045D36"/>
    <w:rsid w:val="000472A4"/>
    <w:rsid w:val="00051E36"/>
    <w:rsid w:val="0005389E"/>
    <w:rsid w:val="0005489C"/>
    <w:rsid w:val="0006535A"/>
    <w:rsid w:val="000664E5"/>
    <w:rsid w:val="00083D54"/>
    <w:rsid w:val="00086804"/>
    <w:rsid w:val="0008745E"/>
    <w:rsid w:val="00087514"/>
    <w:rsid w:val="00091384"/>
    <w:rsid w:val="00093B4A"/>
    <w:rsid w:val="000B3782"/>
    <w:rsid w:val="000C740B"/>
    <w:rsid w:val="000C743C"/>
    <w:rsid w:val="000C75A4"/>
    <w:rsid w:val="000D315B"/>
    <w:rsid w:val="000E6066"/>
    <w:rsid w:val="000F215B"/>
    <w:rsid w:val="000F5723"/>
    <w:rsid w:val="000F6213"/>
    <w:rsid w:val="00100CB9"/>
    <w:rsid w:val="001061DA"/>
    <w:rsid w:val="001235B5"/>
    <w:rsid w:val="0012416B"/>
    <w:rsid w:val="00126AAE"/>
    <w:rsid w:val="0012720E"/>
    <w:rsid w:val="001314C7"/>
    <w:rsid w:val="0013577F"/>
    <w:rsid w:val="00157B90"/>
    <w:rsid w:val="00165DD2"/>
    <w:rsid w:val="00166F18"/>
    <w:rsid w:val="00195E45"/>
    <w:rsid w:val="00195F88"/>
    <w:rsid w:val="001A358A"/>
    <w:rsid w:val="001A5232"/>
    <w:rsid w:val="001A5E8F"/>
    <w:rsid w:val="001B0A94"/>
    <w:rsid w:val="001B0B23"/>
    <w:rsid w:val="001C2E20"/>
    <w:rsid w:val="001C65AF"/>
    <w:rsid w:val="001D2260"/>
    <w:rsid w:val="001E34F1"/>
    <w:rsid w:val="001E6924"/>
    <w:rsid w:val="001F3BBB"/>
    <w:rsid w:val="002041FC"/>
    <w:rsid w:val="002044C5"/>
    <w:rsid w:val="00205FEC"/>
    <w:rsid w:val="0020604E"/>
    <w:rsid w:val="00207DCB"/>
    <w:rsid w:val="00212C9D"/>
    <w:rsid w:val="00213EAD"/>
    <w:rsid w:val="002206F6"/>
    <w:rsid w:val="0022545C"/>
    <w:rsid w:val="0023153A"/>
    <w:rsid w:val="002405EF"/>
    <w:rsid w:val="002439CF"/>
    <w:rsid w:val="00244AD6"/>
    <w:rsid w:val="00244B41"/>
    <w:rsid w:val="00247CB8"/>
    <w:rsid w:val="00254D9C"/>
    <w:rsid w:val="0027014D"/>
    <w:rsid w:val="002831EC"/>
    <w:rsid w:val="00284838"/>
    <w:rsid w:val="002875BE"/>
    <w:rsid w:val="00287FB6"/>
    <w:rsid w:val="002B3DB4"/>
    <w:rsid w:val="002B5801"/>
    <w:rsid w:val="002D702A"/>
    <w:rsid w:val="002E0EE7"/>
    <w:rsid w:val="002E5E74"/>
    <w:rsid w:val="0030203D"/>
    <w:rsid w:val="0032023A"/>
    <w:rsid w:val="0032036F"/>
    <w:rsid w:val="00326F88"/>
    <w:rsid w:val="00334BE1"/>
    <w:rsid w:val="003562AD"/>
    <w:rsid w:val="00364278"/>
    <w:rsid w:val="003677F2"/>
    <w:rsid w:val="003733B8"/>
    <w:rsid w:val="003741AC"/>
    <w:rsid w:val="00376FF9"/>
    <w:rsid w:val="003A46C5"/>
    <w:rsid w:val="003B37E1"/>
    <w:rsid w:val="003E64A7"/>
    <w:rsid w:val="003F08A2"/>
    <w:rsid w:val="004149CD"/>
    <w:rsid w:val="004178A8"/>
    <w:rsid w:val="0042616E"/>
    <w:rsid w:val="00431E31"/>
    <w:rsid w:val="00435098"/>
    <w:rsid w:val="00436CCF"/>
    <w:rsid w:val="00453125"/>
    <w:rsid w:val="004566F1"/>
    <w:rsid w:val="004609DC"/>
    <w:rsid w:val="00463A2E"/>
    <w:rsid w:val="004670BE"/>
    <w:rsid w:val="00467EE9"/>
    <w:rsid w:val="00473412"/>
    <w:rsid w:val="00475008"/>
    <w:rsid w:val="004801FA"/>
    <w:rsid w:val="00481A9D"/>
    <w:rsid w:val="00483C26"/>
    <w:rsid w:val="004844EB"/>
    <w:rsid w:val="004917B5"/>
    <w:rsid w:val="004937FB"/>
    <w:rsid w:val="00497D03"/>
    <w:rsid w:val="004A55C5"/>
    <w:rsid w:val="004C5E56"/>
    <w:rsid w:val="004D24DC"/>
    <w:rsid w:val="004F6F40"/>
    <w:rsid w:val="00505B57"/>
    <w:rsid w:val="00514CA3"/>
    <w:rsid w:val="005174CB"/>
    <w:rsid w:val="00520009"/>
    <w:rsid w:val="00520A91"/>
    <w:rsid w:val="00530609"/>
    <w:rsid w:val="00530B77"/>
    <w:rsid w:val="0053166F"/>
    <w:rsid w:val="00531F10"/>
    <w:rsid w:val="00545F62"/>
    <w:rsid w:val="005474B7"/>
    <w:rsid w:val="00547B3D"/>
    <w:rsid w:val="00550779"/>
    <w:rsid w:val="0055705D"/>
    <w:rsid w:val="00557D15"/>
    <w:rsid w:val="00566B71"/>
    <w:rsid w:val="00585ACE"/>
    <w:rsid w:val="005A4A57"/>
    <w:rsid w:val="005A54F4"/>
    <w:rsid w:val="005B39E5"/>
    <w:rsid w:val="005B3DD7"/>
    <w:rsid w:val="005D02DA"/>
    <w:rsid w:val="005D0B19"/>
    <w:rsid w:val="005D0E5A"/>
    <w:rsid w:val="005D2FCF"/>
    <w:rsid w:val="005E56D8"/>
    <w:rsid w:val="005F2A0F"/>
    <w:rsid w:val="005F39D4"/>
    <w:rsid w:val="005F733E"/>
    <w:rsid w:val="00605CDA"/>
    <w:rsid w:val="00611815"/>
    <w:rsid w:val="00615506"/>
    <w:rsid w:val="006200E4"/>
    <w:rsid w:val="0063385D"/>
    <w:rsid w:val="00646D33"/>
    <w:rsid w:val="00667C01"/>
    <w:rsid w:val="00671B6C"/>
    <w:rsid w:val="00683385"/>
    <w:rsid w:val="00691D21"/>
    <w:rsid w:val="00695C8C"/>
    <w:rsid w:val="0069758F"/>
    <w:rsid w:val="006975F5"/>
    <w:rsid w:val="006C1A5D"/>
    <w:rsid w:val="006C7E1F"/>
    <w:rsid w:val="006D2CAC"/>
    <w:rsid w:val="006E464E"/>
    <w:rsid w:val="006F119D"/>
    <w:rsid w:val="006F5C7A"/>
    <w:rsid w:val="006F5EAE"/>
    <w:rsid w:val="00715549"/>
    <w:rsid w:val="00716CFA"/>
    <w:rsid w:val="00716E87"/>
    <w:rsid w:val="00717272"/>
    <w:rsid w:val="00727AD5"/>
    <w:rsid w:val="00737A72"/>
    <w:rsid w:val="007478B6"/>
    <w:rsid w:val="007628B3"/>
    <w:rsid w:val="007818A9"/>
    <w:rsid w:val="00783199"/>
    <w:rsid w:val="0079156B"/>
    <w:rsid w:val="00792556"/>
    <w:rsid w:val="00795AAE"/>
    <w:rsid w:val="0079629E"/>
    <w:rsid w:val="007C15CA"/>
    <w:rsid w:val="007F49AD"/>
    <w:rsid w:val="008041A1"/>
    <w:rsid w:val="0080477E"/>
    <w:rsid w:val="0080513C"/>
    <w:rsid w:val="00806598"/>
    <w:rsid w:val="00814721"/>
    <w:rsid w:val="00822444"/>
    <w:rsid w:val="00832A79"/>
    <w:rsid w:val="00837051"/>
    <w:rsid w:val="00837BF7"/>
    <w:rsid w:val="008406D8"/>
    <w:rsid w:val="00845C2D"/>
    <w:rsid w:val="00846A5A"/>
    <w:rsid w:val="00855391"/>
    <w:rsid w:val="00863712"/>
    <w:rsid w:val="0086691B"/>
    <w:rsid w:val="00875E42"/>
    <w:rsid w:val="00890A4A"/>
    <w:rsid w:val="008A1C0D"/>
    <w:rsid w:val="008A1FCD"/>
    <w:rsid w:val="008C2007"/>
    <w:rsid w:val="008C39F5"/>
    <w:rsid w:val="008D21A7"/>
    <w:rsid w:val="008D55AB"/>
    <w:rsid w:val="008E1E3F"/>
    <w:rsid w:val="008E1EB1"/>
    <w:rsid w:val="008F4987"/>
    <w:rsid w:val="008F6F57"/>
    <w:rsid w:val="00907E94"/>
    <w:rsid w:val="009102F9"/>
    <w:rsid w:val="009264A2"/>
    <w:rsid w:val="00926600"/>
    <w:rsid w:val="00927A7A"/>
    <w:rsid w:val="00945AF9"/>
    <w:rsid w:val="009608E0"/>
    <w:rsid w:val="00966AB4"/>
    <w:rsid w:val="00967C05"/>
    <w:rsid w:val="009813CD"/>
    <w:rsid w:val="009850A3"/>
    <w:rsid w:val="0098687C"/>
    <w:rsid w:val="00992D1C"/>
    <w:rsid w:val="00994F95"/>
    <w:rsid w:val="009A1217"/>
    <w:rsid w:val="009A5A7B"/>
    <w:rsid w:val="009A788A"/>
    <w:rsid w:val="009C10EE"/>
    <w:rsid w:val="009C1E81"/>
    <w:rsid w:val="009C5A7F"/>
    <w:rsid w:val="009C6BA6"/>
    <w:rsid w:val="009D5008"/>
    <w:rsid w:val="009D6FA5"/>
    <w:rsid w:val="009E602B"/>
    <w:rsid w:val="009E710E"/>
    <w:rsid w:val="009F5AA8"/>
    <w:rsid w:val="00A01B85"/>
    <w:rsid w:val="00A06755"/>
    <w:rsid w:val="00A076A1"/>
    <w:rsid w:val="00A0797A"/>
    <w:rsid w:val="00A13573"/>
    <w:rsid w:val="00A1524F"/>
    <w:rsid w:val="00A24451"/>
    <w:rsid w:val="00A248AE"/>
    <w:rsid w:val="00A310B3"/>
    <w:rsid w:val="00A33D8B"/>
    <w:rsid w:val="00A74E7C"/>
    <w:rsid w:val="00A941BB"/>
    <w:rsid w:val="00AA0601"/>
    <w:rsid w:val="00AB424D"/>
    <w:rsid w:val="00AB6727"/>
    <w:rsid w:val="00AC6057"/>
    <w:rsid w:val="00AC71EE"/>
    <w:rsid w:val="00AD0DB6"/>
    <w:rsid w:val="00AD0F47"/>
    <w:rsid w:val="00AD1DC5"/>
    <w:rsid w:val="00AD68B2"/>
    <w:rsid w:val="00AE0774"/>
    <w:rsid w:val="00AE198D"/>
    <w:rsid w:val="00AE2860"/>
    <w:rsid w:val="00AE69E4"/>
    <w:rsid w:val="00AF027A"/>
    <w:rsid w:val="00AF521C"/>
    <w:rsid w:val="00AF6394"/>
    <w:rsid w:val="00B00DB3"/>
    <w:rsid w:val="00B033BA"/>
    <w:rsid w:val="00B20ABF"/>
    <w:rsid w:val="00B24940"/>
    <w:rsid w:val="00B36E0B"/>
    <w:rsid w:val="00B43CB8"/>
    <w:rsid w:val="00B471B3"/>
    <w:rsid w:val="00B50DCF"/>
    <w:rsid w:val="00B739C2"/>
    <w:rsid w:val="00B7650E"/>
    <w:rsid w:val="00B84899"/>
    <w:rsid w:val="00B952AA"/>
    <w:rsid w:val="00B965EF"/>
    <w:rsid w:val="00B97AF3"/>
    <w:rsid w:val="00B97F3A"/>
    <w:rsid w:val="00BA3A4B"/>
    <w:rsid w:val="00BA6D71"/>
    <w:rsid w:val="00BC01A4"/>
    <w:rsid w:val="00BC0503"/>
    <w:rsid w:val="00BC2BAE"/>
    <w:rsid w:val="00BC4C31"/>
    <w:rsid w:val="00BD2A55"/>
    <w:rsid w:val="00BD6D3C"/>
    <w:rsid w:val="00BE11C2"/>
    <w:rsid w:val="00BE2205"/>
    <w:rsid w:val="00BF4546"/>
    <w:rsid w:val="00BF5277"/>
    <w:rsid w:val="00BF5BFD"/>
    <w:rsid w:val="00C107D3"/>
    <w:rsid w:val="00C11C2C"/>
    <w:rsid w:val="00C146D3"/>
    <w:rsid w:val="00C1578E"/>
    <w:rsid w:val="00C328E3"/>
    <w:rsid w:val="00C34605"/>
    <w:rsid w:val="00C37D2B"/>
    <w:rsid w:val="00C43457"/>
    <w:rsid w:val="00C56EB0"/>
    <w:rsid w:val="00C57339"/>
    <w:rsid w:val="00C619F3"/>
    <w:rsid w:val="00C622F0"/>
    <w:rsid w:val="00C63255"/>
    <w:rsid w:val="00C65C58"/>
    <w:rsid w:val="00C7099F"/>
    <w:rsid w:val="00C74A99"/>
    <w:rsid w:val="00C813C6"/>
    <w:rsid w:val="00C832D4"/>
    <w:rsid w:val="00C84243"/>
    <w:rsid w:val="00C87D74"/>
    <w:rsid w:val="00C949DE"/>
    <w:rsid w:val="00CA28DE"/>
    <w:rsid w:val="00CB5253"/>
    <w:rsid w:val="00CC00C9"/>
    <w:rsid w:val="00CC0604"/>
    <w:rsid w:val="00CC088B"/>
    <w:rsid w:val="00CC2C49"/>
    <w:rsid w:val="00CC2D17"/>
    <w:rsid w:val="00CD3CB0"/>
    <w:rsid w:val="00CE33DF"/>
    <w:rsid w:val="00CE6107"/>
    <w:rsid w:val="00CF11C0"/>
    <w:rsid w:val="00CF278D"/>
    <w:rsid w:val="00CF709E"/>
    <w:rsid w:val="00D06172"/>
    <w:rsid w:val="00D07157"/>
    <w:rsid w:val="00D13035"/>
    <w:rsid w:val="00D170D5"/>
    <w:rsid w:val="00D20E0D"/>
    <w:rsid w:val="00D214EF"/>
    <w:rsid w:val="00D257B3"/>
    <w:rsid w:val="00D3456B"/>
    <w:rsid w:val="00D352CE"/>
    <w:rsid w:val="00D379AF"/>
    <w:rsid w:val="00D418A3"/>
    <w:rsid w:val="00D524B1"/>
    <w:rsid w:val="00D54D61"/>
    <w:rsid w:val="00D57C7F"/>
    <w:rsid w:val="00D60836"/>
    <w:rsid w:val="00D64C44"/>
    <w:rsid w:val="00D654AD"/>
    <w:rsid w:val="00D70E47"/>
    <w:rsid w:val="00D71A44"/>
    <w:rsid w:val="00D947DA"/>
    <w:rsid w:val="00DB1703"/>
    <w:rsid w:val="00DB61C0"/>
    <w:rsid w:val="00DB7742"/>
    <w:rsid w:val="00DC1384"/>
    <w:rsid w:val="00DC22E8"/>
    <w:rsid w:val="00DD2E17"/>
    <w:rsid w:val="00DE5598"/>
    <w:rsid w:val="00DF2EEE"/>
    <w:rsid w:val="00DF7A64"/>
    <w:rsid w:val="00E07A35"/>
    <w:rsid w:val="00E12555"/>
    <w:rsid w:val="00E1258E"/>
    <w:rsid w:val="00E15AB9"/>
    <w:rsid w:val="00E3267C"/>
    <w:rsid w:val="00E33A12"/>
    <w:rsid w:val="00E41456"/>
    <w:rsid w:val="00E47289"/>
    <w:rsid w:val="00E473A7"/>
    <w:rsid w:val="00E50805"/>
    <w:rsid w:val="00E52005"/>
    <w:rsid w:val="00E5359E"/>
    <w:rsid w:val="00E6084B"/>
    <w:rsid w:val="00E66BAC"/>
    <w:rsid w:val="00E67C9C"/>
    <w:rsid w:val="00E71A85"/>
    <w:rsid w:val="00E7509E"/>
    <w:rsid w:val="00E822A3"/>
    <w:rsid w:val="00E859D5"/>
    <w:rsid w:val="00E932F7"/>
    <w:rsid w:val="00E93764"/>
    <w:rsid w:val="00EA7D87"/>
    <w:rsid w:val="00EB7A52"/>
    <w:rsid w:val="00EC2503"/>
    <w:rsid w:val="00ED4EE2"/>
    <w:rsid w:val="00EE3A3C"/>
    <w:rsid w:val="00EF1BD1"/>
    <w:rsid w:val="00EF2833"/>
    <w:rsid w:val="00EF6D3D"/>
    <w:rsid w:val="00F00BC6"/>
    <w:rsid w:val="00F02276"/>
    <w:rsid w:val="00F0425E"/>
    <w:rsid w:val="00F063FA"/>
    <w:rsid w:val="00F06995"/>
    <w:rsid w:val="00F07658"/>
    <w:rsid w:val="00F16772"/>
    <w:rsid w:val="00F22591"/>
    <w:rsid w:val="00F22D21"/>
    <w:rsid w:val="00F33020"/>
    <w:rsid w:val="00F40853"/>
    <w:rsid w:val="00F4207F"/>
    <w:rsid w:val="00F42A91"/>
    <w:rsid w:val="00F45863"/>
    <w:rsid w:val="00F4715A"/>
    <w:rsid w:val="00F554C2"/>
    <w:rsid w:val="00F60AB7"/>
    <w:rsid w:val="00F70399"/>
    <w:rsid w:val="00F81AFA"/>
    <w:rsid w:val="00F9449A"/>
    <w:rsid w:val="00FA12C9"/>
    <w:rsid w:val="00FB2EDC"/>
    <w:rsid w:val="00FB310F"/>
    <w:rsid w:val="00FB45DF"/>
    <w:rsid w:val="00FC0A45"/>
    <w:rsid w:val="00FC5E32"/>
    <w:rsid w:val="00FC7020"/>
    <w:rsid w:val="00FD1CC8"/>
    <w:rsid w:val="00FD4B3D"/>
    <w:rsid w:val="00FE2154"/>
    <w:rsid w:val="00FE2CB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BAF29"/>
  <w15:chartTrackingRefBased/>
  <w15:docId w15:val="{D6DFB94A-E13F-42C1-ABA5-906A5E4EB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A9D"/>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Indent Paragraph,Lettre d'introduction,Paragraphe de liste PBLH,Graph &amp; Table tite,Bullet Points,Liste Paragraf,Llista Nivell1,Lista de nivel 1,References,List_Paragraph,Multilevel para_II,List Paragraph1,Lapis Bulleted List,lp1,RM1"/>
    <w:basedOn w:val="Normal"/>
    <w:link w:val="ParagraphedelisteCar"/>
    <w:uiPriority w:val="34"/>
    <w:qFormat/>
    <w:rsid w:val="00D57C7F"/>
    <w:pPr>
      <w:ind w:left="720"/>
    </w:pPr>
  </w:style>
  <w:style w:type="character" w:styleId="Marquedecommentaire">
    <w:name w:val="annotation reference"/>
    <w:basedOn w:val="Policepardfaut"/>
    <w:uiPriority w:val="99"/>
    <w:unhideWhenUsed/>
    <w:rsid w:val="00042204"/>
    <w:rPr>
      <w:sz w:val="16"/>
      <w:szCs w:val="16"/>
    </w:rPr>
  </w:style>
  <w:style w:type="paragraph" w:styleId="Commentaire">
    <w:name w:val="annotation text"/>
    <w:basedOn w:val="Normal"/>
    <w:link w:val="CommentaireCar"/>
    <w:uiPriority w:val="99"/>
    <w:unhideWhenUsed/>
    <w:rsid w:val="00042204"/>
    <w:rPr>
      <w:sz w:val="20"/>
      <w:szCs w:val="20"/>
    </w:rPr>
  </w:style>
  <w:style w:type="character" w:customStyle="1" w:styleId="CommentaireCar">
    <w:name w:val="Commentaire Car"/>
    <w:basedOn w:val="Policepardfaut"/>
    <w:link w:val="Commentaire"/>
    <w:uiPriority w:val="99"/>
    <w:rsid w:val="00042204"/>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042204"/>
    <w:rPr>
      <w:b/>
      <w:bCs/>
    </w:rPr>
  </w:style>
  <w:style w:type="character" w:customStyle="1" w:styleId="ObjetducommentaireCar">
    <w:name w:val="Objet du commentaire Car"/>
    <w:basedOn w:val="CommentaireCar"/>
    <w:link w:val="Objetducommentaire"/>
    <w:uiPriority w:val="99"/>
    <w:semiHidden/>
    <w:rsid w:val="00042204"/>
    <w:rPr>
      <w:rFonts w:ascii="Calibri" w:hAnsi="Calibri" w:cs="Calibri"/>
      <w:b/>
      <w:bCs/>
      <w:sz w:val="20"/>
      <w:szCs w:val="20"/>
    </w:rPr>
  </w:style>
  <w:style w:type="paragraph" w:styleId="Textedebulles">
    <w:name w:val="Balloon Text"/>
    <w:basedOn w:val="Normal"/>
    <w:link w:val="TextedebullesCar"/>
    <w:uiPriority w:val="99"/>
    <w:semiHidden/>
    <w:unhideWhenUsed/>
    <w:rsid w:val="00042204"/>
    <w:rPr>
      <w:rFonts w:ascii="Segoe UI" w:hAnsi="Segoe UI" w:cs="Segoe UI"/>
      <w:sz w:val="18"/>
      <w:szCs w:val="18"/>
    </w:rPr>
  </w:style>
  <w:style w:type="character" w:customStyle="1" w:styleId="TextedebullesCar">
    <w:name w:val="Texte de bulles Car"/>
    <w:basedOn w:val="Policepardfaut"/>
    <w:link w:val="Textedebulles"/>
    <w:uiPriority w:val="99"/>
    <w:semiHidden/>
    <w:rsid w:val="00042204"/>
    <w:rPr>
      <w:rFonts w:ascii="Segoe UI" w:hAnsi="Segoe UI" w:cs="Segoe UI"/>
      <w:sz w:val="18"/>
      <w:szCs w:val="18"/>
    </w:rPr>
  </w:style>
  <w:style w:type="character" w:styleId="Accentuation">
    <w:name w:val="Emphasis"/>
    <w:basedOn w:val="Policepardfaut"/>
    <w:uiPriority w:val="20"/>
    <w:qFormat/>
    <w:rsid w:val="006F5C7A"/>
    <w:rPr>
      <w:i/>
      <w:iCs/>
    </w:rPr>
  </w:style>
  <w:style w:type="character" w:customStyle="1" w:styleId="apple-converted-space">
    <w:name w:val="apple-converted-space"/>
    <w:basedOn w:val="Policepardfaut"/>
    <w:rsid w:val="006F5C7A"/>
  </w:style>
  <w:style w:type="paragraph" w:styleId="Rvision">
    <w:name w:val="Revision"/>
    <w:hidden/>
    <w:uiPriority w:val="99"/>
    <w:semiHidden/>
    <w:rsid w:val="008406D8"/>
    <w:pPr>
      <w:spacing w:after="0" w:line="240" w:lineRule="auto"/>
    </w:pPr>
    <w:rPr>
      <w:rFonts w:ascii="Calibri" w:hAnsi="Calibri" w:cs="Calibri"/>
    </w:rPr>
  </w:style>
  <w:style w:type="paragraph" w:styleId="En-tte">
    <w:name w:val="header"/>
    <w:basedOn w:val="Normal"/>
    <w:link w:val="En-tteCar"/>
    <w:uiPriority w:val="99"/>
    <w:unhideWhenUsed/>
    <w:rsid w:val="00E7509E"/>
    <w:pPr>
      <w:tabs>
        <w:tab w:val="center" w:pos="4536"/>
        <w:tab w:val="right" w:pos="9072"/>
      </w:tabs>
    </w:pPr>
  </w:style>
  <w:style w:type="character" w:customStyle="1" w:styleId="En-tteCar">
    <w:name w:val="En-tête Car"/>
    <w:basedOn w:val="Policepardfaut"/>
    <w:link w:val="En-tte"/>
    <w:uiPriority w:val="99"/>
    <w:rsid w:val="00E7509E"/>
    <w:rPr>
      <w:rFonts w:ascii="Calibri" w:hAnsi="Calibri" w:cs="Calibri"/>
    </w:rPr>
  </w:style>
  <w:style w:type="paragraph" w:styleId="Pieddepage">
    <w:name w:val="footer"/>
    <w:basedOn w:val="Normal"/>
    <w:link w:val="PieddepageCar"/>
    <w:uiPriority w:val="99"/>
    <w:unhideWhenUsed/>
    <w:rsid w:val="00E7509E"/>
    <w:pPr>
      <w:tabs>
        <w:tab w:val="center" w:pos="4536"/>
        <w:tab w:val="right" w:pos="9072"/>
      </w:tabs>
    </w:pPr>
  </w:style>
  <w:style w:type="character" w:customStyle="1" w:styleId="PieddepageCar">
    <w:name w:val="Pied de page Car"/>
    <w:basedOn w:val="Policepardfaut"/>
    <w:link w:val="Pieddepage"/>
    <w:uiPriority w:val="99"/>
    <w:rsid w:val="00E7509E"/>
    <w:rPr>
      <w:rFonts w:ascii="Calibri" w:hAnsi="Calibri" w:cs="Calibri"/>
    </w:rPr>
  </w:style>
  <w:style w:type="character" w:styleId="Lienhypertexte">
    <w:name w:val="Hyperlink"/>
    <w:basedOn w:val="Policepardfaut"/>
    <w:uiPriority w:val="99"/>
    <w:unhideWhenUsed/>
    <w:rsid w:val="009C1E81"/>
    <w:rPr>
      <w:color w:val="0563C1" w:themeColor="hyperlink"/>
      <w:u w:val="single"/>
    </w:rPr>
  </w:style>
  <w:style w:type="character" w:customStyle="1" w:styleId="ParagraphedelisteCar">
    <w:name w:val="Paragraphe de liste Car"/>
    <w:aliases w:val="Indent Paragraph Car,Lettre d'introduction Car,Paragraphe de liste PBLH Car,Graph &amp; Table tite Car,Bullet Points Car,Liste Paragraf Car,Llista Nivell1 Car,Lista de nivel 1 Car,References Car,List_Paragraph Car,List Paragraph1 Car"/>
    <w:link w:val="Paragraphedeliste"/>
    <w:uiPriority w:val="34"/>
    <w:qFormat/>
    <w:locked/>
    <w:rsid w:val="00E47289"/>
    <w:rPr>
      <w:rFonts w:ascii="Calibri" w:hAnsi="Calibri" w:cs="Calibri"/>
    </w:rPr>
  </w:style>
  <w:style w:type="paragraph" w:customStyle="1" w:styleId="Default">
    <w:name w:val="Default"/>
    <w:rsid w:val="00E47289"/>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39"/>
    <w:rsid w:val="00E47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619F3"/>
    <w:rPr>
      <w:rFonts w:ascii="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E15AB9"/>
    <w:rPr>
      <w:rFonts w:asciiTheme="minorHAnsi" w:hAnsiTheme="minorHAnsi" w:cstheme="minorBidi"/>
      <w:sz w:val="20"/>
      <w:szCs w:val="20"/>
    </w:rPr>
  </w:style>
  <w:style w:type="character" w:customStyle="1" w:styleId="NotedebasdepageCar">
    <w:name w:val="Note de bas de page Car"/>
    <w:basedOn w:val="Policepardfaut"/>
    <w:link w:val="Notedebasdepage"/>
    <w:uiPriority w:val="99"/>
    <w:semiHidden/>
    <w:rsid w:val="00E15AB9"/>
    <w:rPr>
      <w:sz w:val="20"/>
      <w:szCs w:val="20"/>
    </w:rPr>
  </w:style>
  <w:style w:type="character" w:styleId="Appelnotedebasdep">
    <w:name w:val="footnote reference"/>
    <w:basedOn w:val="Policepardfaut"/>
    <w:uiPriority w:val="99"/>
    <w:semiHidden/>
    <w:unhideWhenUsed/>
    <w:rsid w:val="00E15AB9"/>
    <w:rPr>
      <w:vertAlign w:val="superscript"/>
    </w:rPr>
  </w:style>
  <w:style w:type="paragraph" w:customStyle="1" w:styleId="TableParagraph">
    <w:name w:val="Table Paragraph"/>
    <w:basedOn w:val="Normal"/>
    <w:uiPriority w:val="1"/>
    <w:qFormat/>
    <w:rsid w:val="00F22591"/>
    <w:pPr>
      <w:widowControl w:val="0"/>
      <w:autoSpaceDE w:val="0"/>
      <w:autoSpaceDN w:val="0"/>
    </w:pPr>
    <w:rPr>
      <w:rFonts w:eastAsia="Calibri"/>
    </w:rPr>
  </w:style>
  <w:style w:type="character" w:customStyle="1" w:styleId="Mentionnonrsolue1">
    <w:name w:val="Mention non résolue1"/>
    <w:basedOn w:val="Policepardfaut"/>
    <w:uiPriority w:val="99"/>
    <w:semiHidden/>
    <w:unhideWhenUsed/>
    <w:rsid w:val="00467EE9"/>
    <w:rPr>
      <w:color w:val="605E5C"/>
      <w:shd w:val="clear" w:color="auto" w:fill="E1DFDD"/>
    </w:rPr>
  </w:style>
  <w:style w:type="numbering" w:customStyle="1" w:styleId="WWNum59">
    <w:name w:val="WWNum59"/>
    <w:basedOn w:val="Aucuneliste"/>
    <w:rsid w:val="00C1578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5724">
      <w:bodyDiv w:val="1"/>
      <w:marLeft w:val="0"/>
      <w:marRight w:val="0"/>
      <w:marTop w:val="0"/>
      <w:marBottom w:val="0"/>
      <w:divBdr>
        <w:top w:val="none" w:sz="0" w:space="0" w:color="auto"/>
        <w:left w:val="none" w:sz="0" w:space="0" w:color="auto"/>
        <w:bottom w:val="none" w:sz="0" w:space="0" w:color="auto"/>
        <w:right w:val="none" w:sz="0" w:space="0" w:color="auto"/>
      </w:divBdr>
    </w:div>
    <w:div w:id="160826123">
      <w:bodyDiv w:val="1"/>
      <w:marLeft w:val="0"/>
      <w:marRight w:val="0"/>
      <w:marTop w:val="0"/>
      <w:marBottom w:val="0"/>
      <w:divBdr>
        <w:top w:val="none" w:sz="0" w:space="0" w:color="auto"/>
        <w:left w:val="none" w:sz="0" w:space="0" w:color="auto"/>
        <w:bottom w:val="none" w:sz="0" w:space="0" w:color="auto"/>
        <w:right w:val="none" w:sz="0" w:space="0" w:color="auto"/>
      </w:divBdr>
    </w:div>
    <w:div w:id="177545340">
      <w:bodyDiv w:val="1"/>
      <w:marLeft w:val="0"/>
      <w:marRight w:val="0"/>
      <w:marTop w:val="0"/>
      <w:marBottom w:val="0"/>
      <w:divBdr>
        <w:top w:val="none" w:sz="0" w:space="0" w:color="auto"/>
        <w:left w:val="none" w:sz="0" w:space="0" w:color="auto"/>
        <w:bottom w:val="none" w:sz="0" w:space="0" w:color="auto"/>
        <w:right w:val="none" w:sz="0" w:space="0" w:color="auto"/>
      </w:divBdr>
    </w:div>
    <w:div w:id="375858121">
      <w:bodyDiv w:val="1"/>
      <w:marLeft w:val="0"/>
      <w:marRight w:val="0"/>
      <w:marTop w:val="0"/>
      <w:marBottom w:val="0"/>
      <w:divBdr>
        <w:top w:val="none" w:sz="0" w:space="0" w:color="auto"/>
        <w:left w:val="none" w:sz="0" w:space="0" w:color="auto"/>
        <w:bottom w:val="none" w:sz="0" w:space="0" w:color="auto"/>
        <w:right w:val="none" w:sz="0" w:space="0" w:color="auto"/>
      </w:divBdr>
    </w:div>
    <w:div w:id="405418718">
      <w:bodyDiv w:val="1"/>
      <w:marLeft w:val="0"/>
      <w:marRight w:val="0"/>
      <w:marTop w:val="0"/>
      <w:marBottom w:val="0"/>
      <w:divBdr>
        <w:top w:val="none" w:sz="0" w:space="0" w:color="auto"/>
        <w:left w:val="none" w:sz="0" w:space="0" w:color="auto"/>
        <w:bottom w:val="none" w:sz="0" w:space="0" w:color="auto"/>
        <w:right w:val="none" w:sz="0" w:space="0" w:color="auto"/>
      </w:divBdr>
    </w:div>
    <w:div w:id="451559346">
      <w:bodyDiv w:val="1"/>
      <w:marLeft w:val="0"/>
      <w:marRight w:val="0"/>
      <w:marTop w:val="0"/>
      <w:marBottom w:val="0"/>
      <w:divBdr>
        <w:top w:val="none" w:sz="0" w:space="0" w:color="auto"/>
        <w:left w:val="none" w:sz="0" w:space="0" w:color="auto"/>
        <w:bottom w:val="none" w:sz="0" w:space="0" w:color="auto"/>
        <w:right w:val="none" w:sz="0" w:space="0" w:color="auto"/>
      </w:divBdr>
    </w:div>
    <w:div w:id="562065452">
      <w:bodyDiv w:val="1"/>
      <w:marLeft w:val="0"/>
      <w:marRight w:val="0"/>
      <w:marTop w:val="0"/>
      <w:marBottom w:val="0"/>
      <w:divBdr>
        <w:top w:val="none" w:sz="0" w:space="0" w:color="auto"/>
        <w:left w:val="none" w:sz="0" w:space="0" w:color="auto"/>
        <w:bottom w:val="none" w:sz="0" w:space="0" w:color="auto"/>
        <w:right w:val="none" w:sz="0" w:space="0" w:color="auto"/>
      </w:divBdr>
    </w:div>
    <w:div w:id="609944320">
      <w:bodyDiv w:val="1"/>
      <w:marLeft w:val="0"/>
      <w:marRight w:val="0"/>
      <w:marTop w:val="0"/>
      <w:marBottom w:val="0"/>
      <w:divBdr>
        <w:top w:val="none" w:sz="0" w:space="0" w:color="auto"/>
        <w:left w:val="none" w:sz="0" w:space="0" w:color="auto"/>
        <w:bottom w:val="none" w:sz="0" w:space="0" w:color="auto"/>
        <w:right w:val="none" w:sz="0" w:space="0" w:color="auto"/>
      </w:divBdr>
    </w:div>
    <w:div w:id="672297247">
      <w:bodyDiv w:val="1"/>
      <w:marLeft w:val="0"/>
      <w:marRight w:val="0"/>
      <w:marTop w:val="0"/>
      <w:marBottom w:val="0"/>
      <w:divBdr>
        <w:top w:val="none" w:sz="0" w:space="0" w:color="auto"/>
        <w:left w:val="none" w:sz="0" w:space="0" w:color="auto"/>
        <w:bottom w:val="none" w:sz="0" w:space="0" w:color="auto"/>
        <w:right w:val="none" w:sz="0" w:space="0" w:color="auto"/>
      </w:divBdr>
    </w:div>
    <w:div w:id="763457396">
      <w:bodyDiv w:val="1"/>
      <w:marLeft w:val="0"/>
      <w:marRight w:val="0"/>
      <w:marTop w:val="0"/>
      <w:marBottom w:val="0"/>
      <w:divBdr>
        <w:top w:val="none" w:sz="0" w:space="0" w:color="auto"/>
        <w:left w:val="none" w:sz="0" w:space="0" w:color="auto"/>
        <w:bottom w:val="none" w:sz="0" w:space="0" w:color="auto"/>
        <w:right w:val="none" w:sz="0" w:space="0" w:color="auto"/>
      </w:divBdr>
    </w:div>
    <w:div w:id="913858524">
      <w:bodyDiv w:val="1"/>
      <w:marLeft w:val="0"/>
      <w:marRight w:val="0"/>
      <w:marTop w:val="0"/>
      <w:marBottom w:val="0"/>
      <w:divBdr>
        <w:top w:val="none" w:sz="0" w:space="0" w:color="auto"/>
        <w:left w:val="none" w:sz="0" w:space="0" w:color="auto"/>
        <w:bottom w:val="none" w:sz="0" w:space="0" w:color="auto"/>
        <w:right w:val="none" w:sz="0" w:space="0" w:color="auto"/>
      </w:divBdr>
    </w:div>
    <w:div w:id="915286237">
      <w:bodyDiv w:val="1"/>
      <w:marLeft w:val="0"/>
      <w:marRight w:val="0"/>
      <w:marTop w:val="0"/>
      <w:marBottom w:val="0"/>
      <w:divBdr>
        <w:top w:val="none" w:sz="0" w:space="0" w:color="auto"/>
        <w:left w:val="none" w:sz="0" w:space="0" w:color="auto"/>
        <w:bottom w:val="none" w:sz="0" w:space="0" w:color="auto"/>
        <w:right w:val="none" w:sz="0" w:space="0" w:color="auto"/>
      </w:divBdr>
    </w:div>
    <w:div w:id="1132141340">
      <w:bodyDiv w:val="1"/>
      <w:marLeft w:val="0"/>
      <w:marRight w:val="0"/>
      <w:marTop w:val="0"/>
      <w:marBottom w:val="0"/>
      <w:divBdr>
        <w:top w:val="none" w:sz="0" w:space="0" w:color="auto"/>
        <w:left w:val="none" w:sz="0" w:space="0" w:color="auto"/>
        <w:bottom w:val="none" w:sz="0" w:space="0" w:color="auto"/>
        <w:right w:val="none" w:sz="0" w:space="0" w:color="auto"/>
      </w:divBdr>
    </w:div>
    <w:div w:id="1213425715">
      <w:bodyDiv w:val="1"/>
      <w:marLeft w:val="0"/>
      <w:marRight w:val="0"/>
      <w:marTop w:val="0"/>
      <w:marBottom w:val="0"/>
      <w:divBdr>
        <w:top w:val="none" w:sz="0" w:space="0" w:color="auto"/>
        <w:left w:val="none" w:sz="0" w:space="0" w:color="auto"/>
        <w:bottom w:val="none" w:sz="0" w:space="0" w:color="auto"/>
        <w:right w:val="none" w:sz="0" w:space="0" w:color="auto"/>
      </w:divBdr>
    </w:div>
    <w:div w:id="1289584058">
      <w:bodyDiv w:val="1"/>
      <w:marLeft w:val="0"/>
      <w:marRight w:val="0"/>
      <w:marTop w:val="0"/>
      <w:marBottom w:val="0"/>
      <w:divBdr>
        <w:top w:val="none" w:sz="0" w:space="0" w:color="auto"/>
        <w:left w:val="none" w:sz="0" w:space="0" w:color="auto"/>
        <w:bottom w:val="none" w:sz="0" w:space="0" w:color="auto"/>
        <w:right w:val="none" w:sz="0" w:space="0" w:color="auto"/>
      </w:divBdr>
    </w:div>
    <w:div w:id="1639259945">
      <w:bodyDiv w:val="1"/>
      <w:marLeft w:val="0"/>
      <w:marRight w:val="0"/>
      <w:marTop w:val="0"/>
      <w:marBottom w:val="0"/>
      <w:divBdr>
        <w:top w:val="none" w:sz="0" w:space="0" w:color="auto"/>
        <w:left w:val="none" w:sz="0" w:space="0" w:color="auto"/>
        <w:bottom w:val="none" w:sz="0" w:space="0" w:color="auto"/>
        <w:right w:val="none" w:sz="0" w:space="0" w:color="auto"/>
      </w:divBdr>
    </w:div>
    <w:div w:id="1796481141">
      <w:bodyDiv w:val="1"/>
      <w:marLeft w:val="0"/>
      <w:marRight w:val="0"/>
      <w:marTop w:val="0"/>
      <w:marBottom w:val="0"/>
      <w:divBdr>
        <w:top w:val="none" w:sz="0" w:space="0" w:color="auto"/>
        <w:left w:val="none" w:sz="0" w:space="0" w:color="auto"/>
        <w:bottom w:val="none" w:sz="0" w:space="0" w:color="auto"/>
        <w:right w:val="none" w:sz="0" w:space="0" w:color="auto"/>
      </w:divBdr>
    </w:div>
    <w:div w:id="1814789405">
      <w:bodyDiv w:val="1"/>
      <w:marLeft w:val="0"/>
      <w:marRight w:val="0"/>
      <w:marTop w:val="0"/>
      <w:marBottom w:val="0"/>
      <w:divBdr>
        <w:top w:val="none" w:sz="0" w:space="0" w:color="auto"/>
        <w:left w:val="none" w:sz="0" w:space="0" w:color="auto"/>
        <w:bottom w:val="none" w:sz="0" w:space="0" w:color="auto"/>
        <w:right w:val="none" w:sz="0" w:space="0" w:color="auto"/>
      </w:divBdr>
    </w:div>
    <w:div w:id="1818642122">
      <w:bodyDiv w:val="1"/>
      <w:marLeft w:val="0"/>
      <w:marRight w:val="0"/>
      <w:marTop w:val="0"/>
      <w:marBottom w:val="0"/>
      <w:divBdr>
        <w:top w:val="none" w:sz="0" w:space="0" w:color="auto"/>
        <w:left w:val="none" w:sz="0" w:space="0" w:color="auto"/>
        <w:bottom w:val="none" w:sz="0" w:space="0" w:color="auto"/>
        <w:right w:val="none" w:sz="0" w:space="0" w:color="auto"/>
      </w:divBdr>
    </w:div>
    <w:div w:id="1827361874">
      <w:bodyDiv w:val="1"/>
      <w:marLeft w:val="0"/>
      <w:marRight w:val="0"/>
      <w:marTop w:val="0"/>
      <w:marBottom w:val="0"/>
      <w:divBdr>
        <w:top w:val="none" w:sz="0" w:space="0" w:color="auto"/>
        <w:left w:val="none" w:sz="0" w:space="0" w:color="auto"/>
        <w:bottom w:val="none" w:sz="0" w:space="0" w:color="auto"/>
        <w:right w:val="none" w:sz="0" w:space="0" w:color="auto"/>
      </w:divBdr>
    </w:div>
    <w:div w:id="1843399380">
      <w:bodyDiv w:val="1"/>
      <w:marLeft w:val="0"/>
      <w:marRight w:val="0"/>
      <w:marTop w:val="0"/>
      <w:marBottom w:val="0"/>
      <w:divBdr>
        <w:top w:val="none" w:sz="0" w:space="0" w:color="auto"/>
        <w:left w:val="none" w:sz="0" w:space="0" w:color="auto"/>
        <w:bottom w:val="none" w:sz="0" w:space="0" w:color="auto"/>
        <w:right w:val="none" w:sz="0" w:space="0" w:color="auto"/>
      </w:divBdr>
    </w:div>
    <w:div w:id="210830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F9A08-4370-4038-8BC0-F5F273AA3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5842</Words>
  <Characters>32134</Characters>
  <Application>Microsoft Office Word</Application>
  <DocSecurity>0</DocSecurity>
  <Lines>267</Lines>
  <Paragraphs>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37901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PAIRE</dc:creator>
  <cp:keywords/>
  <dc:description/>
  <cp:lastModifiedBy>Philippe HUMEAU</cp:lastModifiedBy>
  <cp:revision>4</cp:revision>
  <cp:lastPrinted>2023-03-31T09:43:00Z</cp:lastPrinted>
  <dcterms:created xsi:type="dcterms:W3CDTF">2025-08-07T16:12:00Z</dcterms:created>
  <dcterms:modified xsi:type="dcterms:W3CDTF">2025-08-07T16:41:00Z</dcterms:modified>
</cp:coreProperties>
</file>