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83D" w:rsidRDefault="0026783D" w:rsidP="0026783D"/>
    <w:p w:rsidR="0026783D" w:rsidRDefault="0026783D" w:rsidP="0026783D">
      <w:r>
        <w:tab/>
      </w:r>
      <w:r>
        <w:tab/>
      </w:r>
      <w:r>
        <w:tab/>
      </w:r>
      <w:r>
        <w:tab/>
      </w:r>
    </w:p>
    <w:p w:rsidR="0026783D" w:rsidRPr="0026783D" w:rsidRDefault="00E048AF" w:rsidP="0026783D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E048AF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51AB190F" wp14:editId="2BED278C">
            <wp:extent cx="2048510" cy="1000125"/>
            <wp:effectExtent l="0" t="0" r="889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783D" w:rsidRPr="0026783D" w:rsidRDefault="0026783D" w:rsidP="0026783D">
      <w:pPr>
        <w:spacing w:after="0" w:line="240" w:lineRule="auto"/>
        <w:rPr>
          <w:rFonts w:ascii="Arial" w:eastAsia="Times New Roman" w:hAnsi="Arial" w:cs="Times New Roman"/>
          <w:b/>
          <w:sz w:val="28"/>
          <w:szCs w:val="20"/>
          <w:lang w:eastAsia="fr-FR"/>
        </w:rPr>
      </w:pPr>
      <w:r w:rsidRPr="0026783D">
        <w:rPr>
          <w:rFonts w:ascii="Arial" w:eastAsia="Times New Roman" w:hAnsi="Arial" w:cs="Times New Roman"/>
          <w:b/>
          <w:sz w:val="28"/>
          <w:szCs w:val="20"/>
          <w:lang w:eastAsia="fr-FR"/>
        </w:rPr>
        <w:tab/>
      </w:r>
      <w:r w:rsidRPr="0026783D">
        <w:rPr>
          <w:rFonts w:ascii="Arial" w:eastAsia="Times New Roman" w:hAnsi="Arial" w:cs="Times New Roman"/>
          <w:b/>
          <w:sz w:val="28"/>
          <w:szCs w:val="20"/>
          <w:lang w:eastAsia="fr-FR"/>
        </w:rPr>
        <w:tab/>
      </w:r>
      <w:r w:rsidRPr="0026783D">
        <w:rPr>
          <w:rFonts w:ascii="Arial" w:eastAsia="Times New Roman" w:hAnsi="Arial" w:cs="Times New Roman"/>
          <w:b/>
          <w:sz w:val="28"/>
          <w:szCs w:val="20"/>
          <w:lang w:eastAsia="fr-FR"/>
        </w:rPr>
        <w:tab/>
      </w:r>
      <w:r w:rsidRPr="0026783D">
        <w:rPr>
          <w:rFonts w:ascii="Arial" w:eastAsia="Times New Roman" w:hAnsi="Arial" w:cs="Times New Roman"/>
          <w:b/>
          <w:sz w:val="28"/>
          <w:szCs w:val="20"/>
          <w:lang w:eastAsia="fr-FR"/>
        </w:rPr>
        <w:tab/>
      </w:r>
    </w:p>
    <w:p w:rsidR="0026783D" w:rsidRPr="0026783D" w:rsidRDefault="0026783D" w:rsidP="0026783D">
      <w:pPr>
        <w:spacing w:after="0" w:line="240" w:lineRule="auto"/>
        <w:rPr>
          <w:rFonts w:ascii="Arial" w:eastAsia="Times New Roman" w:hAnsi="Arial" w:cs="Times New Roman"/>
          <w:b/>
          <w:sz w:val="48"/>
          <w:szCs w:val="48"/>
          <w:lang w:eastAsia="fr-FR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6783D" w:rsidRPr="0026783D" w:rsidTr="0074225F">
        <w:trPr>
          <w:trHeight w:val="1742"/>
        </w:trPr>
        <w:tc>
          <w:tcPr>
            <w:tcW w:w="9923" w:type="dxa"/>
            <w:shd w:val="clear" w:color="auto" w:fill="2F5496"/>
          </w:tcPr>
          <w:p w:rsidR="0026783D" w:rsidRPr="0026783D" w:rsidRDefault="0026783D" w:rsidP="0026783D">
            <w:pPr>
              <w:suppressAutoHyphens/>
              <w:spacing w:after="0" w:line="240" w:lineRule="auto"/>
              <w:ind w:right="-1"/>
              <w:jc w:val="center"/>
              <w:rPr>
                <w:rFonts w:ascii="Calibri" w:eastAsia="Times New Roman" w:hAnsi="Calibri" w:cs="Calibri"/>
                <w:b/>
                <w:color w:val="FFFFFF"/>
                <w:sz w:val="32"/>
                <w:szCs w:val="20"/>
                <w:lang w:eastAsia="zh-CN"/>
              </w:rPr>
            </w:pPr>
          </w:p>
          <w:p w:rsidR="0026783D" w:rsidRPr="0026783D" w:rsidRDefault="0026783D" w:rsidP="0026783D">
            <w:pPr>
              <w:suppressAutoHyphens/>
              <w:spacing w:after="0" w:line="240" w:lineRule="auto"/>
              <w:ind w:right="-1"/>
              <w:jc w:val="center"/>
              <w:rPr>
                <w:rFonts w:ascii="Calibri" w:eastAsia="Times New Roman" w:hAnsi="Calibri" w:cs="Calibri"/>
                <w:b/>
                <w:color w:val="FFFFFF"/>
                <w:sz w:val="32"/>
                <w:szCs w:val="32"/>
                <w:lang w:eastAsia="zh-CN"/>
              </w:rPr>
            </w:pPr>
          </w:p>
          <w:p w:rsidR="0026783D" w:rsidRPr="0026783D" w:rsidRDefault="0026783D" w:rsidP="0026783D">
            <w:pPr>
              <w:suppressAutoHyphens/>
              <w:spacing w:after="0" w:line="240" w:lineRule="auto"/>
              <w:ind w:right="-1"/>
              <w:jc w:val="center"/>
              <w:rPr>
                <w:rFonts w:ascii="Calibri" w:eastAsia="Times New Roman" w:hAnsi="Calibri" w:cs="Calibri"/>
                <w:b/>
                <w:color w:val="FFFFFF"/>
                <w:sz w:val="32"/>
                <w:szCs w:val="32"/>
                <w:lang w:eastAsia="zh-CN"/>
              </w:rPr>
            </w:pPr>
            <w:r w:rsidRPr="0026783D">
              <w:rPr>
                <w:rFonts w:ascii="Calibri" w:eastAsia="Times New Roman" w:hAnsi="Calibri" w:cs="Calibri"/>
                <w:b/>
                <w:color w:val="FFFFFF"/>
                <w:sz w:val="32"/>
                <w:szCs w:val="32"/>
                <w:lang w:eastAsia="zh-CN"/>
              </w:rPr>
              <w:t>CADRE DE REPONSE</w:t>
            </w:r>
          </w:p>
          <w:p w:rsidR="0026783D" w:rsidRPr="0026783D" w:rsidRDefault="0026783D" w:rsidP="0026783D">
            <w:pPr>
              <w:suppressAutoHyphens/>
              <w:spacing w:after="0" w:line="240" w:lineRule="auto"/>
              <w:ind w:right="-1"/>
              <w:jc w:val="center"/>
              <w:rPr>
                <w:rFonts w:ascii="Calibri" w:eastAsia="Times New Roman" w:hAnsi="Calibri" w:cs="Calibri"/>
                <w:b/>
                <w:color w:val="002060"/>
                <w:sz w:val="32"/>
                <w:szCs w:val="20"/>
                <w:lang w:eastAsia="zh-CN"/>
              </w:rPr>
            </w:pPr>
          </w:p>
        </w:tc>
      </w:tr>
    </w:tbl>
    <w:p w:rsidR="0026783D" w:rsidRPr="0026783D" w:rsidRDefault="0026783D" w:rsidP="0026783D">
      <w:pPr>
        <w:suppressAutoHyphens/>
        <w:spacing w:after="0" w:line="240" w:lineRule="auto"/>
        <w:ind w:right="-1"/>
        <w:rPr>
          <w:rFonts w:ascii="Calibri" w:eastAsia="Times New Roman" w:hAnsi="Calibri" w:cs="Calibri"/>
          <w:b/>
          <w:color w:val="002060"/>
          <w:sz w:val="32"/>
          <w:szCs w:val="20"/>
          <w:lang w:eastAsia="zh-CN"/>
        </w:rPr>
      </w:pPr>
    </w:p>
    <w:p w:rsidR="0026783D" w:rsidRPr="0026783D" w:rsidRDefault="0026783D" w:rsidP="0026783D">
      <w:pPr>
        <w:suppressAutoHyphens/>
        <w:spacing w:after="0" w:line="240" w:lineRule="auto"/>
        <w:ind w:right="-1"/>
        <w:jc w:val="center"/>
        <w:rPr>
          <w:rFonts w:ascii="Calibri" w:eastAsia="Times New Roman" w:hAnsi="Calibri" w:cs="Calibri"/>
          <w:b/>
          <w:i/>
          <w:sz w:val="36"/>
          <w:szCs w:val="36"/>
          <w:u w:val="single"/>
          <w:lang w:eastAsia="zh-CN"/>
        </w:rPr>
      </w:pPr>
      <w:r w:rsidRPr="0026783D">
        <w:rPr>
          <w:rFonts w:ascii="Calibri" w:eastAsia="Times New Roman" w:hAnsi="Calibri" w:cs="Calibri"/>
          <w:b/>
          <w:sz w:val="36"/>
          <w:szCs w:val="36"/>
          <w:lang w:eastAsia="zh-CN"/>
        </w:rPr>
        <w:t xml:space="preserve">Appel d’offres ouvert n °: AOO </w:t>
      </w:r>
      <w:r w:rsidR="00E048AF">
        <w:rPr>
          <w:rFonts w:ascii="Calibri" w:eastAsia="Times New Roman" w:hAnsi="Calibri" w:cs="Calibri"/>
          <w:b/>
          <w:sz w:val="36"/>
          <w:szCs w:val="36"/>
          <w:lang w:eastAsia="zh-CN"/>
        </w:rPr>
        <w:t>25S14</w:t>
      </w:r>
      <w:bookmarkStart w:id="0" w:name="_GoBack"/>
      <w:bookmarkEnd w:id="0"/>
    </w:p>
    <w:p w:rsidR="0026783D" w:rsidRPr="0026783D" w:rsidRDefault="0026783D" w:rsidP="0026783D">
      <w:pPr>
        <w:spacing w:after="0" w:line="240" w:lineRule="auto"/>
        <w:rPr>
          <w:rFonts w:ascii="Arial" w:eastAsia="Times New Roman" w:hAnsi="Arial" w:cs="Times New Roman"/>
          <w:b/>
          <w:sz w:val="48"/>
          <w:szCs w:val="48"/>
          <w:lang w:eastAsia="fr-FR"/>
        </w:rPr>
      </w:pPr>
    </w:p>
    <w:p w:rsidR="0026783D" w:rsidRPr="0026783D" w:rsidRDefault="0026783D" w:rsidP="0026783D">
      <w:pPr>
        <w:spacing w:after="0" w:line="240" w:lineRule="auto"/>
        <w:rPr>
          <w:rFonts w:ascii="Arial" w:eastAsia="Times New Roman" w:hAnsi="Arial" w:cs="Times New Roman"/>
          <w:b/>
          <w:sz w:val="28"/>
          <w:szCs w:val="20"/>
          <w:lang w:eastAsia="fr-FR"/>
        </w:rPr>
      </w:pPr>
    </w:p>
    <w:p w:rsidR="0026783D" w:rsidRPr="0026783D" w:rsidRDefault="0026783D" w:rsidP="0026783D">
      <w:pPr>
        <w:overflowPunct w:val="0"/>
        <w:autoSpaceDE w:val="0"/>
        <w:autoSpaceDN w:val="0"/>
        <w:adjustRightInd w:val="0"/>
        <w:spacing w:before="48" w:after="0" w:line="240" w:lineRule="auto"/>
        <w:ind w:left="512"/>
        <w:jc w:val="center"/>
        <w:textAlignment w:val="baseline"/>
        <w:rPr>
          <w:rFonts w:ascii="Calibri" w:eastAsia="Times New Roman" w:hAnsi="Calibri" w:cs="Calibri"/>
          <w:b/>
          <w:sz w:val="32"/>
          <w:szCs w:val="20"/>
          <w:lang w:eastAsia="fr-FR"/>
        </w:rPr>
      </w:pPr>
      <w:r w:rsidRPr="0026783D">
        <w:rPr>
          <w:rFonts w:ascii="Calibri" w:eastAsia="Times New Roman" w:hAnsi="Calibri" w:cs="Calibri"/>
          <w:b/>
          <w:color w:val="1F497C"/>
          <w:sz w:val="32"/>
          <w:szCs w:val="20"/>
          <w:u w:val="thick" w:color="1F497C"/>
          <w:lang w:eastAsia="fr-FR"/>
        </w:rPr>
        <w:t>Objet</w:t>
      </w:r>
      <w:r w:rsidRPr="0026783D">
        <w:rPr>
          <w:rFonts w:ascii="Calibri" w:eastAsia="Times New Roman" w:hAnsi="Calibri" w:cs="Calibri"/>
          <w:b/>
          <w:color w:val="1F497C"/>
          <w:spacing w:val="-8"/>
          <w:sz w:val="32"/>
          <w:szCs w:val="20"/>
          <w:u w:val="thick" w:color="1F497C"/>
          <w:lang w:eastAsia="fr-FR"/>
        </w:rPr>
        <w:t xml:space="preserve"> </w:t>
      </w:r>
      <w:r w:rsidRPr="0026783D">
        <w:rPr>
          <w:rFonts w:ascii="Calibri" w:eastAsia="Times New Roman" w:hAnsi="Calibri" w:cs="Calibri"/>
          <w:b/>
          <w:color w:val="1F497C"/>
          <w:sz w:val="32"/>
          <w:szCs w:val="20"/>
          <w:u w:val="thick" w:color="1F497C"/>
          <w:lang w:eastAsia="fr-FR"/>
        </w:rPr>
        <w:t>du</w:t>
      </w:r>
      <w:r w:rsidRPr="0026783D">
        <w:rPr>
          <w:rFonts w:ascii="Calibri" w:eastAsia="Times New Roman" w:hAnsi="Calibri" w:cs="Calibri"/>
          <w:b/>
          <w:color w:val="1F497C"/>
          <w:spacing w:val="-7"/>
          <w:sz w:val="32"/>
          <w:szCs w:val="20"/>
          <w:u w:val="thick" w:color="1F497C"/>
          <w:lang w:eastAsia="fr-FR"/>
        </w:rPr>
        <w:t xml:space="preserve"> </w:t>
      </w:r>
      <w:r w:rsidRPr="0026783D">
        <w:rPr>
          <w:rFonts w:ascii="Calibri" w:eastAsia="Times New Roman" w:hAnsi="Calibri" w:cs="Calibri"/>
          <w:b/>
          <w:color w:val="1F497C"/>
          <w:sz w:val="32"/>
          <w:szCs w:val="20"/>
          <w:u w:val="thick" w:color="1F497C"/>
          <w:lang w:eastAsia="fr-FR"/>
        </w:rPr>
        <w:t>marché</w:t>
      </w:r>
      <w:r w:rsidRPr="0026783D">
        <w:rPr>
          <w:rFonts w:ascii="Calibri" w:eastAsia="Times New Roman" w:hAnsi="Calibri" w:cs="Calibri"/>
          <w:b/>
          <w:color w:val="1F497C"/>
          <w:spacing w:val="-7"/>
          <w:sz w:val="32"/>
          <w:szCs w:val="20"/>
          <w:lang w:eastAsia="fr-FR"/>
        </w:rPr>
        <w:t xml:space="preserve"> </w:t>
      </w:r>
      <w:r w:rsidRPr="0026783D">
        <w:rPr>
          <w:rFonts w:ascii="Calibri" w:eastAsia="Times New Roman" w:hAnsi="Calibri" w:cs="Calibri"/>
          <w:b/>
          <w:color w:val="1F497C"/>
          <w:spacing w:val="-10"/>
          <w:sz w:val="32"/>
          <w:szCs w:val="20"/>
          <w:lang w:eastAsia="fr-FR"/>
        </w:rPr>
        <w:t>:</w:t>
      </w:r>
    </w:p>
    <w:p w:rsidR="0026783D" w:rsidRPr="0026783D" w:rsidRDefault="0026783D" w:rsidP="0026783D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Calibri" w:eastAsia="Times New Roman" w:hAnsi="Calibri" w:cs="Calibri"/>
          <w:b/>
          <w:sz w:val="20"/>
          <w:szCs w:val="20"/>
          <w:lang w:eastAsia="fr-FR"/>
        </w:rPr>
      </w:pPr>
    </w:p>
    <w:p w:rsidR="0026783D" w:rsidRPr="0026783D" w:rsidRDefault="0026783D" w:rsidP="0026783D">
      <w:pPr>
        <w:overflowPunct w:val="0"/>
        <w:autoSpaceDE w:val="0"/>
        <w:autoSpaceDN w:val="0"/>
        <w:adjustRightInd w:val="0"/>
        <w:spacing w:before="10" w:after="120" w:line="240" w:lineRule="auto"/>
        <w:textAlignment w:val="baseline"/>
        <w:rPr>
          <w:rFonts w:ascii="Calibri" w:eastAsia="Times New Roman" w:hAnsi="Calibri" w:cs="Calibri"/>
          <w:b/>
          <w:sz w:val="19"/>
          <w:szCs w:val="20"/>
          <w:lang w:eastAsia="fr-FR"/>
        </w:rPr>
      </w:pPr>
    </w:p>
    <w:p w:rsidR="0026783D" w:rsidRPr="0026783D" w:rsidRDefault="0026783D" w:rsidP="0026783D">
      <w:pPr>
        <w:tabs>
          <w:tab w:val="left" w:pos="6048"/>
        </w:tabs>
        <w:spacing w:after="0" w:line="240" w:lineRule="auto"/>
        <w:ind w:right="135"/>
        <w:jc w:val="center"/>
        <w:rPr>
          <w:rFonts w:ascii="Calibri" w:eastAsia="Times New Roman" w:hAnsi="Calibri" w:cs="Calibri"/>
          <w:b/>
          <w:sz w:val="32"/>
          <w:szCs w:val="32"/>
          <w:lang w:eastAsia="fr-FR"/>
        </w:rPr>
      </w:pPr>
      <w:r w:rsidRPr="0026783D">
        <w:rPr>
          <w:rFonts w:ascii="Calibri" w:eastAsia="Times New Roman" w:hAnsi="Calibri" w:cs="Calibri"/>
          <w:b/>
          <w:sz w:val="32"/>
          <w:szCs w:val="32"/>
          <w:lang w:eastAsia="fr-FR"/>
        </w:rPr>
        <w:t>Gestion et fourniture de titres de transports aériens pour les transferts sanitaires de la CGSS Réunion</w:t>
      </w:r>
    </w:p>
    <w:p w:rsidR="0026783D" w:rsidRPr="0026783D" w:rsidRDefault="0026783D" w:rsidP="0026783D">
      <w:pPr>
        <w:tabs>
          <w:tab w:val="left" w:pos="6048"/>
        </w:tabs>
        <w:spacing w:after="0" w:line="240" w:lineRule="auto"/>
        <w:ind w:right="135"/>
        <w:jc w:val="center"/>
        <w:rPr>
          <w:rFonts w:ascii="Arial" w:eastAsia="Times New Roman" w:hAnsi="Arial" w:cs="Times New Roman"/>
          <w:b/>
          <w:sz w:val="24"/>
          <w:szCs w:val="20"/>
          <w:lang w:eastAsia="fr-FR"/>
        </w:rPr>
      </w:pPr>
    </w:p>
    <w:p w:rsidR="0026783D" w:rsidRDefault="0026783D" w:rsidP="0026783D"/>
    <w:p w:rsidR="0026783D" w:rsidRDefault="0026783D" w:rsidP="0026783D"/>
    <w:p w:rsidR="0026783D" w:rsidRDefault="0026783D" w:rsidP="0026783D"/>
    <w:p w:rsidR="0026783D" w:rsidRDefault="0026783D" w:rsidP="0026783D"/>
    <w:p w:rsidR="0026783D" w:rsidRDefault="0026783D" w:rsidP="0026783D"/>
    <w:p w:rsidR="0026783D" w:rsidRDefault="0026783D" w:rsidP="0026783D"/>
    <w:p w:rsidR="0026783D" w:rsidRDefault="0026783D" w:rsidP="0026783D"/>
    <w:p w:rsidR="0026783D" w:rsidRDefault="0026783D" w:rsidP="0026783D"/>
    <w:p w:rsidR="0026783D" w:rsidRDefault="0026783D" w:rsidP="0026783D">
      <w:pPr>
        <w:jc w:val="both"/>
      </w:pPr>
    </w:p>
    <w:p w:rsidR="0026783D" w:rsidRDefault="0026783D" w:rsidP="0026783D">
      <w:pPr>
        <w:jc w:val="both"/>
      </w:pPr>
      <w:r>
        <w:t xml:space="preserve"> </w:t>
      </w:r>
    </w:p>
    <w:tbl>
      <w:tblPr>
        <w:tblStyle w:val="Grilledutableau"/>
        <w:tblW w:w="9752" w:type="dxa"/>
        <w:tblInd w:w="-431" w:type="dxa"/>
        <w:tblLook w:val="04A0" w:firstRow="1" w:lastRow="0" w:firstColumn="1" w:lastColumn="0" w:noHBand="0" w:noVBand="1"/>
      </w:tblPr>
      <w:tblGrid>
        <w:gridCol w:w="9752"/>
      </w:tblGrid>
      <w:tr w:rsidR="0026783D" w:rsidTr="0026783D">
        <w:trPr>
          <w:trHeight w:val="324"/>
        </w:trPr>
        <w:tc>
          <w:tcPr>
            <w:tcW w:w="9752" w:type="dxa"/>
          </w:tcPr>
          <w:p w:rsidR="0026783D" w:rsidRPr="0026783D" w:rsidRDefault="0026783D" w:rsidP="0026783D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6783D">
              <w:rPr>
                <w:b/>
                <w:sz w:val="24"/>
                <w:szCs w:val="24"/>
                <w:u w:val="single"/>
              </w:rPr>
              <w:lastRenderedPageBreak/>
              <w:t xml:space="preserve">Précisions : Le candidat </w:t>
            </w:r>
            <w:r>
              <w:rPr>
                <w:b/>
                <w:sz w:val="24"/>
                <w:szCs w:val="24"/>
                <w:u w:val="single"/>
              </w:rPr>
              <w:t>compléter ce docume</w:t>
            </w:r>
            <w:r w:rsidRPr="0026783D">
              <w:rPr>
                <w:b/>
                <w:sz w:val="24"/>
                <w:szCs w:val="24"/>
                <w:u w:val="single"/>
              </w:rPr>
              <w:t>nt et/ou mentionner la référence (n° de pages) à son mémoire technique.</w:t>
            </w:r>
          </w:p>
        </w:tc>
      </w:tr>
    </w:tbl>
    <w:p w:rsidR="0026783D" w:rsidRDefault="0026783D" w:rsidP="0026783D"/>
    <w:tbl>
      <w:tblPr>
        <w:tblStyle w:val="Grilledutableau"/>
        <w:tblW w:w="9782" w:type="dxa"/>
        <w:tblInd w:w="-431" w:type="dxa"/>
        <w:tblLook w:val="04A0" w:firstRow="1" w:lastRow="0" w:firstColumn="1" w:lastColumn="0" w:noHBand="0" w:noVBand="1"/>
      </w:tblPr>
      <w:tblGrid>
        <w:gridCol w:w="9782"/>
      </w:tblGrid>
      <w:tr w:rsidR="0026783D" w:rsidTr="0026783D">
        <w:tc>
          <w:tcPr>
            <w:tcW w:w="9782" w:type="dxa"/>
          </w:tcPr>
          <w:p w:rsidR="00E644B5" w:rsidRDefault="0026783D" w:rsidP="00E644B5">
            <w:r w:rsidRPr="0026783D">
              <w:t xml:space="preserve">Sous-critère n°1 : </w:t>
            </w:r>
            <w:r w:rsidR="00E644B5" w:rsidRPr="00E644B5">
              <w:t>Qualité des services proposés et présentation de la proc</w:t>
            </w:r>
            <w:r w:rsidR="00E644B5">
              <w:t xml:space="preserve">édure proposée par le candidat - </w:t>
            </w:r>
            <w:r w:rsidR="00E644B5" w:rsidRPr="00E644B5">
              <w:rPr>
                <w:b/>
              </w:rPr>
              <w:t>sur 15 points</w:t>
            </w:r>
            <w:r w:rsidR="00E644B5" w:rsidRPr="00E644B5">
              <w:t xml:space="preserve"> </w:t>
            </w:r>
          </w:p>
          <w:p w:rsidR="00E644B5" w:rsidRDefault="00E644B5" w:rsidP="00E644B5">
            <w:r>
              <w:t>- Equipe ou interlocuteur dédié(e)</w:t>
            </w:r>
          </w:p>
          <w:p w:rsidR="00E644B5" w:rsidRDefault="00E644B5" w:rsidP="00E644B5">
            <w:r>
              <w:t>-</w:t>
            </w:r>
            <w:r w:rsidRPr="00E644B5">
              <w:t xml:space="preserve"> concordance de la procédure proposée par rapport </w:t>
            </w:r>
            <w:r w:rsidR="00EF7E25">
              <w:t>aux</w:t>
            </w:r>
            <w:r w:rsidRPr="00E644B5">
              <w:t xml:space="preserve"> annexes 01 et </w:t>
            </w:r>
            <w:r>
              <w:t>02</w:t>
            </w:r>
          </w:p>
          <w:p w:rsidR="00E644B5" w:rsidRDefault="00E644B5" w:rsidP="00E644B5">
            <w:r>
              <w:t xml:space="preserve">- </w:t>
            </w:r>
            <w:r w:rsidRPr="00E644B5">
              <w:t xml:space="preserve">pratique mises en œuvre </w:t>
            </w:r>
            <w:r>
              <w:t>pour la continuité de service</w:t>
            </w:r>
          </w:p>
          <w:p w:rsidR="0026783D" w:rsidRDefault="00E644B5" w:rsidP="00E644B5">
            <w:r>
              <w:t xml:space="preserve">- </w:t>
            </w:r>
            <w:r w:rsidRPr="00E644B5">
              <w:t>modalité de secours en cas de défail</w:t>
            </w:r>
            <w:r>
              <w:t>lance de moyen de communication</w:t>
            </w:r>
            <w:r w:rsidRPr="00E644B5">
              <w:t xml:space="preserve"> </w:t>
            </w:r>
          </w:p>
        </w:tc>
      </w:tr>
    </w:tbl>
    <w:p w:rsidR="0026783D" w:rsidRDefault="0026783D" w:rsidP="0026783D"/>
    <w:p w:rsidR="0026783D" w:rsidRDefault="0026783D" w:rsidP="0026783D">
      <w:r w:rsidRPr="0026783D">
        <w:rPr>
          <w:highlight w:val="yellow"/>
        </w:rPr>
        <w:t>« à compléter »</w:t>
      </w:r>
    </w:p>
    <w:p w:rsidR="0026783D" w:rsidRDefault="0026783D" w:rsidP="0026783D"/>
    <w:tbl>
      <w:tblPr>
        <w:tblStyle w:val="Grilledutableau"/>
        <w:tblW w:w="9782" w:type="dxa"/>
        <w:tblInd w:w="-431" w:type="dxa"/>
        <w:tblLook w:val="04A0" w:firstRow="1" w:lastRow="0" w:firstColumn="1" w:lastColumn="0" w:noHBand="0" w:noVBand="1"/>
      </w:tblPr>
      <w:tblGrid>
        <w:gridCol w:w="9782"/>
      </w:tblGrid>
      <w:tr w:rsidR="0026783D" w:rsidTr="0026783D">
        <w:tc>
          <w:tcPr>
            <w:tcW w:w="9782" w:type="dxa"/>
          </w:tcPr>
          <w:p w:rsidR="0026783D" w:rsidRDefault="0026783D" w:rsidP="00E644B5">
            <w:r w:rsidRPr="0026783D">
              <w:t xml:space="preserve">Sous-critère n°2 : </w:t>
            </w:r>
            <w:r w:rsidR="00E644B5" w:rsidRPr="00E644B5">
              <w:t xml:space="preserve">Amplitude horaire pour la prise en charge et la gestion des demandes de la CGSSR </w:t>
            </w:r>
            <w:r w:rsidR="00E644B5">
              <w:t xml:space="preserve"> </w:t>
            </w:r>
            <w:r w:rsidR="00E644B5" w:rsidRPr="00E644B5">
              <w:rPr>
                <w:b/>
              </w:rPr>
              <w:t>sur 10 points</w:t>
            </w:r>
            <w:r w:rsidR="00E644B5">
              <w:t xml:space="preserve"> </w:t>
            </w:r>
            <w:r w:rsidR="00E644B5" w:rsidRPr="00E644B5">
              <w:t>(temps de disponibilité, horaire</w:t>
            </w:r>
          </w:p>
        </w:tc>
      </w:tr>
    </w:tbl>
    <w:p w:rsidR="0026783D" w:rsidRDefault="0026783D" w:rsidP="0026783D"/>
    <w:p w:rsidR="0026783D" w:rsidRDefault="0026783D" w:rsidP="0026783D">
      <w:r w:rsidRPr="0026783D">
        <w:rPr>
          <w:highlight w:val="yellow"/>
        </w:rPr>
        <w:t>« à compléter »</w:t>
      </w:r>
    </w:p>
    <w:p w:rsidR="0026783D" w:rsidRDefault="0026783D" w:rsidP="0026783D"/>
    <w:tbl>
      <w:tblPr>
        <w:tblStyle w:val="Grilledutableau"/>
        <w:tblW w:w="9782" w:type="dxa"/>
        <w:tblInd w:w="-431" w:type="dxa"/>
        <w:tblLook w:val="04A0" w:firstRow="1" w:lastRow="0" w:firstColumn="1" w:lastColumn="0" w:noHBand="0" w:noVBand="1"/>
      </w:tblPr>
      <w:tblGrid>
        <w:gridCol w:w="9782"/>
      </w:tblGrid>
      <w:tr w:rsidR="0026783D" w:rsidTr="0026783D">
        <w:tc>
          <w:tcPr>
            <w:tcW w:w="9782" w:type="dxa"/>
          </w:tcPr>
          <w:p w:rsidR="0026783D" w:rsidRPr="00E644B5" w:rsidRDefault="0026783D" w:rsidP="00E644B5">
            <w:pPr>
              <w:rPr>
                <w:b/>
              </w:rPr>
            </w:pPr>
            <w:r w:rsidRPr="0026783D">
              <w:t xml:space="preserve">Sous-critère n° 3: </w:t>
            </w:r>
            <w:r w:rsidR="00E644B5" w:rsidRPr="00E644B5">
              <w:t xml:space="preserve">Qualité du service en termes de délais d’exécution (temps d’intervention maximum entre la demande et son traitement </w:t>
            </w:r>
            <w:r w:rsidR="00E644B5" w:rsidRPr="00E644B5">
              <w:rPr>
                <w:b/>
                <w:color w:val="FF0000"/>
              </w:rPr>
              <w:t>en heure</w:t>
            </w:r>
            <w:r w:rsidR="00E644B5" w:rsidRPr="00E644B5">
              <w:t xml:space="preserve">) </w:t>
            </w:r>
            <w:r w:rsidR="00E644B5" w:rsidRPr="00E644B5">
              <w:rPr>
                <w:b/>
              </w:rPr>
              <w:t xml:space="preserve">sur 20 points </w:t>
            </w:r>
          </w:p>
        </w:tc>
      </w:tr>
    </w:tbl>
    <w:p w:rsidR="0026783D" w:rsidRDefault="0026783D" w:rsidP="0026783D"/>
    <w:p w:rsidR="0026783D" w:rsidRDefault="0026783D" w:rsidP="0026783D">
      <w:r w:rsidRPr="0026783D">
        <w:rPr>
          <w:highlight w:val="yellow"/>
        </w:rPr>
        <w:t>« à compléter »</w:t>
      </w:r>
    </w:p>
    <w:tbl>
      <w:tblPr>
        <w:tblStyle w:val="Grilledutableau"/>
        <w:tblW w:w="9782" w:type="dxa"/>
        <w:tblInd w:w="-431" w:type="dxa"/>
        <w:tblLook w:val="04A0" w:firstRow="1" w:lastRow="0" w:firstColumn="1" w:lastColumn="0" w:noHBand="0" w:noVBand="1"/>
      </w:tblPr>
      <w:tblGrid>
        <w:gridCol w:w="9782"/>
      </w:tblGrid>
      <w:tr w:rsidR="00E644B5" w:rsidTr="009C776F">
        <w:tc>
          <w:tcPr>
            <w:tcW w:w="9782" w:type="dxa"/>
          </w:tcPr>
          <w:p w:rsidR="00E644B5" w:rsidRPr="00E644B5" w:rsidRDefault="00E644B5" w:rsidP="00E644B5">
            <w:pPr>
              <w:rPr>
                <w:b/>
              </w:rPr>
            </w:pPr>
            <w:r>
              <w:t>Sous-critère n° 4</w:t>
            </w:r>
            <w:r w:rsidRPr="0026783D">
              <w:t xml:space="preserve">: </w:t>
            </w:r>
            <w:r w:rsidRPr="00E644B5">
              <w:t xml:space="preserve">Qualité de l’offre en termes de développement durable (politique de l’entreprise en matière d’environnement et de développement durable pour limiter l’impact de l’activité humaine sur l’environnement, certificats…) </w:t>
            </w:r>
            <w:r w:rsidRPr="00E644B5">
              <w:rPr>
                <w:b/>
              </w:rPr>
              <w:t>sur 5 points</w:t>
            </w:r>
          </w:p>
        </w:tc>
      </w:tr>
    </w:tbl>
    <w:p w:rsidR="000C290C" w:rsidRDefault="000C290C" w:rsidP="000C290C">
      <w:pPr>
        <w:rPr>
          <w:highlight w:val="yellow"/>
        </w:rPr>
      </w:pPr>
    </w:p>
    <w:p w:rsidR="000C290C" w:rsidRDefault="000C290C" w:rsidP="000C290C">
      <w:r w:rsidRPr="0026783D">
        <w:rPr>
          <w:highlight w:val="yellow"/>
        </w:rPr>
        <w:t>« à compléter »</w:t>
      </w:r>
    </w:p>
    <w:p w:rsidR="0077795B" w:rsidRDefault="0077795B"/>
    <w:sectPr w:rsidR="00777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21" w:rsidRDefault="00AF7421" w:rsidP="00EF7E25">
      <w:pPr>
        <w:spacing w:after="0" w:line="240" w:lineRule="auto"/>
      </w:pPr>
      <w:r>
        <w:separator/>
      </w:r>
    </w:p>
  </w:endnote>
  <w:endnote w:type="continuationSeparator" w:id="0">
    <w:p w:rsidR="00AF7421" w:rsidRDefault="00AF7421" w:rsidP="00EF7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21" w:rsidRDefault="00AF7421" w:rsidP="00EF7E25">
      <w:pPr>
        <w:spacing w:after="0" w:line="240" w:lineRule="auto"/>
      </w:pPr>
      <w:r>
        <w:separator/>
      </w:r>
    </w:p>
  </w:footnote>
  <w:footnote w:type="continuationSeparator" w:id="0">
    <w:p w:rsidR="00AF7421" w:rsidRDefault="00AF7421" w:rsidP="00EF7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83D"/>
    <w:rsid w:val="000C290C"/>
    <w:rsid w:val="0026783D"/>
    <w:rsid w:val="0077795B"/>
    <w:rsid w:val="00AF7421"/>
    <w:rsid w:val="00D83A4F"/>
    <w:rsid w:val="00E048AF"/>
    <w:rsid w:val="00E644B5"/>
    <w:rsid w:val="00E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2EA32"/>
  <w15:chartTrackingRefBased/>
  <w15:docId w15:val="{81C3DFB6-C494-431D-9534-E925A70D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7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F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7E25"/>
  </w:style>
  <w:style w:type="paragraph" w:styleId="Pieddepage">
    <w:name w:val="footer"/>
    <w:basedOn w:val="Normal"/>
    <w:link w:val="PieddepageCar"/>
    <w:uiPriority w:val="99"/>
    <w:unhideWhenUsed/>
    <w:rsid w:val="00EF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MOREAU ANNE-CECILE (CGSS REUNION)</dc:creator>
  <cp:keywords/>
  <dc:description/>
  <cp:lastModifiedBy>MOREAU ANNE-CECILE (CGSS REUNION)</cp:lastModifiedBy>
  <cp:revision>2</cp:revision>
  <dcterms:created xsi:type="dcterms:W3CDTF">2025-08-29T03:25:00Z</dcterms:created>
  <dcterms:modified xsi:type="dcterms:W3CDTF">2025-08-29T03:25:00Z</dcterms:modified>
</cp:coreProperties>
</file>