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75272" w14:textId="222BABBD" w:rsidR="00F27A70" w:rsidRDefault="00F27A70" w:rsidP="00F27A70">
      <w:pPr>
        <w:jc w:val="center"/>
        <w:rPr>
          <w:b/>
          <w:sz w:val="24"/>
        </w:rPr>
      </w:pPr>
      <w:r w:rsidRPr="006F0A0E">
        <w:rPr>
          <w:rFonts w:eastAsia="Batang"/>
          <w:noProof/>
          <w:sz w:val="20"/>
          <w:szCs w:val="20"/>
          <w:lang w:eastAsia="fr-FR"/>
        </w:rPr>
        <w:drawing>
          <wp:inline distT="0" distB="0" distL="0" distR="0" wp14:anchorId="00683EFE" wp14:editId="3A454045">
            <wp:extent cx="1200150" cy="1138073"/>
            <wp:effectExtent l="0" t="0" r="0" b="5080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864" cy="1145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38F88" w14:textId="77777777" w:rsidR="00F27A70" w:rsidRDefault="00F27A70" w:rsidP="00F27A70">
      <w:pPr>
        <w:pBdr>
          <w:top w:val="single" w:sz="4" w:space="1" w:color="auto"/>
        </w:pBdr>
        <w:spacing w:after="0" w:line="240" w:lineRule="auto"/>
        <w:ind w:left="-426"/>
        <w:jc w:val="center"/>
        <w:rPr>
          <w:rFonts w:ascii="Times New Roman" w:eastAsia="Batang" w:hAnsi="Times New Roman" w:cs="Times New Roman"/>
          <w:b/>
          <w:smallCaps/>
          <w:color w:val="333399"/>
          <w:sz w:val="20"/>
          <w:szCs w:val="20"/>
        </w:rPr>
      </w:pPr>
    </w:p>
    <w:p w14:paraId="0686A3A5" w14:textId="509D0B9E" w:rsidR="00F27A70" w:rsidRPr="00F27A70" w:rsidRDefault="00F27A70" w:rsidP="00F27A70">
      <w:pPr>
        <w:pBdr>
          <w:top w:val="single" w:sz="4" w:space="1" w:color="auto"/>
        </w:pBdr>
        <w:spacing w:after="0" w:line="240" w:lineRule="auto"/>
        <w:ind w:left="-426"/>
        <w:jc w:val="center"/>
        <w:rPr>
          <w:rFonts w:ascii="Times New Roman" w:eastAsia="Batang" w:hAnsi="Times New Roman" w:cs="Times New Roman"/>
          <w:b/>
          <w:smallCaps/>
          <w:color w:val="333399"/>
          <w:sz w:val="20"/>
          <w:szCs w:val="20"/>
        </w:rPr>
      </w:pPr>
      <w:r w:rsidRPr="00F27A70">
        <w:rPr>
          <w:rFonts w:ascii="Times New Roman" w:eastAsia="Batang" w:hAnsi="Times New Roman" w:cs="Times New Roman"/>
          <w:b/>
          <w:smallCaps/>
          <w:color w:val="333399"/>
          <w:sz w:val="20"/>
          <w:szCs w:val="20"/>
        </w:rPr>
        <w:t>Direction de la logistique parlementaire (DLP) – Division des Moyens généraux et des fournitures</w:t>
      </w:r>
    </w:p>
    <w:p w14:paraId="26838A7B" w14:textId="563613CB" w:rsidR="00F27A70" w:rsidRDefault="00F27A70" w:rsidP="00F27A70">
      <w:pPr>
        <w:jc w:val="center"/>
        <w:rPr>
          <w:rFonts w:eastAsia="Batang"/>
          <w:b/>
          <w:i/>
          <w:iCs/>
        </w:rPr>
      </w:pPr>
    </w:p>
    <w:p w14:paraId="1F644BA8" w14:textId="575A6519" w:rsidR="00F27A70" w:rsidRDefault="00F27A70" w:rsidP="00F27A70">
      <w:pPr>
        <w:rPr>
          <w:rFonts w:eastAsia="Batang"/>
        </w:rPr>
      </w:pPr>
    </w:p>
    <w:p w14:paraId="41E55622" w14:textId="77777777" w:rsidR="0087165B" w:rsidRPr="006F0A0E" w:rsidRDefault="0087165B" w:rsidP="00F27A70">
      <w:pPr>
        <w:rPr>
          <w:rFonts w:eastAsia="Batang"/>
        </w:rPr>
      </w:pPr>
    </w:p>
    <w:p w14:paraId="65B71DA2" w14:textId="1CE09001" w:rsidR="00F27A70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aps/>
          <w:color w:val="333399"/>
          <w:sz w:val="36"/>
          <w:szCs w:val="32"/>
          <w:lang w:eastAsia="ar-SA"/>
        </w:rPr>
      </w:pPr>
      <w:r>
        <w:rPr>
          <w:b/>
          <w:bCs/>
          <w:caps/>
          <w:color w:val="333399"/>
          <w:sz w:val="36"/>
          <w:szCs w:val="32"/>
          <w:lang w:eastAsia="ar-SA"/>
        </w:rPr>
        <w:t xml:space="preserve">FOURNITURE DE </w:t>
      </w:r>
      <w:r w:rsidRPr="00BC0CE3">
        <w:rPr>
          <w:b/>
          <w:bCs/>
          <w:caps/>
          <w:color w:val="333399"/>
          <w:sz w:val="36"/>
          <w:szCs w:val="32"/>
          <w:lang w:eastAsia="ar-SA"/>
        </w:rPr>
        <w:t>PROD</w:t>
      </w:r>
      <w:r>
        <w:rPr>
          <w:b/>
          <w:bCs/>
          <w:caps/>
          <w:color w:val="333399"/>
          <w:sz w:val="36"/>
          <w:szCs w:val="32"/>
          <w:lang w:eastAsia="ar-SA"/>
        </w:rPr>
        <w:t>UITS D’HYGI</w:t>
      </w:r>
      <w:r w:rsidR="00FB26C7">
        <w:rPr>
          <w:b/>
          <w:bCs/>
          <w:caps/>
          <w:color w:val="333399"/>
          <w:sz w:val="36"/>
          <w:szCs w:val="32"/>
          <w:lang w:eastAsia="ar-SA"/>
        </w:rPr>
        <w:t>È</w:t>
      </w:r>
      <w:r>
        <w:rPr>
          <w:b/>
          <w:bCs/>
          <w:caps/>
          <w:color w:val="333399"/>
          <w:sz w:val="36"/>
          <w:szCs w:val="32"/>
          <w:lang w:eastAsia="ar-SA"/>
        </w:rPr>
        <w:t xml:space="preserve">NE ET D’ENTRETIEN, </w:t>
      </w:r>
      <w:r w:rsidRPr="00BC0CE3">
        <w:rPr>
          <w:b/>
          <w:bCs/>
          <w:caps/>
          <w:color w:val="333399"/>
          <w:sz w:val="36"/>
          <w:szCs w:val="32"/>
          <w:lang w:eastAsia="ar-SA"/>
        </w:rPr>
        <w:t>DE MASQUES CHIRURGICAUX ET D’EMBALLAGES ALIMENTAIRES</w:t>
      </w:r>
    </w:p>
    <w:p w14:paraId="3CF8B322" w14:textId="77777777" w:rsidR="00F27A70" w:rsidRPr="007C464C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olor w:val="333399"/>
          <w:sz w:val="16"/>
          <w:szCs w:val="32"/>
          <w:lang w:eastAsia="ar-SA"/>
        </w:rPr>
      </w:pPr>
    </w:p>
    <w:p w14:paraId="2BFCECAE" w14:textId="0D76DE1A" w:rsidR="00F27A70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olor w:val="333399"/>
          <w:sz w:val="36"/>
          <w:szCs w:val="32"/>
          <w:lang w:eastAsia="ar-SA"/>
        </w:rPr>
      </w:pPr>
      <w:r w:rsidRPr="007C464C">
        <w:rPr>
          <w:b/>
          <w:bCs/>
          <w:color w:val="333399"/>
          <w:sz w:val="36"/>
          <w:szCs w:val="32"/>
          <w:lang w:eastAsia="ar-SA"/>
        </w:rPr>
        <w:t>ACCORD-CADRE N°25F036</w:t>
      </w:r>
    </w:p>
    <w:p w14:paraId="21109412" w14:textId="77777777" w:rsidR="00F27A70" w:rsidRPr="007C464C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olor w:val="333399"/>
          <w:sz w:val="18"/>
          <w:szCs w:val="32"/>
          <w:lang w:eastAsia="ar-SA"/>
        </w:rPr>
      </w:pPr>
    </w:p>
    <w:p w14:paraId="7AC26FDF" w14:textId="77777777" w:rsidR="00F27A70" w:rsidRDefault="00F27A70" w:rsidP="00F27A70">
      <w:pPr>
        <w:tabs>
          <w:tab w:val="left" w:pos="3687"/>
        </w:tabs>
        <w:spacing w:before="120"/>
        <w:ind w:left="426"/>
        <w:jc w:val="center"/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</w:pPr>
    </w:p>
    <w:p w14:paraId="73A24635" w14:textId="5F0FC341" w:rsidR="00F27A70" w:rsidRDefault="00F27A70" w:rsidP="00F27A70">
      <w:pPr>
        <w:tabs>
          <w:tab w:val="left" w:pos="3687"/>
        </w:tabs>
        <w:spacing w:before="120"/>
        <w:jc w:val="center"/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</w:pPr>
      <w:r w:rsidRPr="00E63F32"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  <w:t>CADRE DE RÉPONSE technique (CRt)</w:t>
      </w:r>
    </w:p>
    <w:p w14:paraId="336C5BF0" w14:textId="69574C6D" w:rsidR="00F27A70" w:rsidRPr="00E63F32" w:rsidRDefault="00E25FB9" w:rsidP="00F27A70">
      <w:pPr>
        <w:tabs>
          <w:tab w:val="left" w:pos="3687"/>
        </w:tabs>
        <w:spacing w:before="120"/>
        <w:jc w:val="center"/>
        <w:rPr>
          <w:b/>
          <w:sz w:val="32"/>
          <w:szCs w:val="32"/>
        </w:rPr>
      </w:pPr>
      <w:r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  <w:t>LOT 3</w:t>
      </w:r>
      <w:r w:rsidR="00F27A70"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  <w:t xml:space="preserve"> </w:t>
      </w:r>
      <w:r w:rsidR="00F27A70" w:rsidRPr="00003D52">
        <w:rPr>
          <w:b/>
          <w:color w:val="333399"/>
          <w:sz w:val="36"/>
          <w:szCs w:val="36"/>
        </w:rPr>
        <w:t>« </w:t>
      </w:r>
      <w:r w:rsidRPr="00E25FB9">
        <w:rPr>
          <w:b/>
          <w:color w:val="333399"/>
          <w:sz w:val="36"/>
          <w:szCs w:val="36"/>
        </w:rPr>
        <w:t>Produits d’entretien courant et savons</w:t>
      </w:r>
      <w:r w:rsidR="00F27A70" w:rsidRPr="00003D52">
        <w:rPr>
          <w:b/>
          <w:color w:val="333399"/>
          <w:sz w:val="36"/>
          <w:szCs w:val="36"/>
        </w:rPr>
        <w:t> »</w:t>
      </w:r>
    </w:p>
    <w:p w14:paraId="2D479B83" w14:textId="77777777" w:rsidR="00F27A70" w:rsidRPr="00D502F8" w:rsidRDefault="00F27A70" w:rsidP="00F27A70">
      <w:pPr>
        <w:tabs>
          <w:tab w:val="center" w:pos="4536"/>
          <w:tab w:val="right" w:pos="9072"/>
        </w:tabs>
        <w:ind w:firstLine="3402"/>
        <w:rPr>
          <w:b/>
          <w:color w:val="333399"/>
          <w:sz w:val="16"/>
          <w:szCs w:val="16"/>
        </w:rPr>
      </w:pPr>
    </w:p>
    <w:p w14:paraId="650A0C9B" w14:textId="16263F54" w:rsidR="00F27A70" w:rsidRDefault="00F27A70" w:rsidP="00F27A70">
      <w:pPr>
        <w:tabs>
          <w:tab w:val="left" w:pos="3687"/>
        </w:tabs>
        <w:spacing w:before="120"/>
        <w:ind w:left="426"/>
        <w:jc w:val="center"/>
        <w:rPr>
          <w:b/>
        </w:rPr>
      </w:pPr>
    </w:p>
    <w:p w14:paraId="54583F59" w14:textId="77777777" w:rsidR="0087165B" w:rsidRPr="00E63F32" w:rsidRDefault="0087165B" w:rsidP="00F27A70">
      <w:pPr>
        <w:tabs>
          <w:tab w:val="left" w:pos="3687"/>
        </w:tabs>
        <w:spacing w:before="120"/>
        <w:ind w:left="426"/>
        <w:jc w:val="center"/>
        <w:rPr>
          <w:b/>
        </w:rPr>
      </w:pPr>
    </w:p>
    <w:p w14:paraId="4D929084" w14:textId="7330D482" w:rsidR="00F27A70" w:rsidRPr="0087165B" w:rsidRDefault="00F27A70" w:rsidP="0087165B">
      <w:pPr>
        <w:jc w:val="center"/>
        <w:rPr>
          <w:rFonts w:ascii="Arial" w:hAnsi="Arial" w:cs="Arial"/>
          <w:b/>
          <w:color w:val="FF0000"/>
        </w:rPr>
      </w:pPr>
      <w:r w:rsidRPr="0087165B">
        <w:rPr>
          <w:rFonts w:ascii="Arial" w:hAnsi="Arial" w:cs="Arial"/>
          <w:b/>
          <w:color w:val="FF0000"/>
        </w:rPr>
        <w:t>Les candidats veilleront à compléter</w:t>
      </w:r>
      <w:r w:rsidR="0087165B" w:rsidRPr="0087165B">
        <w:rPr>
          <w:rFonts w:ascii="Arial" w:hAnsi="Arial" w:cs="Arial"/>
          <w:b/>
          <w:color w:val="FF0000"/>
        </w:rPr>
        <w:t xml:space="preserve"> intégralement</w:t>
      </w:r>
      <w:r w:rsidRPr="0087165B">
        <w:rPr>
          <w:rFonts w:ascii="Arial" w:hAnsi="Arial" w:cs="Arial"/>
          <w:b/>
          <w:color w:val="FF0000"/>
        </w:rPr>
        <w:t xml:space="preserve"> le présent cadre de réponse technique qui sera utilisé pour l’analyse des offres. Le cadre de réponse peut être agrandi de manière raisonnable.</w:t>
      </w:r>
    </w:p>
    <w:p w14:paraId="0ABEFB9D" w14:textId="06B1844E" w:rsidR="00F27A70" w:rsidRDefault="00F27A70" w:rsidP="00F27A70">
      <w:pPr>
        <w:tabs>
          <w:tab w:val="left" w:pos="1070"/>
        </w:tabs>
        <w:jc w:val="center"/>
      </w:pPr>
    </w:p>
    <w:p w14:paraId="632D643F" w14:textId="77777777" w:rsidR="003511B4" w:rsidRDefault="003511B4" w:rsidP="00F27A70">
      <w:pPr>
        <w:tabs>
          <w:tab w:val="left" w:pos="1070"/>
        </w:tabs>
        <w:jc w:val="center"/>
      </w:pPr>
    </w:p>
    <w:p w14:paraId="5BC7597A" w14:textId="77777777" w:rsidR="00F27A70" w:rsidRDefault="00F27A70" w:rsidP="00F27A70">
      <w:pPr>
        <w:tabs>
          <w:tab w:val="left" w:pos="3687"/>
        </w:tabs>
        <w:spacing w:before="120"/>
        <w:jc w:val="both"/>
        <w:rPr>
          <w:rFonts w:eastAsia="Batang"/>
          <w:caps/>
          <w:u w:val="words" w:color="FFFFFF"/>
        </w:rPr>
      </w:pPr>
    </w:p>
    <w:p w14:paraId="09C073F1" w14:textId="7AAED3AC" w:rsidR="00F27A70" w:rsidRPr="0087165B" w:rsidRDefault="00F27A70" w:rsidP="0087165B">
      <w:pPr>
        <w:tabs>
          <w:tab w:val="left" w:pos="3687"/>
        </w:tabs>
        <w:spacing w:before="120"/>
        <w:jc w:val="both"/>
        <w:rPr>
          <w:rFonts w:eastAsia="Times New Roman"/>
          <w:b/>
          <w:bCs/>
          <w:caps/>
          <w:sz w:val="24"/>
          <w:szCs w:val="24"/>
          <w:u w:val="single"/>
          <w:lang w:eastAsia="ar-SA"/>
        </w:rPr>
      </w:pPr>
      <w:r w:rsidRPr="0087165B">
        <w:rPr>
          <w:rFonts w:eastAsia="Batang"/>
          <w:b/>
          <w:caps/>
          <w:sz w:val="24"/>
          <w:szCs w:val="24"/>
          <w:u w:val="single"/>
        </w:rPr>
        <w:t>NOM DE LA SOCI</w:t>
      </w:r>
      <w:r w:rsidRPr="0087165B">
        <w:rPr>
          <w:rFonts w:eastAsia="Times New Roman"/>
          <w:b/>
          <w:bCs/>
          <w:caps/>
          <w:sz w:val="24"/>
          <w:szCs w:val="24"/>
          <w:u w:val="single"/>
          <w:lang w:eastAsia="ar-SA"/>
        </w:rPr>
        <w:t>É</w:t>
      </w:r>
      <w:r w:rsidRPr="0087165B">
        <w:rPr>
          <w:rFonts w:eastAsia="Batang"/>
          <w:b/>
          <w:caps/>
          <w:sz w:val="24"/>
          <w:szCs w:val="24"/>
          <w:u w:val="single"/>
        </w:rPr>
        <w:t>T</w:t>
      </w:r>
      <w:r w:rsidRPr="0087165B">
        <w:rPr>
          <w:rFonts w:eastAsia="Times New Roman"/>
          <w:b/>
          <w:bCs/>
          <w:caps/>
          <w:sz w:val="24"/>
          <w:szCs w:val="24"/>
          <w:u w:val="single"/>
          <w:lang w:eastAsia="ar-SA"/>
        </w:rPr>
        <w:t>É :</w:t>
      </w:r>
      <w:r w:rsidR="005A6958" w:rsidRPr="005A6958">
        <w:rPr>
          <w:rFonts w:ascii="Arial" w:hAnsi="Arial" w:cs="Arial"/>
          <w:sz w:val="18"/>
        </w:rPr>
        <w:t xml:space="preserve"> </w:t>
      </w:r>
      <w:r w:rsidR="005A6958" w:rsidRPr="00E06C21">
        <w:rPr>
          <w:rFonts w:ascii="Arial" w:hAnsi="Arial" w:cs="Arial"/>
          <w:sz w:val="18"/>
        </w:rPr>
        <w:fldChar w:fldCharType="begin">
          <w:ffData>
            <w:name w:val="Texte17"/>
            <w:enabled/>
            <w:calcOnExit w:val="0"/>
            <w:textInput/>
          </w:ffData>
        </w:fldChar>
      </w:r>
      <w:r w:rsidR="005A6958" w:rsidRPr="00E06C21">
        <w:rPr>
          <w:rFonts w:ascii="Arial" w:hAnsi="Arial" w:cs="Arial"/>
          <w:sz w:val="18"/>
        </w:rPr>
        <w:instrText xml:space="preserve"> FORMTEXT </w:instrText>
      </w:r>
      <w:r w:rsidR="005A6958" w:rsidRPr="00E06C21">
        <w:rPr>
          <w:rFonts w:ascii="Arial" w:hAnsi="Arial" w:cs="Arial"/>
          <w:sz w:val="18"/>
        </w:rPr>
      </w:r>
      <w:r w:rsidR="005A6958" w:rsidRPr="00E06C21">
        <w:rPr>
          <w:rFonts w:ascii="Arial" w:hAnsi="Arial" w:cs="Arial"/>
          <w:sz w:val="18"/>
        </w:rPr>
        <w:fldChar w:fldCharType="separate"/>
      </w:r>
      <w:r w:rsidR="005A6958" w:rsidRPr="00E06C21">
        <w:rPr>
          <w:rFonts w:ascii="Arial" w:hAnsi="Arial" w:cs="Arial"/>
          <w:sz w:val="18"/>
        </w:rPr>
        <w:t> </w:t>
      </w:r>
      <w:r w:rsidR="005A6958" w:rsidRPr="00E06C21">
        <w:rPr>
          <w:rFonts w:ascii="Arial" w:hAnsi="Arial" w:cs="Arial"/>
          <w:sz w:val="18"/>
        </w:rPr>
        <w:t> </w:t>
      </w:r>
      <w:r w:rsidR="005A6958" w:rsidRPr="00E06C21">
        <w:rPr>
          <w:rFonts w:ascii="Arial" w:hAnsi="Arial" w:cs="Arial"/>
          <w:sz w:val="18"/>
        </w:rPr>
        <w:t> </w:t>
      </w:r>
      <w:r w:rsidR="005A6958" w:rsidRPr="00E06C21">
        <w:rPr>
          <w:rFonts w:ascii="Arial" w:hAnsi="Arial" w:cs="Arial"/>
          <w:sz w:val="18"/>
        </w:rPr>
        <w:t> </w:t>
      </w:r>
      <w:r w:rsidR="005A6958" w:rsidRPr="00E06C21">
        <w:rPr>
          <w:rFonts w:ascii="Arial" w:hAnsi="Arial" w:cs="Arial"/>
          <w:sz w:val="18"/>
        </w:rPr>
        <w:t> </w:t>
      </w:r>
      <w:r w:rsidR="005A6958" w:rsidRPr="00E06C21">
        <w:rPr>
          <w:rFonts w:ascii="Arial" w:hAnsi="Arial" w:cs="Arial"/>
          <w:sz w:val="18"/>
        </w:rPr>
        <w:fldChar w:fldCharType="end"/>
      </w:r>
    </w:p>
    <w:p w14:paraId="21C838C7" w14:textId="1936E44A" w:rsidR="0087165B" w:rsidRDefault="0087165B" w:rsidP="0087165B">
      <w:pPr>
        <w:tabs>
          <w:tab w:val="left" w:pos="3687"/>
        </w:tabs>
        <w:spacing w:before="120"/>
        <w:jc w:val="both"/>
        <w:rPr>
          <w:rFonts w:eastAsia="Times New Roman"/>
          <w:b/>
          <w:bCs/>
          <w:caps/>
          <w:u w:val="single"/>
          <w:lang w:eastAsia="ar-SA"/>
        </w:rPr>
      </w:pPr>
    </w:p>
    <w:p w14:paraId="69E0B4FC" w14:textId="6C8C1A09" w:rsidR="0087165B" w:rsidRDefault="0087165B" w:rsidP="0087165B">
      <w:pPr>
        <w:tabs>
          <w:tab w:val="left" w:pos="3687"/>
        </w:tabs>
        <w:spacing w:before="120"/>
        <w:jc w:val="both"/>
        <w:rPr>
          <w:rFonts w:eastAsia="Times New Roman"/>
          <w:b/>
          <w:bCs/>
          <w:caps/>
          <w:u w:val="single"/>
          <w:lang w:eastAsia="ar-SA"/>
        </w:rPr>
      </w:pPr>
    </w:p>
    <w:p w14:paraId="4F003E14" w14:textId="7886B986" w:rsidR="0087165B" w:rsidRPr="0082438A" w:rsidRDefault="0087165B" w:rsidP="0087165B">
      <w:pPr>
        <w:tabs>
          <w:tab w:val="left" w:pos="3687"/>
        </w:tabs>
        <w:spacing w:before="120"/>
        <w:jc w:val="both"/>
        <w:rPr>
          <w:rFonts w:eastAsia="Batang"/>
          <w:b/>
          <w:caps/>
          <w:u w:val="single"/>
        </w:rPr>
      </w:pPr>
    </w:p>
    <w:p w14:paraId="2BAB2269" w14:textId="636D53AC" w:rsidR="00E25FB9" w:rsidRPr="00E26232" w:rsidRDefault="0087165B" w:rsidP="00E25FB9">
      <w:pPr>
        <w:rPr>
          <w:b/>
          <w:color w:val="FF0000"/>
          <w:szCs w:val="20"/>
        </w:rPr>
      </w:pPr>
      <w:r w:rsidRPr="0087165B">
        <w:rPr>
          <w:rFonts w:ascii="Arial" w:hAnsi="Arial" w:cs="Arial"/>
          <w:b/>
          <w:sz w:val="20"/>
          <w:szCs w:val="20"/>
        </w:rPr>
        <w:t>La valeur technique de l’offre (coefficient 45)</w:t>
      </w:r>
      <w:r w:rsidRPr="008716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est </w:t>
      </w:r>
      <w:r w:rsidRPr="0087165B">
        <w:rPr>
          <w:rFonts w:ascii="Arial" w:hAnsi="Arial" w:cs="Arial"/>
          <w:sz w:val="20"/>
          <w:szCs w:val="20"/>
        </w:rPr>
        <w:t>appréciée sur la base des sous-critères suivants :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956"/>
      </w:tblGrid>
      <w:tr w:rsidR="00E25FB9" w:rsidRPr="00E06C21" w14:paraId="0150D542" w14:textId="77777777" w:rsidTr="00342DAE">
        <w:trPr>
          <w:trHeight w:val="567"/>
          <w:jc w:val="center"/>
        </w:trPr>
        <w:tc>
          <w:tcPr>
            <w:tcW w:w="9637" w:type="dxa"/>
            <w:gridSpan w:val="2"/>
            <w:shd w:val="clear" w:color="auto" w:fill="D9D9D9" w:themeFill="background1" w:themeFillShade="D9"/>
            <w:vAlign w:val="center"/>
          </w:tcPr>
          <w:p w14:paraId="4D20E07C" w14:textId="03DFCBD3" w:rsidR="00E25FB9" w:rsidRPr="00B649C7" w:rsidRDefault="00E25FB9" w:rsidP="00B649C7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B649C7">
              <w:rPr>
                <w:rFonts w:ascii="Arial" w:hAnsi="Arial" w:cs="Arial"/>
                <w:b/>
                <w:sz w:val="20"/>
              </w:rPr>
              <w:t xml:space="preserve">a) Qualité et performance des produits proposés </w:t>
            </w:r>
            <w:r w:rsidRPr="00B649C7">
              <w:rPr>
                <w:rFonts w:ascii="Arial" w:hAnsi="Arial" w:cs="Arial"/>
                <w:b/>
                <w:i/>
                <w:sz w:val="20"/>
              </w:rPr>
              <w:t>(coefficient 20)</w:t>
            </w:r>
          </w:p>
        </w:tc>
      </w:tr>
      <w:tr w:rsidR="00E25FB9" w:rsidRPr="00E06C21" w14:paraId="5C814466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15120126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Expliquez les propriétés et le choix du (des) principe(s) actif(s) présent(s) dans les produits suivants, en précisant sa (leur) concentration :</w:t>
            </w:r>
          </w:p>
          <w:p w14:paraId="6EC2BCCF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 xml:space="preserve">- Détergent désinfectant de surface </w:t>
            </w:r>
          </w:p>
          <w:p w14:paraId="3FD24AC5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- Détergent multi-usages (utilisé avec centrale de dilution)</w:t>
            </w:r>
          </w:p>
          <w:p w14:paraId="018B49A7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- Produit lavage-rinçage</w:t>
            </w:r>
          </w:p>
          <w:p w14:paraId="5795363A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- Produit plonge manuelle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124E2F82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2E1F6B6B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6629E368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Indiquez, afin d’assurer une performance optimale, le nombre estimé de lavages ou un volume d’eau utilisable avec 1L de produit lavage-rinçage, 1L de détergent multi-usages et 1L de produit pour plonge manuelle 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7005EB43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1B43B863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0668A7F0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Comment vos produits (notamment de surface) garantissent-ils la sécurité des aliments qui entreront en contact avec les surfaces nettoyées 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77FF6146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3F297492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10056E7B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Certains produits présentent-ils des risques importants pour les utilisateurs ? Quelles mesures vous permettent de limiter ces risques 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3B6C2738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4735A057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3469EE17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Décrire les moyens mis en œuvre pour élaborer et afficher des protocoles de nettoyage facilement intelligibles. Donner si possible un exemple visuel.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5EDFB528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2A119577" w14:textId="77777777" w:rsidTr="00342DAE">
        <w:trPr>
          <w:trHeight w:val="680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6F54F727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Décrire brièvement la formation à l’utilisation des produits proposée aux personnels.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299A934C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4C29A15E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7F9FBB50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 xml:space="preserve">Décrire la procédure suivie et les mesures prises en cas de mauvais résultats de lavage ou de nettoyage notifiés par l’Assemblée nationale.   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2DE1D809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1C01CC13" w14:textId="77777777" w:rsidTr="00342DAE">
        <w:trPr>
          <w:trHeight w:val="397"/>
          <w:jc w:val="center"/>
        </w:trPr>
        <w:tc>
          <w:tcPr>
            <w:tcW w:w="9637" w:type="dxa"/>
            <w:gridSpan w:val="2"/>
            <w:shd w:val="clear" w:color="auto" w:fill="D9D9D9" w:themeFill="background1" w:themeFillShade="D9"/>
            <w:vAlign w:val="center"/>
          </w:tcPr>
          <w:p w14:paraId="742073A7" w14:textId="0B633FDC" w:rsidR="00E25FB9" w:rsidRPr="00B649C7" w:rsidRDefault="00E25FB9" w:rsidP="00E25FB9">
            <w:pPr>
              <w:spacing w:before="120" w:after="120"/>
              <w:rPr>
                <w:rFonts w:ascii="Arial" w:hAnsi="Arial" w:cs="Arial"/>
                <w:b/>
                <w:sz w:val="18"/>
              </w:rPr>
            </w:pPr>
            <w:r w:rsidRPr="00B649C7">
              <w:rPr>
                <w:rFonts w:ascii="Arial" w:hAnsi="Arial" w:cs="Arial"/>
                <w:b/>
                <w:sz w:val="20"/>
              </w:rPr>
              <w:t xml:space="preserve">b) Performance des appareils de nettoyage mis à disposition </w:t>
            </w:r>
            <w:r w:rsidRPr="00B649C7">
              <w:rPr>
                <w:rFonts w:ascii="Arial" w:hAnsi="Arial" w:cs="Arial"/>
                <w:b/>
                <w:i/>
                <w:sz w:val="20"/>
              </w:rPr>
              <w:t>(coefficient 10)</w:t>
            </w:r>
          </w:p>
        </w:tc>
      </w:tr>
      <w:tr w:rsidR="00E25FB9" w:rsidRPr="00E06C21" w14:paraId="0CF85DFC" w14:textId="77777777" w:rsidTr="00B649C7">
        <w:trPr>
          <w:trHeight w:val="624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0BFEB8DE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 xml:space="preserve">Résumer les principales caractéristiques et la durée de vie estimée des matériels de nettoyage proposés pour une utilisation professionnelle (6 jours/7, midi et soir). 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4606C675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46949239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2F3A3A1B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t>Décrire les opérations d’installation, de démontage et de remplacement des appareils de nettoyage. Comment limitez-vous les atteintes portées aux équipements (pour préserver leur garantie) et aux locaux (éviter des trous multiples dans le mur) 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67D3E211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0FD2FCF4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4CBA6BB3" w14:textId="51CA4160" w:rsidR="00E25FB9" w:rsidRPr="00E06C21" w:rsidRDefault="00E25FB9" w:rsidP="00682B3C">
            <w:pPr>
              <w:spacing w:before="120" w:after="120"/>
              <w:rPr>
                <w:rFonts w:ascii="Arial" w:hAnsi="Arial" w:cs="Arial"/>
                <w:b/>
                <w:sz w:val="20"/>
                <w:lang w:eastAsia="ar-SA"/>
              </w:rPr>
            </w:pP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lastRenderedPageBreak/>
              <w:t>Dans quel délai pouvez-vous installer le matériel de nettoyage à compter d</w:t>
            </w:r>
            <w:r w:rsidR="00682B3C">
              <w:rPr>
                <w:rFonts w:ascii="Arial" w:hAnsi="Arial" w:cs="Arial"/>
                <w:b/>
                <w:sz w:val="20"/>
                <w:lang w:eastAsia="ar-SA"/>
              </w:rPr>
              <w:t>e la notification du marché</w:t>
            </w: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t>, dans la limite d’un mois 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26C28773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3F1D2E2B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2C3EDCA2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  <w:lang w:eastAsia="ar-SA"/>
              </w:rPr>
            </w:pP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t>Quelles mesures vous permettent de préserver la garantie des équipements dont le maintien est conditionné par le fabriquant à l’utilisation de produits spécifiques (ex. produits de marque RATIONAL)?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02A2EAFA" w14:textId="4699E344" w:rsidR="00E25FB9" w:rsidRPr="00E06C21" w:rsidRDefault="00E25FB9" w:rsidP="0049428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="0049428E">
              <w:rPr>
                <w:rFonts w:ascii="Arial" w:hAnsi="Arial" w:cs="Arial"/>
                <w:sz w:val="18"/>
              </w:rPr>
              <w:t> </w:t>
            </w:r>
            <w:r w:rsidR="0049428E">
              <w:rPr>
                <w:rFonts w:ascii="Arial" w:hAnsi="Arial" w:cs="Arial"/>
                <w:sz w:val="18"/>
              </w:rPr>
              <w:t> </w:t>
            </w:r>
            <w:r w:rsidR="0049428E">
              <w:rPr>
                <w:rFonts w:ascii="Arial" w:hAnsi="Arial" w:cs="Arial"/>
                <w:sz w:val="18"/>
              </w:rPr>
              <w:t> </w:t>
            </w:r>
            <w:r w:rsidR="0049428E">
              <w:rPr>
                <w:rFonts w:ascii="Arial" w:hAnsi="Arial" w:cs="Arial"/>
                <w:sz w:val="18"/>
              </w:rPr>
              <w:t> </w:t>
            </w:r>
            <w:r w:rsidR="0049428E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44E4C673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5D810E0D" w14:textId="4E61865E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  <w:lang w:eastAsia="ar-SA"/>
              </w:rPr>
            </w:pP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t xml:space="preserve">Décrire les moyens matériels et qualifications (compétence, formation, années d’ancienneté, etc.) du personnel affecté à la maintenance préventive et curative des matériels de nettoyage. </w:t>
            </w:r>
            <w:r w:rsidR="00FB26C7">
              <w:rPr>
                <w:rFonts w:ascii="Arial" w:hAnsi="Arial" w:cs="Arial"/>
                <w:b/>
                <w:sz w:val="20"/>
                <w:lang w:eastAsia="ar-SA"/>
              </w:rPr>
              <w:t>Ê</w:t>
            </w: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t>tes-vous en mesure d’affecter un technicien référent 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3B04DED1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150F25D0" w14:textId="77777777" w:rsidTr="00342DAE">
        <w:trPr>
          <w:trHeight w:val="1020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179E1168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  <w:lang w:eastAsia="ar-SA"/>
              </w:rPr>
            </w:pP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t>Décrire le déroulement de la maintenance préventive mensuelle.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260E7E47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62316D10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012A6300" w14:textId="77BC472A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  <w:lang w:eastAsia="ar-SA"/>
              </w:rPr>
            </w:pP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t>Dans quel délai votre technicien intervient-il sur site dès qu’une panne lui est notifiée ? Quels sont les moyens mis en œuvre afin de respecter les délais d’intervention (48</w:t>
            </w:r>
            <w:r w:rsidR="00FB26C7">
              <w:rPr>
                <w:rFonts w:ascii="Arial" w:hAnsi="Arial" w:cs="Arial"/>
                <w:b/>
                <w:sz w:val="20"/>
                <w:lang w:eastAsia="ar-SA"/>
              </w:rPr>
              <w:t> </w:t>
            </w: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t>heures) 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5224A096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6A40CEDC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1D31EA90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  <w:lang w:eastAsia="ar-SA"/>
              </w:rPr>
            </w:pPr>
            <w:r w:rsidRPr="00E06C21">
              <w:rPr>
                <w:rFonts w:ascii="Arial" w:hAnsi="Arial" w:cs="Arial"/>
                <w:b/>
                <w:sz w:val="20"/>
                <w:lang w:eastAsia="ar-SA"/>
              </w:rPr>
              <w:t>Dans quel délai votre technicien transmet-il son rapport d’intervention ? Quelles mesures sont prises en cas de panne imputable à une mauvaise utilisation du matériel 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1F00516F" w14:textId="64C0AE67" w:rsidR="00E25FB9" w:rsidRPr="00E06C21" w:rsidRDefault="00E25FB9" w:rsidP="00A5074F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bookmarkStart w:id="0" w:name="_GoBack"/>
            <w:bookmarkEnd w:id="0"/>
            <w:r w:rsidR="00A5074F">
              <w:rPr>
                <w:rFonts w:ascii="Arial" w:hAnsi="Arial" w:cs="Arial"/>
                <w:sz w:val="18"/>
              </w:rPr>
              <w:t> </w:t>
            </w:r>
            <w:r w:rsidR="00A5074F">
              <w:rPr>
                <w:rFonts w:ascii="Arial" w:hAnsi="Arial" w:cs="Arial"/>
                <w:sz w:val="18"/>
              </w:rPr>
              <w:t> </w:t>
            </w:r>
            <w:r w:rsidR="00A5074F">
              <w:rPr>
                <w:rFonts w:ascii="Arial" w:hAnsi="Arial" w:cs="Arial"/>
                <w:sz w:val="18"/>
              </w:rPr>
              <w:t> </w:t>
            </w:r>
            <w:r w:rsidR="00A5074F">
              <w:rPr>
                <w:rFonts w:ascii="Arial" w:hAnsi="Arial" w:cs="Arial"/>
                <w:sz w:val="18"/>
              </w:rPr>
              <w:t> </w:t>
            </w:r>
            <w:r w:rsidR="00A5074F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44BA713A" w14:textId="77777777" w:rsidTr="00342DAE">
        <w:trPr>
          <w:trHeight w:val="397"/>
          <w:jc w:val="center"/>
        </w:trPr>
        <w:tc>
          <w:tcPr>
            <w:tcW w:w="9637" w:type="dxa"/>
            <w:gridSpan w:val="2"/>
            <w:shd w:val="clear" w:color="auto" w:fill="D9D9D9" w:themeFill="background1" w:themeFillShade="D9"/>
            <w:vAlign w:val="center"/>
          </w:tcPr>
          <w:p w14:paraId="534CCF52" w14:textId="64A069A4" w:rsidR="00E25FB9" w:rsidRPr="00B649C7" w:rsidRDefault="00E25FB9" w:rsidP="00E25FB9">
            <w:pPr>
              <w:spacing w:before="120" w:after="120"/>
              <w:rPr>
                <w:rFonts w:ascii="Arial" w:hAnsi="Arial" w:cs="Arial"/>
                <w:b/>
                <w:sz w:val="18"/>
              </w:rPr>
            </w:pPr>
            <w:r w:rsidRPr="00B649C7">
              <w:rPr>
                <w:rFonts w:ascii="Arial" w:hAnsi="Arial" w:cs="Arial"/>
                <w:b/>
                <w:sz w:val="20"/>
              </w:rPr>
              <w:t xml:space="preserve">c) Performance sociale et environnementale </w:t>
            </w:r>
            <w:r w:rsidRPr="00B649C7">
              <w:rPr>
                <w:rFonts w:ascii="Arial" w:hAnsi="Arial" w:cs="Arial"/>
                <w:b/>
                <w:i/>
                <w:sz w:val="20"/>
              </w:rPr>
              <w:t>(coefficient 10)</w:t>
            </w:r>
          </w:p>
        </w:tc>
      </w:tr>
      <w:tr w:rsidR="00E25FB9" w:rsidRPr="00E06C21" w14:paraId="4704ECBA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3F96A240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 xml:space="preserve">Décrire les caractéristiques environnementales des véhicules de livraison utilisés </w:t>
            </w:r>
            <w:r w:rsidRPr="00E06C21">
              <w:rPr>
                <w:rFonts w:ascii="Arial" w:hAnsi="Arial" w:cs="Arial"/>
                <w:sz w:val="20"/>
              </w:rPr>
              <w:t>(types de véhicules, consommation, classe de vignette Crit’air).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10DB4579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43D3C4CD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22FA7723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Décrire le conditionnement de vos produits d’entretien. Quelle est la part d’emballages recyclés ou recyclables ? Quelles mesures permettent de limiter la quantité d’emballages 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7DB92BD7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2501C610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2E31C351" w14:textId="77777777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Mesures prises pour limiter le rejet de produits dangereux pour l’environnement.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461EC1E8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7978D8CE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5018130D" w14:textId="4B4AB590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Quelle est la part de vos produits (en</w:t>
            </w:r>
            <w:r w:rsidR="00FB26C7">
              <w:rPr>
                <w:rFonts w:ascii="Arial" w:hAnsi="Arial" w:cs="Arial"/>
                <w:b/>
                <w:sz w:val="20"/>
              </w:rPr>
              <w:t> </w:t>
            </w:r>
            <w:r w:rsidRPr="00E06C21">
              <w:rPr>
                <w:rFonts w:ascii="Arial" w:hAnsi="Arial" w:cs="Arial"/>
                <w:b/>
                <w:sz w:val="20"/>
              </w:rPr>
              <w:t>% des articles proposés au BPU) fabriqués en Europe ?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469FBF40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4DFAF4B2" w14:textId="77777777" w:rsidTr="00342DAE">
        <w:trPr>
          <w:trHeight w:val="1077"/>
          <w:jc w:val="center"/>
        </w:trPr>
        <w:tc>
          <w:tcPr>
            <w:tcW w:w="3681" w:type="dxa"/>
            <w:shd w:val="clear" w:color="auto" w:fill="FFFFFF"/>
            <w:vAlign w:val="center"/>
          </w:tcPr>
          <w:p w14:paraId="2C225FE2" w14:textId="612F33FD" w:rsidR="00E25FB9" w:rsidRPr="00E06C21" w:rsidRDefault="00E25FB9" w:rsidP="00342DAE">
            <w:pPr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Certifications environnementales (en</w:t>
            </w:r>
            <w:r w:rsidR="00FB26C7">
              <w:rPr>
                <w:rFonts w:ascii="Arial" w:hAnsi="Arial" w:cs="Arial"/>
                <w:b/>
                <w:sz w:val="20"/>
              </w:rPr>
              <w:t> </w:t>
            </w:r>
            <w:r w:rsidRPr="00E06C21">
              <w:rPr>
                <w:rFonts w:ascii="Arial" w:hAnsi="Arial" w:cs="Arial"/>
                <w:b/>
                <w:sz w:val="20"/>
              </w:rPr>
              <w:t>% des articles proposés au BPU) ou équivalent.</w:t>
            </w:r>
          </w:p>
        </w:tc>
        <w:tc>
          <w:tcPr>
            <w:tcW w:w="5956" w:type="dxa"/>
            <w:shd w:val="clear" w:color="auto" w:fill="FFFFFF"/>
            <w:vAlign w:val="center"/>
          </w:tcPr>
          <w:p w14:paraId="3DC51D1F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6111F99B" w14:textId="77777777" w:rsidTr="00342DAE">
        <w:trPr>
          <w:trHeight w:val="397"/>
          <w:jc w:val="center"/>
        </w:trPr>
        <w:tc>
          <w:tcPr>
            <w:tcW w:w="9637" w:type="dxa"/>
            <w:gridSpan w:val="2"/>
            <w:shd w:val="clear" w:color="auto" w:fill="D9D9D9" w:themeFill="background1" w:themeFillShade="D9"/>
            <w:vAlign w:val="center"/>
          </w:tcPr>
          <w:p w14:paraId="2F8A209D" w14:textId="5305C0ED" w:rsidR="00E25FB9" w:rsidRPr="00B649C7" w:rsidRDefault="00E25FB9" w:rsidP="00342DAE">
            <w:pPr>
              <w:spacing w:before="120" w:after="120"/>
              <w:rPr>
                <w:rFonts w:ascii="Arial" w:hAnsi="Arial" w:cs="Arial"/>
                <w:b/>
                <w:sz w:val="18"/>
              </w:rPr>
            </w:pPr>
            <w:r w:rsidRPr="00B649C7">
              <w:rPr>
                <w:rFonts w:ascii="Arial" w:hAnsi="Arial" w:cs="Arial"/>
                <w:b/>
                <w:sz w:val="20"/>
              </w:rPr>
              <w:t xml:space="preserve">d) Qualité du service commercial et modalités de livraison </w:t>
            </w:r>
            <w:r w:rsidRPr="00B649C7">
              <w:rPr>
                <w:rFonts w:ascii="Arial" w:hAnsi="Arial" w:cs="Arial"/>
                <w:b/>
                <w:i/>
                <w:sz w:val="20"/>
              </w:rPr>
              <w:t>(coefficient 5)</w:t>
            </w:r>
          </w:p>
        </w:tc>
      </w:tr>
      <w:tr w:rsidR="00E25FB9" w:rsidRPr="00E06C21" w14:paraId="44EBDC4F" w14:textId="77777777" w:rsidTr="00342DAE">
        <w:trPr>
          <w:trHeight w:val="1361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9A18F98" w14:textId="77777777" w:rsidR="00E25FB9" w:rsidRPr="00E06C21" w:rsidRDefault="00E25FB9" w:rsidP="00342DA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Indiquez les jours et horaires d’ouverture du service clientèle et, le cas échéant, les périodes de fermeture annuelle.</w:t>
            </w:r>
          </w:p>
        </w:tc>
        <w:tc>
          <w:tcPr>
            <w:tcW w:w="5956" w:type="dxa"/>
            <w:shd w:val="clear" w:color="auto" w:fill="auto"/>
            <w:vAlign w:val="center"/>
          </w:tcPr>
          <w:p w14:paraId="160E7D5B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18CE4F24" w14:textId="77777777" w:rsidTr="00342DAE">
        <w:trPr>
          <w:trHeight w:val="1644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76F8AC8" w14:textId="77777777" w:rsidR="00E25FB9" w:rsidRPr="00E06C21" w:rsidRDefault="00E25FB9" w:rsidP="00342DA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Indiquez les coordonnées des personnes qui seront chargées du suivi commercial et de la facturation (email, téléphone, référent administratif dédié,…).</w:t>
            </w:r>
          </w:p>
        </w:tc>
        <w:tc>
          <w:tcPr>
            <w:tcW w:w="5956" w:type="dxa"/>
            <w:shd w:val="clear" w:color="auto" w:fill="auto"/>
            <w:vAlign w:val="center"/>
          </w:tcPr>
          <w:p w14:paraId="7D2BEA74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3FC547F0" w14:textId="77777777" w:rsidTr="00342DAE">
        <w:trPr>
          <w:trHeight w:val="1644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DBEDA3E" w14:textId="77777777" w:rsidR="00E25FB9" w:rsidRPr="00E06C21" w:rsidRDefault="00E25FB9" w:rsidP="00342DA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Décrivez brièvement le processus de gestion et de suivi des commandes (processus de facturation, suivi de la comptabilité client,…).</w:t>
            </w:r>
          </w:p>
        </w:tc>
        <w:tc>
          <w:tcPr>
            <w:tcW w:w="5956" w:type="dxa"/>
            <w:shd w:val="clear" w:color="auto" w:fill="auto"/>
            <w:vAlign w:val="center"/>
          </w:tcPr>
          <w:p w14:paraId="5DC73EE9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7B49E920" w14:textId="77777777" w:rsidTr="00342DAE">
        <w:trPr>
          <w:trHeight w:val="1644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E658D1F" w14:textId="77777777" w:rsidR="00E25FB9" w:rsidRPr="00E06C21" w:rsidRDefault="00E25FB9" w:rsidP="00342DA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lastRenderedPageBreak/>
              <w:t>Exposez l’organisation et les moyens humains et matériels dédiés à la livraison des produits commandés.</w:t>
            </w:r>
          </w:p>
        </w:tc>
        <w:tc>
          <w:tcPr>
            <w:tcW w:w="5956" w:type="dxa"/>
            <w:shd w:val="clear" w:color="auto" w:fill="auto"/>
            <w:vAlign w:val="center"/>
          </w:tcPr>
          <w:p w14:paraId="68E383F3" w14:textId="77777777" w:rsidR="00E25FB9" w:rsidRPr="00E06C21" w:rsidRDefault="00E25FB9" w:rsidP="00342DAE">
            <w:pPr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E25FB9" w:rsidRPr="00E06C21" w14:paraId="5C4968F9" w14:textId="77777777" w:rsidTr="00342DAE">
        <w:trPr>
          <w:trHeight w:val="1644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D816763" w14:textId="77777777" w:rsidR="00E25FB9" w:rsidRPr="00E06C21" w:rsidRDefault="00E25FB9" w:rsidP="00342DA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E06C21">
              <w:rPr>
                <w:rFonts w:ascii="Arial" w:hAnsi="Arial" w:cs="Arial"/>
                <w:b/>
                <w:sz w:val="20"/>
              </w:rPr>
              <w:t>Quelle est l’adresse des locaux d’entreposage depuis lesquels seront livrés vos produits ?</w:t>
            </w:r>
          </w:p>
        </w:tc>
        <w:tc>
          <w:tcPr>
            <w:tcW w:w="5956" w:type="dxa"/>
            <w:shd w:val="clear" w:color="auto" w:fill="auto"/>
            <w:vAlign w:val="center"/>
          </w:tcPr>
          <w:p w14:paraId="4868170F" w14:textId="3F9F758C" w:rsidR="00E25FB9" w:rsidRPr="00E06C21" w:rsidRDefault="00E25FB9" w:rsidP="00B649C7">
            <w:pPr>
              <w:tabs>
                <w:tab w:val="left" w:pos="2300"/>
              </w:tabs>
              <w:rPr>
                <w:rFonts w:ascii="Arial" w:hAnsi="Arial" w:cs="Arial"/>
                <w:sz w:val="18"/>
              </w:rPr>
            </w:pPr>
            <w:r w:rsidRPr="00E06C21">
              <w:rPr>
                <w:rFonts w:ascii="Arial" w:hAnsi="Arial" w:cs="Arial"/>
                <w:sz w:val="18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E06C21">
              <w:rPr>
                <w:rFonts w:ascii="Arial" w:hAnsi="Arial" w:cs="Arial"/>
                <w:sz w:val="18"/>
              </w:rPr>
              <w:instrText xml:space="preserve"> FORMTEXT </w:instrText>
            </w:r>
            <w:r w:rsidRPr="00E06C21">
              <w:rPr>
                <w:rFonts w:ascii="Arial" w:hAnsi="Arial" w:cs="Arial"/>
                <w:sz w:val="18"/>
              </w:rPr>
            </w:r>
            <w:r w:rsidRPr="00E06C21">
              <w:rPr>
                <w:rFonts w:ascii="Arial" w:hAnsi="Arial" w:cs="Arial"/>
                <w:sz w:val="18"/>
              </w:rPr>
              <w:fldChar w:fldCharType="separate"/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t> </w:t>
            </w:r>
            <w:r w:rsidRPr="00E06C21"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757651CF" w14:textId="77777777" w:rsidR="00E25FB9" w:rsidRDefault="00E25FB9" w:rsidP="00E25FB9">
      <w:pPr>
        <w:tabs>
          <w:tab w:val="left" w:pos="2300"/>
        </w:tabs>
        <w:jc w:val="center"/>
      </w:pPr>
    </w:p>
    <w:p w14:paraId="5EBD7EA3" w14:textId="29EFF427" w:rsidR="00E25FB9" w:rsidRPr="007B5298" w:rsidRDefault="006476B3" w:rsidP="00E25FB9">
      <w:pPr>
        <w:tabs>
          <w:tab w:val="left" w:pos="2300"/>
        </w:tabs>
        <w:jc w:val="center"/>
      </w:pPr>
      <w:r>
        <w:t>*</w:t>
      </w:r>
      <w:r w:rsidR="00E25FB9">
        <w:t>**</w:t>
      </w:r>
    </w:p>
    <w:p w14:paraId="7960661C" w14:textId="3009077D" w:rsidR="006476B3" w:rsidRPr="007B5298" w:rsidRDefault="006476B3" w:rsidP="006476B3">
      <w:pPr>
        <w:tabs>
          <w:tab w:val="left" w:pos="2300"/>
        </w:tabs>
        <w:jc w:val="center"/>
      </w:pPr>
    </w:p>
    <w:sectPr w:rsidR="006476B3" w:rsidRPr="007B5298" w:rsidSect="00A662F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621"/>
    <w:multiLevelType w:val="hybridMultilevel"/>
    <w:tmpl w:val="2D743436"/>
    <w:lvl w:ilvl="0" w:tplc="88B2B5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01B4"/>
    <w:multiLevelType w:val="hybridMultilevel"/>
    <w:tmpl w:val="F4D2E4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D4695"/>
    <w:multiLevelType w:val="hybridMultilevel"/>
    <w:tmpl w:val="B23890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013F1"/>
    <w:multiLevelType w:val="hybridMultilevel"/>
    <w:tmpl w:val="47806F96"/>
    <w:lvl w:ilvl="0" w:tplc="39920572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61228"/>
    <w:multiLevelType w:val="hybridMultilevel"/>
    <w:tmpl w:val="8D36B330"/>
    <w:lvl w:ilvl="0" w:tplc="C71C1D2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47B8E"/>
    <w:multiLevelType w:val="hybridMultilevel"/>
    <w:tmpl w:val="2D743436"/>
    <w:lvl w:ilvl="0" w:tplc="88B2B5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M9Blbgdo4Q764sQAwS6Fxhr5j/Fo6AvPQJ0VivKdXWuTAq4OsLCzTMx3/46ZKDEZzaYe6IAE2cCj23X6PzfkA==" w:salt="kIoazcYFKx6biJ6b5K4Gu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2F9"/>
    <w:rsid w:val="00072428"/>
    <w:rsid w:val="001E3667"/>
    <w:rsid w:val="00284AD0"/>
    <w:rsid w:val="003511B4"/>
    <w:rsid w:val="0049428E"/>
    <w:rsid w:val="00595EB4"/>
    <w:rsid w:val="005A6958"/>
    <w:rsid w:val="005F6838"/>
    <w:rsid w:val="00625314"/>
    <w:rsid w:val="006476B3"/>
    <w:rsid w:val="00682B3C"/>
    <w:rsid w:val="00727DE6"/>
    <w:rsid w:val="00770070"/>
    <w:rsid w:val="00850B79"/>
    <w:rsid w:val="0087165B"/>
    <w:rsid w:val="008F59CD"/>
    <w:rsid w:val="008F6142"/>
    <w:rsid w:val="00951564"/>
    <w:rsid w:val="009738E5"/>
    <w:rsid w:val="009F2AE5"/>
    <w:rsid w:val="00A05EC7"/>
    <w:rsid w:val="00A5074F"/>
    <w:rsid w:val="00A662F9"/>
    <w:rsid w:val="00B40A35"/>
    <w:rsid w:val="00B649C7"/>
    <w:rsid w:val="00B92316"/>
    <w:rsid w:val="00BB3563"/>
    <w:rsid w:val="00C00180"/>
    <w:rsid w:val="00D334DF"/>
    <w:rsid w:val="00D66381"/>
    <w:rsid w:val="00DF7965"/>
    <w:rsid w:val="00E25FB9"/>
    <w:rsid w:val="00E64F96"/>
    <w:rsid w:val="00F223DF"/>
    <w:rsid w:val="00F27A70"/>
    <w:rsid w:val="00FB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B3DA"/>
  <w15:chartTrackingRefBased/>
  <w15:docId w15:val="{416DA3D1-B9BE-4578-ABD9-20E7535D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A662F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1F4E79" w:themeColor="accent1" w:themeShade="80"/>
      <w:sz w:val="24"/>
      <w:szCs w:val="24"/>
      <w:lang w:eastAsia="fr-FR"/>
    </w:r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rsid w:val="00A662F9"/>
    <w:rPr>
      <w:rFonts w:ascii="Times New Roman" w:eastAsia="SimSun" w:hAnsi="Times New Roman" w:cs="Times New Roman"/>
      <w:color w:val="1F4E79" w:themeColor="accent1" w:themeShade="8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05E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5E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5E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5E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5EC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5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5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8C16D-9801-426A-BFCE-86AD7D7D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803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Wittwer</dc:creator>
  <cp:keywords/>
  <dc:description/>
  <cp:lastModifiedBy>Camille Pottier</cp:lastModifiedBy>
  <cp:revision>29</cp:revision>
  <dcterms:created xsi:type="dcterms:W3CDTF">2025-07-09T14:05:00Z</dcterms:created>
  <dcterms:modified xsi:type="dcterms:W3CDTF">2025-08-29T11:52:00Z</dcterms:modified>
</cp:coreProperties>
</file>