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07186A" w:rsidRDefault="00A66C60" w:rsidP="00A66C60">
      <w:pPr>
        <w:jc w:val="center"/>
        <w:rPr>
          <w:rFonts w:ascii="Marianne" w:hAnsi="Marianne" w:cs="Arial"/>
          <w:b/>
          <w:bCs/>
        </w:rPr>
      </w:pPr>
      <w:r w:rsidRPr="0007186A">
        <w:rPr>
          <w:rFonts w:ascii="Marianne" w:hAnsi="Marianne" w:cs="Arial"/>
          <w:b/>
          <w:bCs/>
        </w:rPr>
        <w:t>CENTRE HOSPITALIER UNIVERSITAIRE DE BREST</w:t>
      </w:r>
    </w:p>
    <w:p w:rsidR="00A66C60" w:rsidRPr="0007186A" w:rsidRDefault="00A66C60" w:rsidP="00A66C60">
      <w:pPr>
        <w:jc w:val="center"/>
        <w:rPr>
          <w:rFonts w:ascii="Marianne" w:hAnsi="Marianne" w:cs="Arial"/>
          <w:b/>
          <w:bCs/>
        </w:rPr>
      </w:pPr>
      <w:r w:rsidRPr="0007186A">
        <w:rPr>
          <w:rFonts w:ascii="Marianne" w:hAnsi="Marianne" w:cs="Arial"/>
          <w:b/>
          <w:bCs/>
        </w:rPr>
        <w:t>2 avenue Foch</w:t>
      </w:r>
    </w:p>
    <w:p w:rsidR="008D0755" w:rsidRDefault="00A66C60" w:rsidP="00A66C60">
      <w:pPr>
        <w:jc w:val="center"/>
        <w:rPr>
          <w:rFonts w:ascii="Marianne" w:hAnsi="Marianne" w:cs="Arial"/>
          <w:b/>
          <w:bCs/>
        </w:rPr>
      </w:pPr>
      <w:r w:rsidRPr="0007186A">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13689A" w:rsidRPr="00B35BD6" w:rsidRDefault="0013689A" w:rsidP="0013689A">
      <w:pPr>
        <w:tabs>
          <w:tab w:val="left" w:pos="426"/>
          <w:tab w:val="left" w:pos="851"/>
        </w:tabs>
        <w:jc w:val="center"/>
        <w:rPr>
          <w:rFonts w:ascii="Arial" w:hAnsi="Arial" w:cs="Arial"/>
          <w:b/>
        </w:rPr>
      </w:pPr>
      <w:r w:rsidRPr="00B35BD6">
        <w:rPr>
          <w:rFonts w:ascii="Arial" w:hAnsi="Arial" w:cs="Arial"/>
          <w:b/>
        </w:rPr>
        <w:t xml:space="preserve">FOURNITURE DE DISPOSITIFS MEDICAUX </w:t>
      </w:r>
      <w:r>
        <w:rPr>
          <w:rFonts w:ascii="Arial" w:hAnsi="Arial" w:cs="Arial"/>
          <w:b/>
        </w:rPr>
        <w:t>D’ORL</w:t>
      </w:r>
      <w:r w:rsidRPr="00B35BD6">
        <w:rPr>
          <w:rFonts w:ascii="Arial" w:hAnsi="Arial" w:cs="Arial"/>
          <w:b/>
        </w:rPr>
        <w:t xml:space="preserve"> </w:t>
      </w:r>
    </w:p>
    <w:p w:rsidR="0013689A" w:rsidRDefault="0013689A" w:rsidP="0013689A">
      <w:pPr>
        <w:jc w:val="center"/>
        <w:rPr>
          <w:rFonts w:ascii="Arial" w:hAnsi="Arial" w:cs="Arial"/>
          <w:b/>
          <w:bCs/>
        </w:rPr>
      </w:pPr>
      <w:r w:rsidRPr="00B35BD6">
        <w:rPr>
          <w:rFonts w:ascii="Arial" w:hAnsi="Arial" w:cs="Arial"/>
          <w:b/>
        </w:rPr>
        <w:t>POUR LE GROUPEMENT DE COMMANDES REGIONAL DE BRETAGNE</w:t>
      </w:r>
    </w:p>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7AA7">
        <w:rPr>
          <w:rFonts w:ascii="Marianne" w:hAnsi="Marianne"/>
        </w:rPr>
      </w:r>
      <w:r w:rsidR="00977AA7">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7AA7">
        <w:rPr>
          <w:rFonts w:ascii="Marianne" w:hAnsi="Marianne"/>
        </w:rPr>
      </w:r>
      <w:r w:rsidR="00977AA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lastRenderedPageBreak/>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77AA7">
              <w:rPr>
                <w:rFonts w:ascii="Marianne" w:eastAsia="MS Gothic" w:hAnsi="Marianne" w:cs="Arial"/>
              </w:rPr>
            </w:r>
            <w:r w:rsidR="00977AA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77AA7">
              <w:rPr>
                <w:rFonts w:ascii="Marianne" w:eastAsia="MS Gothic" w:hAnsi="Marianne" w:cs="Arial"/>
              </w:rPr>
            </w:r>
            <w:r w:rsidR="00977AA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77AA7">
              <w:rPr>
                <w:rFonts w:ascii="Marianne" w:eastAsia="MS Gothic" w:hAnsi="Marianne" w:cs="Arial"/>
              </w:rPr>
            </w:r>
            <w:r w:rsidR="00977AA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77AA7">
              <w:rPr>
                <w:rFonts w:ascii="Marianne" w:hAnsi="Marianne" w:cs="Arial"/>
              </w:rPr>
            </w:r>
            <w:r w:rsidR="00977AA7">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77AA7">
              <w:rPr>
                <w:rFonts w:ascii="Marianne" w:eastAsia="MS Gothic" w:hAnsi="Marianne" w:cs="Arial"/>
              </w:rPr>
            </w:r>
            <w:r w:rsidR="00977AA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lastRenderedPageBreak/>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7AA7">
        <w:rPr>
          <w:rFonts w:ascii="Marianne" w:hAnsi="Marianne"/>
        </w:rPr>
      </w:r>
      <w:r w:rsidR="00977AA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7AA7">
        <w:rPr>
          <w:rFonts w:ascii="Marianne" w:hAnsi="Marianne"/>
        </w:rPr>
      </w:r>
      <w:r w:rsidR="00977AA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r>
              <w:rPr>
                <w:rFonts w:ascii="Marianne" w:hAnsi="Marianne" w:cs="Arial"/>
                <w:b/>
              </w:rPr>
              <w:t>du</w:t>
            </w:r>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lastRenderedPageBreak/>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5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AA7" w:rsidRDefault="00977A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Default="00977AA7" w:rsidP="00666CC9">
          <w:pPr>
            <w:shd w:val="clear" w:color="auto" w:fill="66CCFF"/>
            <w:snapToGrid w:val="0"/>
            <w:ind w:left="346"/>
            <w:rPr>
              <w:rFonts w:ascii="Marianne" w:hAnsi="Marianne" w:cs="Arial"/>
              <w:b/>
              <w:bCs/>
            </w:rPr>
          </w:pPr>
          <w:r>
            <w:rPr>
              <w:rFonts w:ascii="Arial" w:hAnsi="Arial" w:cs="Arial"/>
              <w:b/>
              <w:i/>
              <w:iCs/>
            </w:rPr>
            <w:t>2025PHIE0108</w:t>
          </w:r>
          <w:bookmarkStart w:id="0" w:name="_GoBack"/>
          <w:bookmarkEnd w:id="0"/>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977AA7">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977AA7">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AA7" w:rsidRDefault="00977AA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AA7" w:rsidRDefault="00977AA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AA7" w:rsidRDefault="00977AA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AA7" w:rsidRDefault="00977A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07186A"/>
    <w:rsid w:val="0013689A"/>
    <w:rsid w:val="00666CC9"/>
    <w:rsid w:val="006C6E4C"/>
    <w:rsid w:val="00886311"/>
    <w:rsid w:val="008D0755"/>
    <w:rsid w:val="00977AA7"/>
    <w:rsid w:val="00A66C60"/>
    <w:rsid w:val="00CD5F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26130-B6C5-4E55-9EA1-BBC571202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3648</Words>
  <Characters>20068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23669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ALLOT Fabian</cp:lastModifiedBy>
  <cp:revision>6</cp:revision>
  <cp:lastPrinted>2023-09-26T08:15:00Z</cp:lastPrinted>
  <dcterms:created xsi:type="dcterms:W3CDTF">2025-07-02T08:17:00Z</dcterms:created>
  <dcterms:modified xsi:type="dcterms:W3CDTF">2025-08-19T14:09:00Z</dcterms:modified>
</cp:coreProperties>
</file>