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5764" w14:textId="17939E97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C50F09">
        <w:rPr>
          <w:rFonts w:ascii="Arial Narrow" w:hAnsi="Arial Narrow" w:cs="Calibri"/>
          <w:noProof/>
          <w:color w:val="000080"/>
          <w:sz w:val="24"/>
          <w:szCs w:val="24"/>
        </w:rPr>
        <w:t>26 août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29876C48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 w:rsidRPr="00A37B57">
        <w:rPr>
          <w:rFonts w:ascii="Arial Narrow" w:hAnsi="Arial Narrow" w:cstheme="minorHAnsi"/>
          <w:b/>
          <w:color w:val="000080"/>
          <w:sz w:val="56"/>
          <w:szCs w:val="56"/>
        </w:rPr>
        <w:t>Procédure Adaptée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A37B57" w:rsidRPr="00A37B57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307602">
        <w:rPr>
          <w:rFonts w:ascii="Arial Narrow" w:hAnsi="Arial Narrow" w:cstheme="minorHAnsi"/>
          <w:b/>
          <w:color w:val="000080"/>
          <w:sz w:val="56"/>
          <w:szCs w:val="56"/>
        </w:rPr>
        <w:t>8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71EFC164" w14:textId="77777777" w:rsidR="00A740E5" w:rsidRDefault="00A740E5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1299D9A7" w:rsidR="00BA6517" w:rsidRPr="005A5434" w:rsidRDefault="00307602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307602">
        <w:rPr>
          <w:rFonts w:ascii="Arial Narrow" w:hAnsi="Arial Narrow" w:cs="Calibri"/>
          <w:szCs w:val="24"/>
        </w:rPr>
        <w:t>Marché d’évacuation du mobilier, des équipements et des archives situés dans 4 locaux de l’URSSAF Midi-Pyrénées</w:t>
      </w:r>
    </w:p>
    <w:p w14:paraId="2BC97CC2" w14:textId="101C612D" w:rsidR="00196112" w:rsidRDefault="00A37B57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 </w:t>
      </w: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6BF49FAA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6271058B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DD409B0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46C72CA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7A84855E" w14:textId="5A30C330" w:rsidR="00A37B57" w:rsidRDefault="00A37B57" w:rsidP="00A37B57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spacing w:line="276" w:lineRule="auto"/>
        <w:ind w:left="2835"/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</w:pP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instrText xml:space="preserve"> FORMCHECKBOX </w:instrText>
      </w:r>
      <w:r w:rsidR="00C50F09">
        <w:rPr>
          <w:rFonts w:ascii="Arial Narrow" w:hAnsi="Arial Narrow" w:cs="Calibri"/>
          <w:b/>
          <w:bCs/>
          <w:sz w:val="24"/>
          <w:szCs w:val="24"/>
          <w:u w:val="single"/>
        </w:rPr>
      </w:r>
      <w:r w:rsidR="00C50F09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separate"/>
      </w: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end"/>
      </w:r>
      <w:bookmarkEnd w:id="2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LOT </w:t>
      </w:r>
      <w:r w:rsidR="001F1B03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2</w:t>
      </w:r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:</w:t>
      </w:r>
      <w:r w:rsidR="0030760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  <w:r w:rsidR="001F1B03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  <w:r w:rsidR="001F1B03" w:rsidRPr="001F1B03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Destruction des archives du site de Puygouzon </w:t>
      </w:r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</w:p>
    <w:p w14:paraId="37A6FF97" w14:textId="0C74CB35" w:rsidR="00A37B57" w:rsidRPr="005A5434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  <w:sectPr w:rsidR="00A37B57" w:rsidRPr="005A5434" w:rsidSect="00175CC1">
          <w:headerReference w:type="default" r:id="rId8"/>
          <w:footerReference w:type="even" r:id="rId9"/>
          <w:footerReference w:type="default" r:id="rId10"/>
          <w:footnotePr>
            <w:pos w:val="sectEnd"/>
          </w:footnotePr>
          <w:endnotePr>
            <w:numFmt w:val="decimal"/>
            <w:numStart w:val="0"/>
          </w:endnotePr>
          <w:pgSz w:w="11907" w:h="16840" w:code="9"/>
          <w:pgMar w:top="2552" w:right="902" w:bottom="709" w:left="1418" w:header="284" w:footer="720" w:gutter="0"/>
          <w:cols w:space="720"/>
        </w:sectPr>
      </w:pPr>
    </w:p>
    <w:p w14:paraId="1CA807F8" w14:textId="77777777" w:rsidR="008D3B0B" w:rsidRPr="00EC04A0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082BF7BB" w:rsidR="005874F2" w:rsidRPr="00A37B57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 xml:space="preserve">l’offre </w:t>
      </w:r>
      <w:r w:rsidR="00C4293A" w:rsidRPr="00A37B57">
        <w:rPr>
          <w:rFonts w:ascii="Arial Narrow" w:hAnsi="Arial Narrow" w:cstheme="minorHAnsi"/>
          <w:bCs/>
          <w:i/>
          <w:sz w:val="22"/>
          <w:szCs w:val="22"/>
        </w:rPr>
        <w:t xml:space="preserve">ainsi que le critère relatif au développement durable, et ce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>en complément de l’analyse du décompte des prix globaux et forfaitaires.</w:t>
      </w:r>
    </w:p>
    <w:p w14:paraId="61B09A9B" w14:textId="77777777" w:rsidR="00C4293A" w:rsidRPr="00A37B57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4A9ECC20" w14:textId="4C44ECF8" w:rsidR="005874F2" w:rsidRPr="00A37B57" w:rsidRDefault="007B208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A37B57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30 pages recto/verso de format A4.</w:t>
      </w: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/>
          <w:i/>
          <w:sz w:val="22"/>
        </w:rPr>
        <w:t>Le présent document constitue un cadre de réponse définissant un contenu que les candidats sont invités à respecter. Il est</w:t>
      </w:r>
      <w:r w:rsidRPr="00646D57">
        <w:rPr>
          <w:rFonts w:ascii="Arial Narrow" w:hAnsi="Arial Narrow"/>
          <w:i/>
          <w:sz w:val="22"/>
        </w:rPr>
        <w:t xml:space="preserve">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 mémoire doit répondre aux éléments ci-après tout en respectant l’ordre des chapitre</w:t>
      </w:r>
      <w:r w:rsidR="00C4293A">
        <w:rPr>
          <w:rFonts w:ascii="Arial Narrow" w:hAnsi="Arial Narrow"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4DA8B44C" w14:textId="77777777" w:rsidR="00101C0B" w:rsidRDefault="00101C0B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1272DAFE" w14:textId="77777777" w:rsidR="00A37B57" w:rsidRDefault="00A37B57" w:rsidP="0088473C">
      <w:pPr>
        <w:tabs>
          <w:tab w:val="left" w:pos="10915"/>
        </w:tabs>
        <w:ind w:left="142"/>
        <w:jc w:val="both"/>
        <w:rPr>
          <w:rFonts w:ascii="Arial Narrow" w:hAnsi="Arial Narrow" w:cstheme="minorHAnsi"/>
          <w:sz w:val="22"/>
          <w:szCs w:val="22"/>
        </w:rPr>
      </w:pPr>
    </w:p>
    <w:p w14:paraId="760431E1" w14:textId="77777777" w:rsidR="00A37B57" w:rsidRPr="00101C0B" w:rsidRDefault="00A37B57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7B51A663" w14:textId="2F07AE08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1 : </w:t>
      </w:r>
      <w:r w:rsidR="009870FE" w:rsidRPr="009870FE">
        <w:rPr>
          <w:rFonts w:ascii="Arial Narrow" w:hAnsi="Arial Narrow"/>
          <w:color w:val="002060"/>
        </w:rPr>
        <w:t>Méthodologie proposée pour l</w:t>
      </w:r>
      <w:r w:rsidR="001F1B03">
        <w:rPr>
          <w:rFonts w:ascii="Arial Narrow" w:hAnsi="Arial Narrow"/>
          <w:color w:val="002060"/>
        </w:rPr>
        <w:t>a destruction</w:t>
      </w:r>
      <w:r w:rsidR="009870FE" w:rsidRPr="009870FE">
        <w:rPr>
          <w:rFonts w:ascii="Arial Narrow" w:hAnsi="Arial Narrow"/>
          <w:color w:val="002060"/>
        </w:rPr>
        <w:t xml:space="preserve"> archives par sites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C50F09">
        <w:rPr>
          <w:rFonts w:ascii="Arial Narrow" w:hAnsi="Arial Narrow"/>
          <w:color w:val="002060"/>
        </w:rPr>
        <w:t>3</w:t>
      </w:r>
      <w:r w:rsidR="00760E3A">
        <w:rPr>
          <w:rFonts w:ascii="Arial Narrow" w:hAnsi="Arial Narrow"/>
          <w:color w:val="002060"/>
        </w:rPr>
        <w:t>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06692B5D" w14:textId="77777777" w:rsidR="00A37B57" w:rsidRPr="00CC494B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0BB14AF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54117EC9" w14:textId="3D2251C6" w:rsidR="00A37B57" w:rsidRDefault="00A37B57" w:rsidP="00A37B57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bookmarkStart w:id="3" w:name="_Hlk204687681"/>
      <w:r w:rsidRPr="00A37B57">
        <w:rPr>
          <w:rFonts w:ascii="Arial Narrow" w:hAnsi="Arial Narrow"/>
          <w:sz w:val="22"/>
          <w:szCs w:val="22"/>
        </w:rPr>
        <w:t xml:space="preserve">Méthodologie complète, adaptée au chantier </w:t>
      </w:r>
    </w:p>
    <w:p w14:paraId="56B6EFB5" w14:textId="77777777" w:rsidR="00B16E39" w:rsidRDefault="00B16E39" w:rsidP="00B16E39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51AF3EA" w14:textId="23E0F9AA" w:rsidR="00B16E39" w:rsidRPr="009870FE" w:rsidRDefault="00A37B57" w:rsidP="006553FF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 w:rsidRPr="009870FE">
        <w:rPr>
          <w:rFonts w:ascii="Arial Narrow" w:hAnsi="Arial Narrow"/>
          <w:sz w:val="22"/>
          <w:szCs w:val="22"/>
        </w:rPr>
        <w:t xml:space="preserve">Organisation du chantier : </w:t>
      </w:r>
      <w:r w:rsidR="00B16E39" w:rsidRPr="009870FE">
        <w:rPr>
          <w:rFonts w:ascii="Arial Narrow" w:hAnsi="Arial Narrow"/>
          <w:sz w:val="22"/>
          <w:szCs w:val="22"/>
        </w:rPr>
        <w:t xml:space="preserve">Benne, évacuation, </w:t>
      </w:r>
      <w:r w:rsidR="009870FE" w:rsidRPr="009870FE">
        <w:rPr>
          <w:rFonts w:ascii="Arial Narrow" w:hAnsi="Arial Narrow"/>
          <w:sz w:val="22"/>
          <w:szCs w:val="22"/>
        </w:rPr>
        <w:t>approvisionnement, sécurité</w:t>
      </w:r>
      <w:r w:rsidRPr="009870FE">
        <w:rPr>
          <w:rFonts w:ascii="Arial Narrow" w:hAnsi="Arial Narrow"/>
          <w:sz w:val="22"/>
          <w:szCs w:val="22"/>
        </w:rPr>
        <w:t xml:space="preserve"> de chantier</w:t>
      </w:r>
    </w:p>
    <w:bookmarkEnd w:id="3"/>
    <w:p w14:paraId="51494D52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4C8E2DF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2CAFADF" w14:textId="77777777" w:rsidR="00A37B57" w:rsidRP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4FA72AA2" w14:textId="227665D3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2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des obligations en matière de tri affectés à l’opération (recyclage, valorisation…) :</w:t>
      </w:r>
      <w:r w:rsidRPr="003F3A0F">
        <w:rPr>
          <w:rFonts w:ascii="Arial Narrow" w:hAnsi="Arial Narrow"/>
          <w:color w:val="002060"/>
        </w:rPr>
        <w:t xml:space="preserve"> </w:t>
      </w:r>
      <w:r w:rsidR="009870FE">
        <w:rPr>
          <w:rFonts w:ascii="Arial Narrow" w:hAnsi="Arial Narrow"/>
          <w:color w:val="002060"/>
        </w:rPr>
        <w:t>20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B1B6516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7B7B82B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64F5570C" w14:textId="542002ED" w:rsidR="00B16E39" w:rsidRPr="00760E3A" w:rsidRDefault="00760E3A" w:rsidP="00760E3A">
      <w:pPr>
        <w:pStyle w:val="Paragraphedeliste"/>
        <w:numPr>
          <w:ilvl w:val="0"/>
          <w:numId w:val="15"/>
        </w:numPr>
        <w:tabs>
          <w:tab w:val="left" w:pos="709"/>
          <w:tab w:val="left" w:pos="1134"/>
        </w:tabs>
        <w:ind w:left="142" w:firstLine="0"/>
        <w:rPr>
          <w:rFonts w:ascii="Arial Narrow" w:hAnsi="Arial Narrow"/>
          <w:sz w:val="22"/>
          <w:szCs w:val="22"/>
        </w:rPr>
      </w:pPr>
      <w:r w:rsidRPr="00760E3A">
        <w:rPr>
          <w:rFonts w:ascii="Arial Narrow" w:hAnsi="Arial Narrow"/>
          <w:sz w:val="22"/>
          <w:szCs w:val="22"/>
        </w:rPr>
        <w:t xml:space="preserve"> </w:t>
      </w:r>
      <w:r w:rsidR="000C36AC" w:rsidRPr="000C36AC">
        <w:rPr>
          <w:rFonts w:ascii="Arial Narrow" w:hAnsi="Arial Narrow"/>
          <w:sz w:val="22"/>
          <w:szCs w:val="22"/>
        </w:rPr>
        <w:t xml:space="preserve">La méthode </w:t>
      </w:r>
      <w:r w:rsidR="000C36AC">
        <w:rPr>
          <w:rFonts w:ascii="Arial Narrow" w:hAnsi="Arial Narrow"/>
          <w:sz w:val="22"/>
          <w:szCs w:val="22"/>
        </w:rPr>
        <w:t xml:space="preserve">des obligations </w:t>
      </w:r>
      <w:r w:rsidR="000C36AC" w:rsidRPr="000C36AC">
        <w:rPr>
          <w:rFonts w:ascii="Arial Narrow" w:hAnsi="Arial Narrow"/>
          <w:sz w:val="22"/>
          <w:szCs w:val="22"/>
        </w:rPr>
        <w:t>d’organisation à la mise en place du marché</w:t>
      </w:r>
    </w:p>
    <w:p w14:paraId="6B094A3B" w14:textId="3AAECE46" w:rsidR="00A37B57" w:rsidRDefault="00A37B57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532325D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42DA66D4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05C51BE" w14:textId="6E47798A" w:rsidR="00266BC1" w:rsidRPr="00CC494B" w:rsidRDefault="00266BC1" w:rsidP="00266BC1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3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 la traçabilité et justificatifs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C50F09">
        <w:rPr>
          <w:rFonts w:ascii="Arial Narrow" w:hAnsi="Arial Narrow"/>
          <w:color w:val="002060"/>
        </w:rPr>
        <w:t>1</w:t>
      </w:r>
      <w:r>
        <w:rPr>
          <w:rFonts w:ascii="Arial Narrow" w:hAnsi="Arial Narrow"/>
          <w:color w:val="002060"/>
        </w:rPr>
        <w:t xml:space="preserve">0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284EBF1" w14:textId="00B8D406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</w:t>
      </w:r>
    </w:p>
    <w:p w14:paraId="7620B12E" w14:textId="77777777" w:rsidR="000C36AC" w:rsidRDefault="000C36AC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33647073" w14:textId="77777777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C1103C7" w14:textId="02432E49" w:rsidR="00266BC1" w:rsidRDefault="00C50F09" w:rsidP="00266BC1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Méthode</w:t>
      </w:r>
      <w:r w:rsidR="000C36AC">
        <w:rPr>
          <w:rFonts w:ascii="Arial Narrow" w:hAnsi="Arial Narrow"/>
          <w:sz w:val="22"/>
          <w:szCs w:val="22"/>
        </w:rPr>
        <w:t xml:space="preserve"> de la traçabilité et des justificatifs.</w:t>
      </w:r>
    </w:p>
    <w:p w14:paraId="53147039" w14:textId="77777777" w:rsidR="009870FE" w:rsidRDefault="009870FE" w:rsidP="009870FE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E9ECD98" w14:textId="77777777" w:rsidR="009870FE" w:rsidRPr="009870FE" w:rsidRDefault="009870FE" w:rsidP="009870FE">
      <w:pPr>
        <w:rPr>
          <w:rFonts w:ascii="Arial Narrow" w:hAnsi="Arial Narrow"/>
          <w:sz w:val="22"/>
          <w:szCs w:val="22"/>
        </w:rPr>
      </w:pPr>
    </w:p>
    <w:p w14:paraId="219F6E3E" w14:textId="77777777" w:rsidR="00FD58D2" w:rsidRDefault="00FD58D2" w:rsidP="00FD58D2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2BA65AC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BDABC3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8D7A4EF" w14:textId="598A35C2" w:rsidR="00511780" w:rsidRDefault="00511780" w:rsidP="00511780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A382B5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1F3ABCDF" w14:textId="77777777" w:rsidR="00511780" w:rsidRDefault="00511780" w:rsidP="00266BC1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sectPr w:rsidR="00511780" w:rsidSect="001560D9">
      <w:headerReference w:type="default" r:id="rId11"/>
      <w:footerReference w:type="even" r:id="rId12"/>
      <w:footerReference w:type="default" r:id="rId13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ECC2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45B3ED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9E87" w14:textId="77777777" w:rsidR="00114BAC" w:rsidRDefault="00114BAC" w:rsidP="007702DC">
    <w:pPr>
      <w:pStyle w:val="Pieddepage"/>
      <w:ind w:right="709"/>
      <w:rPr>
        <w:b/>
        <w:i/>
        <w:sz w:val="18"/>
      </w:rPr>
    </w:pPr>
  </w:p>
  <w:p w14:paraId="33B15FA5" w14:textId="4A18E33C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62711B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A37B57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307602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17</w:t>
    </w:r>
    <w:r w:rsidRPr="00DD7044">
      <w:rPr>
        <w:rFonts w:ascii="Arial Narrow" w:hAnsi="Arial Narrow"/>
        <w:b/>
      </w:rPr>
      <w:fldChar w:fldCharType="end"/>
    </w:r>
  </w:p>
  <w:p w14:paraId="37EDB606" w14:textId="4F78C36D" w:rsidR="00114BAC" w:rsidRDefault="00841E61" w:rsidP="00BD2FF7">
    <w:pPr>
      <w:pStyle w:val="Pieddepage"/>
      <w:ind w:right="-1313" w:firstLine="3600"/>
      <w:jc w:val="right"/>
    </w:pP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227DEC" wp14:editId="6045A5D1">
              <wp:simplePos x="0" y="0"/>
              <wp:positionH relativeFrom="column">
                <wp:posOffset>8980805</wp:posOffset>
              </wp:positionH>
              <wp:positionV relativeFrom="paragraph">
                <wp:posOffset>-93345</wp:posOffset>
              </wp:positionV>
              <wp:extent cx="342900" cy="342265"/>
              <wp:effectExtent l="0" t="0" r="0" b="0"/>
              <wp:wrapNone/>
              <wp:docPr id="10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3333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F2890D" id="Rectangle 81" o:spid="_x0000_s1026" style="position:absolute;margin-left:707.15pt;margin-top:-7.35pt;width:27pt;height:2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" fillcolor="#339" stroked="f"/>
          </w:pict>
        </mc:Fallback>
      </mc:AlternateContent>
    </w: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F73005" wp14:editId="27FA1BA4">
              <wp:simplePos x="0" y="0"/>
              <wp:positionH relativeFrom="column">
                <wp:posOffset>8980805</wp:posOffset>
              </wp:positionH>
              <wp:positionV relativeFrom="paragraph">
                <wp:posOffset>-436245</wp:posOffset>
              </wp:positionV>
              <wp:extent cx="342900" cy="342265"/>
              <wp:effectExtent l="0" t="0" r="0" b="0"/>
              <wp:wrapNone/>
              <wp:docPr id="9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99CC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4A4425" id="Rectangle 82" o:spid="_x0000_s1026" style="position:absolute;margin-left:707.15pt;margin-top:-34.35pt;width:27pt;height:2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" fillcolor="#9c0" stroked="f"/>
          </w:pict>
        </mc:Fallback>
      </mc:AlternateContent>
    </w:r>
    <w:r w:rsidR="00C60615">
      <w:rPr>
        <w:rStyle w:val="Numrodepage"/>
        <w:b/>
        <w:i/>
        <w:sz w:val="18"/>
      </w:rPr>
      <w:tab/>
    </w:r>
    <w:r w:rsidR="00114BAC">
      <w:rPr>
        <w:rStyle w:val="Numrodepage"/>
        <w:b/>
        <w:i/>
        <w:sz w:val="18"/>
      </w:rPr>
      <w:fldChar w:fldCharType="begin"/>
    </w:r>
    <w:r w:rsidR="00114BAC">
      <w:rPr>
        <w:rStyle w:val="Numrodepage"/>
        <w:b/>
        <w:i/>
        <w:sz w:val="18"/>
      </w:rPr>
      <w:instrText xml:space="preserve"> PAGE </w:instrText>
    </w:r>
    <w:r w:rsidR="00114BAC">
      <w:rPr>
        <w:rStyle w:val="Numrodepage"/>
        <w:b/>
        <w:i/>
        <w:sz w:val="18"/>
      </w:rPr>
      <w:fldChar w:fldCharType="separate"/>
    </w:r>
    <w:r w:rsidR="00DF2266">
      <w:rPr>
        <w:rStyle w:val="Numrodepage"/>
        <w:b/>
        <w:i/>
        <w:noProof/>
        <w:sz w:val="18"/>
      </w:rPr>
      <w:t>1</w:t>
    </w:r>
    <w:r w:rsidR="00114BAC">
      <w:rPr>
        <w:rStyle w:val="Numrodepage"/>
        <w:b/>
        <w:i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7FFA" w14:textId="18A30952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4C4A88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585BB6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C041" w14:textId="77777777" w:rsidR="00114BAC" w:rsidRDefault="00114BAC" w:rsidP="00B869F4">
    <w:pPr>
      <w:pStyle w:val="En-tte"/>
      <w:tabs>
        <w:tab w:val="clear" w:pos="4536"/>
        <w:tab w:val="clear" w:pos="9072"/>
        <w:tab w:val="left" w:pos="8100"/>
      </w:tabs>
      <w:ind w:hanging="851"/>
    </w:pPr>
  </w:p>
  <w:p w14:paraId="12DC33CA" w14:textId="77777777" w:rsidR="00114BAC" w:rsidRDefault="00114BAC">
    <w:pPr>
      <w:pStyle w:val="En-tte"/>
      <w:ind w:hanging="851"/>
    </w:pPr>
  </w:p>
  <w:p w14:paraId="24BB8C60" w14:textId="77777777" w:rsidR="00114BAC" w:rsidRDefault="00114BAC">
    <w:pPr>
      <w:pStyle w:val="En-tte"/>
      <w:ind w:hanging="851"/>
    </w:pPr>
  </w:p>
  <w:p w14:paraId="4A04F6FF" w14:textId="77777777" w:rsidR="00114BAC" w:rsidRDefault="00986A11">
    <w:pPr>
      <w:pStyle w:val="En-tte"/>
      <w:ind w:hanging="851"/>
    </w:pPr>
    <w:r>
      <w:rPr>
        <w:noProof/>
      </w:rPr>
      <w:drawing>
        <wp:inline distT="0" distB="0" distL="0" distR="0" wp14:anchorId="69C55396" wp14:editId="5224A032">
          <wp:extent cx="2193555" cy="621102"/>
          <wp:effectExtent l="0" t="0" r="0" b="7620"/>
          <wp:docPr id="1380117042" name="Image 1380117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A315F"/>
    <w:multiLevelType w:val="hybridMultilevel"/>
    <w:tmpl w:val="5A54CDEC"/>
    <w:lvl w:ilvl="0" w:tplc="5B82049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D0E7B64"/>
    <w:multiLevelType w:val="hybridMultilevel"/>
    <w:tmpl w:val="4D7AB2BA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10"/>
  </w:num>
  <w:num w:numId="3" w16cid:durableId="896553290">
    <w:abstractNumId w:val="6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2"/>
  </w:num>
  <w:num w:numId="7" w16cid:durableId="286013280">
    <w:abstractNumId w:val="11"/>
  </w:num>
  <w:num w:numId="8" w16cid:durableId="1776053882">
    <w:abstractNumId w:val="17"/>
  </w:num>
  <w:num w:numId="9" w16cid:durableId="67655553">
    <w:abstractNumId w:val="9"/>
  </w:num>
  <w:num w:numId="10" w16cid:durableId="1568766131">
    <w:abstractNumId w:val="7"/>
  </w:num>
  <w:num w:numId="11" w16cid:durableId="1977180130">
    <w:abstractNumId w:val="8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5"/>
  </w:num>
  <w:num w:numId="15" w16cid:durableId="1537959614">
    <w:abstractNumId w:val="16"/>
  </w:num>
  <w:num w:numId="16" w16cid:durableId="41343152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2465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4EAA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3176"/>
    <w:rsid w:val="000C330A"/>
    <w:rsid w:val="000C36AC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1B03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6BC1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7602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4C3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4A88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104A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780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5BB6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C57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0E3A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229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D6EAE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473C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870FE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5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16E39"/>
    <w:rsid w:val="00B20FB6"/>
    <w:rsid w:val="00B21268"/>
    <w:rsid w:val="00B221A4"/>
    <w:rsid w:val="00B24121"/>
    <w:rsid w:val="00B2603F"/>
    <w:rsid w:val="00B30437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0F09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6D02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5ED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19D0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1D8F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58D2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semiHidden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  <w:style w:type="character" w:customStyle="1" w:styleId="Titre5Car">
    <w:name w:val="Titre 5 Car"/>
    <w:basedOn w:val="Policepardfaut"/>
    <w:link w:val="Titre5"/>
    <w:rsid w:val="00A37B57"/>
    <w:rPr>
      <w:rFonts w:ascii="Arial" w:hAnsi="Arial"/>
      <w:b/>
      <w:sz w:val="22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rsid w:val="00B16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274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PAITRE Cécile (Midi-Pyrénées)</cp:lastModifiedBy>
  <cp:revision>17</cp:revision>
  <cp:lastPrinted>2015-03-17T13:06:00Z</cp:lastPrinted>
  <dcterms:created xsi:type="dcterms:W3CDTF">2021-09-30T07:14:00Z</dcterms:created>
  <dcterms:modified xsi:type="dcterms:W3CDTF">2025-08-26T11:54:00Z</dcterms:modified>
</cp:coreProperties>
</file>