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478467" cy="81035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176904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1478466" cy="8103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16.41pt;height:63.81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Annexe 6 : Note méthodologique et technique</w:t>
      </w:r>
      <w:r>
        <w:rPr>
          <w:b/>
          <w:bCs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tbl>
      <w:tblPr>
        <w:tblStyle w:val="703"/>
        <w:tblW w:w="0" w:type="auto"/>
        <w:tblBorders/>
        <w:tblLook w:val="04A0" w:firstRow="1" w:lastRow="0" w:firstColumn="1" w:lastColumn="0" w:noHBand="0" w:noVBand="1"/>
      </w:tblPr>
      <w:tblGrid>
        <w:gridCol w:w="4536"/>
        <w:gridCol w:w="4536"/>
      </w:tblGrid>
      <w:tr>
        <w:trPr/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hd w:val="clear" w:color="auto" w:fill="ffffff"/>
              <w:spacing w:before="238" w:line="102" w:lineRule="atLeast"/>
              <w:ind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Référence</w:t>
            </w: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</w:tc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hd w:val="clear" w:color="auto" w:fill="ffffff"/>
              <w:spacing w:before="238" w:line="102" w:lineRule="atLeast"/>
              <w:ind/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 DSIGE-MISS-NAT-2025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r>
          </w:p>
        </w:tc>
      </w:tr>
      <w:tr>
        <w:trPr/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spacing w:before="100" w:beforeAutospacing="1" w:line="102" w:lineRule="atLeast"/>
              <w:ind/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sz w:val="24"/>
                <w:szCs w:val="24"/>
                <w:shd w:val="clear" w:color="auto" w:fill="ffffff"/>
                <w:lang w:val="en-US"/>
              </w:rPr>
            </w:r>
          </w:p>
          <w:p>
            <w:pPr>
              <w:pBdr/>
              <w:spacing w:before="100" w:beforeAutospacing="1" w:line="102" w:lineRule="atLeast"/>
              <w:ind/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Objet</w:t>
            </w:r>
            <w:r>
              <w:rPr>
                <w:b/>
                <w:sz w:val="24"/>
                <w:szCs w:val="24"/>
                <w:shd w:val="clear" w:color="auto" w:fill="ffffff"/>
              </w:rPr>
            </w:r>
            <w:r>
              <w:rPr>
                <w:b/>
                <w:sz w:val="24"/>
                <w:szCs w:val="24"/>
                <w:shd w:val="clear" w:color="auto" w:fill="ffffff"/>
              </w:rPr>
            </w:r>
          </w:p>
        </w:tc>
        <w:tc>
          <w:tcPr>
            <w:tcBorders/>
            <w:tcW w:w="4536" w:type="dxa"/>
            <w:textDirection w:val="lrTb"/>
            <w:noWrap w:val="false"/>
          </w:tcPr>
          <w:p>
            <w:pPr>
              <w:pBdr/>
              <w:tabs>
                <w:tab w:val="left" w:leader="none" w:pos="9638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Fourniture de prestations informatiques de réalisation, de maintenance et intégration pour les applications confiées à la mission nationale de la DSI de la région académique Grand Es</w:t>
            </w:r>
            <w:r>
              <w:rPr>
                <w:rFonts w:ascii="Arial" w:hAnsi="Arial" w:cs="Arial"/>
              </w:rPr>
              <w:t xml:space="preserve">t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CADRE </w:t>
      </w:r>
      <w:r>
        <w:rPr>
          <w:rFonts w:ascii="Arial" w:hAnsi="Arial" w:cs="Arial"/>
          <w:b/>
          <w:sz w:val="28"/>
          <w:szCs w:val="28"/>
        </w:rPr>
        <w:t xml:space="preserve">DE REPONSE</w:t>
      </w:r>
      <w:r>
        <w:rPr>
          <w:rFonts w:ascii="Arial" w:hAnsi="Arial" w:cs="Arial"/>
          <w:b/>
          <w:sz w:val="28"/>
          <w:szCs w:val="28"/>
        </w:rPr>
        <w:t xml:space="preserve"> : ACCORD-CADRE</w:t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NOTE METHODOLOGIQUE ET TECHNIQUE</w:t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tabs>
          <w:tab w:val="left" w:leader="none" w:pos="9071"/>
        </w:tabs>
        <w:spacing/>
        <w:ind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Critères d’appréciation de la valeur technique de l’offre </w:t>
      </w:r>
      <w:r>
        <w:rPr>
          <w:rFonts w:ascii="Arial" w:hAnsi="Arial" w:cs="Arial"/>
          <w:b/>
          <w:sz w:val="20"/>
          <w:szCs w:val="20"/>
        </w:rPr>
        <w:t xml:space="preserve">(se référer au règlement de la consultation)</w:t>
      </w:r>
      <w:r>
        <w:rPr>
          <w:rFonts w:ascii="Arial" w:hAnsi="Arial" w:cs="Arial"/>
          <w:b/>
          <w:sz w:val="20"/>
          <w:szCs w:val="20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 corps du présent document est à adapter en fonction de la présentation retenue par le candidat </w:t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</w:r>
      <w:r>
        <w:rPr>
          <w:rFonts w:ascii="Trebuchet MS" w:hAnsi="Trebuchet MS" w:eastAsia="Trebuchet MS" w:cs="Trebuchet MS"/>
          <w:color w:val="000000"/>
        </w:rPr>
      </w:r>
    </w:p>
    <w:p>
      <w:pPr>
        <w:pBdr/>
        <w:shd w:val="clear" w:color="auto" w:fill="e0dfe6"/>
        <w:spacing w:after="0"/>
        <w:ind w:right="1140" w:left="1259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 xml:space="preserve">Les candidats sont invités à compléter le présent document </w:t>
      </w:r>
      <w:r>
        <w:rPr>
          <w:rFonts w:ascii="Trebuchet MS" w:hAnsi="Trebuchet MS" w:eastAsia="Trebuchet MS" w:cs="Trebuchet MS"/>
          <w:color w:val="000000"/>
        </w:rPr>
      </w:r>
    </w:p>
    <w:p>
      <w:pPr>
        <w:pBdr/>
        <w:spacing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>
          <w:color w:val="5b9bd5" w:themeColor="accent1"/>
        </w:rPr>
      </w:pPr>
      <w:r>
        <w:rPr>
          <w:color w:val="5b9bd5" w:themeColor="accent1"/>
        </w:rPr>
        <w:t xml:space="preserve">PARTIE TECHNIQUE VALANT MEMOIRE TECHNIQUE</w:t>
      </w:r>
      <w:r>
        <w:rPr>
          <w:color w:val="5b9bd5" w:themeColor="accent1"/>
        </w:rPr>
      </w:r>
    </w:p>
    <w:p>
      <w:pPr>
        <w:pBdr/>
        <w:spacing/>
        <w:ind/>
        <w:rPr/>
      </w:pPr>
      <w:r>
        <w:rPr>
          <w:u w:val="single"/>
        </w:rPr>
        <w:t xml:space="preserve">Le candidat précisera ci-après</w:t>
      </w:r>
      <w:r>
        <w:t xml:space="preserve"> :</w:t>
      </w:r>
      <w:r/>
    </w:p>
    <w:p>
      <w:pPr>
        <w:pBdr/>
        <w:spacing/>
        <w:ind/>
        <w:rPr>
          <w:b/>
          <w:bCs/>
        </w:rPr>
      </w:pPr>
      <w:r>
        <w:rPr>
          <w:b/>
          <w:bCs/>
        </w:rPr>
        <w:t xml:space="preserve">I. Adaptation du profil du candidat à l’objet du marché</w:t>
      </w:r>
      <w:r>
        <w:rPr>
          <w:b/>
          <w:bCs/>
        </w:rPr>
      </w:r>
    </w:p>
    <w:p>
      <w:pPr>
        <w:pBdr/>
        <w:spacing/>
        <w:ind/>
        <w:rPr>
          <w:b/>
          <w:bCs/>
        </w:rPr>
      </w:pPr>
      <w:r>
        <w:rPr>
          <w:b/>
          <w:bCs/>
        </w:rPr>
        <w:t xml:space="preserve">1. Moyens humains affectés à la mission</w:t>
      </w:r>
      <w:r>
        <w:rPr>
          <w:b/>
          <w:bCs/>
        </w:rPr>
      </w:r>
    </w:p>
    <w:p>
      <w:pPr>
        <w:pBdr/>
        <w:spacing/>
        <w:ind/>
        <w:rPr>
          <w:b/>
          <w:bCs/>
        </w:rPr>
      </w:pPr>
      <w:r>
        <w:rPr>
          <w:b/>
          <w:bCs/>
        </w:rPr>
        <w:t xml:space="preserve">1.1 Organigramme fonctionnel de l’équipe</w:t>
      </w:r>
      <w:r>
        <w:rPr>
          <w:b/>
          <w:bCs/>
        </w:rPr>
        <w:t xml:space="preserve"> </w:t>
      </w:r>
      <w:r>
        <w:rPr>
          <w:b/>
          <w:bCs/>
        </w:rPr>
        <w:t xml:space="preserve">du candidat ou de l’équipe affectée à l’opération avec les coordonnées de chacun (Etudes, PAQ, Réalisation...)</w:t>
      </w:r>
      <w:r>
        <w:rPr>
          <w:b/>
          <w:bCs/>
        </w:rPr>
      </w:r>
    </w:p>
    <w:p>
      <w:pPr>
        <w:pBdr/>
        <w:spacing/>
        <w:ind/>
        <w:rPr/>
      </w:pPr>
      <w:r>
        <w:t xml:space="preserve">Le candidat devra présenter un </w:t>
      </w:r>
      <w:r>
        <w:rPr>
          <w:b/>
          <w:bCs/>
        </w:rPr>
        <w:t xml:space="preserve">organigramme fonctionnel complet</w:t>
      </w:r>
      <w:r>
        <w:t xml:space="preserve"> précisant :</w:t>
      </w:r>
      <w:r/>
    </w:p>
    <w:p>
      <w:pPr>
        <w:numPr>
          <w:ilvl w:val="0"/>
          <w:numId w:val="1"/>
        </w:numPr>
        <w:pBdr/>
        <w:spacing/>
        <w:ind/>
        <w:rPr/>
      </w:pPr>
      <w:r>
        <w:rPr>
          <w:b/>
          <w:bCs/>
        </w:rPr>
        <w:t xml:space="preserve">Les personnels affectés au sein de la Région Académique Grand Est</w:t>
      </w:r>
      <w:r>
        <w:t xml:space="preserve"> pour la réalisation des missions confiées via bons de commande : développeurs, analystes, testeurs, etc.</w:t>
      </w:r>
      <w:r/>
    </w:p>
    <w:p>
      <w:pPr>
        <w:numPr>
          <w:ilvl w:val="0"/>
          <w:numId w:val="1"/>
        </w:numPr>
        <w:pBdr/>
        <w:spacing/>
        <w:ind/>
        <w:rPr/>
      </w:pPr>
      <w:r>
        <w:rPr>
          <w:b/>
          <w:bCs/>
        </w:rPr>
        <w:t xml:space="preserve">Les personnels mobilisés en back-office</w:t>
      </w:r>
      <w:r>
        <w:t xml:space="preserve"> </w:t>
      </w:r>
      <w:r>
        <w:t xml:space="preserve">notamment </w:t>
      </w:r>
      <w:r>
        <w:t xml:space="preserve">pour encadrer, appuyer, sécuriser et contrôler les prestations, notamment :</w:t>
      </w:r>
      <w:r/>
    </w:p>
    <w:p>
      <w:pPr>
        <w:numPr>
          <w:ilvl w:val="1"/>
          <w:numId w:val="1"/>
        </w:numPr>
        <w:pBdr/>
        <w:spacing/>
        <w:ind/>
        <w:rPr/>
      </w:pPr>
      <w:r>
        <w:t xml:space="preserve">Chef de projet transverse / responsable de contrat</w:t>
      </w:r>
      <w:r/>
    </w:p>
    <w:p>
      <w:pPr>
        <w:numPr>
          <w:ilvl w:val="1"/>
          <w:numId w:val="1"/>
        </w:numPr>
        <w:pBdr/>
        <w:spacing/>
        <w:ind/>
        <w:rPr/>
      </w:pPr>
      <w:r>
        <w:t xml:space="preserve">Référent qualité / responsable Plan Assurance Qualité</w:t>
      </w:r>
      <w:r/>
    </w:p>
    <w:p>
      <w:pPr>
        <w:numPr>
          <w:ilvl w:val="1"/>
          <w:numId w:val="1"/>
        </w:numPr>
        <w:pBdr/>
        <w:spacing/>
        <w:ind/>
        <w:rPr/>
      </w:pPr>
      <w:r>
        <w:t xml:space="preserve">Experts techniques ponctuellement mobilisables (architecture, sécurité, performances, etc.)</w:t>
      </w:r>
      <w:r/>
    </w:p>
    <w:p>
      <w:pPr>
        <w:numPr>
          <w:ilvl w:val="1"/>
          <w:numId w:val="1"/>
        </w:numPr>
        <w:pBdr/>
        <w:spacing/>
        <w:ind/>
        <w:rPr/>
      </w:pPr>
      <w:r>
        <w:t xml:space="preserve">Responsable administratif et financier du marché</w:t>
      </w:r>
      <w:r/>
    </w:p>
    <w:p>
      <w:pPr>
        <w:numPr>
          <w:ilvl w:val="1"/>
          <w:numId w:val="1"/>
        </w:numPr>
        <w:pBdr/>
        <w:spacing/>
        <w:ind/>
        <w:rPr/>
      </w:pPr>
      <w:r>
        <w:t xml:space="preserve">Éventuels coordinateurs pour la gestion des affectations</w:t>
      </w:r>
      <w:r/>
    </w:p>
    <w:p>
      <w:pPr>
        <w:pBdr/>
        <w:spacing/>
        <w:ind/>
        <w:rPr/>
      </w:pPr>
      <w:r>
        <w:t xml:space="preserve">Cet organigramme devra </w:t>
      </w:r>
      <w:r>
        <w:t xml:space="preserve">notamment </w:t>
      </w:r>
      <w:r>
        <w:t xml:space="preserve">:</w:t>
      </w:r>
      <w:r/>
    </w:p>
    <w:p>
      <w:pPr>
        <w:numPr>
          <w:ilvl w:val="0"/>
          <w:numId w:val="2"/>
        </w:numPr>
        <w:pBdr/>
        <w:spacing/>
        <w:ind/>
        <w:rPr/>
      </w:pPr>
      <w:r>
        <w:t xml:space="preserve">Distinguer clairement les</w:t>
      </w:r>
      <w:r>
        <w:t xml:space="preserve"> ressources</w:t>
      </w:r>
      <w:r>
        <w:t xml:space="preserve"> </w:t>
      </w:r>
      <w:r>
        <w:rPr>
          <w:b/>
          <w:bCs/>
        </w:rPr>
        <w:t xml:space="preserve">restant en appui à distance</w:t>
      </w:r>
      <w:r>
        <w:t xml:space="preserve"> (back-office)</w:t>
      </w:r>
      <w:r/>
    </w:p>
    <w:p>
      <w:pPr>
        <w:pBdr/>
        <w:spacing w:after="0" w:line="240" w:lineRule="auto"/>
        <w:ind/>
        <w:rPr>
          <w:rFonts w:ascii="Arial" w:hAnsi="Arial" w:eastAsia="Times New Roman" w:cs="Arial"/>
          <w:sz w:val="27"/>
          <w:szCs w:val="27"/>
          <w:lang w:eastAsia="fr-FR"/>
        </w:rPr>
      </w:pPr>
      <w:r>
        <w:rPr>
          <w:rFonts w:ascii="Arial" w:hAnsi="Arial" w:eastAsia="Times New Roman" w:cs="Arial"/>
          <w:sz w:val="27"/>
          <w:szCs w:val="27"/>
          <w:lang w:eastAsia="fr-FR"/>
        </w:rPr>
      </w:r>
      <w:r>
        <w:rPr>
          <w:rFonts w:ascii="Arial" w:hAnsi="Arial" w:eastAsia="Times New Roman" w:cs="Arial"/>
          <w:sz w:val="27"/>
          <w:szCs w:val="27"/>
          <w:lang w:eastAsia="fr-FR"/>
        </w:rPr>
      </w:r>
    </w:p>
    <w:p>
      <w:pPr>
        <w:numPr>
          <w:ilvl w:val="0"/>
          <w:numId w:val="2"/>
        </w:numPr>
        <w:pBdr/>
        <w:spacing/>
        <w:ind/>
        <w:rPr/>
      </w:pPr>
      <w:r>
        <w:t xml:space="preserve">Indiquer pour chaque intervenant : nom, fonction, rôle dans la mission, expérience, rattachement hiérarchique, et coordonnées professionnelles</w:t>
      </w:r>
      <w:r/>
    </w:p>
    <w:p>
      <w:pPr>
        <w:numPr>
          <w:ilvl w:val="1"/>
          <w:numId w:val="2"/>
        </w:numPr>
        <w:pBdr/>
        <w:spacing/>
        <w:ind/>
        <w:rPr/>
      </w:pPr>
      <w:r>
        <w:t xml:space="preserve">Nombre de personnes affectées à la mission (mini ou maxi selon mission et planning) </w:t>
      </w:r>
      <w:r/>
    </w:p>
    <w:p>
      <w:pPr>
        <w:numPr>
          <w:ilvl w:val="1"/>
          <w:numId w:val="2"/>
        </w:numPr>
        <w:pBdr/>
        <w:spacing/>
        <w:ind/>
        <w:rPr/>
      </w:pPr>
      <w:r>
        <w:t xml:space="preserve">Par spécialité et fonction :</w:t>
      </w:r>
      <w:r/>
    </w:p>
    <w:p>
      <w:pPr>
        <w:numPr>
          <w:ilvl w:val="1"/>
          <w:numId w:val="2"/>
        </w:numPr>
        <w:pBdr/>
        <w:spacing/>
        <w:ind/>
        <w:rPr/>
      </w:pPr>
      <w:r>
        <w:t xml:space="preserve">Autres dispositions prévues par le candidat (personnes pressenties pour la réalisation avec l’ancienneté dans l’entreprise, la qualification, l’autonomie et les responsabilités exercées) :</w:t>
      </w:r>
      <w:r/>
    </w:p>
    <w:p>
      <w:pPr>
        <w:numPr>
          <w:ilvl w:val="0"/>
          <w:numId w:val="2"/>
        </w:numPr>
        <w:pBdr/>
        <w:spacing/>
        <w:ind/>
        <w:rPr/>
      </w:pPr>
      <w:r>
        <w:t xml:space="preserve">Exemple de découpage </w:t>
      </w:r>
      <w:r/>
    </w:p>
    <w:tbl>
      <w:tblPr>
        <w:tblStyle w:val="703"/>
        <w:tblW w:w="9264" w:type="dxa"/>
        <w:tblBorders/>
        <w:tblLook w:val="04A0" w:firstRow="1" w:lastRow="0" w:firstColumn="1" w:lastColumn="0" w:noHBand="0" w:noVBand="1"/>
      </w:tblPr>
      <w:tblGrid>
        <w:gridCol w:w="1589"/>
        <w:gridCol w:w="1457"/>
        <w:gridCol w:w="1453"/>
        <w:gridCol w:w="1576"/>
        <w:gridCol w:w="1683"/>
        <w:gridCol w:w="1506"/>
      </w:tblGrid>
      <w:tr>
        <w:trPr/>
        <w:tc>
          <w:tcPr>
            <w:tcBorders/>
            <w:tcW w:w="1501" w:type="dxa"/>
            <w:vAlign w:val="center"/>
            <w:textDirection w:val="lrTb"/>
            <w:noWrap w:val="false"/>
          </w:tcPr>
          <w:p>
            <w:pPr>
              <w:pBdr/>
              <w:spacing/>
              <w:ind w:left="3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Fonction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Nom / Prénom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Rôle vis-à-vis du marché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Profil / Compétences clés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Modalités d’intervention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eastAsia="fr-FR"/>
              </w:rPr>
              <w:t xml:space="preserve">Localisation siège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150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fr-FR"/>
              </w:rPr>
              <w:t xml:space="preserve">Chef de projet 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150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fr-FR"/>
              </w:rPr>
              <w:t xml:space="preserve">Responsable qualité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150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fr-FR"/>
              </w:rPr>
              <w:t xml:space="preserve">Expert sécurité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150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fr-FR"/>
              </w:rPr>
              <w:t xml:space="preserve">Responsable administratif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150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  <w:lang w:eastAsia="fr-FR"/>
              </w:rPr>
              <w:t xml:space="preserve">Référente RH opérationnelle</w:t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49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76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683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  <w:tc>
          <w:tcPr>
            <w:tcBorders/>
            <w:tcW w:w="15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>
              <w:rPr>
                <w:rFonts w:ascii="Calibri" w:hAnsi="Calibri" w:eastAsia="Calibri" w:cs="Calibri"/>
                <w:sz w:val="22"/>
                <w:szCs w:val="22"/>
              </w:rPr>
            </w:r>
          </w:p>
        </w:tc>
      </w:tr>
    </w:tbl>
    <w:p>
      <w:pPr>
        <w:pBdr/>
        <w:spacing/>
        <w:ind w:left="720"/>
        <w:rPr/>
      </w:pPr>
      <w:r/>
      <w:r/>
    </w:p>
    <w:p>
      <w:pPr>
        <w:numPr>
          <w:ilvl w:val="0"/>
          <w:numId w:val="2"/>
        </w:numPr>
        <w:pBdr/>
        <w:spacing/>
        <w:ind/>
        <w:rPr/>
      </w:pPr>
      <w:r>
        <w:t xml:space="preserve">Préciser les modalités de </w:t>
      </w:r>
      <w:r>
        <w:rPr>
          <w:b/>
          <w:bCs/>
        </w:rPr>
        <w:t xml:space="preserve">coordination entre le back-office et les équipes opérationnelles</w:t>
      </w:r>
      <w:r>
        <w:t xml:space="preserve"> </w:t>
      </w:r>
      <w:r/>
    </w:p>
    <w:p>
      <w:pPr>
        <w:pStyle w:val="698"/>
        <w:pBdr/>
        <w:spacing w:after="200" w:line="276" w:lineRule="auto"/>
        <w:ind/>
        <w:rPr>
          <w:rFonts w:cs="Arial"/>
          <w:szCs w:val="20"/>
        </w:rPr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</w:r>
    </w:p>
    <w:p>
      <w:pPr>
        <w:pBdr/>
        <w:spacing/>
        <w:ind w:left="720"/>
        <w:rPr/>
      </w:pPr>
      <w:r/>
      <w:r/>
    </w:p>
    <w:p>
      <w:pPr>
        <w:numPr>
          <w:ilvl w:val="0"/>
          <w:numId w:val="2"/>
        </w:numPr>
        <w:pBdr/>
        <w:spacing/>
        <w:ind/>
        <w:rPr/>
      </w:pPr>
      <w:r>
        <w:t xml:space="preserve">Moyens apportés par les sous-</w:t>
      </w:r>
      <w:r>
        <w:t xml:space="preserve">traitants  (</w:t>
      </w:r>
      <w:r>
        <w:t xml:space="preserve">le cas échéant)</w:t>
      </w:r>
      <w:r/>
    </w:p>
    <w:p>
      <w:pPr>
        <w:pBdr/>
        <w:spacing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</w:r>
    </w:p>
    <w:p>
      <w:pPr>
        <w:pBdr/>
        <w:spacing/>
        <w:ind w:left="720"/>
        <w:rPr>
          <w:rFonts w:cs="Arial"/>
          <w:szCs w:val="20"/>
        </w:rPr>
      </w:pPr>
      <w:r>
        <w:rPr>
          <w:rFonts w:cs="Arial"/>
          <w:szCs w:val="20"/>
        </w:rPr>
      </w:r>
      <w:r>
        <w:rPr>
          <w:rFonts w:cs="Arial"/>
          <w:szCs w:val="20"/>
        </w:rPr>
      </w:r>
    </w:p>
    <w:p>
      <w:pPr>
        <w:pBdr/>
        <w:spacing/>
        <w:ind/>
        <w:rPr/>
      </w:pPr>
      <w:r>
        <w:t xml:space="preserve">Le </w:t>
      </w:r>
      <w:r>
        <w:t xml:space="preserve">rectorat</w:t>
      </w:r>
      <w:r>
        <w:t xml:space="preserve"> attend une organisation claire, cohérente, favorisant la réactivité, le soutien technique et le bon déroulement du marché.</w:t>
      </w:r>
      <w:r/>
    </w:p>
    <w:p>
      <w:pPr>
        <w:pBdr/>
        <w:spacing/>
        <w:ind/>
        <w:rPr/>
      </w:pPr>
      <w:r>
        <w:t xml:space="preserve">A intégrer à ce cadre les développements portant sur :</w:t>
      </w:r>
      <w:r/>
    </w:p>
    <w:p>
      <w:pPr>
        <w:numPr>
          <w:ilvl w:val="0"/>
          <w:numId w:val="4"/>
        </w:numPr>
        <w:pBdr/>
        <w:spacing/>
        <w:ind/>
        <w:rPr/>
      </w:pPr>
      <w:r>
        <w:t xml:space="preserve">la</w:t>
      </w:r>
      <w:r>
        <w:t xml:space="preserve"> compréhension du besoin et des enjeux</w:t>
      </w:r>
      <w:r>
        <w:t xml:space="preserve"> :</w:t>
      </w:r>
      <w:r/>
    </w:p>
    <w:p>
      <w:pPr>
        <w:pStyle w:val="698"/>
        <w:pBdr/>
        <w:spacing/>
        <w:ind/>
        <w:rPr>
          <w:rFonts w:cs="Arial"/>
          <w:szCs w:val="20"/>
        </w:rPr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</w:r>
    </w:p>
    <w:p>
      <w:pPr>
        <w:pBdr/>
        <w:spacing/>
        <w:ind/>
        <w:rPr/>
      </w:pPr>
      <w:r/>
      <w:r/>
    </w:p>
    <w:p>
      <w:pPr>
        <w:pStyle w:val="698"/>
        <w:numPr>
          <w:ilvl w:val="0"/>
          <w:numId w:val="5"/>
        </w:numPr>
        <w:pBdr/>
        <w:spacing/>
        <w:ind w:hanging="283" w:left="709"/>
        <w:rPr>
          <w:rFonts w:cs="Arial"/>
          <w:szCs w:val="20"/>
        </w:rPr>
      </w:pPr>
      <w:r>
        <w:t xml:space="preserve">la</w:t>
      </w:r>
      <w:r>
        <w:t xml:space="preserve"> description de l’organisation et de la méthodologie </w:t>
      </w:r>
      <w:r>
        <w:t xml:space="preserve"> </w:t>
      </w: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</w:r>
    </w:p>
    <w:p>
      <w:pPr>
        <w:numPr>
          <w:ilvl w:val="0"/>
          <w:numId w:val="4"/>
        </w:numPr>
        <w:pBdr/>
        <w:spacing/>
        <w:ind/>
        <w:rPr/>
      </w:pPr>
      <w:r>
        <w:t xml:space="preserve">la</w:t>
      </w:r>
      <w:r>
        <w:t xml:space="preserve"> description de la forme et du contenu des livrables exigés dans le CCTP </w:t>
      </w:r>
      <w:r/>
    </w:p>
    <w:p>
      <w:pPr>
        <w:pBdr/>
        <w:spacing/>
        <w:ind w:left="720"/>
        <w:rPr/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/>
    </w:p>
    <w:p>
      <w:pPr>
        <w:numPr>
          <w:ilvl w:val="0"/>
          <w:numId w:val="4"/>
        </w:numPr>
        <w:pBdr/>
        <w:spacing/>
        <w:ind/>
        <w:rPr/>
      </w:pPr>
      <w:r>
        <w:t xml:space="preserve">les</w:t>
      </w:r>
      <w:r>
        <w:t xml:space="preserve"> modalités d’assurance qualité mises en œuvre </w:t>
      </w:r>
      <w:r/>
    </w:p>
    <w:p>
      <w:pPr>
        <w:pStyle w:val="698"/>
        <w:numPr>
          <w:ilvl w:val="0"/>
          <w:numId w:val="4"/>
        </w:numPr>
        <w:pBdr/>
        <w:spacing/>
        <w:ind/>
        <w:rPr/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/>
    </w:p>
    <w:p>
      <w:pPr>
        <w:pBdr/>
        <w:spacing/>
        <w:ind w:left="720"/>
        <w:rPr/>
      </w:pPr>
      <w:r/>
      <w:r/>
    </w:p>
    <w:p>
      <w:pPr>
        <w:numPr>
          <w:ilvl w:val="0"/>
          <w:numId w:val="4"/>
        </w:numPr>
        <w:pBdr/>
        <w:spacing/>
        <w:ind/>
        <w:rPr/>
      </w:pPr>
      <w:r>
        <w:t xml:space="preserve">les</w:t>
      </w:r>
      <w:r>
        <w:t xml:space="preserve"> modalités de gouvernance</w:t>
      </w:r>
      <w:r>
        <w:t xml:space="preserve"> </w:t>
      </w:r>
      <w:r/>
    </w:p>
    <w:p>
      <w:pPr>
        <w:pStyle w:val="698"/>
        <w:pBdr/>
        <w:spacing/>
        <w:ind/>
        <w:rPr/>
      </w:pPr>
      <w:r/>
      <w:r/>
    </w:p>
    <w:p>
      <w:pPr>
        <w:pBdr/>
        <w:spacing/>
        <w:ind w:left="720"/>
        <w:rPr/>
      </w:pPr>
      <w:r>
        <w:rPr>
          <w:rFonts w:cs="Arial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/>
    </w:p>
    <w:p>
      <w:pPr>
        <w:pBdr/>
        <w:spacing/>
        <w:ind w:left="720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erReference w:type="default" r:id="rId9"/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00000000000000000"/>
  </w:font>
  <w:font w:name="Trebuchet MS">
    <w:panose1 w:val="020B0603020202020204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7"/>
      <w:pBdr/>
      <w:spacing/>
      <w:ind/>
      <w:jc w:val="right"/>
      <w:rPr>
        <w:sz w:val="20"/>
        <w:szCs w:val="20"/>
      </w:rPr>
    </w:pPr>
    <w:fldSimple w:instr="PAGE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  <w:t xml:space="preserve">/</w:t>
    </w:r>
    <w:fldSimple w:instr="NUMPAGES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</w:r>
  </w:p>
  <w:p>
    <w:pPr>
      <w:pStyle w:val="177"/>
      <w:pBdr/>
      <w:spacing/>
      <w:ind/>
      <w:rPr/>
    </w:pP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6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680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80"/>
    <w:link w:val="67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80"/>
    <w:link w:val="6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80"/>
    <w:link w:val="67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80"/>
    <w:link w:val="67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80"/>
    <w:link w:val="67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80"/>
    <w:link w:val="67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80"/>
    <w:link w:val="67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80"/>
    <w:link w:val="67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680"/>
    <w:link w:val="69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680"/>
    <w:link w:val="69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680"/>
    <w:link w:val="69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680"/>
    <w:link w:val="700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169">
    <w:name w:val="No Spacing"/>
    <w:basedOn w:val="67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8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8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8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8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8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7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80"/>
    <w:link w:val="175"/>
    <w:uiPriority w:val="99"/>
    <w:pPr>
      <w:pBdr/>
      <w:spacing/>
      <w:ind/>
    </w:pPr>
  </w:style>
  <w:style w:type="paragraph" w:styleId="177">
    <w:name w:val="Footer"/>
    <w:basedOn w:val="67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80"/>
    <w:link w:val="177"/>
    <w:uiPriority w:val="99"/>
    <w:pPr>
      <w:pBdr/>
      <w:spacing/>
      <w:ind/>
    </w:pPr>
  </w:style>
  <w:style w:type="paragraph" w:styleId="179">
    <w:name w:val="Caption"/>
    <w:basedOn w:val="670"/>
    <w:next w:val="67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7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8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8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7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8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8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8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8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70"/>
    <w:next w:val="670"/>
    <w:uiPriority w:val="39"/>
    <w:unhideWhenUsed/>
    <w:pPr>
      <w:pBdr/>
      <w:spacing w:after="100"/>
      <w:ind/>
    </w:pPr>
  </w:style>
  <w:style w:type="paragraph" w:styleId="189">
    <w:name w:val="toc 2"/>
    <w:basedOn w:val="670"/>
    <w:next w:val="670"/>
    <w:uiPriority w:val="39"/>
    <w:unhideWhenUsed/>
    <w:pPr>
      <w:pBdr/>
      <w:spacing w:after="100"/>
      <w:ind w:left="220"/>
    </w:pPr>
  </w:style>
  <w:style w:type="paragraph" w:styleId="190">
    <w:name w:val="toc 3"/>
    <w:basedOn w:val="670"/>
    <w:next w:val="670"/>
    <w:uiPriority w:val="39"/>
    <w:unhideWhenUsed/>
    <w:pPr>
      <w:pBdr/>
      <w:spacing w:after="100"/>
      <w:ind w:left="440"/>
    </w:pPr>
  </w:style>
  <w:style w:type="paragraph" w:styleId="191">
    <w:name w:val="toc 4"/>
    <w:basedOn w:val="670"/>
    <w:next w:val="670"/>
    <w:uiPriority w:val="39"/>
    <w:unhideWhenUsed/>
    <w:pPr>
      <w:pBdr/>
      <w:spacing w:after="100"/>
      <w:ind w:left="660"/>
    </w:pPr>
  </w:style>
  <w:style w:type="paragraph" w:styleId="192">
    <w:name w:val="toc 5"/>
    <w:basedOn w:val="670"/>
    <w:next w:val="670"/>
    <w:uiPriority w:val="39"/>
    <w:unhideWhenUsed/>
    <w:pPr>
      <w:pBdr/>
      <w:spacing w:after="100"/>
      <w:ind w:left="880"/>
    </w:pPr>
  </w:style>
  <w:style w:type="paragraph" w:styleId="193">
    <w:name w:val="toc 6"/>
    <w:basedOn w:val="670"/>
    <w:next w:val="670"/>
    <w:uiPriority w:val="39"/>
    <w:unhideWhenUsed/>
    <w:pPr>
      <w:pBdr/>
      <w:spacing w:after="100"/>
      <w:ind w:left="1100"/>
    </w:pPr>
  </w:style>
  <w:style w:type="paragraph" w:styleId="194">
    <w:name w:val="toc 7"/>
    <w:basedOn w:val="670"/>
    <w:next w:val="670"/>
    <w:uiPriority w:val="39"/>
    <w:unhideWhenUsed/>
    <w:pPr>
      <w:pBdr/>
      <w:spacing w:after="100"/>
      <w:ind w:left="1320"/>
    </w:pPr>
  </w:style>
  <w:style w:type="paragraph" w:styleId="195">
    <w:name w:val="toc 8"/>
    <w:basedOn w:val="670"/>
    <w:next w:val="670"/>
    <w:uiPriority w:val="39"/>
    <w:unhideWhenUsed/>
    <w:pPr>
      <w:pBdr/>
      <w:spacing w:after="100"/>
      <w:ind w:left="1540"/>
    </w:pPr>
  </w:style>
  <w:style w:type="paragraph" w:styleId="196">
    <w:name w:val="toc 9"/>
    <w:basedOn w:val="670"/>
    <w:next w:val="67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70"/>
    <w:next w:val="670"/>
    <w:uiPriority w:val="99"/>
    <w:unhideWhenUsed/>
    <w:pPr>
      <w:pBdr/>
      <w:spacing w:after="0" w:afterAutospacing="0"/>
      <w:ind/>
    </w:pPr>
  </w:style>
  <w:style w:type="paragraph" w:styleId="670" w:default="1">
    <w:name w:val="Normal"/>
    <w:qFormat/>
    <w:pPr>
      <w:pBdr/>
      <w:spacing/>
      <w:ind/>
    </w:pPr>
  </w:style>
  <w:style w:type="paragraph" w:styleId="671">
    <w:name w:val="Heading 1"/>
    <w:basedOn w:val="670"/>
    <w:next w:val="670"/>
    <w:link w:val="68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672">
    <w:name w:val="Heading 2"/>
    <w:basedOn w:val="670"/>
    <w:next w:val="670"/>
    <w:link w:val="684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73">
    <w:name w:val="Heading 3"/>
    <w:basedOn w:val="670"/>
    <w:next w:val="670"/>
    <w:link w:val="685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674">
    <w:name w:val="Heading 4"/>
    <w:basedOn w:val="670"/>
    <w:next w:val="670"/>
    <w:link w:val="686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675">
    <w:name w:val="Heading 5"/>
    <w:basedOn w:val="670"/>
    <w:next w:val="670"/>
    <w:link w:val="687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2e74b5" w:themeColor="accent1" w:themeShade="BF"/>
    </w:rPr>
  </w:style>
  <w:style w:type="paragraph" w:styleId="676">
    <w:name w:val="Heading 6"/>
    <w:basedOn w:val="670"/>
    <w:next w:val="670"/>
    <w:link w:val="688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77">
    <w:name w:val="Heading 7"/>
    <w:basedOn w:val="670"/>
    <w:next w:val="670"/>
    <w:link w:val="689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678">
    <w:name w:val="Heading 8"/>
    <w:basedOn w:val="670"/>
    <w:next w:val="670"/>
    <w:link w:val="690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79">
    <w:name w:val="Heading 9"/>
    <w:basedOn w:val="670"/>
    <w:next w:val="670"/>
    <w:link w:val="691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680" w:default="1">
    <w:name w:val="Default Paragraph Font"/>
    <w:uiPriority w:val="1"/>
    <w:unhideWhenUsed/>
    <w:pPr>
      <w:pBdr/>
      <w:spacing/>
      <w:ind/>
    </w:pPr>
  </w:style>
  <w:style w:type="table" w:styleId="68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2" w:default="1">
    <w:name w:val="No List"/>
    <w:uiPriority w:val="99"/>
    <w:semiHidden/>
    <w:unhideWhenUsed/>
    <w:pPr>
      <w:pBdr/>
      <w:spacing/>
      <w:ind/>
    </w:pPr>
  </w:style>
  <w:style w:type="character" w:styleId="683" w:customStyle="1">
    <w:name w:val="Titre 1 Car"/>
    <w:basedOn w:val="680"/>
    <w:link w:val="671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684" w:customStyle="1">
    <w:name w:val="Titre 2 Car"/>
    <w:basedOn w:val="680"/>
    <w:link w:val="672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685" w:customStyle="1">
    <w:name w:val="Titre 3 Car"/>
    <w:basedOn w:val="680"/>
    <w:link w:val="673"/>
    <w:uiPriority w:val="9"/>
    <w:semiHidden/>
    <w:pPr>
      <w:pBdr/>
      <w:spacing/>
      <w:ind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styleId="686" w:customStyle="1">
    <w:name w:val="Titre 4 Car"/>
    <w:basedOn w:val="680"/>
    <w:link w:val="674"/>
    <w:uiPriority w:val="9"/>
    <w:semiHidden/>
    <w:pPr>
      <w:pBdr/>
      <w:spacing/>
      <w:ind/>
    </w:pPr>
    <w:rPr>
      <w:rFonts w:eastAsiaTheme="majorEastAsia" w:cstheme="majorBidi"/>
      <w:i/>
      <w:iCs/>
      <w:color w:val="2e74b5" w:themeColor="accent1" w:themeShade="BF"/>
    </w:rPr>
  </w:style>
  <w:style w:type="character" w:styleId="687" w:customStyle="1">
    <w:name w:val="Titre 5 Car"/>
    <w:basedOn w:val="680"/>
    <w:link w:val="675"/>
    <w:uiPriority w:val="9"/>
    <w:semiHidden/>
    <w:pPr>
      <w:pBdr/>
      <w:spacing/>
      <w:ind/>
    </w:pPr>
    <w:rPr>
      <w:rFonts w:eastAsiaTheme="majorEastAsia" w:cstheme="majorBidi"/>
      <w:color w:val="2e74b5" w:themeColor="accent1" w:themeShade="BF"/>
    </w:rPr>
  </w:style>
  <w:style w:type="character" w:styleId="688" w:customStyle="1">
    <w:name w:val="Titre 6 Car"/>
    <w:basedOn w:val="680"/>
    <w:link w:val="676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689" w:customStyle="1">
    <w:name w:val="Titre 7 Car"/>
    <w:basedOn w:val="680"/>
    <w:link w:val="677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690" w:customStyle="1">
    <w:name w:val="Titre 8 Car"/>
    <w:basedOn w:val="680"/>
    <w:link w:val="678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691" w:customStyle="1">
    <w:name w:val="Titre 9 Car"/>
    <w:basedOn w:val="680"/>
    <w:link w:val="679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692">
    <w:name w:val="Title"/>
    <w:basedOn w:val="670"/>
    <w:next w:val="670"/>
    <w:link w:val="693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93" w:customStyle="1">
    <w:name w:val="Titre Car"/>
    <w:basedOn w:val="680"/>
    <w:link w:val="692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94">
    <w:name w:val="Subtitle"/>
    <w:basedOn w:val="670"/>
    <w:next w:val="670"/>
    <w:link w:val="695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95" w:customStyle="1">
    <w:name w:val="Sous-titre Car"/>
    <w:basedOn w:val="680"/>
    <w:link w:val="694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96">
    <w:name w:val="Quote"/>
    <w:basedOn w:val="670"/>
    <w:next w:val="670"/>
    <w:link w:val="69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697" w:customStyle="1">
    <w:name w:val="Citation Car"/>
    <w:basedOn w:val="680"/>
    <w:link w:val="69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698">
    <w:name w:val="List Paragraph"/>
    <w:basedOn w:val="670"/>
    <w:uiPriority w:val="34"/>
    <w:qFormat/>
    <w:pPr>
      <w:pBdr/>
      <w:spacing/>
      <w:ind w:left="720"/>
      <w:contextualSpacing w:val="true"/>
    </w:pPr>
  </w:style>
  <w:style w:type="character" w:styleId="699">
    <w:name w:val="Intense Emphasis"/>
    <w:basedOn w:val="680"/>
    <w:uiPriority w:val="21"/>
    <w:qFormat/>
    <w:pPr>
      <w:pBdr/>
      <w:spacing/>
      <w:ind/>
    </w:pPr>
    <w:rPr>
      <w:i/>
      <w:iCs/>
      <w:color w:val="2e74b5" w:themeColor="accent1" w:themeShade="BF"/>
    </w:rPr>
  </w:style>
  <w:style w:type="paragraph" w:styleId="700">
    <w:name w:val="Intense Quote"/>
    <w:basedOn w:val="670"/>
    <w:next w:val="670"/>
    <w:link w:val="701"/>
    <w:uiPriority w:val="30"/>
    <w:qFormat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after="360" w:before="360"/>
      <w:ind w:right="864" w:left="864"/>
      <w:jc w:val="center"/>
    </w:pPr>
    <w:rPr>
      <w:i/>
      <w:iCs/>
      <w:color w:val="2e74b5" w:themeColor="accent1" w:themeShade="BF"/>
    </w:rPr>
  </w:style>
  <w:style w:type="character" w:styleId="701" w:customStyle="1">
    <w:name w:val="Citation intense Car"/>
    <w:basedOn w:val="680"/>
    <w:link w:val="700"/>
    <w:uiPriority w:val="30"/>
    <w:pPr>
      <w:pBdr/>
      <w:spacing/>
      <w:ind/>
    </w:pPr>
    <w:rPr>
      <w:i/>
      <w:iCs/>
      <w:color w:val="2e74b5" w:themeColor="accent1" w:themeShade="BF"/>
    </w:rPr>
  </w:style>
  <w:style w:type="character" w:styleId="702">
    <w:name w:val="Intense Reference"/>
    <w:basedOn w:val="680"/>
    <w:uiPriority w:val="32"/>
    <w:qFormat/>
    <w:pPr>
      <w:pBdr/>
      <w:spacing/>
      <w:ind/>
    </w:pPr>
    <w:rPr>
      <w:b/>
      <w:bCs/>
      <w:smallCaps/>
      <w:color w:val="2e74b5" w:themeColor="accent1" w:themeShade="BF"/>
      <w:spacing w:val="5"/>
    </w:rPr>
  </w:style>
  <w:style w:type="table" w:styleId="703">
    <w:name w:val="Table Grid"/>
    <w:basedOn w:val="68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CC9E5-C1B6-496E-B456-C9917C01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onlyoffice/8.3.3.18</Application>
  <DocSecurity>0</DocSecurity>
  <ScaleCrop>0</ScaleCrop>
  <HeadingPairs>
    <vt:vector size="0" baseType="variant"/>
  </HeadingPairs>
  <TitlesOfParts>
    <vt:vector size="0" baseType="lpstr"/>
  </TitlesOfParts>
  <Company>Recotrat de Nancy-Metz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efavret@int.ac-nancy-metz.fr</dc:creator>
  <cp:keywords/>
  <dc:description/>
  <cp:lastModifiedBy>Guylaine FEIPEL</cp:lastModifiedBy>
  <cp:revision>3</cp:revision>
  <dcterms:created xsi:type="dcterms:W3CDTF">2025-07-07T13:25:00Z</dcterms:created>
  <dcterms:modified xsi:type="dcterms:W3CDTF">2025-07-08T15:17:34Z</dcterms:modified>
</cp:coreProperties>
</file>