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89" w:type="dxa"/>
        <w:jc w:val="center"/>
        <w:tblLayout w:type="fixed"/>
        <w:tblCellMar>
          <w:left w:w="70" w:type="dxa"/>
          <w:right w:w="70" w:type="dxa"/>
        </w:tblCellMar>
        <w:tblLook w:val="0000" w:firstRow="0" w:lastRow="0" w:firstColumn="0" w:lastColumn="0" w:noHBand="0" w:noVBand="0"/>
      </w:tblPr>
      <w:tblGrid>
        <w:gridCol w:w="1702"/>
        <w:gridCol w:w="8987"/>
      </w:tblGrid>
      <w:tr w:rsidR="00EC7703" w:rsidRPr="000501F6" w14:paraId="3C258EC8" w14:textId="77777777" w:rsidTr="00EE48C5">
        <w:trPr>
          <w:jc w:val="center"/>
        </w:trPr>
        <w:tc>
          <w:tcPr>
            <w:tcW w:w="1702" w:type="dxa"/>
            <w:vAlign w:val="center"/>
          </w:tcPr>
          <w:p w14:paraId="06B17028" w14:textId="77777777" w:rsidR="00EC7703" w:rsidRPr="000501F6" w:rsidRDefault="00EC7703" w:rsidP="00EC7703">
            <w:pPr>
              <w:jc w:val="center"/>
            </w:pPr>
            <w:r>
              <w:rPr>
                <w:noProof/>
              </w:rPr>
              <w:drawing>
                <wp:inline distT="0" distB="0" distL="0" distR="0" wp14:anchorId="0B220009" wp14:editId="32681E81">
                  <wp:extent cx="903605" cy="903605"/>
                  <wp:effectExtent l="0" t="0" r="0" b="0"/>
                  <wp:docPr id="1" name="Image 1" descr="logoquadri_150dpi_25_I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quadri_150dpi_25_I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8987" w:type="dxa"/>
          </w:tcPr>
          <w:p w14:paraId="60286B4C" w14:textId="77777777" w:rsidR="0006606C" w:rsidRPr="008D4220" w:rsidRDefault="0006606C" w:rsidP="008D4220">
            <w:pPr>
              <w:pStyle w:val="DCETexte"/>
              <w:ind w:left="44" w:right="-108" w:firstLine="0"/>
              <w:jc w:val="center"/>
              <w:rPr>
                <w:rFonts w:ascii="Arial" w:hAnsi="Arial" w:cs="Arial"/>
                <w:b/>
                <w:smallCaps/>
                <w:sz w:val="26"/>
                <w:szCs w:val="26"/>
              </w:rPr>
            </w:pPr>
            <w:r w:rsidRPr="008D4220">
              <w:rPr>
                <w:rFonts w:ascii="Arial" w:hAnsi="Arial" w:cs="Arial"/>
                <w:b/>
                <w:smallCaps/>
                <w:sz w:val="40"/>
                <w:szCs w:val="40"/>
              </w:rPr>
              <w:t>D</w:t>
            </w:r>
            <w:r w:rsidRPr="008D4220">
              <w:rPr>
                <w:rFonts w:ascii="Arial" w:hAnsi="Arial" w:cs="Arial"/>
                <w:b/>
                <w:smallCaps/>
                <w:sz w:val="36"/>
                <w:szCs w:val="36"/>
              </w:rPr>
              <w:t xml:space="preserve">irection de la </w:t>
            </w:r>
            <w:r w:rsidRPr="008D4220">
              <w:rPr>
                <w:rFonts w:ascii="Arial" w:hAnsi="Arial" w:cs="Arial"/>
                <w:b/>
                <w:smallCaps/>
                <w:sz w:val="40"/>
                <w:szCs w:val="40"/>
              </w:rPr>
              <w:t>L</w:t>
            </w:r>
            <w:r w:rsidRPr="008D4220">
              <w:rPr>
                <w:rFonts w:ascii="Arial" w:hAnsi="Arial" w:cs="Arial"/>
                <w:b/>
                <w:smallCaps/>
                <w:sz w:val="36"/>
                <w:szCs w:val="36"/>
              </w:rPr>
              <w:t>ogistique et des Moyens généraux</w:t>
            </w:r>
          </w:p>
          <w:p w14:paraId="397E44E3" w14:textId="3F51C1B8" w:rsidR="00EC7703" w:rsidRPr="00BB271C" w:rsidRDefault="0006606C" w:rsidP="00BB271C">
            <w:pPr>
              <w:pStyle w:val="DCETexte"/>
              <w:ind w:left="44" w:right="-108" w:firstLine="0"/>
              <w:jc w:val="center"/>
              <w:rPr>
                <w:rFonts w:ascii="Arial" w:hAnsi="Arial" w:cs="Arial"/>
                <w:b/>
                <w:smallCaps/>
              </w:rPr>
            </w:pPr>
            <w:r w:rsidRPr="008D4220">
              <w:rPr>
                <w:rFonts w:ascii="Arial" w:hAnsi="Arial" w:cs="Arial"/>
                <w:b/>
                <w:smallCaps/>
              </w:rPr>
              <w:t xml:space="preserve">15 rue de </w:t>
            </w:r>
            <w:proofErr w:type="gramStart"/>
            <w:r w:rsidRPr="008D4220">
              <w:rPr>
                <w:rFonts w:ascii="Arial" w:hAnsi="Arial" w:cs="Arial"/>
                <w:b/>
                <w:smallCaps/>
              </w:rPr>
              <w:t>Vaugirard  -</w:t>
            </w:r>
            <w:proofErr w:type="gramEnd"/>
            <w:r w:rsidRPr="008D4220">
              <w:rPr>
                <w:rFonts w:ascii="Arial" w:hAnsi="Arial" w:cs="Arial"/>
                <w:b/>
                <w:smallCaps/>
              </w:rPr>
              <w:t xml:space="preserve">  75291 PARIS CEDEX 06</w:t>
            </w:r>
          </w:p>
        </w:tc>
      </w:tr>
    </w:tbl>
    <w:p w14:paraId="07E37217" w14:textId="77777777" w:rsidR="006426DC" w:rsidRDefault="006426DC" w:rsidP="006426DC"/>
    <w:p w14:paraId="3B9C9141" w14:textId="77777777" w:rsidR="00127982" w:rsidRDefault="00127982" w:rsidP="006426DC"/>
    <w:p w14:paraId="007D4D99" w14:textId="77777777" w:rsidR="00127982" w:rsidRDefault="00127982" w:rsidP="006426DC"/>
    <w:p w14:paraId="62169808" w14:textId="797054E6" w:rsidR="00127982" w:rsidRPr="00EE48C5" w:rsidRDefault="00F014B3" w:rsidP="00EE48C5">
      <w:pPr>
        <w:ind w:left="-426"/>
        <w:rPr>
          <w:i/>
          <w:sz w:val="16"/>
          <w:szCs w:val="16"/>
        </w:rPr>
      </w:pPr>
      <w:r>
        <w:rPr>
          <w:i/>
          <w:sz w:val="16"/>
          <w:szCs w:val="16"/>
        </w:rPr>
        <w:t>SENAT-</w:t>
      </w:r>
      <w:r w:rsidR="00127982" w:rsidRPr="00EE48C5">
        <w:rPr>
          <w:i/>
          <w:sz w:val="16"/>
          <w:szCs w:val="16"/>
        </w:rPr>
        <w:t>DLMG 202</w:t>
      </w:r>
      <w:r>
        <w:rPr>
          <w:i/>
          <w:sz w:val="16"/>
          <w:szCs w:val="16"/>
        </w:rPr>
        <w:t>5</w:t>
      </w:r>
      <w:r w:rsidR="00127982" w:rsidRPr="00EE48C5">
        <w:rPr>
          <w:i/>
          <w:sz w:val="16"/>
          <w:szCs w:val="16"/>
        </w:rPr>
        <w:t>-</w:t>
      </w:r>
      <w:r>
        <w:rPr>
          <w:i/>
          <w:sz w:val="16"/>
          <w:szCs w:val="16"/>
        </w:rPr>
        <w:t>07</w:t>
      </w:r>
    </w:p>
    <w:p w14:paraId="0D9ABD00" w14:textId="77777777" w:rsidR="00D80482" w:rsidRPr="00A6420A" w:rsidRDefault="00D80482" w:rsidP="00D80482">
      <w:pPr>
        <w:pBdr>
          <w:top w:val="single" w:sz="12" w:space="20" w:color="auto"/>
          <w:left w:val="single" w:sz="12" w:space="0" w:color="auto"/>
          <w:bottom w:val="single" w:sz="12" w:space="20" w:color="auto"/>
          <w:right w:val="single" w:sz="12" w:space="0" w:color="auto"/>
        </w:pBdr>
        <w:spacing w:before="1560"/>
        <w:jc w:val="center"/>
        <w:rPr>
          <w:rFonts w:ascii="Arial" w:hAnsi="Arial" w:cs="Arial"/>
          <w:b/>
          <w:caps/>
          <w:sz w:val="40"/>
          <w:szCs w:val="40"/>
        </w:rPr>
      </w:pPr>
      <w:r w:rsidRPr="00A6420A">
        <w:rPr>
          <w:rFonts w:ascii="Arial" w:hAnsi="Arial" w:cs="Arial"/>
          <w:b/>
          <w:caps/>
          <w:sz w:val="40"/>
          <w:szCs w:val="40"/>
        </w:rPr>
        <w:t xml:space="preserve">concession </w:t>
      </w:r>
      <w:r w:rsidRPr="00A6420A">
        <w:rPr>
          <w:rFonts w:ascii="Arial" w:hAnsi="Arial" w:cs="Arial"/>
          <w:b/>
          <w:caps/>
          <w:sz w:val="40"/>
          <w:szCs w:val="40"/>
        </w:rPr>
        <w:br/>
        <w:t>de services pour L</w:t>
      </w:r>
      <w:r w:rsidRPr="00A6420A">
        <w:rPr>
          <w:rFonts w:ascii="Arial" w:hAnsi="Arial" w:cs="Arial"/>
          <w:b/>
          <w:sz w:val="40"/>
          <w:szCs w:val="40"/>
        </w:rPr>
        <w:t>’EXPLOITATION</w:t>
      </w:r>
      <w:r w:rsidRPr="00A6420A">
        <w:rPr>
          <w:rFonts w:ascii="Arial" w:hAnsi="Arial" w:cs="Arial"/>
          <w:b/>
          <w:sz w:val="40"/>
          <w:szCs w:val="40"/>
        </w:rPr>
        <w:br/>
        <w:t xml:space="preserve">D’UNE BOUTIQUE DE VENTE </w:t>
      </w:r>
      <w:r w:rsidRPr="00A6420A">
        <w:rPr>
          <w:rFonts w:ascii="Arial" w:hAnsi="Arial" w:cs="Arial"/>
          <w:b/>
          <w:sz w:val="40"/>
          <w:szCs w:val="40"/>
        </w:rPr>
        <w:br/>
        <w:t>DANS LE PALAIS DU LUXEMBOUR</w:t>
      </w:r>
      <w:r w:rsidRPr="00A6420A">
        <w:rPr>
          <w:rFonts w:ascii="Arial" w:hAnsi="Arial" w:cs="Arial"/>
          <w:b/>
          <w:caps/>
          <w:sz w:val="40"/>
          <w:szCs w:val="40"/>
        </w:rPr>
        <w:t>G et d’une boutique en ligne</w:t>
      </w:r>
    </w:p>
    <w:p w14:paraId="284C3166" w14:textId="70C374D2" w:rsidR="00127982" w:rsidRDefault="00127982" w:rsidP="00127982"/>
    <w:p w14:paraId="15658C3C" w14:textId="77777777" w:rsidR="00D80482" w:rsidRDefault="00D80482" w:rsidP="00127982"/>
    <w:p w14:paraId="0E0FEAF4" w14:textId="77777777" w:rsidR="00127982" w:rsidRDefault="00127982" w:rsidP="00127982"/>
    <w:p w14:paraId="13B53E67" w14:textId="77777777" w:rsidR="00127982" w:rsidRPr="00806508" w:rsidRDefault="00127982" w:rsidP="00127982"/>
    <w:p w14:paraId="2B27ABE4" w14:textId="77777777" w:rsidR="00127982" w:rsidRPr="00A427D2" w:rsidRDefault="00127982" w:rsidP="00127982">
      <w:pPr>
        <w:pBdr>
          <w:top w:val="single" w:sz="12" w:space="30" w:color="auto"/>
          <w:left w:val="single" w:sz="12" w:space="0" w:color="auto"/>
          <w:bottom w:val="single" w:sz="12" w:space="30" w:color="auto"/>
          <w:right w:val="single" w:sz="12" w:space="0" w:color="auto"/>
        </w:pBdr>
        <w:jc w:val="center"/>
        <w:rPr>
          <w:rFonts w:ascii="Arial" w:hAnsi="Arial" w:cs="Arial"/>
          <w:b/>
          <w:caps/>
          <w:sz w:val="48"/>
          <w:szCs w:val="48"/>
        </w:rPr>
      </w:pPr>
      <w:r w:rsidRPr="00A427D2">
        <w:rPr>
          <w:rFonts w:ascii="Arial" w:hAnsi="Arial" w:cs="Arial"/>
          <w:b/>
          <w:caps/>
          <w:sz w:val="48"/>
          <w:szCs w:val="48"/>
        </w:rPr>
        <w:t>Règlement de la consultation</w:t>
      </w:r>
    </w:p>
    <w:p w14:paraId="2BFA25B1" w14:textId="77777777" w:rsidR="00EC7703" w:rsidRDefault="00EC7703" w:rsidP="006426DC"/>
    <w:p w14:paraId="3684C54D" w14:textId="77777777" w:rsidR="00EC7703" w:rsidRPr="00E45FFA" w:rsidRDefault="00EC7703" w:rsidP="006426DC"/>
    <w:p w14:paraId="12239CCA" w14:textId="77777777" w:rsidR="00EC7703" w:rsidRDefault="00EC7703" w:rsidP="001F71EB"/>
    <w:p w14:paraId="7B42B81D" w14:textId="77777777" w:rsidR="006E11B1" w:rsidRDefault="006E11B1" w:rsidP="001F71EB"/>
    <w:p w14:paraId="499E1C5B" w14:textId="77777777" w:rsidR="006E11B1" w:rsidRPr="00E45FFA" w:rsidRDefault="006E11B1" w:rsidP="001F71EB"/>
    <w:p w14:paraId="441F34DD" w14:textId="77777777" w:rsidR="00EC7703" w:rsidRDefault="00F014B3" w:rsidP="00EC7703">
      <w:pPr>
        <w:pStyle w:val="DCECorpsdetexte"/>
        <w:jc w:val="right"/>
        <w:rPr>
          <w:rFonts w:ascii="Arial (W1)" w:hAnsi="Arial (W1)" w:cs="Arial"/>
          <w:caps/>
          <w:sz w:val="36"/>
          <w:szCs w:val="36"/>
        </w:rPr>
      </w:pPr>
      <w:r>
        <w:rPr>
          <w:rFonts w:ascii="Arial (W1)" w:hAnsi="Arial (W1)" w:cs="Arial"/>
          <w:caps/>
          <w:sz w:val="36"/>
          <w:szCs w:val="36"/>
        </w:rPr>
        <w:t>SEPTEM</w:t>
      </w:r>
      <w:r w:rsidR="000C4502">
        <w:rPr>
          <w:rFonts w:ascii="Arial (W1)" w:hAnsi="Arial (W1)" w:cs="Arial"/>
          <w:caps/>
          <w:sz w:val="36"/>
          <w:szCs w:val="36"/>
        </w:rPr>
        <w:t>BRE</w:t>
      </w:r>
      <w:r w:rsidR="001E0BC7" w:rsidRPr="001E0BC7">
        <w:rPr>
          <w:rFonts w:ascii="Arial (W1)" w:hAnsi="Arial (W1)" w:cs="Arial"/>
          <w:caps/>
          <w:sz w:val="36"/>
          <w:szCs w:val="36"/>
        </w:rPr>
        <w:t xml:space="preserve"> 202</w:t>
      </w:r>
      <w:r>
        <w:rPr>
          <w:rFonts w:ascii="Arial (W1)" w:hAnsi="Arial (W1)" w:cs="Arial"/>
          <w:caps/>
          <w:sz w:val="36"/>
          <w:szCs w:val="36"/>
        </w:rPr>
        <w:t>5</w:t>
      </w:r>
    </w:p>
    <w:p w14:paraId="657D6F45" w14:textId="77777777" w:rsidR="00D80482" w:rsidRDefault="00D80482" w:rsidP="00F014B3">
      <w:pPr>
        <w:jc w:val="center"/>
      </w:pPr>
    </w:p>
    <w:p w14:paraId="4AB51F41" w14:textId="73C19BA8" w:rsidR="00F014B3" w:rsidRPr="00D80482" w:rsidRDefault="00F014B3" w:rsidP="00F014B3">
      <w:pPr>
        <w:jc w:val="center"/>
      </w:pPr>
      <w:r w:rsidRPr="00D80482">
        <w:t xml:space="preserve">Date et heure limite de dépôt des offres, </w:t>
      </w:r>
    </w:p>
    <w:p w14:paraId="1FE004A5" w14:textId="097B39D0" w:rsidR="00F014B3" w:rsidRPr="00D80482" w:rsidRDefault="00F014B3" w:rsidP="00F014B3">
      <w:pPr>
        <w:jc w:val="center"/>
      </w:pPr>
      <w:proofErr w:type="gramStart"/>
      <w:r w:rsidRPr="00D80482">
        <w:t>obligatoirement</w:t>
      </w:r>
      <w:proofErr w:type="gramEnd"/>
      <w:r w:rsidRPr="00D80482">
        <w:t xml:space="preserve"> sur le profil d’acheteur PLACE :</w:t>
      </w:r>
    </w:p>
    <w:p w14:paraId="5EB2CCFB" w14:textId="77777777" w:rsidR="00BB271C" w:rsidRPr="00D80482" w:rsidRDefault="00BB271C" w:rsidP="00F014B3">
      <w:pPr>
        <w:jc w:val="center"/>
      </w:pPr>
    </w:p>
    <w:p w14:paraId="0EDBA632" w14:textId="6C2A736D" w:rsidR="00F014B3" w:rsidRPr="00D80482" w:rsidRDefault="00BB271C" w:rsidP="00F014B3">
      <w:pPr>
        <w:jc w:val="center"/>
        <w:rPr>
          <w:b/>
          <w:bCs/>
        </w:rPr>
      </w:pPr>
      <w:r w:rsidRPr="00D80482">
        <w:rPr>
          <w:b/>
          <w:bCs/>
        </w:rPr>
        <w:t>LUNDI 27 OCTOBRE À 11 HEURES</w:t>
      </w:r>
    </w:p>
    <w:p w14:paraId="3FC0E785" w14:textId="77777777" w:rsidR="00F014B3" w:rsidRDefault="00F014B3" w:rsidP="00F014B3">
      <w:pPr>
        <w:pStyle w:val="DCECorpsdetexte"/>
        <w:ind w:firstLine="0"/>
        <w:rPr>
          <w:rFonts w:ascii="Arial (W1)" w:hAnsi="Arial (W1)" w:cs="Arial"/>
          <w:caps/>
          <w:sz w:val="36"/>
          <w:szCs w:val="36"/>
        </w:rPr>
      </w:pPr>
    </w:p>
    <w:p w14:paraId="51B2B795" w14:textId="3DB40F6F" w:rsidR="00F014B3" w:rsidRPr="001E0BC7" w:rsidRDefault="00F014B3" w:rsidP="00F014B3">
      <w:pPr>
        <w:pStyle w:val="DCECorpsdetexte"/>
        <w:ind w:firstLine="0"/>
        <w:rPr>
          <w:rFonts w:ascii="Arial (W1)" w:hAnsi="Arial (W1)" w:cs="Arial"/>
          <w:caps/>
          <w:sz w:val="36"/>
          <w:szCs w:val="36"/>
        </w:rPr>
        <w:sectPr w:rsidR="00F014B3" w:rsidRPr="001E0BC7" w:rsidSect="00774AAC">
          <w:headerReference w:type="even" r:id="rId9"/>
          <w:footerReference w:type="even" r:id="rId10"/>
          <w:headerReference w:type="first" r:id="rId11"/>
          <w:footnotePr>
            <w:numRestart w:val="eachPage"/>
          </w:footnotePr>
          <w:pgSz w:w="11880" w:h="16820" w:code="9"/>
          <w:pgMar w:top="1701" w:right="1418" w:bottom="1134" w:left="1418" w:header="851" w:footer="369" w:gutter="0"/>
          <w:pgNumType w:start="1"/>
          <w:cols w:space="720"/>
        </w:sectPr>
      </w:pPr>
    </w:p>
    <w:p w14:paraId="5039B7E1" w14:textId="77777777" w:rsidR="00812952" w:rsidRPr="00392240" w:rsidRDefault="00D3055B" w:rsidP="00D02D36">
      <w:pPr>
        <w:pStyle w:val="DCESommaire"/>
        <w:spacing w:before="960"/>
      </w:pPr>
      <w:r w:rsidRPr="00392240">
        <w:lastRenderedPageBreak/>
        <w:t>SOMMAIRE</w:t>
      </w:r>
    </w:p>
    <w:p w14:paraId="51500A07" w14:textId="77777777" w:rsidR="00822562" w:rsidRPr="00806508" w:rsidRDefault="00822562" w:rsidP="00822562">
      <w:pPr>
        <w:jc w:val="right"/>
        <w:rPr>
          <w:i/>
          <w:sz w:val="22"/>
          <w:szCs w:val="22"/>
        </w:rPr>
      </w:pPr>
      <w:r w:rsidRPr="00806508">
        <w:rPr>
          <w:i/>
          <w:sz w:val="22"/>
          <w:szCs w:val="22"/>
        </w:rPr>
        <w:t>Page</w:t>
      </w:r>
    </w:p>
    <w:p w14:paraId="4B50B110" w14:textId="63CFE9D7" w:rsidR="00F85EE3" w:rsidRDefault="00526B54">
      <w:pPr>
        <w:pStyle w:val="TM1"/>
        <w:rPr>
          <w:rFonts w:asciiTheme="minorHAnsi" w:eastAsiaTheme="minorEastAsia" w:hAnsiTheme="minorHAnsi" w:cstheme="minorBidi"/>
          <w:b w:val="0"/>
          <w:caps w:val="0"/>
        </w:rPr>
      </w:pPr>
      <w:r w:rsidRPr="00002C86">
        <w:fldChar w:fldCharType="begin"/>
      </w:r>
      <w:r w:rsidRPr="00002C86">
        <w:instrText xml:space="preserve"> TOC \o "1-3" \h \z \t "DCE Annexe;1" </w:instrText>
      </w:r>
      <w:r w:rsidRPr="00002C86">
        <w:fldChar w:fldCharType="separate"/>
      </w:r>
      <w:hyperlink w:anchor="_Toc208997868" w:history="1">
        <w:r w:rsidR="00F85EE3" w:rsidRPr="00A8747B">
          <w:rPr>
            <w:rStyle w:val="Lienhypertexte"/>
          </w:rPr>
          <w:t>Article 1. – Identification du maître du domaine</w:t>
        </w:r>
        <w:r w:rsidR="00F85EE3">
          <w:rPr>
            <w:webHidden/>
          </w:rPr>
          <w:tab/>
        </w:r>
        <w:r w:rsidR="00F85EE3">
          <w:rPr>
            <w:webHidden/>
          </w:rPr>
          <w:fldChar w:fldCharType="begin"/>
        </w:r>
        <w:r w:rsidR="00F85EE3">
          <w:rPr>
            <w:webHidden/>
          </w:rPr>
          <w:instrText xml:space="preserve"> PAGEREF _Toc208997868 \h </w:instrText>
        </w:r>
        <w:r w:rsidR="00F85EE3">
          <w:rPr>
            <w:webHidden/>
          </w:rPr>
        </w:r>
        <w:r w:rsidR="00F85EE3">
          <w:rPr>
            <w:webHidden/>
          </w:rPr>
          <w:fldChar w:fldCharType="separate"/>
        </w:r>
        <w:r w:rsidR="00F85EE3">
          <w:rPr>
            <w:webHidden/>
          </w:rPr>
          <w:t>4</w:t>
        </w:r>
        <w:r w:rsidR="00F85EE3">
          <w:rPr>
            <w:webHidden/>
          </w:rPr>
          <w:fldChar w:fldCharType="end"/>
        </w:r>
      </w:hyperlink>
    </w:p>
    <w:p w14:paraId="71A58BF9" w14:textId="79567AAC" w:rsidR="00F85EE3" w:rsidRDefault="00F85EE3">
      <w:pPr>
        <w:pStyle w:val="TM2"/>
        <w:rPr>
          <w:rFonts w:asciiTheme="minorHAnsi" w:eastAsiaTheme="minorEastAsia" w:hAnsiTheme="minorHAnsi" w:cstheme="minorBidi"/>
          <w:b w:val="0"/>
        </w:rPr>
      </w:pPr>
      <w:hyperlink w:anchor="_Toc208997869" w:history="1">
        <w:r w:rsidRPr="00A8747B">
          <w:rPr>
            <w:rStyle w:val="Lienhypertexte"/>
          </w:rPr>
          <w:t>1.1.</w:t>
        </w:r>
        <w:r>
          <w:rPr>
            <w:rFonts w:asciiTheme="minorHAnsi" w:eastAsiaTheme="minorEastAsia" w:hAnsiTheme="minorHAnsi" w:cstheme="minorBidi"/>
            <w:b w:val="0"/>
          </w:rPr>
          <w:tab/>
        </w:r>
        <w:r w:rsidRPr="00A8747B">
          <w:rPr>
            <w:rStyle w:val="Lienhypertexte"/>
          </w:rPr>
          <w:t>Nom et adresse officiels de l’autorité concédante</w:t>
        </w:r>
        <w:r>
          <w:rPr>
            <w:webHidden/>
          </w:rPr>
          <w:tab/>
        </w:r>
        <w:r>
          <w:rPr>
            <w:webHidden/>
          </w:rPr>
          <w:fldChar w:fldCharType="begin"/>
        </w:r>
        <w:r>
          <w:rPr>
            <w:webHidden/>
          </w:rPr>
          <w:instrText xml:space="preserve"> PAGEREF _Toc208997869 \h </w:instrText>
        </w:r>
        <w:r>
          <w:rPr>
            <w:webHidden/>
          </w:rPr>
        </w:r>
        <w:r>
          <w:rPr>
            <w:webHidden/>
          </w:rPr>
          <w:fldChar w:fldCharType="separate"/>
        </w:r>
        <w:r>
          <w:rPr>
            <w:webHidden/>
          </w:rPr>
          <w:t>4</w:t>
        </w:r>
        <w:r>
          <w:rPr>
            <w:webHidden/>
          </w:rPr>
          <w:fldChar w:fldCharType="end"/>
        </w:r>
      </w:hyperlink>
    </w:p>
    <w:p w14:paraId="76F7D580" w14:textId="05A74196" w:rsidR="00F85EE3" w:rsidRDefault="00F85EE3">
      <w:pPr>
        <w:pStyle w:val="TM2"/>
        <w:rPr>
          <w:rFonts w:asciiTheme="minorHAnsi" w:eastAsiaTheme="minorEastAsia" w:hAnsiTheme="minorHAnsi" w:cstheme="minorBidi"/>
          <w:b w:val="0"/>
        </w:rPr>
      </w:pPr>
      <w:hyperlink w:anchor="_Toc208997870" w:history="1">
        <w:r w:rsidRPr="00A8747B">
          <w:rPr>
            <w:rStyle w:val="Lienhypertexte"/>
          </w:rPr>
          <w:t>1.2.</w:t>
        </w:r>
        <w:r>
          <w:rPr>
            <w:rFonts w:asciiTheme="minorHAnsi" w:eastAsiaTheme="minorEastAsia" w:hAnsiTheme="minorHAnsi" w:cstheme="minorBidi"/>
            <w:b w:val="0"/>
          </w:rPr>
          <w:tab/>
        </w:r>
        <w:r w:rsidRPr="00A8747B">
          <w:rPr>
            <w:rStyle w:val="Lienhypertexte"/>
          </w:rPr>
          <w:t>Correspondant administratif</w:t>
        </w:r>
        <w:r>
          <w:rPr>
            <w:webHidden/>
          </w:rPr>
          <w:tab/>
        </w:r>
        <w:r>
          <w:rPr>
            <w:webHidden/>
          </w:rPr>
          <w:fldChar w:fldCharType="begin"/>
        </w:r>
        <w:r>
          <w:rPr>
            <w:webHidden/>
          </w:rPr>
          <w:instrText xml:space="preserve"> PAGEREF _Toc208997870 \h </w:instrText>
        </w:r>
        <w:r>
          <w:rPr>
            <w:webHidden/>
          </w:rPr>
        </w:r>
        <w:r>
          <w:rPr>
            <w:webHidden/>
          </w:rPr>
          <w:fldChar w:fldCharType="separate"/>
        </w:r>
        <w:r>
          <w:rPr>
            <w:webHidden/>
          </w:rPr>
          <w:t>4</w:t>
        </w:r>
        <w:r>
          <w:rPr>
            <w:webHidden/>
          </w:rPr>
          <w:fldChar w:fldCharType="end"/>
        </w:r>
      </w:hyperlink>
    </w:p>
    <w:p w14:paraId="1CC68E0E" w14:textId="36E4B421" w:rsidR="00F85EE3" w:rsidRDefault="00F85EE3">
      <w:pPr>
        <w:pStyle w:val="TM2"/>
        <w:rPr>
          <w:rFonts w:asciiTheme="minorHAnsi" w:eastAsiaTheme="minorEastAsia" w:hAnsiTheme="minorHAnsi" w:cstheme="minorBidi"/>
          <w:b w:val="0"/>
        </w:rPr>
      </w:pPr>
      <w:hyperlink w:anchor="_Toc208997871" w:history="1">
        <w:r w:rsidRPr="00A8747B">
          <w:rPr>
            <w:rStyle w:val="Lienhypertexte"/>
          </w:rPr>
          <w:t>1.3.</w:t>
        </w:r>
        <w:r>
          <w:rPr>
            <w:rFonts w:asciiTheme="minorHAnsi" w:eastAsiaTheme="minorEastAsia" w:hAnsiTheme="minorHAnsi" w:cstheme="minorBidi"/>
            <w:b w:val="0"/>
          </w:rPr>
          <w:tab/>
        </w:r>
        <w:r w:rsidRPr="00A8747B">
          <w:rPr>
            <w:rStyle w:val="Lienhypertexte"/>
          </w:rPr>
          <w:t>Adresse à laquelle les documents de la consultation peuvent être retirés</w:t>
        </w:r>
        <w:r>
          <w:rPr>
            <w:webHidden/>
          </w:rPr>
          <w:tab/>
        </w:r>
        <w:r>
          <w:rPr>
            <w:webHidden/>
          </w:rPr>
          <w:fldChar w:fldCharType="begin"/>
        </w:r>
        <w:r>
          <w:rPr>
            <w:webHidden/>
          </w:rPr>
          <w:instrText xml:space="preserve"> PAGEREF _Toc208997871 \h </w:instrText>
        </w:r>
        <w:r>
          <w:rPr>
            <w:webHidden/>
          </w:rPr>
        </w:r>
        <w:r>
          <w:rPr>
            <w:webHidden/>
          </w:rPr>
          <w:fldChar w:fldCharType="separate"/>
        </w:r>
        <w:r>
          <w:rPr>
            <w:webHidden/>
          </w:rPr>
          <w:t>4</w:t>
        </w:r>
        <w:r>
          <w:rPr>
            <w:webHidden/>
          </w:rPr>
          <w:fldChar w:fldCharType="end"/>
        </w:r>
      </w:hyperlink>
    </w:p>
    <w:p w14:paraId="084480FC" w14:textId="7ED52C3E" w:rsidR="00F85EE3" w:rsidRDefault="00F85EE3">
      <w:pPr>
        <w:pStyle w:val="TM1"/>
        <w:rPr>
          <w:rFonts w:asciiTheme="minorHAnsi" w:eastAsiaTheme="minorEastAsia" w:hAnsiTheme="minorHAnsi" w:cstheme="minorBidi"/>
          <w:b w:val="0"/>
          <w:caps w:val="0"/>
        </w:rPr>
      </w:pPr>
      <w:hyperlink w:anchor="_Toc208997872" w:history="1">
        <w:r w:rsidRPr="00A8747B">
          <w:rPr>
            <w:rStyle w:val="Lienhypertexte"/>
          </w:rPr>
          <w:t>Article 2. – Objet de la consultation</w:t>
        </w:r>
        <w:r>
          <w:rPr>
            <w:webHidden/>
          </w:rPr>
          <w:tab/>
        </w:r>
        <w:r>
          <w:rPr>
            <w:webHidden/>
          </w:rPr>
          <w:fldChar w:fldCharType="begin"/>
        </w:r>
        <w:r>
          <w:rPr>
            <w:webHidden/>
          </w:rPr>
          <w:instrText xml:space="preserve"> PAGEREF _Toc208997872 \h </w:instrText>
        </w:r>
        <w:r>
          <w:rPr>
            <w:webHidden/>
          </w:rPr>
        </w:r>
        <w:r>
          <w:rPr>
            <w:webHidden/>
          </w:rPr>
          <w:fldChar w:fldCharType="separate"/>
        </w:r>
        <w:r>
          <w:rPr>
            <w:webHidden/>
          </w:rPr>
          <w:t>4</w:t>
        </w:r>
        <w:r>
          <w:rPr>
            <w:webHidden/>
          </w:rPr>
          <w:fldChar w:fldCharType="end"/>
        </w:r>
      </w:hyperlink>
    </w:p>
    <w:p w14:paraId="47150B7A" w14:textId="61AF8333" w:rsidR="00F85EE3" w:rsidRDefault="00F85EE3">
      <w:pPr>
        <w:pStyle w:val="TM1"/>
        <w:rPr>
          <w:rFonts w:asciiTheme="minorHAnsi" w:eastAsiaTheme="minorEastAsia" w:hAnsiTheme="minorHAnsi" w:cstheme="minorBidi"/>
          <w:b w:val="0"/>
          <w:caps w:val="0"/>
        </w:rPr>
      </w:pPr>
      <w:hyperlink w:anchor="_Toc208997873" w:history="1">
        <w:r w:rsidRPr="00A8747B">
          <w:rPr>
            <w:rStyle w:val="Lienhypertexte"/>
          </w:rPr>
          <w:t>Article 3. – Formation et nature de la concession</w:t>
        </w:r>
        <w:r>
          <w:rPr>
            <w:webHidden/>
          </w:rPr>
          <w:tab/>
        </w:r>
        <w:r>
          <w:rPr>
            <w:webHidden/>
          </w:rPr>
          <w:fldChar w:fldCharType="begin"/>
        </w:r>
        <w:r>
          <w:rPr>
            <w:webHidden/>
          </w:rPr>
          <w:instrText xml:space="preserve"> PAGEREF _Toc208997873 \h </w:instrText>
        </w:r>
        <w:r>
          <w:rPr>
            <w:webHidden/>
          </w:rPr>
        </w:r>
        <w:r>
          <w:rPr>
            <w:webHidden/>
          </w:rPr>
          <w:fldChar w:fldCharType="separate"/>
        </w:r>
        <w:r>
          <w:rPr>
            <w:webHidden/>
          </w:rPr>
          <w:t>5</w:t>
        </w:r>
        <w:r>
          <w:rPr>
            <w:webHidden/>
          </w:rPr>
          <w:fldChar w:fldCharType="end"/>
        </w:r>
      </w:hyperlink>
    </w:p>
    <w:p w14:paraId="0D662F8D" w14:textId="51E1821F" w:rsidR="00F85EE3" w:rsidRDefault="00F85EE3">
      <w:pPr>
        <w:pStyle w:val="TM1"/>
        <w:rPr>
          <w:rFonts w:asciiTheme="minorHAnsi" w:eastAsiaTheme="minorEastAsia" w:hAnsiTheme="minorHAnsi" w:cstheme="minorBidi"/>
          <w:b w:val="0"/>
          <w:caps w:val="0"/>
        </w:rPr>
      </w:pPr>
      <w:hyperlink w:anchor="_Toc208997874" w:history="1">
        <w:r w:rsidRPr="00A8747B">
          <w:rPr>
            <w:rStyle w:val="Lienhypertexte"/>
          </w:rPr>
          <w:t>Article 4. – Forme de la procédure</w:t>
        </w:r>
        <w:r>
          <w:rPr>
            <w:webHidden/>
          </w:rPr>
          <w:tab/>
        </w:r>
        <w:r>
          <w:rPr>
            <w:webHidden/>
          </w:rPr>
          <w:fldChar w:fldCharType="begin"/>
        </w:r>
        <w:r>
          <w:rPr>
            <w:webHidden/>
          </w:rPr>
          <w:instrText xml:space="preserve"> PAGEREF _Toc208997874 \h </w:instrText>
        </w:r>
        <w:r>
          <w:rPr>
            <w:webHidden/>
          </w:rPr>
        </w:r>
        <w:r>
          <w:rPr>
            <w:webHidden/>
          </w:rPr>
          <w:fldChar w:fldCharType="separate"/>
        </w:r>
        <w:r>
          <w:rPr>
            <w:webHidden/>
          </w:rPr>
          <w:t>5</w:t>
        </w:r>
        <w:r>
          <w:rPr>
            <w:webHidden/>
          </w:rPr>
          <w:fldChar w:fldCharType="end"/>
        </w:r>
      </w:hyperlink>
    </w:p>
    <w:p w14:paraId="243ADABD" w14:textId="056078FE" w:rsidR="00F85EE3" w:rsidRDefault="00F85EE3">
      <w:pPr>
        <w:pStyle w:val="TM1"/>
        <w:rPr>
          <w:rFonts w:asciiTheme="minorHAnsi" w:eastAsiaTheme="minorEastAsia" w:hAnsiTheme="minorHAnsi" w:cstheme="minorBidi"/>
          <w:b w:val="0"/>
          <w:caps w:val="0"/>
        </w:rPr>
      </w:pPr>
      <w:hyperlink w:anchor="_Toc208997875" w:history="1">
        <w:r w:rsidRPr="00A8747B">
          <w:rPr>
            <w:rStyle w:val="Lienhypertexte"/>
          </w:rPr>
          <w:t>Article 5. – Valeur estimée de la concession</w:t>
        </w:r>
        <w:r>
          <w:rPr>
            <w:webHidden/>
          </w:rPr>
          <w:tab/>
        </w:r>
        <w:r>
          <w:rPr>
            <w:webHidden/>
          </w:rPr>
          <w:fldChar w:fldCharType="begin"/>
        </w:r>
        <w:r>
          <w:rPr>
            <w:webHidden/>
          </w:rPr>
          <w:instrText xml:space="preserve"> PAGEREF _Toc208997875 \h </w:instrText>
        </w:r>
        <w:r>
          <w:rPr>
            <w:webHidden/>
          </w:rPr>
        </w:r>
        <w:r>
          <w:rPr>
            <w:webHidden/>
          </w:rPr>
          <w:fldChar w:fldCharType="separate"/>
        </w:r>
        <w:r>
          <w:rPr>
            <w:webHidden/>
          </w:rPr>
          <w:t>5</w:t>
        </w:r>
        <w:r>
          <w:rPr>
            <w:webHidden/>
          </w:rPr>
          <w:fldChar w:fldCharType="end"/>
        </w:r>
      </w:hyperlink>
    </w:p>
    <w:p w14:paraId="00E64614" w14:textId="76F8B789" w:rsidR="00F85EE3" w:rsidRDefault="00F85EE3">
      <w:pPr>
        <w:pStyle w:val="TM1"/>
        <w:rPr>
          <w:rFonts w:asciiTheme="minorHAnsi" w:eastAsiaTheme="minorEastAsia" w:hAnsiTheme="minorHAnsi" w:cstheme="minorBidi"/>
          <w:b w:val="0"/>
          <w:caps w:val="0"/>
        </w:rPr>
      </w:pPr>
      <w:hyperlink w:anchor="_Toc208997876" w:history="1">
        <w:r w:rsidRPr="00A8747B">
          <w:rPr>
            <w:rStyle w:val="Lienhypertexte"/>
          </w:rPr>
          <w:t>Article 6. – Conditions d’exploitation</w:t>
        </w:r>
        <w:r>
          <w:rPr>
            <w:webHidden/>
          </w:rPr>
          <w:tab/>
        </w:r>
        <w:r>
          <w:rPr>
            <w:webHidden/>
          </w:rPr>
          <w:fldChar w:fldCharType="begin"/>
        </w:r>
        <w:r>
          <w:rPr>
            <w:webHidden/>
          </w:rPr>
          <w:instrText xml:space="preserve"> PAGEREF _Toc208997876 \h </w:instrText>
        </w:r>
        <w:r>
          <w:rPr>
            <w:webHidden/>
          </w:rPr>
        </w:r>
        <w:r>
          <w:rPr>
            <w:webHidden/>
          </w:rPr>
          <w:fldChar w:fldCharType="separate"/>
        </w:r>
        <w:r>
          <w:rPr>
            <w:webHidden/>
          </w:rPr>
          <w:t>5</w:t>
        </w:r>
        <w:r>
          <w:rPr>
            <w:webHidden/>
          </w:rPr>
          <w:fldChar w:fldCharType="end"/>
        </w:r>
      </w:hyperlink>
    </w:p>
    <w:p w14:paraId="1D1B1056" w14:textId="2B43E4B4" w:rsidR="00F85EE3" w:rsidRDefault="00F85EE3">
      <w:pPr>
        <w:pStyle w:val="TM2"/>
        <w:rPr>
          <w:rFonts w:asciiTheme="minorHAnsi" w:eastAsiaTheme="minorEastAsia" w:hAnsiTheme="minorHAnsi" w:cstheme="minorBidi"/>
          <w:b w:val="0"/>
        </w:rPr>
      </w:pPr>
      <w:hyperlink w:anchor="_Toc208997877" w:history="1">
        <w:r w:rsidRPr="00A8747B">
          <w:rPr>
            <w:rStyle w:val="Lienhypertexte"/>
          </w:rPr>
          <w:t>6.1.</w:t>
        </w:r>
        <w:r>
          <w:rPr>
            <w:rFonts w:asciiTheme="minorHAnsi" w:eastAsiaTheme="minorEastAsia" w:hAnsiTheme="minorHAnsi" w:cstheme="minorBidi"/>
            <w:b w:val="0"/>
          </w:rPr>
          <w:tab/>
        </w:r>
        <w:r w:rsidRPr="00A8747B">
          <w:rPr>
            <w:rStyle w:val="Lienhypertexte"/>
          </w:rPr>
          <w:t>Durée de la concession</w:t>
        </w:r>
        <w:r>
          <w:rPr>
            <w:webHidden/>
          </w:rPr>
          <w:tab/>
        </w:r>
        <w:r>
          <w:rPr>
            <w:webHidden/>
          </w:rPr>
          <w:fldChar w:fldCharType="begin"/>
        </w:r>
        <w:r>
          <w:rPr>
            <w:webHidden/>
          </w:rPr>
          <w:instrText xml:space="preserve"> PAGEREF _Toc208997877 \h </w:instrText>
        </w:r>
        <w:r>
          <w:rPr>
            <w:webHidden/>
          </w:rPr>
        </w:r>
        <w:r>
          <w:rPr>
            <w:webHidden/>
          </w:rPr>
          <w:fldChar w:fldCharType="separate"/>
        </w:r>
        <w:r>
          <w:rPr>
            <w:webHidden/>
          </w:rPr>
          <w:t>5</w:t>
        </w:r>
        <w:r>
          <w:rPr>
            <w:webHidden/>
          </w:rPr>
          <w:fldChar w:fldCharType="end"/>
        </w:r>
      </w:hyperlink>
    </w:p>
    <w:p w14:paraId="324E6705" w14:textId="0D54B24A" w:rsidR="00F85EE3" w:rsidRDefault="00F85EE3">
      <w:pPr>
        <w:pStyle w:val="TM2"/>
        <w:rPr>
          <w:rFonts w:asciiTheme="minorHAnsi" w:eastAsiaTheme="minorEastAsia" w:hAnsiTheme="minorHAnsi" w:cstheme="minorBidi"/>
          <w:b w:val="0"/>
        </w:rPr>
      </w:pPr>
      <w:hyperlink w:anchor="_Toc208997878" w:history="1">
        <w:r w:rsidRPr="00A8747B">
          <w:rPr>
            <w:rStyle w:val="Lienhypertexte"/>
          </w:rPr>
          <w:t>6.2.</w:t>
        </w:r>
        <w:r>
          <w:rPr>
            <w:rFonts w:asciiTheme="minorHAnsi" w:eastAsiaTheme="minorEastAsia" w:hAnsiTheme="minorHAnsi" w:cstheme="minorBidi"/>
            <w:b w:val="0"/>
          </w:rPr>
          <w:tab/>
        </w:r>
        <w:r w:rsidRPr="00A8747B">
          <w:rPr>
            <w:rStyle w:val="Lienhypertexte"/>
          </w:rPr>
          <w:t>Lieu d’exécution pour le cas de la boutique physique</w:t>
        </w:r>
        <w:r>
          <w:rPr>
            <w:webHidden/>
          </w:rPr>
          <w:tab/>
        </w:r>
        <w:r>
          <w:rPr>
            <w:webHidden/>
          </w:rPr>
          <w:fldChar w:fldCharType="begin"/>
        </w:r>
        <w:r>
          <w:rPr>
            <w:webHidden/>
          </w:rPr>
          <w:instrText xml:space="preserve"> PAGEREF _Toc208997878 \h </w:instrText>
        </w:r>
        <w:r>
          <w:rPr>
            <w:webHidden/>
          </w:rPr>
        </w:r>
        <w:r>
          <w:rPr>
            <w:webHidden/>
          </w:rPr>
          <w:fldChar w:fldCharType="separate"/>
        </w:r>
        <w:r>
          <w:rPr>
            <w:webHidden/>
          </w:rPr>
          <w:t>6</w:t>
        </w:r>
        <w:r>
          <w:rPr>
            <w:webHidden/>
          </w:rPr>
          <w:fldChar w:fldCharType="end"/>
        </w:r>
      </w:hyperlink>
    </w:p>
    <w:p w14:paraId="04D2FD81" w14:textId="5858F852" w:rsidR="00F85EE3" w:rsidRDefault="00F85EE3">
      <w:pPr>
        <w:pStyle w:val="TM2"/>
        <w:rPr>
          <w:rFonts w:asciiTheme="minorHAnsi" w:eastAsiaTheme="minorEastAsia" w:hAnsiTheme="minorHAnsi" w:cstheme="minorBidi"/>
          <w:b w:val="0"/>
        </w:rPr>
      </w:pPr>
      <w:hyperlink w:anchor="_Toc208997879" w:history="1">
        <w:r w:rsidRPr="00A8747B">
          <w:rPr>
            <w:rStyle w:val="Lienhypertexte"/>
          </w:rPr>
          <w:t>6.3.</w:t>
        </w:r>
        <w:r>
          <w:rPr>
            <w:rFonts w:asciiTheme="minorHAnsi" w:eastAsiaTheme="minorEastAsia" w:hAnsiTheme="minorHAnsi" w:cstheme="minorBidi"/>
            <w:b w:val="0"/>
          </w:rPr>
          <w:tab/>
        </w:r>
        <w:r w:rsidRPr="00A8747B">
          <w:rPr>
            <w:rStyle w:val="Lienhypertexte"/>
          </w:rPr>
          <w:t>Prestations attendues</w:t>
        </w:r>
        <w:r>
          <w:rPr>
            <w:webHidden/>
          </w:rPr>
          <w:tab/>
        </w:r>
        <w:r>
          <w:rPr>
            <w:webHidden/>
          </w:rPr>
          <w:fldChar w:fldCharType="begin"/>
        </w:r>
        <w:r>
          <w:rPr>
            <w:webHidden/>
          </w:rPr>
          <w:instrText xml:space="preserve"> PAGEREF _Toc208997879 \h </w:instrText>
        </w:r>
        <w:r>
          <w:rPr>
            <w:webHidden/>
          </w:rPr>
        </w:r>
        <w:r>
          <w:rPr>
            <w:webHidden/>
          </w:rPr>
          <w:fldChar w:fldCharType="separate"/>
        </w:r>
        <w:r>
          <w:rPr>
            <w:webHidden/>
          </w:rPr>
          <w:t>6</w:t>
        </w:r>
        <w:r>
          <w:rPr>
            <w:webHidden/>
          </w:rPr>
          <w:fldChar w:fldCharType="end"/>
        </w:r>
      </w:hyperlink>
    </w:p>
    <w:p w14:paraId="2D53EF0E" w14:textId="4FCA66AA" w:rsidR="00F85EE3" w:rsidRDefault="00F85EE3">
      <w:pPr>
        <w:pStyle w:val="TM2"/>
        <w:rPr>
          <w:rFonts w:asciiTheme="minorHAnsi" w:eastAsiaTheme="minorEastAsia" w:hAnsiTheme="minorHAnsi" w:cstheme="minorBidi"/>
          <w:b w:val="0"/>
        </w:rPr>
      </w:pPr>
      <w:hyperlink w:anchor="_Toc208997880" w:history="1">
        <w:r w:rsidRPr="00A8747B">
          <w:rPr>
            <w:rStyle w:val="Lienhypertexte"/>
          </w:rPr>
          <w:t>6.4.</w:t>
        </w:r>
        <w:r>
          <w:rPr>
            <w:rFonts w:asciiTheme="minorHAnsi" w:eastAsiaTheme="minorEastAsia" w:hAnsiTheme="minorHAnsi" w:cstheme="minorBidi"/>
            <w:b w:val="0"/>
          </w:rPr>
          <w:tab/>
        </w:r>
        <w:r w:rsidRPr="00A8747B">
          <w:rPr>
            <w:rStyle w:val="Lienhypertexte"/>
          </w:rPr>
          <w:t>Exécution d’une partie du contrat de concession par des tiers</w:t>
        </w:r>
        <w:r>
          <w:rPr>
            <w:webHidden/>
          </w:rPr>
          <w:tab/>
        </w:r>
        <w:r>
          <w:rPr>
            <w:webHidden/>
          </w:rPr>
          <w:fldChar w:fldCharType="begin"/>
        </w:r>
        <w:r>
          <w:rPr>
            <w:webHidden/>
          </w:rPr>
          <w:instrText xml:space="preserve"> PAGEREF _Toc208997880 \h </w:instrText>
        </w:r>
        <w:r>
          <w:rPr>
            <w:webHidden/>
          </w:rPr>
        </w:r>
        <w:r>
          <w:rPr>
            <w:webHidden/>
          </w:rPr>
          <w:fldChar w:fldCharType="separate"/>
        </w:r>
        <w:r>
          <w:rPr>
            <w:webHidden/>
          </w:rPr>
          <w:t>6</w:t>
        </w:r>
        <w:r>
          <w:rPr>
            <w:webHidden/>
          </w:rPr>
          <w:fldChar w:fldCharType="end"/>
        </w:r>
      </w:hyperlink>
    </w:p>
    <w:p w14:paraId="0806BC3A" w14:textId="50ADD863" w:rsidR="00F85EE3" w:rsidRDefault="00F85EE3">
      <w:pPr>
        <w:pStyle w:val="TM1"/>
        <w:rPr>
          <w:rFonts w:asciiTheme="minorHAnsi" w:eastAsiaTheme="minorEastAsia" w:hAnsiTheme="minorHAnsi" w:cstheme="minorBidi"/>
          <w:b w:val="0"/>
          <w:caps w:val="0"/>
        </w:rPr>
      </w:pPr>
      <w:hyperlink w:anchor="_Toc208997881" w:history="1">
        <w:r w:rsidRPr="00A8747B">
          <w:rPr>
            <w:rStyle w:val="Lienhypertexte"/>
          </w:rPr>
          <w:t>Article 7. – Obligations relatives aux candidats</w:t>
        </w:r>
        <w:r>
          <w:rPr>
            <w:webHidden/>
          </w:rPr>
          <w:tab/>
        </w:r>
        <w:r>
          <w:rPr>
            <w:webHidden/>
          </w:rPr>
          <w:fldChar w:fldCharType="begin"/>
        </w:r>
        <w:r>
          <w:rPr>
            <w:webHidden/>
          </w:rPr>
          <w:instrText xml:space="preserve"> PAGEREF _Toc208997881 \h </w:instrText>
        </w:r>
        <w:r>
          <w:rPr>
            <w:webHidden/>
          </w:rPr>
        </w:r>
        <w:r>
          <w:rPr>
            <w:webHidden/>
          </w:rPr>
          <w:fldChar w:fldCharType="separate"/>
        </w:r>
        <w:r>
          <w:rPr>
            <w:webHidden/>
          </w:rPr>
          <w:t>6</w:t>
        </w:r>
        <w:r>
          <w:rPr>
            <w:webHidden/>
          </w:rPr>
          <w:fldChar w:fldCharType="end"/>
        </w:r>
      </w:hyperlink>
    </w:p>
    <w:p w14:paraId="056FA785" w14:textId="310AC490" w:rsidR="00F85EE3" w:rsidRDefault="00F85EE3">
      <w:pPr>
        <w:pStyle w:val="TM2"/>
        <w:rPr>
          <w:rFonts w:asciiTheme="minorHAnsi" w:eastAsiaTheme="minorEastAsia" w:hAnsiTheme="minorHAnsi" w:cstheme="minorBidi"/>
          <w:b w:val="0"/>
        </w:rPr>
      </w:pPr>
      <w:hyperlink w:anchor="_Toc208997882" w:history="1">
        <w:r w:rsidRPr="00A8747B">
          <w:rPr>
            <w:rStyle w:val="Lienhypertexte"/>
          </w:rPr>
          <w:t>7.1.</w:t>
        </w:r>
        <w:r>
          <w:rPr>
            <w:rFonts w:asciiTheme="minorHAnsi" w:eastAsiaTheme="minorEastAsia" w:hAnsiTheme="minorHAnsi" w:cstheme="minorBidi"/>
            <w:b w:val="0"/>
          </w:rPr>
          <w:tab/>
        </w:r>
        <w:r w:rsidRPr="00A8747B">
          <w:rPr>
            <w:rStyle w:val="Lienhypertexte"/>
          </w:rPr>
          <w:t>Forme juridique</w:t>
        </w:r>
        <w:r>
          <w:rPr>
            <w:webHidden/>
          </w:rPr>
          <w:tab/>
        </w:r>
        <w:r>
          <w:rPr>
            <w:webHidden/>
          </w:rPr>
          <w:fldChar w:fldCharType="begin"/>
        </w:r>
        <w:r>
          <w:rPr>
            <w:webHidden/>
          </w:rPr>
          <w:instrText xml:space="preserve"> PAGEREF _Toc208997882 \h </w:instrText>
        </w:r>
        <w:r>
          <w:rPr>
            <w:webHidden/>
          </w:rPr>
        </w:r>
        <w:r>
          <w:rPr>
            <w:webHidden/>
          </w:rPr>
          <w:fldChar w:fldCharType="separate"/>
        </w:r>
        <w:r>
          <w:rPr>
            <w:webHidden/>
          </w:rPr>
          <w:t>6</w:t>
        </w:r>
        <w:r>
          <w:rPr>
            <w:webHidden/>
          </w:rPr>
          <w:fldChar w:fldCharType="end"/>
        </w:r>
      </w:hyperlink>
    </w:p>
    <w:p w14:paraId="277A5C1E" w14:textId="276A28F4" w:rsidR="00F85EE3" w:rsidRDefault="00F85EE3">
      <w:pPr>
        <w:pStyle w:val="TM2"/>
        <w:rPr>
          <w:rFonts w:asciiTheme="minorHAnsi" w:eastAsiaTheme="minorEastAsia" w:hAnsiTheme="minorHAnsi" w:cstheme="minorBidi"/>
          <w:b w:val="0"/>
        </w:rPr>
      </w:pPr>
      <w:hyperlink w:anchor="_Toc208997883" w:history="1">
        <w:r w:rsidRPr="00A8747B">
          <w:rPr>
            <w:rStyle w:val="Lienhypertexte"/>
          </w:rPr>
          <w:t>7.2.</w:t>
        </w:r>
        <w:r>
          <w:rPr>
            <w:rFonts w:asciiTheme="minorHAnsi" w:eastAsiaTheme="minorEastAsia" w:hAnsiTheme="minorHAnsi" w:cstheme="minorBidi"/>
            <w:b w:val="0"/>
          </w:rPr>
          <w:tab/>
        </w:r>
        <w:r w:rsidRPr="00A8747B">
          <w:rPr>
            <w:rStyle w:val="Lienhypertexte"/>
          </w:rPr>
          <w:t>Cautions et garanties</w:t>
        </w:r>
        <w:r>
          <w:rPr>
            <w:webHidden/>
          </w:rPr>
          <w:tab/>
        </w:r>
        <w:r>
          <w:rPr>
            <w:webHidden/>
          </w:rPr>
          <w:fldChar w:fldCharType="begin"/>
        </w:r>
        <w:r>
          <w:rPr>
            <w:webHidden/>
          </w:rPr>
          <w:instrText xml:space="preserve"> PAGEREF _Toc208997883 \h </w:instrText>
        </w:r>
        <w:r>
          <w:rPr>
            <w:webHidden/>
          </w:rPr>
        </w:r>
        <w:r>
          <w:rPr>
            <w:webHidden/>
          </w:rPr>
          <w:fldChar w:fldCharType="separate"/>
        </w:r>
        <w:r>
          <w:rPr>
            <w:webHidden/>
          </w:rPr>
          <w:t>6</w:t>
        </w:r>
        <w:r>
          <w:rPr>
            <w:webHidden/>
          </w:rPr>
          <w:fldChar w:fldCharType="end"/>
        </w:r>
      </w:hyperlink>
    </w:p>
    <w:p w14:paraId="1C2CAEF9" w14:textId="65D80A32" w:rsidR="00F85EE3" w:rsidRDefault="00F85EE3">
      <w:pPr>
        <w:pStyle w:val="TM1"/>
        <w:rPr>
          <w:rFonts w:asciiTheme="minorHAnsi" w:eastAsiaTheme="minorEastAsia" w:hAnsiTheme="minorHAnsi" w:cstheme="minorBidi"/>
          <w:b w:val="0"/>
          <w:caps w:val="0"/>
        </w:rPr>
      </w:pPr>
      <w:hyperlink w:anchor="_Toc208997884" w:history="1">
        <w:r w:rsidRPr="00A8747B">
          <w:rPr>
            <w:rStyle w:val="Lienhypertexte"/>
          </w:rPr>
          <w:t>Article 8. – Conditions de la consultation</w:t>
        </w:r>
        <w:r>
          <w:rPr>
            <w:webHidden/>
          </w:rPr>
          <w:tab/>
        </w:r>
        <w:r>
          <w:rPr>
            <w:webHidden/>
          </w:rPr>
          <w:fldChar w:fldCharType="begin"/>
        </w:r>
        <w:r>
          <w:rPr>
            <w:webHidden/>
          </w:rPr>
          <w:instrText xml:space="preserve"> PAGEREF _Toc208997884 \h </w:instrText>
        </w:r>
        <w:r>
          <w:rPr>
            <w:webHidden/>
          </w:rPr>
        </w:r>
        <w:r>
          <w:rPr>
            <w:webHidden/>
          </w:rPr>
          <w:fldChar w:fldCharType="separate"/>
        </w:r>
        <w:r>
          <w:rPr>
            <w:webHidden/>
          </w:rPr>
          <w:t>6</w:t>
        </w:r>
        <w:r>
          <w:rPr>
            <w:webHidden/>
          </w:rPr>
          <w:fldChar w:fldCharType="end"/>
        </w:r>
      </w:hyperlink>
    </w:p>
    <w:p w14:paraId="79414DE6" w14:textId="3CA293F0" w:rsidR="00F85EE3" w:rsidRDefault="00F85EE3">
      <w:pPr>
        <w:pStyle w:val="TM2"/>
        <w:rPr>
          <w:rFonts w:asciiTheme="minorHAnsi" w:eastAsiaTheme="minorEastAsia" w:hAnsiTheme="minorHAnsi" w:cstheme="minorBidi"/>
          <w:b w:val="0"/>
        </w:rPr>
      </w:pPr>
      <w:hyperlink w:anchor="_Toc208997885" w:history="1">
        <w:r w:rsidRPr="00A8747B">
          <w:rPr>
            <w:rStyle w:val="Lienhypertexte"/>
          </w:rPr>
          <w:t>8.1.</w:t>
        </w:r>
        <w:r>
          <w:rPr>
            <w:rFonts w:asciiTheme="minorHAnsi" w:eastAsiaTheme="minorEastAsia" w:hAnsiTheme="minorHAnsi" w:cstheme="minorBidi"/>
            <w:b w:val="0"/>
          </w:rPr>
          <w:tab/>
        </w:r>
        <w:r w:rsidRPr="00A8747B">
          <w:rPr>
            <w:rStyle w:val="Lienhypertexte"/>
          </w:rPr>
          <w:t>Contenu du dossier de consultation</w:t>
        </w:r>
        <w:r>
          <w:rPr>
            <w:webHidden/>
          </w:rPr>
          <w:tab/>
        </w:r>
        <w:r>
          <w:rPr>
            <w:webHidden/>
          </w:rPr>
          <w:fldChar w:fldCharType="begin"/>
        </w:r>
        <w:r>
          <w:rPr>
            <w:webHidden/>
          </w:rPr>
          <w:instrText xml:space="preserve"> PAGEREF _Toc208997885 \h </w:instrText>
        </w:r>
        <w:r>
          <w:rPr>
            <w:webHidden/>
          </w:rPr>
        </w:r>
        <w:r>
          <w:rPr>
            <w:webHidden/>
          </w:rPr>
          <w:fldChar w:fldCharType="separate"/>
        </w:r>
        <w:r>
          <w:rPr>
            <w:webHidden/>
          </w:rPr>
          <w:t>6</w:t>
        </w:r>
        <w:r>
          <w:rPr>
            <w:webHidden/>
          </w:rPr>
          <w:fldChar w:fldCharType="end"/>
        </w:r>
      </w:hyperlink>
    </w:p>
    <w:p w14:paraId="59566508" w14:textId="369FACE1" w:rsidR="00F85EE3" w:rsidRDefault="00F85EE3">
      <w:pPr>
        <w:pStyle w:val="TM2"/>
        <w:rPr>
          <w:rFonts w:asciiTheme="minorHAnsi" w:eastAsiaTheme="minorEastAsia" w:hAnsiTheme="minorHAnsi" w:cstheme="minorBidi"/>
          <w:b w:val="0"/>
        </w:rPr>
      </w:pPr>
      <w:hyperlink w:anchor="_Toc208997886" w:history="1">
        <w:r w:rsidRPr="00A8747B">
          <w:rPr>
            <w:rStyle w:val="Lienhypertexte"/>
          </w:rPr>
          <w:t>8.2.</w:t>
        </w:r>
        <w:r>
          <w:rPr>
            <w:rFonts w:asciiTheme="minorHAnsi" w:eastAsiaTheme="minorEastAsia" w:hAnsiTheme="minorHAnsi" w:cstheme="minorBidi"/>
            <w:b w:val="0"/>
          </w:rPr>
          <w:tab/>
        </w:r>
        <w:r w:rsidRPr="00A8747B">
          <w:rPr>
            <w:rStyle w:val="Lienhypertexte"/>
          </w:rPr>
          <w:t>Modification du dossier de consultation</w:t>
        </w:r>
        <w:r>
          <w:rPr>
            <w:webHidden/>
          </w:rPr>
          <w:tab/>
        </w:r>
        <w:r>
          <w:rPr>
            <w:webHidden/>
          </w:rPr>
          <w:fldChar w:fldCharType="begin"/>
        </w:r>
        <w:r>
          <w:rPr>
            <w:webHidden/>
          </w:rPr>
          <w:instrText xml:space="preserve"> PAGEREF _Toc208997886 \h </w:instrText>
        </w:r>
        <w:r>
          <w:rPr>
            <w:webHidden/>
          </w:rPr>
        </w:r>
        <w:r>
          <w:rPr>
            <w:webHidden/>
          </w:rPr>
          <w:fldChar w:fldCharType="separate"/>
        </w:r>
        <w:r>
          <w:rPr>
            <w:webHidden/>
          </w:rPr>
          <w:t>7</w:t>
        </w:r>
        <w:r>
          <w:rPr>
            <w:webHidden/>
          </w:rPr>
          <w:fldChar w:fldCharType="end"/>
        </w:r>
      </w:hyperlink>
    </w:p>
    <w:p w14:paraId="626EB880" w14:textId="77B7418A" w:rsidR="00F85EE3" w:rsidRDefault="00F85EE3">
      <w:pPr>
        <w:pStyle w:val="TM2"/>
        <w:rPr>
          <w:rFonts w:asciiTheme="minorHAnsi" w:eastAsiaTheme="minorEastAsia" w:hAnsiTheme="minorHAnsi" w:cstheme="minorBidi"/>
          <w:b w:val="0"/>
        </w:rPr>
      </w:pPr>
      <w:hyperlink w:anchor="_Toc208997887" w:history="1">
        <w:r w:rsidRPr="00A8747B">
          <w:rPr>
            <w:rStyle w:val="Lienhypertexte"/>
          </w:rPr>
          <w:t>8.3.</w:t>
        </w:r>
        <w:r>
          <w:rPr>
            <w:rFonts w:asciiTheme="minorHAnsi" w:eastAsiaTheme="minorEastAsia" w:hAnsiTheme="minorHAnsi" w:cstheme="minorBidi"/>
            <w:b w:val="0"/>
          </w:rPr>
          <w:tab/>
        </w:r>
        <w:r w:rsidRPr="00A8747B">
          <w:rPr>
            <w:rStyle w:val="Lienhypertexte"/>
          </w:rPr>
          <w:t>Interruption prématurée de la procédure</w:t>
        </w:r>
        <w:r>
          <w:rPr>
            <w:webHidden/>
          </w:rPr>
          <w:tab/>
        </w:r>
        <w:r>
          <w:rPr>
            <w:webHidden/>
          </w:rPr>
          <w:fldChar w:fldCharType="begin"/>
        </w:r>
        <w:r>
          <w:rPr>
            <w:webHidden/>
          </w:rPr>
          <w:instrText xml:space="preserve"> PAGEREF _Toc208997887 \h </w:instrText>
        </w:r>
        <w:r>
          <w:rPr>
            <w:webHidden/>
          </w:rPr>
        </w:r>
        <w:r>
          <w:rPr>
            <w:webHidden/>
          </w:rPr>
          <w:fldChar w:fldCharType="separate"/>
        </w:r>
        <w:r>
          <w:rPr>
            <w:webHidden/>
          </w:rPr>
          <w:t>7</w:t>
        </w:r>
        <w:r>
          <w:rPr>
            <w:webHidden/>
          </w:rPr>
          <w:fldChar w:fldCharType="end"/>
        </w:r>
      </w:hyperlink>
    </w:p>
    <w:p w14:paraId="4CA8E31C" w14:textId="7EE63B3D" w:rsidR="00F85EE3" w:rsidRDefault="00F85EE3">
      <w:pPr>
        <w:pStyle w:val="TM1"/>
        <w:rPr>
          <w:rFonts w:asciiTheme="minorHAnsi" w:eastAsiaTheme="minorEastAsia" w:hAnsiTheme="minorHAnsi" w:cstheme="minorBidi"/>
          <w:b w:val="0"/>
          <w:caps w:val="0"/>
        </w:rPr>
      </w:pPr>
      <w:hyperlink w:anchor="_Toc208997888" w:history="1">
        <w:r w:rsidRPr="00A8747B">
          <w:rPr>
            <w:rStyle w:val="Lienhypertexte"/>
          </w:rPr>
          <w:t>Article 9. – Renseignements complémentaires – visite du site</w:t>
        </w:r>
        <w:r>
          <w:rPr>
            <w:webHidden/>
          </w:rPr>
          <w:tab/>
        </w:r>
        <w:r>
          <w:rPr>
            <w:webHidden/>
          </w:rPr>
          <w:fldChar w:fldCharType="begin"/>
        </w:r>
        <w:r>
          <w:rPr>
            <w:webHidden/>
          </w:rPr>
          <w:instrText xml:space="preserve"> PAGEREF _Toc208997888 \h </w:instrText>
        </w:r>
        <w:r>
          <w:rPr>
            <w:webHidden/>
          </w:rPr>
        </w:r>
        <w:r>
          <w:rPr>
            <w:webHidden/>
          </w:rPr>
          <w:fldChar w:fldCharType="separate"/>
        </w:r>
        <w:r>
          <w:rPr>
            <w:webHidden/>
          </w:rPr>
          <w:t>7</w:t>
        </w:r>
        <w:r>
          <w:rPr>
            <w:webHidden/>
          </w:rPr>
          <w:fldChar w:fldCharType="end"/>
        </w:r>
      </w:hyperlink>
    </w:p>
    <w:p w14:paraId="061D967F" w14:textId="67935D0F" w:rsidR="00F85EE3" w:rsidRDefault="00F85EE3">
      <w:pPr>
        <w:pStyle w:val="TM2"/>
        <w:rPr>
          <w:rFonts w:asciiTheme="minorHAnsi" w:eastAsiaTheme="minorEastAsia" w:hAnsiTheme="minorHAnsi" w:cstheme="minorBidi"/>
          <w:b w:val="0"/>
        </w:rPr>
      </w:pPr>
      <w:hyperlink w:anchor="_Toc208997889" w:history="1">
        <w:r w:rsidRPr="00A8747B">
          <w:rPr>
            <w:rStyle w:val="Lienhypertexte"/>
          </w:rPr>
          <w:t>9.1.</w:t>
        </w:r>
        <w:r>
          <w:rPr>
            <w:rFonts w:asciiTheme="minorHAnsi" w:eastAsiaTheme="minorEastAsia" w:hAnsiTheme="minorHAnsi" w:cstheme="minorBidi"/>
            <w:b w:val="0"/>
          </w:rPr>
          <w:tab/>
        </w:r>
        <w:r w:rsidRPr="00A8747B">
          <w:rPr>
            <w:rStyle w:val="Lienhypertexte"/>
          </w:rPr>
          <w:t>Renseignements complémentaires</w:t>
        </w:r>
        <w:r>
          <w:rPr>
            <w:webHidden/>
          </w:rPr>
          <w:tab/>
        </w:r>
        <w:r>
          <w:rPr>
            <w:webHidden/>
          </w:rPr>
          <w:fldChar w:fldCharType="begin"/>
        </w:r>
        <w:r>
          <w:rPr>
            <w:webHidden/>
          </w:rPr>
          <w:instrText xml:space="preserve"> PAGEREF _Toc208997889 \h </w:instrText>
        </w:r>
        <w:r>
          <w:rPr>
            <w:webHidden/>
          </w:rPr>
        </w:r>
        <w:r>
          <w:rPr>
            <w:webHidden/>
          </w:rPr>
          <w:fldChar w:fldCharType="separate"/>
        </w:r>
        <w:r>
          <w:rPr>
            <w:webHidden/>
          </w:rPr>
          <w:t>7</w:t>
        </w:r>
        <w:r>
          <w:rPr>
            <w:webHidden/>
          </w:rPr>
          <w:fldChar w:fldCharType="end"/>
        </w:r>
      </w:hyperlink>
    </w:p>
    <w:p w14:paraId="38233A23" w14:textId="78D78BCC" w:rsidR="00F85EE3" w:rsidRDefault="00F85EE3">
      <w:pPr>
        <w:pStyle w:val="TM2"/>
        <w:rPr>
          <w:rFonts w:asciiTheme="minorHAnsi" w:eastAsiaTheme="minorEastAsia" w:hAnsiTheme="minorHAnsi" w:cstheme="minorBidi"/>
          <w:b w:val="0"/>
        </w:rPr>
      </w:pPr>
      <w:hyperlink w:anchor="_Toc208997890" w:history="1">
        <w:r w:rsidRPr="00A8747B">
          <w:rPr>
            <w:rStyle w:val="Lienhypertexte"/>
          </w:rPr>
          <w:t>9.2.</w:t>
        </w:r>
        <w:r>
          <w:rPr>
            <w:rFonts w:asciiTheme="minorHAnsi" w:eastAsiaTheme="minorEastAsia" w:hAnsiTheme="minorHAnsi" w:cstheme="minorBidi"/>
            <w:b w:val="0"/>
          </w:rPr>
          <w:tab/>
        </w:r>
        <w:r w:rsidRPr="00A8747B">
          <w:rPr>
            <w:rStyle w:val="Lienhypertexte"/>
          </w:rPr>
          <w:t>Visite obligatoire du site</w:t>
        </w:r>
        <w:r>
          <w:rPr>
            <w:webHidden/>
          </w:rPr>
          <w:tab/>
        </w:r>
        <w:r>
          <w:rPr>
            <w:webHidden/>
          </w:rPr>
          <w:fldChar w:fldCharType="begin"/>
        </w:r>
        <w:r>
          <w:rPr>
            <w:webHidden/>
          </w:rPr>
          <w:instrText xml:space="preserve"> PAGEREF _Toc208997890 \h </w:instrText>
        </w:r>
        <w:r>
          <w:rPr>
            <w:webHidden/>
          </w:rPr>
        </w:r>
        <w:r>
          <w:rPr>
            <w:webHidden/>
          </w:rPr>
          <w:fldChar w:fldCharType="separate"/>
        </w:r>
        <w:r>
          <w:rPr>
            <w:webHidden/>
          </w:rPr>
          <w:t>7</w:t>
        </w:r>
        <w:r>
          <w:rPr>
            <w:webHidden/>
          </w:rPr>
          <w:fldChar w:fldCharType="end"/>
        </w:r>
      </w:hyperlink>
    </w:p>
    <w:p w14:paraId="3A7A2CCD" w14:textId="11CEA00C" w:rsidR="00F85EE3" w:rsidRDefault="00F85EE3">
      <w:pPr>
        <w:pStyle w:val="TM1"/>
        <w:rPr>
          <w:rFonts w:asciiTheme="minorHAnsi" w:eastAsiaTheme="minorEastAsia" w:hAnsiTheme="minorHAnsi" w:cstheme="minorBidi"/>
          <w:b w:val="0"/>
          <w:caps w:val="0"/>
        </w:rPr>
      </w:pPr>
      <w:hyperlink w:anchor="_Toc208997891" w:history="1">
        <w:r w:rsidRPr="00A8747B">
          <w:rPr>
            <w:rStyle w:val="Lienhypertexte"/>
          </w:rPr>
          <w:t>Article 10. – Conditions de participation</w:t>
        </w:r>
        <w:r>
          <w:rPr>
            <w:webHidden/>
          </w:rPr>
          <w:tab/>
        </w:r>
        <w:r>
          <w:rPr>
            <w:webHidden/>
          </w:rPr>
          <w:fldChar w:fldCharType="begin"/>
        </w:r>
        <w:r>
          <w:rPr>
            <w:webHidden/>
          </w:rPr>
          <w:instrText xml:space="preserve"> PAGEREF _Toc208997891 \h </w:instrText>
        </w:r>
        <w:r>
          <w:rPr>
            <w:webHidden/>
          </w:rPr>
        </w:r>
        <w:r>
          <w:rPr>
            <w:webHidden/>
          </w:rPr>
          <w:fldChar w:fldCharType="separate"/>
        </w:r>
        <w:r>
          <w:rPr>
            <w:webHidden/>
          </w:rPr>
          <w:t>8</w:t>
        </w:r>
        <w:r>
          <w:rPr>
            <w:webHidden/>
          </w:rPr>
          <w:fldChar w:fldCharType="end"/>
        </w:r>
      </w:hyperlink>
    </w:p>
    <w:p w14:paraId="7C159760" w14:textId="5C30FE9E" w:rsidR="00F85EE3" w:rsidRDefault="00F85EE3">
      <w:pPr>
        <w:pStyle w:val="TM2"/>
        <w:rPr>
          <w:rFonts w:asciiTheme="minorHAnsi" w:eastAsiaTheme="minorEastAsia" w:hAnsiTheme="minorHAnsi" w:cstheme="minorBidi"/>
          <w:b w:val="0"/>
        </w:rPr>
      </w:pPr>
      <w:hyperlink w:anchor="_Toc208997892" w:history="1">
        <w:r w:rsidRPr="00A8747B">
          <w:rPr>
            <w:rStyle w:val="Lienhypertexte"/>
          </w:rPr>
          <w:t>10.1.</w:t>
        </w:r>
        <w:r>
          <w:rPr>
            <w:rFonts w:asciiTheme="minorHAnsi" w:eastAsiaTheme="minorEastAsia" w:hAnsiTheme="minorHAnsi" w:cstheme="minorBidi"/>
            <w:b w:val="0"/>
          </w:rPr>
          <w:tab/>
        </w:r>
        <w:r w:rsidRPr="00A8747B">
          <w:rPr>
            <w:rStyle w:val="Lienhypertexte"/>
          </w:rPr>
          <w:t>Dossier à remettre par les candidats</w:t>
        </w:r>
        <w:r>
          <w:rPr>
            <w:webHidden/>
          </w:rPr>
          <w:tab/>
        </w:r>
        <w:r>
          <w:rPr>
            <w:webHidden/>
          </w:rPr>
          <w:fldChar w:fldCharType="begin"/>
        </w:r>
        <w:r>
          <w:rPr>
            <w:webHidden/>
          </w:rPr>
          <w:instrText xml:space="preserve"> PAGEREF _Toc208997892 \h </w:instrText>
        </w:r>
        <w:r>
          <w:rPr>
            <w:webHidden/>
          </w:rPr>
        </w:r>
        <w:r>
          <w:rPr>
            <w:webHidden/>
          </w:rPr>
          <w:fldChar w:fldCharType="separate"/>
        </w:r>
        <w:r>
          <w:rPr>
            <w:webHidden/>
          </w:rPr>
          <w:t>8</w:t>
        </w:r>
        <w:r>
          <w:rPr>
            <w:webHidden/>
          </w:rPr>
          <w:fldChar w:fldCharType="end"/>
        </w:r>
      </w:hyperlink>
    </w:p>
    <w:p w14:paraId="635D3516" w14:textId="534F3DA3" w:rsidR="00F85EE3" w:rsidRDefault="00F85EE3">
      <w:pPr>
        <w:pStyle w:val="TM3"/>
        <w:tabs>
          <w:tab w:val="left" w:pos="1320"/>
          <w:tab w:val="right" w:leader="dot" w:pos="8777"/>
        </w:tabs>
        <w:rPr>
          <w:rFonts w:asciiTheme="minorHAnsi" w:eastAsiaTheme="minorEastAsia" w:hAnsiTheme="minorHAnsi" w:cstheme="minorBidi"/>
          <w:i w:val="0"/>
          <w:noProof/>
          <w:szCs w:val="22"/>
        </w:rPr>
      </w:pPr>
      <w:hyperlink w:anchor="_Toc208997893" w:history="1">
        <w:r w:rsidRPr="00A8747B">
          <w:rPr>
            <w:rStyle w:val="Lienhypertexte"/>
            <w:noProof/>
          </w:rPr>
          <w:t>10.1.1.</w:t>
        </w:r>
        <w:r>
          <w:rPr>
            <w:rFonts w:asciiTheme="minorHAnsi" w:eastAsiaTheme="minorEastAsia" w:hAnsiTheme="minorHAnsi" w:cstheme="minorBidi"/>
            <w:i w:val="0"/>
            <w:noProof/>
            <w:szCs w:val="22"/>
          </w:rPr>
          <w:tab/>
        </w:r>
        <w:r w:rsidRPr="00A8747B">
          <w:rPr>
            <w:rStyle w:val="Lienhypertexte"/>
            <w:noProof/>
          </w:rPr>
          <w:t>Éléments de la candidature</w:t>
        </w:r>
        <w:r>
          <w:rPr>
            <w:noProof/>
            <w:webHidden/>
          </w:rPr>
          <w:tab/>
        </w:r>
        <w:r>
          <w:rPr>
            <w:noProof/>
            <w:webHidden/>
          </w:rPr>
          <w:fldChar w:fldCharType="begin"/>
        </w:r>
        <w:r>
          <w:rPr>
            <w:noProof/>
            <w:webHidden/>
          </w:rPr>
          <w:instrText xml:space="preserve"> PAGEREF _Toc208997893 \h </w:instrText>
        </w:r>
        <w:r>
          <w:rPr>
            <w:noProof/>
            <w:webHidden/>
          </w:rPr>
        </w:r>
        <w:r>
          <w:rPr>
            <w:noProof/>
            <w:webHidden/>
          </w:rPr>
          <w:fldChar w:fldCharType="separate"/>
        </w:r>
        <w:r>
          <w:rPr>
            <w:noProof/>
            <w:webHidden/>
          </w:rPr>
          <w:t>8</w:t>
        </w:r>
        <w:r>
          <w:rPr>
            <w:noProof/>
            <w:webHidden/>
          </w:rPr>
          <w:fldChar w:fldCharType="end"/>
        </w:r>
      </w:hyperlink>
    </w:p>
    <w:p w14:paraId="09CA6689" w14:textId="294E846A" w:rsidR="00F85EE3" w:rsidRDefault="00F85EE3">
      <w:pPr>
        <w:pStyle w:val="TM3"/>
        <w:tabs>
          <w:tab w:val="left" w:pos="1320"/>
          <w:tab w:val="right" w:leader="dot" w:pos="8777"/>
        </w:tabs>
        <w:rPr>
          <w:rFonts w:asciiTheme="minorHAnsi" w:eastAsiaTheme="minorEastAsia" w:hAnsiTheme="minorHAnsi" w:cstheme="minorBidi"/>
          <w:i w:val="0"/>
          <w:noProof/>
          <w:szCs w:val="22"/>
        </w:rPr>
      </w:pPr>
      <w:hyperlink w:anchor="_Toc208997894" w:history="1">
        <w:r w:rsidRPr="00A8747B">
          <w:rPr>
            <w:rStyle w:val="Lienhypertexte"/>
            <w:noProof/>
          </w:rPr>
          <w:t>10.1.2.</w:t>
        </w:r>
        <w:r>
          <w:rPr>
            <w:rFonts w:asciiTheme="minorHAnsi" w:eastAsiaTheme="minorEastAsia" w:hAnsiTheme="minorHAnsi" w:cstheme="minorBidi"/>
            <w:i w:val="0"/>
            <w:noProof/>
            <w:szCs w:val="22"/>
          </w:rPr>
          <w:tab/>
        </w:r>
        <w:r w:rsidRPr="00A8747B">
          <w:rPr>
            <w:rStyle w:val="Lienhypertexte"/>
            <w:noProof/>
          </w:rPr>
          <w:t>Éléments de l’offre</w:t>
        </w:r>
        <w:r>
          <w:rPr>
            <w:noProof/>
            <w:webHidden/>
          </w:rPr>
          <w:tab/>
        </w:r>
        <w:r>
          <w:rPr>
            <w:noProof/>
            <w:webHidden/>
          </w:rPr>
          <w:fldChar w:fldCharType="begin"/>
        </w:r>
        <w:r>
          <w:rPr>
            <w:noProof/>
            <w:webHidden/>
          </w:rPr>
          <w:instrText xml:space="preserve"> PAGEREF _Toc208997894 \h </w:instrText>
        </w:r>
        <w:r>
          <w:rPr>
            <w:noProof/>
            <w:webHidden/>
          </w:rPr>
        </w:r>
        <w:r>
          <w:rPr>
            <w:noProof/>
            <w:webHidden/>
          </w:rPr>
          <w:fldChar w:fldCharType="separate"/>
        </w:r>
        <w:r>
          <w:rPr>
            <w:noProof/>
            <w:webHidden/>
          </w:rPr>
          <w:t>10</w:t>
        </w:r>
        <w:r>
          <w:rPr>
            <w:noProof/>
            <w:webHidden/>
          </w:rPr>
          <w:fldChar w:fldCharType="end"/>
        </w:r>
      </w:hyperlink>
    </w:p>
    <w:p w14:paraId="34CC4B92" w14:textId="4FEB6362" w:rsidR="00F85EE3" w:rsidRDefault="00F85EE3">
      <w:pPr>
        <w:pStyle w:val="TM2"/>
        <w:rPr>
          <w:rFonts w:asciiTheme="minorHAnsi" w:eastAsiaTheme="minorEastAsia" w:hAnsiTheme="minorHAnsi" w:cstheme="minorBidi"/>
          <w:b w:val="0"/>
        </w:rPr>
      </w:pPr>
      <w:hyperlink w:anchor="_Toc208997895" w:history="1">
        <w:r w:rsidRPr="00A8747B">
          <w:rPr>
            <w:rStyle w:val="Lienhypertexte"/>
          </w:rPr>
          <w:t>10.2.</w:t>
        </w:r>
        <w:r>
          <w:rPr>
            <w:rFonts w:asciiTheme="minorHAnsi" w:eastAsiaTheme="minorEastAsia" w:hAnsiTheme="minorHAnsi" w:cstheme="minorBidi"/>
            <w:b w:val="0"/>
          </w:rPr>
          <w:tab/>
        </w:r>
        <w:r w:rsidRPr="00A8747B">
          <w:rPr>
            <w:rStyle w:val="Lienhypertexte"/>
          </w:rPr>
          <w:t>Durée de validité des offres</w:t>
        </w:r>
        <w:r>
          <w:rPr>
            <w:webHidden/>
          </w:rPr>
          <w:tab/>
        </w:r>
        <w:r>
          <w:rPr>
            <w:webHidden/>
          </w:rPr>
          <w:fldChar w:fldCharType="begin"/>
        </w:r>
        <w:r>
          <w:rPr>
            <w:webHidden/>
          </w:rPr>
          <w:instrText xml:space="preserve"> PAGEREF _Toc208997895 \h </w:instrText>
        </w:r>
        <w:r>
          <w:rPr>
            <w:webHidden/>
          </w:rPr>
        </w:r>
        <w:r>
          <w:rPr>
            <w:webHidden/>
          </w:rPr>
          <w:fldChar w:fldCharType="separate"/>
        </w:r>
        <w:r>
          <w:rPr>
            <w:webHidden/>
          </w:rPr>
          <w:t>10</w:t>
        </w:r>
        <w:r>
          <w:rPr>
            <w:webHidden/>
          </w:rPr>
          <w:fldChar w:fldCharType="end"/>
        </w:r>
      </w:hyperlink>
    </w:p>
    <w:p w14:paraId="1C7BE38D" w14:textId="14334195" w:rsidR="00F85EE3" w:rsidRDefault="00F85EE3">
      <w:pPr>
        <w:pStyle w:val="TM1"/>
        <w:rPr>
          <w:rFonts w:asciiTheme="minorHAnsi" w:eastAsiaTheme="minorEastAsia" w:hAnsiTheme="minorHAnsi" w:cstheme="minorBidi"/>
          <w:b w:val="0"/>
          <w:caps w:val="0"/>
        </w:rPr>
      </w:pPr>
      <w:hyperlink w:anchor="_Toc208997896" w:history="1">
        <w:r w:rsidRPr="00A8747B">
          <w:rPr>
            <w:rStyle w:val="Lienhypertexte"/>
          </w:rPr>
          <w:t>Article 11. – Conditions de remise des candidatures et des offres</w:t>
        </w:r>
        <w:r>
          <w:rPr>
            <w:webHidden/>
          </w:rPr>
          <w:tab/>
        </w:r>
        <w:r>
          <w:rPr>
            <w:webHidden/>
          </w:rPr>
          <w:fldChar w:fldCharType="begin"/>
        </w:r>
        <w:r>
          <w:rPr>
            <w:webHidden/>
          </w:rPr>
          <w:instrText xml:space="preserve"> PAGEREF _Toc208997896 \h </w:instrText>
        </w:r>
        <w:r>
          <w:rPr>
            <w:webHidden/>
          </w:rPr>
        </w:r>
        <w:r>
          <w:rPr>
            <w:webHidden/>
          </w:rPr>
          <w:fldChar w:fldCharType="separate"/>
        </w:r>
        <w:r>
          <w:rPr>
            <w:webHidden/>
          </w:rPr>
          <w:t>11</w:t>
        </w:r>
        <w:r>
          <w:rPr>
            <w:webHidden/>
          </w:rPr>
          <w:fldChar w:fldCharType="end"/>
        </w:r>
      </w:hyperlink>
    </w:p>
    <w:p w14:paraId="57D564F3" w14:textId="1A9A538A" w:rsidR="00F85EE3" w:rsidRDefault="00F85EE3">
      <w:pPr>
        <w:pStyle w:val="TM2"/>
        <w:rPr>
          <w:rFonts w:asciiTheme="minorHAnsi" w:eastAsiaTheme="minorEastAsia" w:hAnsiTheme="minorHAnsi" w:cstheme="minorBidi"/>
          <w:b w:val="0"/>
        </w:rPr>
      </w:pPr>
      <w:hyperlink w:anchor="_Toc208997897" w:history="1">
        <w:r w:rsidRPr="00A8747B">
          <w:rPr>
            <w:rStyle w:val="Lienhypertexte"/>
          </w:rPr>
          <w:t>11.1.</w:t>
        </w:r>
        <w:r>
          <w:rPr>
            <w:rFonts w:asciiTheme="minorHAnsi" w:eastAsiaTheme="minorEastAsia" w:hAnsiTheme="minorHAnsi" w:cstheme="minorBidi"/>
            <w:b w:val="0"/>
          </w:rPr>
          <w:tab/>
        </w:r>
        <w:r w:rsidRPr="00A8747B">
          <w:rPr>
            <w:rStyle w:val="Lienhypertexte"/>
          </w:rPr>
          <w:t>Transmission électronique des plis</w:t>
        </w:r>
        <w:r>
          <w:rPr>
            <w:webHidden/>
          </w:rPr>
          <w:tab/>
        </w:r>
        <w:r>
          <w:rPr>
            <w:webHidden/>
          </w:rPr>
          <w:fldChar w:fldCharType="begin"/>
        </w:r>
        <w:r>
          <w:rPr>
            <w:webHidden/>
          </w:rPr>
          <w:instrText xml:space="preserve"> PAGEREF _Toc208997897 \h </w:instrText>
        </w:r>
        <w:r>
          <w:rPr>
            <w:webHidden/>
          </w:rPr>
        </w:r>
        <w:r>
          <w:rPr>
            <w:webHidden/>
          </w:rPr>
          <w:fldChar w:fldCharType="separate"/>
        </w:r>
        <w:r>
          <w:rPr>
            <w:webHidden/>
          </w:rPr>
          <w:t>11</w:t>
        </w:r>
        <w:r>
          <w:rPr>
            <w:webHidden/>
          </w:rPr>
          <w:fldChar w:fldCharType="end"/>
        </w:r>
      </w:hyperlink>
    </w:p>
    <w:p w14:paraId="308E981E" w14:textId="0197AA83" w:rsidR="00F85EE3" w:rsidRDefault="00F85EE3">
      <w:pPr>
        <w:pStyle w:val="TM2"/>
        <w:rPr>
          <w:rFonts w:asciiTheme="minorHAnsi" w:eastAsiaTheme="minorEastAsia" w:hAnsiTheme="minorHAnsi" w:cstheme="minorBidi"/>
          <w:b w:val="0"/>
        </w:rPr>
      </w:pPr>
      <w:hyperlink w:anchor="_Toc208997898" w:history="1">
        <w:r w:rsidRPr="00A8747B">
          <w:rPr>
            <w:rStyle w:val="Lienhypertexte"/>
          </w:rPr>
          <w:t>11.2.</w:t>
        </w:r>
        <w:r>
          <w:rPr>
            <w:rFonts w:asciiTheme="minorHAnsi" w:eastAsiaTheme="minorEastAsia" w:hAnsiTheme="minorHAnsi" w:cstheme="minorBidi"/>
            <w:b w:val="0"/>
          </w:rPr>
          <w:tab/>
        </w:r>
        <w:r w:rsidRPr="00A8747B">
          <w:rPr>
            <w:rStyle w:val="Lienhypertexte"/>
          </w:rPr>
          <w:t>Copie de sauvegarde</w:t>
        </w:r>
        <w:r>
          <w:rPr>
            <w:webHidden/>
          </w:rPr>
          <w:tab/>
        </w:r>
        <w:r>
          <w:rPr>
            <w:webHidden/>
          </w:rPr>
          <w:fldChar w:fldCharType="begin"/>
        </w:r>
        <w:r>
          <w:rPr>
            <w:webHidden/>
          </w:rPr>
          <w:instrText xml:space="preserve"> PAGEREF _Toc208997898 \h </w:instrText>
        </w:r>
        <w:r>
          <w:rPr>
            <w:webHidden/>
          </w:rPr>
        </w:r>
        <w:r>
          <w:rPr>
            <w:webHidden/>
          </w:rPr>
          <w:fldChar w:fldCharType="separate"/>
        </w:r>
        <w:r>
          <w:rPr>
            <w:webHidden/>
          </w:rPr>
          <w:t>11</w:t>
        </w:r>
        <w:r>
          <w:rPr>
            <w:webHidden/>
          </w:rPr>
          <w:fldChar w:fldCharType="end"/>
        </w:r>
      </w:hyperlink>
    </w:p>
    <w:p w14:paraId="696E8891" w14:textId="304DA6E7" w:rsidR="00F85EE3" w:rsidRDefault="00F85EE3">
      <w:pPr>
        <w:pStyle w:val="TM1"/>
        <w:rPr>
          <w:rFonts w:asciiTheme="minorHAnsi" w:eastAsiaTheme="minorEastAsia" w:hAnsiTheme="minorHAnsi" w:cstheme="minorBidi"/>
          <w:b w:val="0"/>
          <w:caps w:val="0"/>
        </w:rPr>
      </w:pPr>
      <w:hyperlink w:anchor="_Toc208997899" w:history="1">
        <w:r w:rsidRPr="00A8747B">
          <w:rPr>
            <w:rStyle w:val="Lienhypertexte"/>
          </w:rPr>
          <w:t>Article 12. – Sélection des candidatures et jugement des offres</w:t>
        </w:r>
        <w:r>
          <w:rPr>
            <w:webHidden/>
          </w:rPr>
          <w:tab/>
        </w:r>
        <w:r>
          <w:rPr>
            <w:webHidden/>
          </w:rPr>
          <w:fldChar w:fldCharType="begin"/>
        </w:r>
        <w:r>
          <w:rPr>
            <w:webHidden/>
          </w:rPr>
          <w:instrText xml:space="preserve"> PAGEREF _Toc208997899 \h </w:instrText>
        </w:r>
        <w:r>
          <w:rPr>
            <w:webHidden/>
          </w:rPr>
        </w:r>
        <w:r>
          <w:rPr>
            <w:webHidden/>
          </w:rPr>
          <w:fldChar w:fldCharType="separate"/>
        </w:r>
        <w:r>
          <w:rPr>
            <w:webHidden/>
          </w:rPr>
          <w:t>12</w:t>
        </w:r>
        <w:r>
          <w:rPr>
            <w:webHidden/>
          </w:rPr>
          <w:fldChar w:fldCharType="end"/>
        </w:r>
      </w:hyperlink>
    </w:p>
    <w:p w14:paraId="507A226E" w14:textId="6285D6D3" w:rsidR="00F85EE3" w:rsidRDefault="00F85EE3">
      <w:pPr>
        <w:pStyle w:val="TM2"/>
        <w:rPr>
          <w:rFonts w:asciiTheme="minorHAnsi" w:eastAsiaTheme="minorEastAsia" w:hAnsiTheme="minorHAnsi" w:cstheme="minorBidi"/>
          <w:b w:val="0"/>
        </w:rPr>
      </w:pPr>
      <w:hyperlink w:anchor="_Toc208997900" w:history="1">
        <w:r w:rsidRPr="00A8747B">
          <w:rPr>
            <w:rStyle w:val="Lienhypertexte"/>
          </w:rPr>
          <w:t>12.1.</w:t>
        </w:r>
        <w:r>
          <w:rPr>
            <w:rFonts w:asciiTheme="minorHAnsi" w:eastAsiaTheme="minorEastAsia" w:hAnsiTheme="minorHAnsi" w:cstheme="minorBidi"/>
            <w:b w:val="0"/>
          </w:rPr>
          <w:tab/>
        </w:r>
        <w:r w:rsidRPr="00A8747B">
          <w:rPr>
            <w:rStyle w:val="Lienhypertexte"/>
          </w:rPr>
          <w:t>Examen des candidatures</w:t>
        </w:r>
        <w:r>
          <w:rPr>
            <w:webHidden/>
          </w:rPr>
          <w:tab/>
        </w:r>
        <w:r>
          <w:rPr>
            <w:webHidden/>
          </w:rPr>
          <w:fldChar w:fldCharType="begin"/>
        </w:r>
        <w:r>
          <w:rPr>
            <w:webHidden/>
          </w:rPr>
          <w:instrText xml:space="preserve"> PAGEREF _Toc208997900 \h </w:instrText>
        </w:r>
        <w:r>
          <w:rPr>
            <w:webHidden/>
          </w:rPr>
        </w:r>
        <w:r>
          <w:rPr>
            <w:webHidden/>
          </w:rPr>
          <w:fldChar w:fldCharType="separate"/>
        </w:r>
        <w:r>
          <w:rPr>
            <w:webHidden/>
          </w:rPr>
          <w:t>12</w:t>
        </w:r>
        <w:r>
          <w:rPr>
            <w:webHidden/>
          </w:rPr>
          <w:fldChar w:fldCharType="end"/>
        </w:r>
      </w:hyperlink>
    </w:p>
    <w:p w14:paraId="7887A42F" w14:textId="6E932094" w:rsidR="00F85EE3" w:rsidRDefault="00F85EE3">
      <w:pPr>
        <w:pStyle w:val="TM2"/>
        <w:rPr>
          <w:rFonts w:asciiTheme="minorHAnsi" w:eastAsiaTheme="minorEastAsia" w:hAnsiTheme="minorHAnsi" w:cstheme="minorBidi"/>
          <w:b w:val="0"/>
        </w:rPr>
      </w:pPr>
      <w:hyperlink w:anchor="_Toc208997901" w:history="1">
        <w:r w:rsidRPr="00A8747B">
          <w:rPr>
            <w:rStyle w:val="Lienhypertexte"/>
          </w:rPr>
          <w:t>12.2.</w:t>
        </w:r>
        <w:r>
          <w:rPr>
            <w:rFonts w:asciiTheme="minorHAnsi" w:eastAsiaTheme="minorEastAsia" w:hAnsiTheme="minorHAnsi" w:cstheme="minorBidi"/>
            <w:b w:val="0"/>
          </w:rPr>
          <w:tab/>
        </w:r>
        <w:r w:rsidRPr="00A8747B">
          <w:rPr>
            <w:rStyle w:val="Lienhypertexte"/>
          </w:rPr>
          <w:t>Jugement des offres</w:t>
        </w:r>
        <w:r>
          <w:rPr>
            <w:webHidden/>
          </w:rPr>
          <w:tab/>
        </w:r>
        <w:r>
          <w:rPr>
            <w:webHidden/>
          </w:rPr>
          <w:fldChar w:fldCharType="begin"/>
        </w:r>
        <w:r>
          <w:rPr>
            <w:webHidden/>
          </w:rPr>
          <w:instrText xml:space="preserve"> PAGEREF _Toc208997901 \h </w:instrText>
        </w:r>
        <w:r>
          <w:rPr>
            <w:webHidden/>
          </w:rPr>
        </w:r>
        <w:r>
          <w:rPr>
            <w:webHidden/>
          </w:rPr>
          <w:fldChar w:fldCharType="separate"/>
        </w:r>
        <w:r>
          <w:rPr>
            <w:webHidden/>
          </w:rPr>
          <w:t>12</w:t>
        </w:r>
        <w:r>
          <w:rPr>
            <w:webHidden/>
          </w:rPr>
          <w:fldChar w:fldCharType="end"/>
        </w:r>
      </w:hyperlink>
    </w:p>
    <w:p w14:paraId="06B29132" w14:textId="17FD653D" w:rsidR="00F85EE3" w:rsidRDefault="00F85EE3">
      <w:pPr>
        <w:pStyle w:val="TM2"/>
        <w:rPr>
          <w:rFonts w:asciiTheme="minorHAnsi" w:eastAsiaTheme="minorEastAsia" w:hAnsiTheme="minorHAnsi" w:cstheme="minorBidi"/>
          <w:b w:val="0"/>
        </w:rPr>
      </w:pPr>
      <w:hyperlink w:anchor="_Toc208997902" w:history="1">
        <w:r w:rsidRPr="00A8747B">
          <w:rPr>
            <w:rStyle w:val="Lienhypertexte"/>
          </w:rPr>
          <w:t>12.3.</w:t>
        </w:r>
        <w:r>
          <w:rPr>
            <w:rFonts w:asciiTheme="minorHAnsi" w:eastAsiaTheme="minorEastAsia" w:hAnsiTheme="minorHAnsi" w:cstheme="minorBidi"/>
            <w:b w:val="0"/>
          </w:rPr>
          <w:tab/>
        </w:r>
        <w:r w:rsidRPr="00A8747B">
          <w:rPr>
            <w:rStyle w:val="Lienhypertexte"/>
          </w:rPr>
          <w:t>Négociation</w:t>
        </w:r>
        <w:r>
          <w:rPr>
            <w:webHidden/>
          </w:rPr>
          <w:tab/>
        </w:r>
        <w:r>
          <w:rPr>
            <w:webHidden/>
          </w:rPr>
          <w:fldChar w:fldCharType="begin"/>
        </w:r>
        <w:r>
          <w:rPr>
            <w:webHidden/>
          </w:rPr>
          <w:instrText xml:space="preserve"> PAGEREF _Toc208997902 \h </w:instrText>
        </w:r>
        <w:r>
          <w:rPr>
            <w:webHidden/>
          </w:rPr>
        </w:r>
        <w:r>
          <w:rPr>
            <w:webHidden/>
          </w:rPr>
          <w:fldChar w:fldCharType="separate"/>
        </w:r>
        <w:r>
          <w:rPr>
            <w:webHidden/>
          </w:rPr>
          <w:t>13</w:t>
        </w:r>
        <w:r>
          <w:rPr>
            <w:webHidden/>
          </w:rPr>
          <w:fldChar w:fldCharType="end"/>
        </w:r>
      </w:hyperlink>
    </w:p>
    <w:p w14:paraId="0B78D0DB" w14:textId="70C56AF2" w:rsidR="00F85EE3" w:rsidRDefault="00F85EE3">
      <w:pPr>
        <w:pStyle w:val="TM1"/>
        <w:rPr>
          <w:rFonts w:asciiTheme="minorHAnsi" w:eastAsiaTheme="minorEastAsia" w:hAnsiTheme="minorHAnsi" w:cstheme="minorBidi"/>
          <w:b w:val="0"/>
          <w:caps w:val="0"/>
        </w:rPr>
      </w:pPr>
      <w:hyperlink w:anchor="_Toc208997903" w:history="1">
        <w:r w:rsidRPr="00A8747B">
          <w:rPr>
            <w:rStyle w:val="Lienhypertexte"/>
          </w:rPr>
          <w:t>ANNEXE  Déclaration sur l’honneur</w:t>
        </w:r>
        <w:r>
          <w:rPr>
            <w:webHidden/>
          </w:rPr>
          <w:tab/>
        </w:r>
        <w:r>
          <w:rPr>
            <w:webHidden/>
          </w:rPr>
          <w:fldChar w:fldCharType="begin"/>
        </w:r>
        <w:r>
          <w:rPr>
            <w:webHidden/>
          </w:rPr>
          <w:instrText xml:space="preserve"> PAGEREF _Toc208997903 \h </w:instrText>
        </w:r>
        <w:r>
          <w:rPr>
            <w:webHidden/>
          </w:rPr>
        </w:r>
        <w:r>
          <w:rPr>
            <w:webHidden/>
          </w:rPr>
          <w:fldChar w:fldCharType="separate"/>
        </w:r>
        <w:r>
          <w:rPr>
            <w:webHidden/>
          </w:rPr>
          <w:t>14</w:t>
        </w:r>
        <w:r>
          <w:rPr>
            <w:webHidden/>
          </w:rPr>
          <w:fldChar w:fldCharType="end"/>
        </w:r>
      </w:hyperlink>
    </w:p>
    <w:p w14:paraId="71BC0167" w14:textId="34F1230C" w:rsidR="006E14E2" w:rsidRPr="00F05256" w:rsidRDefault="00526B54" w:rsidP="00B1095C">
      <w:pPr>
        <w:pStyle w:val="a"/>
        <w:rPr>
          <w:lang w:val="fr-FR"/>
        </w:rPr>
      </w:pPr>
      <w:r w:rsidRPr="00002C86">
        <w:rPr>
          <w:rFonts w:ascii="Times New Roman" w:hAnsi="Times New Roman"/>
          <w:caps/>
          <w:sz w:val="22"/>
          <w:szCs w:val="22"/>
          <w:lang w:val="fr-FR" w:eastAsia="fr-FR"/>
        </w:rPr>
        <w:fldChar w:fldCharType="end"/>
      </w:r>
    </w:p>
    <w:p w14:paraId="548EC188" w14:textId="3B098CBC" w:rsidR="006426DC" w:rsidRDefault="0097569F" w:rsidP="00D639ED">
      <w:pPr>
        <w:pStyle w:val="DCETitre1"/>
        <w:keepNext w:val="0"/>
        <w:keepLines w:val="0"/>
        <w:widowControl w:val="0"/>
        <w:spacing w:before="360"/>
      </w:pPr>
      <w:r>
        <w:br w:type="page"/>
      </w:r>
      <w:bookmarkStart w:id="0" w:name="_Toc362430641"/>
      <w:bookmarkStart w:id="1" w:name="_Toc362432811"/>
      <w:bookmarkStart w:id="2" w:name="_Toc362546724"/>
      <w:bookmarkStart w:id="3" w:name="_Toc412818147"/>
      <w:bookmarkStart w:id="4" w:name="_Toc208997868"/>
      <w:r w:rsidR="006B726E">
        <w:lastRenderedPageBreak/>
        <w:t>I</w:t>
      </w:r>
      <w:r w:rsidR="00774AAC">
        <w:t>dentification du ma</w:t>
      </w:r>
      <w:r w:rsidR="00774AAC">
        <w:rPr>
          <w:rFonts w:hint="eastAsia"/>
        </w:rPr>
        <w:t>î</w:t>
      </w:r>
      <w:r w:rsidR="00774AAC">
        <w:t>tre du domaine</w:t>
      </w:r>
      <w:bookmarkEnd w:id="0"/>
      <w:bookmarkEnd w:id="1"/>
      <w:bookmarkEnd w:id="2"/>
      <w:bookmarkEnd w:id="3"/>
      <w:bookmarkEnd w:id="4"/>
    </w:p>
    <w:p w14:paraId="03A354A7" w14:textId="77777777" w:rsidR="005C4E83" w:rsidRDefault="00285199" w:rsidP="00550274">
      <w:pPr>
        <w:pStyle w:val="DCECorpsdetexte"/>
        <w:widowControl w:val="0"/>
      </w:pPr>
      <w:r>
        <w:t>Autorité concédante</w:t>
      </w:r>
      <w:r w:rsidR="005C4E83">
        <w:t> :</w:t>
      </w:r>
      <w:r w:rsidR="0082375C">
        <w:tab/>
      </w:r>
      <w:r w:rsidR="0082375C" w:rsidRPr="00E574F4">
        <w:t>État</w:t>
      </w:r>
      <w:r w:rsidR="005C4E83" w:rsidRPr="00E574F4">
        <w:t>-Sénat</w:t>
      </w:r>
      <w:r w:rsidR="005C4E83">
        <w:t>, 15 rue de Vaugirard, 75006 Paris</w:t>
      </w:r>
    </w:p>
    <w:p w14:paraId="2BF340C5" w14:textId="77777777" w:rsidR="00954B9F" w:rsidRPr="00774AAC" w:rsidRDefault="00954B9F" w:rsidP="00550274">
      <w:pPr>
        <w:pStyle w:val="DCETitre2"/>
      </w:pPr>
      <w:bookmarkStart w:id="5" w:name="_Toc151826852"/>
      <w:bookmarkStart w:id="6" w:name="_Toc227581747"/>
      <w:bookmarkStart w:id="7" w:name="_Toc232829331"/>
      <w:bookmarkStart w:id="8" w:name="_Toc233002947"/>
      <w:bookmarkStart w:id="9" w:name="_Toc235416100"/>
      <w:bookmarkStart w:id="10" w:name="_Toc235508743"/>
      <w:bookmarkStart w:id="11" w:name="_Toc235521607"/>
      <w:bookmarkStart w:id="12" w:name="_Toc235692490"/>
      <w:bookmarkStart w:id="13" w:name="_Toc360635460"/>
      <w:bookmarkStart w:id="14" w:name="_Toc361416195"/>
      <w:bookmarkStart w:id="15" w:name="_Toc361675869"/>
      <w:bookmarkStart w:id="16" w:name="_Toc361675991"/>
      <w:bookmarkStart w:id="17" w:name="_Toc361676088"/>
      <w:bookmarkStart w:id="18" w:name="_Toc361676127"/>
      <w:bookmarkStart w:id="19" w:name="_Toc361676226"/>
      <w:bookmarkStart w:id="20" w:name="_Toc361677320"/>
      <w:bookmarkStart w:id="21" w:name="_Toc362010492"/>
      <w:bookmarkStart w:id="22" w:name="_Toc386639578"/>
      <w:bookmarkStart w:id="23" w:name="_Toc387658671"/>
      <w:bookmarkStart w:id="24" w:name="_Toc208997869"/>
      <w:r w:rsidRPr="00774AAC">
        <w:t>Nom et adresse officiels d</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285199">
        <w:t>e l’autorité concédante</w:t>
      </w:r>
      <w:bookmarkEnd w:id="24"/>
    </w:p>
    <w:p w14:paraId="2E087E97" w14:textId="77777777" w:rsidR="001E0BC7" w:rsidRDefault="001E0BC7" w:rsidP="001E0BC7">
      <w:pPr>
        <w:pStyle w:val="DCECadresimple"/>
      </w:pPr>
      <w:r>
        <w:t>S</w:t>
      </w:r>
      <w:r w:rsidRPr="00575482">
        <w:t>énat</w:t>
      </w:r>
    </w:p>
    <w:p w14:paraId="16ED231A" w14:textId="0FDE3EF6" w:rsidR="001E0BC7" w:rsidRDefault="00AB2F97" w:rsidP="001E0BC7">
      <w:pPr>
        <w:pStyle w:val="DCECadresimple"/>
      </w:pPr>
      <w:r>
        <w:t xml:space="preserve">Emmanuel </w:t>
      </w:r>
      <w:r w:rsidR="003C6603">
        <w:t>Triboulet</w:t>
      </w:r>
    </w:p>
    <w:p w14:paraId="2268516C" w14:textId="58FBAB39" w:rsidR="001E0BC7" w:rsidRDefault="001E0BC7" w:rsidP="001E0BC7">
      <w:pPr>
        <w:pStyle w:val="DCECadresimple"/>
      </w:pPr>
      <w:r>
        <w:t>Direct</w:t>
      </w:r>
      <w:r w:rsidR="00AB2F97">
        <w:t>eur</w:t>
      </w:r>
      <w:r w:rsidR="003C6603">
        <w:t xml:space="preserve"> de la </w:t>
      </w:r>
      <w:r w:rsidR="004A3F0A">
        <w:t>L</w:t>
      </w:r>
      <w:r w:rsidR="003C6603">
        <w:t xml:space="preserve">ogistique et des </w:t>
      </w:r>
      <w:r w:rsidR="004A3F0A">
        <w:t>M</w:t>
      </w:r>
      <w:r w:rsidR="003C6603">
        <w:t>oyens généraux</w:t>
      </w:r>
      <w:r w:rsidR="004A3F0A">
        <w:t xml:space="preserve"> (DLMG)</w:t>
      </w:r>
    </w:p>
    <w:p w14:paraId="17085FD3" w14:textId="04D9D07E" w:rsidR="001E0BC7" w:rsidRDefault="003C6603" w:rsidP="001E0BC7">
      <w:pPr>
        <w:pStyle w:val="DCECadresimple"/>
      </w:pPr>
      <w:r>
        <w:t xml:space="preserve">15 rue de </w:t>
      </w:r>
      <w:r w:rsidR="004A3F0A">
        <w:t>V</w:t>
      </w:r>
      <w:r>
        <w:t>augirard</w:t>
      </w:r>
    </w:p>
    <w:p w14:paraId="3750CEFC" w14:textId="0496BD92" w:rsidR="001E0BC7" w:rsidRDefault="003C6603" w:rsidP="001E0BC7">
      <w:pPr>
        <w:pStyle w:val="DCECadresimple"/>
      </w:pPr>
      <w:r>
        <w:t>75006 p</w:t>
      </w:r>
      <w:r w:rsidR="001E0BC7" w:rsidRPr="00575482">
        <w:t>aris</w:t>
      </w:r>
    </w:p>
    <w:p w14:paraId="32216F44" w14:textId="77777777" w:rsidR="001E0BC7" w:rsidRDefault="001E0BC7" w:rsidP="001E0BC7">
      <w:pPr>
        <w:pStyle w:val="DCECadresimple"/>
      </w:pPr>
      <w:r>
        <w:t>France</w:t>
      </w:r>
    </w:p>
    <w:p w14:paraId="39047C9E" w14:textId="77777777" w:rsidR="00954B9F" w:rsidRPr="00044F1B" w:rsidRDefault="001E0BC7" w:rsidP="002C4244">
      <w:pPr>
        <w:pStyle w:val="DCECadresimple"/>
      </w:pPr>
      <w:r>
        <w:t xml:space="preserve">Internet : </w:t>
      </w:r>
      <w:hyperlink r:id="rId12" w:history="1">
        <w:r>
          <w:rPr>
            <w:rStyle w:val="Lienhypertexte"/>
          </w:rPr>
          <w:t>www.senat.fr</w:t>
        </w:r>
      </w:hyperlink>
    </w:p>
    <w:p w14:paraId="7C2D9961" w14:textId="778521F8" w:rsidR="00954B9F" w:rsidRPr="00550274" w:rsidRDefault="00954B9F" w:rsidP="002C4244">
      <w:pPr>
        <w:pStyle w:val="DCETitre2"/>
        <w:tabs>
          <w:tab w:val="clear" w:pos="792"/>
        </w:tabs>
        <w:spacing w:before="240"/>
        <w:ind w:left="788" w:hanging="431"/>
      </w:pPr>
      <w:bookmarkStart w:id="25" w:name="_Toc386639579"/>
      <w:bookmarkStart w:id="26" w:name="_Toc387658672"/>
      <w:bookmarkStart w:id="27" w:name="_Toc151826853"/>
      <w:bookmarkStart w:id="28" w:name="_Toc227581748"/>
      <w:bookmarkStart w:id="29" w:name="_Toc232829332"/>
      <w:bookmarkStart w:id="30" w:name="_Toc233002948"/>
      <w:bookmarkStart w:id="31" w:name="_Toc235416101"/>
      <w:bookmarkStart w:id="32" w:name="_Toc235508744"/>
      <w:bookmarkStart w:id="33" w:name="_Toc235521608"/>
      <w:bookmarkStart w:id="34" w:name="_Toc235692491"/>
      <w:bookmarkStart w:id="35" w:name="_Toc360635461"/>
      <w:bookmarkStart w:id="36" w:name="_Toc361416196"/>
      <w:bookmarkStart w:id="37" w:name="_Toc361675870"/>
      <w:bookmarkStart w:id="38" w:name="_Toc361675992"/>
      <w:bookmarkStart w:id="39" w:name="_Toc361676089"/>
      <w:bookmarkStart w:id="40" w:name="_Toc361676128"/>
      <w:bookmarkStart w:id="41" w:name="_Toc361676227"/>
      <w:bookmarkStart w:id="42" w:name="_Toc361677321"/>
      <w:bookmarkStart w:id="43" w:name="_Toc362010493"/>
      <w:bookmarkStart w:id="44" w:name="_Toc208997870"/>
      <w:r w:rsidRPr="00550274">
        <w:t>Correspondant administratif</w:t>
      </w:r>
      <w:bookmarkEnd w:id="25"/>
      <w:bookmarkEnd w:id="26"/>
      <w:bookmarkEnd w:id="44"/>
      <w:r w:rsidRPr="00550274">
        <w:t xml:space="preserve"> </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C621239" w14:textId="49752785" w:rsidR="00860CED" w:rsidRPr="00B21248" w:rsidRDefault="003C6603" w:rsidP="00860CED">
      <w:pPr>
        <w:pStyle w:val="DCECadresimple"/>
      </w:pPr>
      <w:r>
        <w:t>Jonathan Hild</w:t>
      </w:r>
    </w:p>
    <w:p w14:paraId="59621BCD" w14:textId="5F7D592F" w:rsidR="00860CED" w:rsidRPr="00B21248" w:rsidRDefault="00860CED" w:rsidP="00860CED">
      <w:pPr>
        <w:pStyle w:val="DCECadresimple"/>
      </w:pPr>
      <w:r>
        <w:t>Direction de la Logistique et des Moyens généraux</w:t>
      </w:r>
    </w:p>
    <w:p w14:paraId="23D1747F" w14:textId="77777777" w:rsidR="00860CED" w:rsidRPr="00B21248" w:rsidRDefault="00860CED" w:rsidP="00860CED">
      <w:pPr>
        <w:pStyle w:val="DCECadresimple"/>
      </w:pPr>
      <w:r w:rsidRPr="00B21248">
        <w:t>Sénat</w:t>
      </w:r>
    </w:p>
    <w:p w14:paraId="356EEAA1" w14:textId="77777777" w:rsidR="00860CED" w:rsidRPr="00B21248" w:rsidRDefault="00860CED" w:rsidP="00860CED">
      <w:pPr>
        <w:pStyle w:val="DCECadresimple"/>
      </w:pPr>
      <w:r w:rsidRPr="00B21248">
        <w:t>15 rue de Vaugirard</w:t>
      </w:r>
    </w:p>
    <w:p w14:paraId="7B2BE8B1" w14:textId="77777777" w:rsidR="00860CED" w:rsidRPr="00B21248" w:rsidRDefault="00860CED" w:rsidP="00860CED">
      <w:pPr>
        <w:pStyle w:val="DCECadresimple"/>
      </w:pPr>
      <w:r w:rsidRPr="00B21248">
        <w:t>75006 Paris</w:t>
      </w:r>
    </w:p>
    <w:p w14:paraId="5E8AD612" w14:textId="77777777" w:rsidR="00860CED" w:rsidRPr="00B21248" w:rsidRDefault="00860CED" w:rsidP="00860CED">
      <w:pPr>
        <w:pStyle w:val="DCECadresimple"/>
      </w:pPr>
      <w:r w:rsidRPr="00B21248">
        <w:t>France</w:t>
      </w:r>
    </w:p>
    <w:p w14:paraId="0F434F7A" w14:textId="77777777" w:rsidR="00860CED" w:rsidRPr="00B21248" w:rsidRDefault="00860CED" w:rsidP="00860CED">
      <w:pPr>
        <w:pStyle w:val="DCECadresimple"/>
      </w:pPr>
      <w:r w:rsidRPr="00B21248">
        <w:t>Téléphone</w:t>
      </w:r>
      <w:r>
        <w:t xml:space="preserve"> : </w:t>
      </w:r>
      <w:r w:rsidR="005C1813">
        <w:t>+33 (0)</w:t>
      </w:r>
      <w:r>
        <w:t>1 42 34 28 28</w:t>
      </w:r>
    </w:p>
    <w:p w14:paraId="244CB41E" w14:textId="77777777" w:rsidR="00954B9F" w:rsidRPr="00B21248" w:rsidRDefault="00860CED" w:rsidP="00860CED">
      <w:pPr>
        <w:pStyle w:val="DCECadresimple"/>
        <w:widowControl w:val="0"/>
      </w:pPr>
      <w:r w:rsidRPr="00B21248">
        <w:t>Courriel</w:t>
      </w:r>
      <w:r>
        <w:t> :</w:t>
      </w:r>
      <w:r>
        <w:rPr>
          <w:szCs w:val="28"/>
        </w:rPr>
        <w:t xml:space="preserve"> </w:t>
      </w:r>
      <w:hyperlink r:id="rId13" w:history="1">
        <w:r w:rsidRPr="00723948">
          <w:rPr>
            <w:rStyle w:val="Lienhypertexte"/>
          </w:rPr>
          <w:t>marches-dlmg@senat.fr</w:t>
        </w:r>
      </w:hyperlink>
      <w:r w:rsidRPr="00B21248">
        <w:t xml:space="preserve"> </w:t>
      </w:r>
    </w:p>
    <w:p w14:paraId="2DA6B09A" w14:textId="77777777" w:rsidR="00954B9F" w:rsidRDefault="00954B9F" w:rsidP="00860CED">
      <w:pPr>
        <w:pStyle w:val="DCETitre2"/>
        <w:tabs>
          <w:tab w:val="clear" w:pos="792"/>
        </w:tabs>
        <w:spacing w:before="240"/>
        <w:ind w:left="788" w:hanging="431"/>
      </w:pPr>
      <w:bookmarkStart w:id="45" w:name="_Toc233002949"/>
      <w:bookmarkStart w:id="46" w:name="_Toc235416102"/>
      <w:bookmarkStart w:id="47" w:name="_Toc235508745"/>
      <w:bookmarkStart w:id="48" w:name="_Toc235521609"/>
      <w:bookmarkStart w:id="49" w:name="_Toc235692492"/>
      <w:bookmarkStart w:id="50" w:name="_Toc360635462"/>
      <w:bookmarkStart w:id="51" w:name="_Toc361416197"/>
      <w:bookmarkStart w:id="52" w:name="_Toc361675871"/>
      <w:bookmarkStart w:id="53" w:name="_Toc361675993"/>
      <w:bookmarkStart w:id="54" w:name="_Toc361676090"/>
      <w:bookmarkStart w:id="55" w:name="_Toc361676129"/>
      <w:bookmarkStart w:id="56" w:name="_Toc361676228"/>
      <w:bookmarkStart w:id="57" w:name="_Toc361677322"/>
      <w:bookmarkStart w:id="58" w:name="_Toc362010494"/>
      <w:bookmarkStart w:id="59" w:name="_Toc386639580"/>
      <w:bookmarkStart w:id="60" w:name="_Toc387658673"/>
      <w:bookmarkStart w:id="61" w:name="_Toc227581749"/>
      <w:bookmarkStart w:id="62" w:name="_Toc208997871"/>
      <w:r>
        <w:t xml:space="preserve">Adresse à laquelle les documents de la consultation peuvent être </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283105">
        <w:t>retirés</w:t>
      </w:r>
      <w:bookmarkEnd w:id="62"/>
    </w:p>
    <w:p w14:paraId="6ED1C548" w14:textId="74230BAF" w:rsidR="00860CED" w:rsidRPr="00870973" w:rsidRDefault="00860CED" w:rsidP="00860CED">
      <w:pPr>
        <w:pStyle w:val="DCECadresimple"/>
        <w:keepNext/>
        <w:keepLines/>
      </w:pPr>
      <w:r>
        <w:t xml:space="preserve">Le dossier peut être </w:t>
      </w:r>
      <w:r w:rsidRPr="00B61D78">
        <w:t>téléchargé</w:t>
      </w:r>
      <w:r>
        <w:t xml:space="preserve"> à l’adresse suivante :</w:t>
      </w:r>
      <w:r>
        <w:br/>
      </w:r>
      <w:bookmarkStart w:id="63" w:name="_Hlk207198983"/>
      <w:r w:rsidRPr="00AB2F97">
        <w:t>https://</w:t>
      </w:r>
      <w:r w:rsidR="00AB2F97">
        <w:t>www.marches-publics.gouv.fr</w:t>
      </w:r>
      <w:bookmarkEnd w:id="63"/>
    </w:p>
    <w:p w14:paraId="008A43FC" w14:textId="67513192" w:rsidR="00445B9E" w:rsidRPr="008D4220" w:rsidRDefault="006B726E" w:rsidP="00D639ED">
      <w:pPr>
        <w:pStyle w:val="DCETitre1"/>
        <w:keepNext w:val="0"/>
        <w:keepLines w:val="0"/>
        <w:widowControl w:val="0"/>
        <w:spacing w:before="360"/>
      </w:pPr>
      <w:bookmarkStart w:id="64" w:name="_Toc232829333"/>
      <w:bookmarkStart w:id="65" w:name="_Toc233002950"/>
      <w:bookmarkStart w:id="66" w:name="_Toc235416103"/>
      <w:bookmarkStart w:id="67" w:name="_Toc235508746"/>
      <w:bookmarkStart w:id="68" w:name="_Toc235521610"/>
      <w:bookmarkStart w:id="69" w:name="_Toc235692493"/>
      <w:bookmarkStart w:id="70" w:name="_Toc360635463"/>
      <w:bookmarkStart w:id="71" w:name="_Toc361416198"/>
      <w:bookmarkStart w:id="72" w:name="_Toc361675872"/>
      <w:bookmarkStart w:id="73" w:name="_Toc361675994"/>
      <w:bookmarkStart w:id="74" w:name="_Toc361676091"/>
      <w:bookmarkStart w:id="75" w:name="_Toc361676130"/>
      <w:bookmarkStart w:id="76" w:name="_Toc361676229"/>
      <w:bookmarkStart w:id="77" w:name="_Toc361677323"/>
      <w:bookmarkStart w:id="78" w:name="_Toc362010495"/>
      <w:bookmarkStart w:id="79" w:name="_Toc362430642"/>
      <w:bookmarkStart w:id="80" w:name="_Toc362432812"/>
      <w:bookmarkStart w:id="81" w:name="_Toc362546725"/>
      <w:bookmarkStart w:id="82" w:name="_Toc412818148"/>
      <w:bookmarkStart w:id="83" w:name="_Toc208997872"/>
      <w:bookmarkEnd w:id="61"/>
      <w:r>
        <w:t>O</w:t>
      </w:r>
      <w:r w:rsidR="00550274" w:rsidRPr="008D4220">
        <w:t>bjet d</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550274" w:rsidRPr="008D4220">
        <w:t>e la consultation</w:t>
      </w:r>
      <w:bookmarkEnd w:id="79"/>
      <w:bookmarkEnd w:id="80"/>
      <w:bookmarkEnd w:id="81"/>
      <w:bookmarkEnd w:id="82"/>
      <w:bookmarkEnd w:id="83"/>
    </w:p>
    <w:p w14:paraId="535ED284" w14:textId="0D36C645" w:rsidR="004C337E" w:rsidRDefault="00992D88" w:rsidP="00CD5739">
      <w:pPr>
        <w:widowControl/>
        <w:spacing w:before="120" w:after="120"/>
        <w:jc w:val="both"/>
      </w:pPr>
      <w:r>
        <w:t>L’autorité concédante entend confier au concessionnaire la gestion</w:t>
      </w:r>
      <w:r w:rsidR="002C4244" w:rsidRPr="002C4244">
        <w:t xml:space="preserve"> </w:t>
      </w:r>
      <w:r w:rsidR="00285199">
        <w:t>d’une concession de service pour</w:t>
      </w:r>
      <w:r w:rsidR="002C4244" w:rsidRPr="002C4244">
        <w:t xml:space="preserve"> </w:t>
      </w:r>
      <w:r w:rsidR="00285199">
        <w:t>l</w:t>
      </w:r>
      <w:r w:rsidR="002C4244" w:rsidRPr="002C4244">
        <w:t>’exploitation d’une boutique de vente</w:t>
      </w:r>
      <w:r w:rsidR="00285199">
        <w:t xml:space="preserve"> située</w:t>
      </w:r>
      <w:r w:rsidR="002C4244" w:rsidRPr="002C4244">
        <w:t xml:space="preserve"> dans le Palais du Luxembourg (75006 PARIS)</w:t>
      </w:r>
      <w:r w:rsidR="001847DF">
        <w:t xml:space="preserve"> ainsi que d’une boutique en ligne</w:t>
      </w:r>
      <w:r w:rsidR="002C4244" w:rsidRPr="002C4244">
        <w:t>.</w:t>
      </w:r>
    </w:p>
    <w:p w14:paraId="374415B8" w14:textId="5FEDA3F0" w:rsidR="00845807" w:rsidRDefault="00EB4F7F" w:rsidP="00CD5739">
      <w:pPr>
        <w:widowControl/>
        <w:spacing w:before="120" w:after="120"/>
        <w:jc w:val="both"/>
      </w:pPr>
      <w:r>
        <w:t>La</w:t>
      </w:r>
      <w:r w:rsidR="00845807">
        <w:t xml:space="preserve"> boutique</w:t>
      </w:r>
      <w:r>
        <w:t xml:space="preserve"> sis dans le Palais</w:t>
      </w:r>
      <w:r w:rsidR="00845807">
        <w:t xml:space="preserve"> est dénommée « Comptoir Médicis ».</w:t>
      </w:r>
    </w:p>
    <w:p w14:paraId="77BF0617" w14:textId="406DF0B7" w:rsidR="00F05256" w:rsidRPr="00D639ED" w:rsidRDefault="006B726E" w:rsidP="008D4220">
      <w:pPr>
        <w:pStyle w:val="DCETitre1"/>
        <w:keepNext w:val="0"/>
        <w:keepLines w:val="0"/>
        <w:pageBreakBefore/>
        <w:widowControl w:val="0"/>
        <w:spacing w:before="360"/>
        <w:rPr>
          <w:b w:val="0"/>
        </w:rPr>
      </w:pPr>
      <w:bookmarkStart w:id="84" w:name="_Toc362430643"/>
      <w:bookmarkStart w:id="85" w:name="_Toc362432813"/>
      <w:bookmarkStart w:id="86" w:name="_Toc362546726"/>
      <w:bookmarkStart w:id="87" w:name="_Toc412818149"/>
      <w:bookmarkStart w:id="88" w:name="_Toc208997873"/>
      <w:r>
        <w:rPr>
          <w:b w:val="0"/>
        </w:rPr>
        <w:lastRenderedPageBreak/>
        <w:t>F</w:t>
      </w:r>
      <w:r w:rsidR="00AB2F97">
        <w:rPr>
          <w:b w:val="0"/>
        </w:rPr>
        <w:t xml:space="preserve">ormation et </w:t>
      </w:r>
      <w:r w:rsidR="00550274" w:rsidRPr="00D639ED">
        <w:rPr>
          <w:b w:val="0"/>
        </w:rPr>
        <w:t xml:space="preserve">nature de </w:t>
      </w:r>
      <w:bookmarkEnd w:id="84"/>
      <w:bookmarkEnd w:id="85"/>
      <w:bookmarkEnd w:id="86"/>
      <w:bookmarkEnd w:id="87"/>
      <w:r w:rsidR="00285199">
        <w:rPr>
          <w:b w:val="0"/>
        </w:rPr>
        <w:t>la concession</w:t>
      </w:r>
      <w:bookmarkEnd w:id="88"/>
    </w:p>
    <w:p w14:paraId="6BA6D613" w14:textId="77777777" w:rsidR="001847DF" w:rsidRDefault="00AB2F97" w:rsidP="00AB2F97">
      <w:pPr>
        <w:pStyle w:val="DCETEXTE0"/>
        <w:rPr>
          <w:szCs w:val="28"/>
        </w:rPr>
      </w:pPr>
      <w:r w:rsidRPr="009150E1">
        <w:rPr>
          <w:szCs w:val="28"/>
        </w:rPr>
        <w:t xml:space="preserve">La concession est conclue selon les dispositions des </w:t>
      </w:r>
      <w:r w:rsidRPr="00A3539F">
        <w:rPr>
          <w:szCs w:val="28"/>
        </w:rPr>
        <w:t>articles L. 3100-1 et suivants du code de la commande publique et de l’arrêté de Questure</w:t>
      </w:r>
      <w:r>
        <w:rPr>
          <w:szCs w:val="28"/>
        </w:rPr>
        <w:t xml:space="preserve"> </w:t>
      </w:r>
      <w:r w:rsidRPr="00B344D8">
        <w:rPr>
          <w:szCs w:val="28"/>
        </w:rPr>
        <w:t>modifié</w:t>
      </w:r>
      <w:r>
        <w:rPr>
          <w:rStyle w:val="Appelnotedebasdep"/>
          <w:szCs w:val="28"/>
        </w:rPr>
        <w:footnoteReference w:id="1"/>
      </w:r>
      <w:r w:rsidRPr="00A3539F">
        <w:rPr>
          <w:szCs w:val="28"/>
        </w:rPr>
        <w:t xml:space="preserve"> n° 2022-1101 du 13 décembre 2022 </w:t>
      </w:r>
      <w:r w:rsidRPr="00A3539F">
        <w:t>relatif aux concessions et autorisations d’occupation du domaine public dans le Palais du Luxembourg et ses dépendances et dans le Jardin du Luxembourg</w:t>
      </w:r>
      <w:r w:rsidRPr="00A3539F">
        <w:rPr>
          <w:szCs w:val="28"/>
        </w:rPr>
        <w:t xml:space="preserve">. </w:t>
      </w:r>
    </w:p>
    <w:p w14:paraId="7B90C99F" w14:textId="09610FC6" w:rsidR="00AB2F97" w:rsidRPr="00A3539F" w:rsidRDefault="00AB2F97" w:rsidP="00AB2F97">
      <w:pPr>
        <w:pStyle w:val="DCETEXTE0"/>
        <w:rPr>
          <w:szCs w:val="28"/>
        </w:rPr>
      </w:pPr>
      <w:r w:rsidRPr="00A3539F">
        <w:rPr>
          <w:szCs w:val="28"/>
        </w:rPr>
        <w:t>Après attribution par décision du Conseil de Questure du Sénat, un contrat</w:t>
      </w:r>
      <w:r>
        <w:rPr>
          <w:szCs w:val="28"/>
        </w:rPr>
        <w:t xml:space="preserve"> de concession</w:t>
      </w:r>
      <w:r w:rsidRPr="00A3539F">
        <w:rPr>
          <w:szCs w:val="28"/>
        </w:rPr>
        <w:t xml:space="preserve"> définissant les conditions de son exploitation est signé par le titulaire et le Sénat.</w:t>
      </w:r>
    </w:p>
    <w:p w14:paraId="76599A7C" w14:textId="1C7A3F23" w:rsidR="000837F8" w:rsidRDefault="000837F8" w:rsidP="008D4220">
      <w:pPr>
        <w:pStyle w:val="DCETEXTE0"/>
      </w:pPr>
      <w:r>
        <w:rPr>
          <w:szCs w:val="28"/>
        </w:rPr>
        <w:t>L’</w:t>
      </w:r>
      <w:r w:rsidRPr="000D11F2">
        <w:rPr>
          <w:szCs w:val="28"/>
        </w:rPr>
        <w:t xml:space="preserve">exploitation </w:t>
      </w:r>
      <w:r>
        <w:rPr>
          <w:szCs w:val="28"/>
        </w:rPr>
        <w:t>sera assurée dans le cadre d’une concession de service</w:t>
      </w:r>
      <w:r w:rsidR="0025452C">
        <w:rPr>
          <w:szCs w:val="28"/>
        </w:rPr>
        <w:t>s</w:t>
      </w:r>
      <w:r>
        <w:rPr>
          <w:szCs w:val="28"/>
        </w:rPr>
        <w:t xml:space="preserve"> conclu</w:t>
      </w:r>
      <w:r w:rsidR="00957307">
        <w:rPr>
          <w:szCs w:val="28"/>
        </w:rPr>
        <w:t>e</w:t>
      </w:r>
      <w:r>
        <w:rPr>
          <w:szCs w:val="28"/>
        </w:rPr>
        <w:t xml:space="preserve"> en application de</w:t>
      </w:r>
      <w:r w:rsidR="0025452C">
        <w:rPr>
          <w:szCs w:val="28"/>
        </w:rPr>
        <w:t>s</w:t>
      </w:r>
      <w:r>
        <w:rPr>
          <w:szCs w:val="28"/>
        </w:rPr>
        <w:t xml:space="preserve"> </w:t>
      </w:r>
      <w:r w:rsidR="0025452C">
        <w:rPr>
          <w:szCs w:val="28"/>
        </w:rPr>
        <w:t xml:space="preserve">articles </w:t>
      </w:r>
      <w:r>
        <w:rPr>
          <w:szCs w:val="28"/>
        </w:rPr>
        <w:t>L.1121-1</w:t>
      </w:r>
      <w:r w:rsidR="0025452C">
        <w:rPr>
          <w:szCs w:val="28"/>
        </w:rPr>
        <w:t xml:space="preserve"> et L. 1121-3</w:t>
      </w:r>
      <w:r>
        <w:rPr>
          <w:szCs w:val="28"/>
        </w:rPr>
        <w:t xml:space="preserve"> du code de la commande publique</w:t>
      </w:r>
      <w:r>
        <w:t>.</w:t>
      </w:r>
      <w:r w:rsidR="00983295">
        <w:t xml:space="preserve"> </w:t>
      </w:r>
      <w:r w:rsidR="00983295">
        <w:rPr>
          <w:lang w:eastAsia="x-none"/>
        </w:rPr>
        <w:t>Le risque économique lié à l</w:t>
      </w:r>
      <w:r w:rsidR="00983295" w:rsidRPr="00F1008F">
        <w:rPr>
          <w:lang w:eastAsia="x-none"/>
        </w:rPr>
        <w:t>a gestion et</w:t>
      </w:r>
      <w:r w:rsidR="00983295">
        <w:rPr>
          <w:lang w:eastAsia="x-none"/>
        </w:rPr>
        <w:t xml:space="preserve"> à</w:t>
      </w:r>
      <w:r w:rsidR="00983295" w:rsidRPr="00F1008F">
        <w:rPr>
          <w:lang w:eastAsia="x-none"/>
        </w:rPr>
        <w:t xml:space="preserve"> l’exploitation de ce</w:t>
      </w:r>
      <w:r w:rsidR="00983295">
        <w:rPr>
          <w:lang w:eastAsia="x-none"/>
        </w:rPr>
        <w:t>tte boutique sera assumé par le</w:t>
      </w:r>
      <w:r w:rsidR="00983295" w:rsidRPr="00F1008F">
        <w:rPr>
          <w:lang w:eastAsia="x-none"/>
        </w:rPr>
        <w:t xml:space="preserve"> </w:t>
      </w:r>
      <w:r w:rsidR="00957307">
        <w:rPr>
          <w:lang w:eastAsia="x-none"/>
        </w:rPr>
        <w:t>c</w:t>
      </w:r>
      <w:r w:rsidR="00983295">
        <w:rPr>
          <w:lang w:eastAsia="x-none"/>
        </w:rPr>
        <w:t>oncessionnaire</w:t>
      </w:r>
      <w:r w:rsidR="00957307">
        <w:rPr>
          <w:lang w:eastAsia="x-none"/>
        </w:rPr>
        <w:t>.</w:t>
      </w:r>
    </w:p>
    <w:p w14:paraId="3BAAEE71" w14:textId="77777777" w:rsidR="00AB2F97" w:rsidRPr="00A3539F" w:rsidRDefault="00AB2F97" w:rsidP="00AB2F97">
      <w:pPr>
        <w:pStyle w:val="DCETEXTE0"/>
      </w:pPr>
      <w:r w:rsidRPr="00DD7700">
        <w:t>Le service concédé n’est pas un service public.</w:t>
      </w:r>
    </w:p>
    <w:p w14:paraId="66888A3F" w14:textId="77777777" w:rsidR="00CD5739" w:rsidRDefault="00983295" w:rsidP="008D4220">
      <w:pPr>
        <w:pStyle w:val="DCETEXTE0"/>
      </w:pPr>
      <w:r>
        <w:rPr>
          <w:lang w:eastAsia="x-none"/>
        </w:rPr>
        <w:t>La gestion de la concession n’est pas constitutive d’un fonds de commerce et n’est pas éligible au régime de la propriété commerciale</w:t>
      </w:r>
      <w:r w:rsidR="00CD5739">
        <w:t xml:space="preserve">. </w:t>
      </w:r>
    </w:p>
    <w:p w14:paraId="1F2C6ED3" w14:textId="123898C4" w:rsidR="005C4E83" w:rsidRDefault="00321614" w:rsidP="008D4220">
      <w:pPr>
        <w:pStyle w:val="DCETEXTE0"/>
      </w:pPr>
      <w:r>
        <w:t>Cette concession</w:t>
      </w:r>
      <w:r w:rsidR="002C4244">
        <w:t>,</w:t>
      </w:r>
      <w:r w:rsidR="00CD5739">
        <w:t xml:space="preserve"> </w:t>
      </w:r>
      <w:r>
        <w:t>accordée</w:t>
      </w:r>
      <w:r w:rsidR="00CD5739">
        <w:t xml:space="preserve"> par une décision du Conseil de Questure du Sénat</w:t>
      </w:r>
      <w:r w:rsidR="002C4244">
        <w:t>,</w:t>
      </w:r>
      <w:r w:rsidR="00CD5739">
        <w:t xml:space="preserve"> fera l’objet d’un </w:t>
      </w:r>
      <w:r w:rsidR="00680FDE">
        <w:t xml:space="preserve">contrat </w:t>
      </w:r>
      <w:r w:rsidR="008D4212">
        <w:t xml:space="preserve">signé par les deux parties </w:t>
      </w:r>
      <w:r w:rsidR="00CD5739">
        <w:t>définissant les conditions d’exploitation</w:t>
      </w:r>
      <w:r w:rsidR="008D4212" w:rsidRPr="008D4212">
        <w:t xml:space="preserve"> </w:t>
      </w:r>
      <w:r w:rsidR="008D4212">
        <w:t xml:space="preserve">de la </w:t>
      </w:r>
      <w:r w:rsidR="002C4244">
        <w:t>boutique de vente</w:t>
      </w:r>
      <w:r w:rsidR="006B726E">
        <w:t xml:space="preserve"> ainsi que de la boutique en ligne</w:t>
      </w:r>
      <w:r w:rsidR="005C4E83">
        <w:t>.</w:t>
      </w:r>
    </w:p>
    <w:p w14:paraId="06A469A0" w14:textId="459422F5" w:rsidR="00CD5739" w:rsidRPr="00CD5739" w:rsidRDefault="006B726E" w:rsidP="00CD5739">
      <w:pPr>
        <w:pStyle w:val="DCETitre1"/>
        <w:keepNext w:val="0"/>
        <w:keepLines w:val="0"/>
        <w:widowControl w:val="0"/>
        <w:spacing w:before="360"/>
        <w:rPr>
          <w:b w:val="0"/>
        </w:rPr>
      </w:pPr>
      <w:bookmarkStart w:id="89" w:name="_Toc509501709"/>
      <w:bookmarkStart w:id="90" w:name="_Toc208997874"/>
      <w:r>
        <w:rPr>
          <w:b w:val="0"/>
        </w:rPr>
        <w:t>F</w:t>
      </w:r>
      <w:r w:rsidR="00D122E4">
        <w:rPr>
          <w:b w:val="0"/>
        </w:rPr>
        <w:t>orme de la procédure</w:t>
      </w:r>
      <w:bookmarkEnd w:id="89"/>
      <w:bookmarkEnd w:id="90"/>
      <w:r w:rsidR="00CD5739" w:rsidRPr="00CD5739">
        <w:rPr>
          <w:b w:val="0"/>
        </w:rPr>
        <w:t xml:space="preserve"> </w:t>
      </w:r>
    </w:p>
    <w:p w14:paraId="6C74D1D9" w14:textId="77777777" w:rsidR="00826D27" w:rsidRDefault="00826D27" w:rsidP="00826D27">
      <w:pPr>
        <w:jc w:val="both"/>
        <w:rPr>
          <w:lang w:eastAsia="x-none"/>
        </w:rPr>
      </w:pPr>
      <w:r w:rsidRPr="002227CF">
        <w:rPr>
          <w:lang w:eastAsia="x-none"/>
        </w:rPr>
        <w:t xml:space="preserve">La procédure suivie </w:t>
      </w:r>
      <w:r>
        <w:rPr>
          <w:lang w:eastAsia="x-none"/>
        </w:rPr>
        <w:t>porte sur la</w:t>
      </w:r>
      <w:r w:rsidRPr="002227CF">
        <w:rPr>
          <w:lang w:eastAsia="x-none"/>
        </w:rPr>
        <w:t xml:space="preserve"> passation </w:t>
      </w:r>
      <w:r>
        <w:rPr>
          <w:lang w:eastAsia="x-none"/>
        </w:rPr>
        <w:t>d’un contrat de concession</w:t>
      </w:r>
      <w:r w:rsidRPr="002227CF">
        <w:rPr>
          <w:lang w:eastAsia="x-none"/>
        </w:rPr>
        <w:t xml:space="preserve"> de service</w:t>
      </w:r>
      <w:r w:rsidR="0025452C">
        <w:rPr>
          <w:lang w:eastAsia="x-none"/>
        </w:rPr>
        <w:t>s</w:t>
      </w:r>
      <w:r w:rsidRPr="002227CF">
        <w:rPr>
          <w:lang w:eastAsia="x-none"/>
        </w:rPr>
        <w:t xml:space="preserve">, </w:t>
      </w:r>
      <w:r>
        <w:rPr>
          <w:lang w:eastAsia="x-none"/>
        </w:rPr>
        <w:t xml:space="preserve">conformément </w:t>
      </w:r>
      <w:r w:rsidRPr="002227CF">
        <w:rPr>
          <w:lang w:eastAsia="x-none"/>
        </w:rPr>
        <w:t xml:space="preserve">aux dispositions </w:t>
      </w:r>
      <w:r>
        <w:rPr>
          <w:lang w:eastAsia="x-none"/>
        </w:rPr>
        <w:t xml:space="preserve">des articles </w:t>
      </w:r>
      <w:r>
        <w:t xml:space="preserve">R. 3126-1 et suivants </w:t>
      </w:r>
      <w:r>
        <w:rPr>
          <w:lang w:eastAsia="x-none"/>
        </w:rPr>
        <w:t>du code d</w:t>
      </w:r>
      <w:r w:rsidR="00321614">
        <w:rPr>
          <w:lang w:eastAsia="x-none"/>
        </w:rPr>
        <w:t>e la commande publique</w:t>
      </w:r>
      <w:r>
        <w:rPr>
          <w:lang w:eastAsia="x-none"/>
        </w:rPr>
        <w:t xml:space="preserve">. </w:t>
      </w:r>
    </w:p>
    <w:p w14:paraId="58A370E9" w14:textId="3AF1B03E" w:rsidR="00CD5739" w:rsidRDefault="00826D27" w:rsidP="00826D27">
      <w:pPr>
        <w:widowControl/>
        <w:spacing w:before="120" w:after="120"/>
        <w:jc w:val="both"/>
      </w:pPr>
      <w:r>
        <w:rPr>
          <w:lang w:eastAsia="x-none"/>
        </w:rPr>
        <w:t xml:space="preserve">La procédure retenue est une procédure dite « ouverte » avec remise simultanée des candidatures </w:t>
      </w:r>
      <w:r w:rsidRPr="000C1924">
        <w:rPr>
          <w:lang w:eastAsia="x-none"/>
        </w:rPr>
        <w:t xml:space="preserve">et des offres sur la plateforme de dématérialisation du Sénat selon les modalités prévues à l’article </w:t>
      </w:r>
      <w:r w:rsidR="000C1924" w:rsidRPr="000C1924">
        <w:rPr>
          <w:lang w:eastAsia="x-none"/>
        </w:rPr>
        <w:t>1</w:t>
      </w:r>
      <w:r w:rsidR="00F120FA">
        <w:rPr>
          <w:lang w:eastAsia="x-none"/>
        </w:rPr>
        <w:t>1</w:t>
      </w:r>
      <w:r w:rsidRPr="000C1924">
        <w:rPr>
          <w:lang w:eastAsia="x-none"/>
        </w:rPr>
        <w:t>, avec une date limite unique de remise précisée en page de garde du présent règlement de la consultation</w:t>
      </w:r>
      <w:r w:rsidR="005C1813">
        <w:t>.</w:t>
      </w:r>
    </w:p>
    <w:p w14:paraId="7A67CABB" w14:textId="35AC1E7C" w:rsidR="004E7DF5" w:rsidRPr="00D639ED" w:rsidRDefault="006B726E" w:rsidP="004E7DF5">
      <w:pPr>
        <w:pStyle w:val="DCETitre1"/>
        <w:keepNext w:val="0"/>
        <w:keepLines w:val="0"/>
        <w:widowControl w:val="0"/>
        <w:spacing w:before="360"/>
        <w:rPr>
          <w:b w:val="0"/>
        </w:rPr>
      </w:pPr>
      <w:bookmarkStart w:id="91" w:name="_Toc208997875"/>
      <w:r>
        <w:rPr>
          <w:b w:val="0"/>
        </w:rPr>
        <w:t>V</w:t>
      </w:r>
      <w:r w:rsidR="004E7DF5">
        <w:rPr>
          <w:b w:val="0"/>
        </w:rPr>
        <w:t>aleur estimée de la concession</w:t>
      </w:r>
      <w:bookmarkEnd w:id="91"/>
    </w:p>
    <w:p w14:paraId="54E638E2" w14:textId="1FA1FAF9" w:rsidR="004E7DF5" w:rsidRDefault="004E7DF5" w:rsidP="004A3F0A">
      <w:pPr>
        <w:ind w:right="-2"/>
        <w:jc w:val="both"/>
        <w:rPr>
          <w:lang w:eastAsia="x-none"/>
        </w:rPr>
      </w:pPr>
      <w:r w:rsidRPr="004E010A">
        <w:rPr>
          <w:rFonts w:cs="Arial"/>
        </w:rPr>
        <w:t>La valeur prévisionnelle globale de la concession</w:t>
      </w:r>
      <w:r>
        <w:rPr>
          <w:rFonts w:cs="Arial"/>
        </w:rPr>
        <w:t>, définie en application de l’article</w:t>
      </w:r>
      <w:r w:rsidR="004A3F0A">
        <w:rPr>
          <w:rFonts w:cs="Arial"/>
        </w:rPr>
        <w:t> </w:t>
      </w:r>
      <w:r>
        <w:rPr>
          <w:rFonts w:cs="Arial"/>
        </w:rPr>
        <w:t>R. 3121</w:t>
      </w:r>
      <w:r>
        <w:rPr>
          <w:rFonts w:cs="Arial"/>
        </w:rPr>
        <w:noBreakHyphen/>
        <w:t xml:space="preserve">1 du code de la commande publique, </w:t>
      </w:r>
      <w:r w:rsidR="001057B1">
        <w:rPr>
          <w:rFonts w:cs="Arial"/>
        </w:rPr>
        <w:t>est estimée</w:t>
      </w:r>
      <w:r w:rsidRPr="004E010A">
        <w:rPr>
          <w:rFonts w:cs="Arial"/>
        </w:rPr>
        <w:t xml:space="preserve"> à </w:t>
      </w:r>
      <w:r w:rsidR="00826D27">
        <w:rPr>
          <w:rFonts w:cs="Arial"/>
        </w:rPr>
        <w:t>1 </w:t>
      </w:r>
      <w:r w:rsidR="00AB2F97">
        <w:rPr>
          <w:rFonts w:cs="Arial"/>
        </w:rPr>
        <w:t>55</w:t>
      </w:r>
      <w:r w:rsidR="00826D27">
        <w:rPr>
          <w:rFonts w:cs="Arial"/>
        </w:rPr>
        <w:t>0 </w:t>
      </w:r>
      <w:r>
        <w:rPr>
          <w:rFonts w:cs="Arial"/>
        </w:rPr>
        <w:t>000 euros</w:t>
      </w:r>
      <w:r w:rsidRPr="004E010A">
        <w:rPr>
          <w:rFonts w:cs="Arial"/>
        </w:rPr>
        <w:t xml:space="preserve"> HT </w:t>
      </w:r>
      <w:r w:rsidR="001057B1">
        <w:rPr>
          <w:rFonts w:cs="Arial"/>
        </w:rPr>
        <w:t>pour</w:t>
      </w:r>
      <w:r w:rsidRPr="004E010A">
        <w:rPr>
          <w:rFonts w:cs="Arial"/>
        </w:rPr>
        <w:t xml:space="preserve"> la durée</w:t>
      </w:r>
      <w:r w:rsidR="001057B1">
        <w:rPr>
          <w:rFonts w:cs="Arial"/>
        </w:rPr>
        <w:t xml:space="preserve"> totale</w:t>
      </w:r>
      <w:r>
        <w:rPr>
          <w:rFonts w:cs="Arial"/>
        </w:rPr>
        <w:t xml:space="preserve"> du contrat</w:t>
      </w:r>
      <w:r w:rsidRPr="004E010A">
        <w:rPr>
          <w:rFonts w:cs="Arial"/>
        </w:rPr>
        <w:t xml:space="preserve">. </w:t>
      </w:r>
      <w:r w:rsidRPr="00537D3F">
        <w:rPr>
          <w:rFonts w:cs="Arial"/>
        </w:rPr>
        <w:t xml:space="preserve">Cette valeur a été calculée sur la base des données rétrospectives disponibles et de prévision d’évolution de l’activité. Il ne s’agit </w:t>
      </w:r>
      <w:r w:rsidR="004A3F0A">
        <w:rPr>
          <w:rFonts w:cs="Arial"/>
        </w:rPr>
        <w:t>pas</w:t>
      </w:r>
      <w:r w:rsidRPr="00537D3F">
        <w:rPr>
          <w:rFonts w:cs="Arial"/>
        </w:rPr>
        <w:t xml:space="preserve"> d’un </w:t>
      </w:r>
      <w:r>
        <w:rPr>
          <w:rFonts w:cs="Arial"/>
        </w:rPr>
        <w:t xml:space="preserve">objectif de </w:t>
      </w:r>
      <w:r w:rsidRPr="00537D3F">
        <w:rPr>
          <w:rFonts w:cs="Arial"/>
        </w:rPr>
        <w:t>chiffre d’affaire</w:t>
      </w:r>
      <w:r>
        <w:rPr>
          <w:rFonts w:cs="Arial"/>
        </w:rPr>
        <w:t>s</w:t>
      </w:r>
      <w:r w:rsidRPr="00537D3F">
        <w:rPr>
          <w:rFonts w:cs="Arial"/>
        </w:rPr>
        <w:t xml:space="preserve"> pour les candidats, </w:t>
      </w:r>
      <w:r>
        <w:rPr>
          <w:rFonts w:cs="Arial"/>
        </w:rPr>
        <w:t>à qui il appartient d’</w:t>
      </w:r>
      <w:r w:rsidRPr="00537D3F">
        <w:rPr>
          <w:rFonts w:cs="Arial"/>
        </w:rPr>
        <w:t xml:space="preserve">établir leurs </w:t>
      </w:r>
      <w:r>
        <w:rPr>
          <w:rFonts w:cs="Arial"/>
        </w:rPr>
        <w:t>prévisions</w:t>
      </w:r>
      <w:r w:rsidRPr="00537D3F">
        <w:rPr>
          <w:rFonts w:cs="Arial"/>
        </w:rPr>
        <w:t xml:space="preserve"> d’activité </w:t>
      </w:r>
      <w:r>
        <w:rPr>
          <w:rFonts w:cs="Arial"/>
        </w:rPr>
        <w:t>au regard de leur projet pour l’exploitation de la concession et de</w:t>
      </w:r>
      <w:r w:rsidRPr="00537D3F">
        <w:rPr>
          <w:rFonts w:cs="Arial"/>
        </w:rPr>
        <w:t xml:space="preserve"> leur expertise de professionnel du secteur</w:t>
      </w:r>
      <w:r>
        <w:rPr>
          <w:rFonts w:cs="Arial"/>
        </w:rPr>
        <w:t xml:space="preserve"> économique</w:t>
      </w:r>
      <w:r w:rsidR="00680FDE">
        <w:rPr>
          <w:rFonts w:cs="Arial"/>
        </w:rPr>
        <w:t xml:space="preserve"> concerné</w:t>
      </w:r>
      <w:r>
        <w:rPr>
          <w:rFonts w:cs="Arial"/>
        </w:rPr>
        <w:t>.</w:t>
      </w:r>
    </w:p>
    <w:p w14:paraId="1F210D2C" w14:textId="40194801" w:rsidR="00AA54ED" w:rsidRPr="00D639ED" w:rsidRDefault="001F673D" w:rsidP="00AA54ED">
      <w:pPr>
        <w:pStyle w:val="DCETitre1"/>
        <w:keepNext w:val="0"/>
        <w:keepLines w:val="0"/>
        <w:widowControl w:val="0"/>
        <w:spacing w:before="360"/>
        <w:rPr>
          <w:b w:val="0"/>
        </w:rPr>
      </w:pPr>
      <w:bookmarkStart w:id="92" w:name="_Toc208997876"/>
      <w:r>
        <w:rPr>
          <w:b w:val="0"/>
        </w:rPr>
        <w:t>Conditions d’exploitation</w:t>
      </w:r>
      <w:bookmarkEnd w:id="92"/>
    </w:p>
    <w:p w14:paraId="10903E6E" w14:textId="71C2BD8C" w:rsidR="0080605C" w:rsidRDefault="0080605C" w:rsidP="0080605C">
      <w:pPr>
        <w:pStyle w:val="DCETitre2"/>
      </w:pPr>
      <w:bookmarkStart w:id="93" w:name="_Toc208997877"/>
      <w:r>
        <w:t>Durée de la concession</w:t>
      </w:r>
      <w:bookmarkEnd w:id="93"/>
    </w:p>
    <w:p w14:paraId="1D0A1DA5" w14:textId="77777777" w:rsidR="0080605C" w:rsidRDefault="0080605C" w:rsidP="0080605C">
      <w:pPr>
        <w:pStyle w:val="DCETEXTE0"/>
        <w:rPr>
          <w:lang w:eastAsia="x-none"/>
        </w:rPr>
      </w:pPr>
      <w:r>
        <w:rPr>
          <w:lang w:eastAsia="x-none"/>
        </w:rPr>
        <w:lastRenderedPageBreak/>
        <w:t>En application de l’article L. 3114-7 du code de la commande publique, l</w:t>
      </w:r>
      <w:r w:rsidRPr="00865313">
        <w:rPr>
          <w:lang w:eastAsia="x-none"/>
        </w:rPr>
        <w:t xml:space="preserve">a durée du contrat </w:t>
      </w:r>
      <w:r>
        <w:rPr>
          <w:lang w:eastAsia="x-none"/>
        </w:rPr>
        <w:t xml:space="preserve">de concession </w:t>
      </w:r>
      <w:r w:rsidRPr="00865313">
        <w:rPr>
          <w:lang w:eastAsia="x-none"/>
        </w:rPr>
        <w:t xml:space="preserve">est fixée à </w:t>
      </w:r>
      <w:r>
        <w:rPr>
          <w:lang w:eastAsia="x-none"/>
        </w:rPr>
        <w:t>cinq (5) années, à compter du 1</w:t>
      </w:r>
      <w:r w:rsidRPr="00791885">
        <w:rPr>
          <w:vertAlign w:val="superscript"/>
          <w:lang w:eastAsia="x-none"/>
        </w:rPr>
        <w:t>er</w:t>
      </w:r>
      <w:r>
        <w:rPr>
          <w:lang w:eastAsia="x-none"/>
        </w:rPr>
        <w:t xml:space="preserve"> janvier 2026 ou, en cas de notification ultérieure, de la date fixée dans la lettre de notification. </w:t>
      </w:r>
    </w:p>
    <w:p w14:paraId="56EE85F0" w14:textId="50DBFA70" w:rsidR="0080605C" w:rsidRDefault="0080605C" w:rsidP="0080605C">
      <w:pPr>
        <w:pStyle w:val="DCETitre2"/>
      </w:pPr>
      <w:bookmarkStart w:id="94" w:name="_Toc208997878"/>
      <w:r>
        <w:t>Lieu d’exécution</w:t>
      </w:r>
      <w:r w:rsidR="00EB4F7F">
        <w:t xml:space="preserve"> pour le cas de la boutique physique</w:t>
      </w:r>
      <w:bookmarkEnd w:id="94"/>
    </w:p>
    <w:p w14:paraId="3785B361" w14:textId="7723A867" w:rsidR="0080605C" w:rsidRPr="0080605C" w:rsidRDefault="0080605C" w:rsidP="0080605C">
      <w:pPr>
        <w:pStyle w:val="DCETEXTE0"/>
        <w:rPr>
          <w:lang w:eastAsia="x-none"/>
        </w:rPr>
      </w:pPr>
      <w:r>
        <w:rPr>
          <w:lang w:eastAsia="x-none"/>
        </w:rPr>
        <w:t>La boutique</w:t>
      </w:r>
      <w:r w:rsidR="001847DF">
        <w:rPr>
          <w:lang w:eastAsia="x-none"/>
        </w:rPr>
        <w:t xml:space="preserve"> physique</w:t>
      </w:r>
      <w:r>
        <w:rPr>
          <w:lang w:eastAsia="x-none"/>
        </w:rPr>
        <w:t xml:space="preserve"> faisant l’objet du contrat de concession est située au Palais du Luxembourg, 15 rue de Vaugirard, Paris 6</w:t>
      </w:r>
      <w:r w:rsidR="006B726E" w:rsidRPr="006B726E">
        <w:rPr>
          <w:vertAlign w:val="superscript"/>
          <w:lang w:eastAsia="x-none"/>
        </w:rPr>
        <w:t>e</w:t>
      </w:r>
      <w:r w:rsidR="006B726E" w:rsidRPr="0080605C">
        <w:rPr>
          <w:lang w:eastAsia="x-none"/>
        </w:rPr>
        <w:t>.</w:t>
      </w:r>
    </w:p>
    <w:p w14:paraId="66D6DDE4" w14:textId="2E987FE6" w:rsidR="0080605C" w:rsidRDefault="0080605C" w:rsidP="0080605C">
      <w:pPr>
        <w:pStyle w:val="DCETitre2"/>
      </w:pPr>
      <w:bookmarkStart w:id="95" w:name="_Toc208997879"/>
      <w:r>
        <w:t>Prestations attendues</w:t>
      </w:r>
      <w:bookmarkEnd w:id="95"/>
    </w:p>
    <w:p w14:paraId="52031279" w14:textId="74FDBC18" w:rsidR="00AA54ED" w:rsidRDefault="00AA54ED" w:rsidP="0080605C">
      <w:pPr>
        <w:pStyle w:val="DCETEXTE0"/>
        <w:rPr>
          <w:lang w:eastAsia="x-none"/>
        </w:rPr>
      </w:pPr>
      <w:r>
        <w:rPr>
          <w:lang w:eastAsia="x-none"/>
        </w:rPr>
        <w:t>Les prestations</w:t>
      </w:r>
      <w:r w:rsidR="00AA3673">
        <w:rPr>
          <w:lang w:eastAsia="x-none"/>
        </w:rPr>
        <w:t xml:space="preserve"> attendues de la part du futur c</w:t>
      </w:r>
      <w:r>
        <w:rPr>
          <w:lang w:eastAsia="x-none"/>
        </w:rPr>
        <w:t xml:space="preserve">oncessionnaire sont décrites dans le contrat de concession </w:t>
      </w:r>
      <w:r w:rsidRPr="000018F1">
        <w:rPr>
          <w:lang w:eastAsia="x-none"/>
        </w:rPr>
        <w:t xml:space="preserve">joint au </w:t>
      </w:r>
      <w:r w:rsidR="0080605C">
        <w:rPr>
          <w:lang w:eastAsia="x-none"/>
        </w:rPr>
        <w:t>DCE</w:t>
      </w:r>
      <w:r w:rsidR="004E7DF5">
        <w:rPr>
          <w:lang w:eastAsia="x-none"/>
        </w:rPr>
        <w:t>.</w:t>
      </w:r>
    </w:p>
    <w:p w14:paraId="5E46C995" w14:textId="77777777" w:rsidR="0080605C" w:rsidRDefault="0080605C" w:rsidP="0080605C">
      <w:pPr>
        <w:pStyle w:val="DCETitre2"/>
      </w:pPr>
      <w:bookmarkStart w:id="96" w:name="_Toc208997880"/>
      <w:r>
        <w:t>Exécution d’une partie du contrat de concession par des tiers</w:t>
      </w:r>
      <w:bookmarkEnd w:id="96"/>
    </w:p>
    <w:p w14:paraId="5CB04EFE" w14:textId="77777777" w:rsidR="0080605C" w:rsidRDefault="0080605C" w:rsidP="0080605C">
      <w:pPr>
        <w:pStyle w:val="DCETEXTE0"/>
        <w:rPr>
          <w:lang w:eastAsia="x-none"/>
        </w:rPr>
      </w:pPr>
      <w:r>
        <w:rPr>
          <w:lang w:eastAsia="x-none"/>
        </w:rPr>
        <w:t>En application du 3° de l’article L. 3114-9 du code de la commande publique, le candidat indique dans son offre s’il entend confier à des tiers une partie des prestations relevant de la concession, en précisant alors sa part dans la valeur estimée du contrat de concession. La sous-concession et la sous-traitance totales sont interdites. Les tiers présentés dans le cadre de l’offre retenue sont réputés acceptés par le Sénat.</w:t>
      </w:r>
    </w:p>
    <w:p w14:paraId="72D34C66" w14:textId="4223AA17" w:rsidR="0080605C" w:rsidRDefault="0080605C" w:rsidP="0080605C">
      <w:pPr>
        <w:pStyle w:val="DCETEXTE0"/>
        <w:rPr>
          <w:lang w:eastAsia="x-none"/>
        </w:rPr>
      </w:pPr>
      <w:r>
        <w:rPr>
          <w:lang w:eastAsia="x-none"/>
        </w:rPr>
        <w:t xml:space="preserve">En application de l’article 20 de l’arrêté de Questure modifié n° 2022-1101 du 13 décembre 2022, le concessionnaire souhaitant confier à des tiers, non-présentés dans son offre, une part des services faisant l’objet du contrat de concession doit obtenir l’autorisation préalable et expresse du Sénat. Il demeure personnellement responsable de l’exécution de toutes les obligations résultant du contrat de concession. Les conditions énoncées </w:t>
      </w:r>
      <w:r w:rsidR="00594983">
        <w:rPr>
          <w:lang w:eastAsia="x-none"/>
        </w:rPr>
        <w:t xml:space="preserve">aux </w:t>
      </w:r>
      <w:r>
        <w:rPr>
          <w:lang w:eastAsia="x-none"/>
        </w:rPr>
        <w:t>article</w:t>
      </w:r>
      <w:r w:rsidR="00594983">
        <w:rPr>
          <w:lang w:eastAsia="x-none"/>
        </w:rPr>
        <w:t>s</w:t>
      </w:r>
      <w:r>
        <w:rPr>
          <w:lang w:eastAsia="x-none"/>
        </w:rPr>
        <w:t xml:space="preserve"> </w:t>
      </w:r>
      <w:r w:rsidR="00594983">
        <w:rPr>
          <w:lang w:eastAsia="x-none"/>
        </w:rPr>
        <w:t xml:space="preserve">3 et 4 </w:t>
      </w:r>
      <w:r>
        <w:rPr>
          <w:lang w:eastAsia="x-none"/>
        </w:rPr>
        <w:t>du contrat de concession sont applicables.</w:t>
      </w:r>
    </w:p>
    <w:p w14:paraId="5AE87C5B" w14:textId="77777777" w:rsidR="00EC23FE" w:rsidRPr="00EC23FE" w:rsidRDefault="00EC23FE" w:rsidP="00D60227">
      <w:pPr>
        <w:pStyle w:val="DCETitre1"/>
        <w:spacing w:before="360"/>
        <w:ind w:left="1208" w:hanging="357"/>
        <w:rPr>
          <w:b w:val="0"/>
        </w:rPr>
      </w:pPr>
      <w:bookmarkStart w:id="97" w:name="_Toc231016245"/>
      <w:bookmarkStart w:id="98" w:name="_Toc236020427"/>
      <w:bookmarkStart w:id="99" w:name="_Toc236020471"/>
      <w:bookmarkStart w:id="100" w:name="_Toc357427865"/>
      <w:bookmarkStart w:id="101" w:name="_Toc357669729"/>
      <w:bookmarkStart w:id="102" w:name="_Toc31035372"/>
      <w:bookmarkStart w:id="103" w:name="_Toc208997881"/>
      <w:r w:rsidRPr="00EC23FE">
        <w:rPr>
          <w:b w:val="0"/>
        </w:rPr>
        <w:t>Obligations relatives aux candidats</w:t>
      </w:r>
      <w:bookmarkEnd w:id="97"/>
      <w:bookmarkEnd w:id="98"/>
      <w:bookmarkEnd w:id="99"/>
      <w:bookmarkEnd w:id="100"/>
      <w:bookmarkEnd w:id="101"/>
      <w:bookmarkEnd w:id="102"/>
      <w:bookmarkEnd w:id="103"/>
    </w:p>
    <w:p w14:paraId="23F78514" w14:textId="77777777" w:rsidR="00EC23FE" w:rsidRPr="00EC23FE" w:rsidRDefault="00EC23FE" w:rsidP="00EC23FE">
      <w:pPr>
        <w:pStyle w:val="DCETitre2"/>
      </w:pPr>
      <w:bookmarkStart w:id="104" w:name="_Toc357427866"/>
      <w:bookmarkStart w:id="105" w:name="_Toc357669730"/>
      <w:bookmarkStart w:id="106" w:name="_Toc31035373"/>
      <w:bookmarkStart w:id="107" w:name="_Toc208997882"/>
      <w:r w:rsidRPr="00EC23FE">
        <w:t>Forme juridique</w:t>
      </w:r>
      <w:bookmarkEnd w:id="104"/>
      <w:bookmarkEnd w:id="105"/>
      <w:bookmarkEnd w:id="106"/>
      <w:bookmarkEnd w:id="107"/>
    </w:p>
    <w:p w14:paraId="69B917D2" w14:textId="77777777" w:rsidR="00EC23FE" w:rsidRPr="00EC23FE" w:rsidRDefault="00EC23FE" w:rsidP="00EC23FE">
      <w:pPr>
        <w:pStyle w:val="DCETEXTE0"/>
        <w:rPr>
          <w:lang w:eastAsia="x-none"/>
        </w:rPr>
      </w:pPr>
      <w:bookmarkStart w:id="108" w:name="_Toc227581759"/>
      <w:bookmarkStart w:id="109" w:name="_Toc228090163"/>
      <w:bookmarkStart w:id="110" w:name="_Toc228359602"/>
      <w:bookmarkStart w:id="111" w:name="_Toc231114064"/>
      <w:bookmarkStart w:id="112" w:name="_Toc235595058"/>
      <w:bookmarkStart w:id="113" w:name="_Toc235595318"/>
      <w:bookmarkStart w:id="114" w:name="_Toc235617376"/>
      <w:bookmarkStart w:id="115" w:name="_Toc235617412"/>
      <w:bookmarkStart w:id="116" w:name="_Toc236022099"/>
      <w:bookmarkStart w:id="117" w:name="_Toc236022135"/>
      <w:bookmarkStart w:id="118" w:name="_Toc357427867"/>
      <w:bookmarkStart w:id="119" w:name="_Toc357669731"/>
      <w:r w:rsidRPr="00EC23FE">
        <w:rPr>
          <w:lang w:eastAsia="x-none"/>
        </w:rPr>
        <w:t>S'il y a constitution d’entreprises en groupement, celui-ci peut être conjoint ou solidaire. En cas de groupement conjoint, le Sénat exige, conformément à l’article R.</w:t>
      </w:r>
      <w:r w:rsidR="00AD17FC">
        <w:rPr>
          <w:lang w:eastAsia="x-none"/>
        </w:rPr>
        <w:t xml:space="preserve"> 3123-10</w:t>
      </w:r>
      <w:r w:rsidRPr="00EC23FE">
        <w:rPr>
          <w:lang w:eastAsia="x-none"/>
        </w:rPr>
        <w:t xml:space="preserve"> du code de la commande publique, la désignation d’un mandataire solidaire. L’exigence de solidarité est justifiée par la nécessité de disposer d’un interlocuteur unique pour l’exécution d</w:t>
      </w:r>
      <w:r w:rsidR="00AD17FC">
        <w:rPr>
          <w:lang w:eastAsia="x-none"/>
        </w:rPr>
        <w:t>e la concession</w:t>
      </w:r>
      <w:r w:rsidRPr="00EC23FE">
        <w:rPr>
          <w:lang w:eastAsia="x-none"/>
        </w:rPr>
        <w:t>.</w:t>
      </w:r>
      <w:bookmarkEnd w:id="108"/>
      <w:bookmarkEnd w:id="109"/>
      <w:bookmarkEnd w:id="110"/>
      <w:bookmarkEnd w:id="111"/>
      <w:bookmarkEnd w:id="112"/>
      <w:bookmarkEnd w:id="113"/>
      <w:bookmarkEnd w:id="114"/>
      <w:bookmarkEnd w:id="115"/>
      <w:bookmarkEnd w:id="116"/>
      <w:bookmarkEnd w:id="117"/>
      <w:r w:rsidRPr="00EC23FE">
        <w:rPr>
          <w:lang w:eastAsia="x-none"/>
        </w:rPr>
        <w:t xml:space="preserve"> </w:t>
      </w:r>
    </w:p>
    <w:p w14:paraId="7CD3BF08" w14:textId="77777777" w:rsidR="00EC23FE" w:rsidRPr="00EC23FE" w:rsidRDefault="00EC23FE" w:rsidP="00EC23FE">
      <w:pPr>
        <w:pStyle w:val="DCETitre2"/>
      </w:pPr>
      <w:bookmarkStart w:id="120" w:name="_Toc236020430"/>
      <w:bookmarkStart w:id="121" w:name="_Toc236020474"/>
      <w:bookmarkStart w:id="122" w:name="_Toc357427868"/>
      <w:bookmarkStart w:id="123" w:name="_Toc357669732"/>
      <w:bookmarkStart w:id="124" w:name="_Toc31035375"/>
      <w:bookmarkStart w:id="125" w:name="_Toc208997883"/>
      <w:bookmarkEnd w:id="118"/>
      <w:bookmarkEnd w:id="119"/>
      <w:r w:rsidRPr="00EC23FE">
        <w:t>Cautions et garanties</w:t>
      </w:r>
      <w:bookmarkEnd w:id="120"/>
      <w:bookmarkEnd w:id="121"/>
      <w:bookmarkEnd w:id="122"/>
      <w:bookmarkEnd w:id="123"/>
      <w:bookmarkEnd w:id="124"/>
      <w:bookmarkEnd w:id="125"/>
    </w:p>
    <w:p w14:paraId="62549DC0" w14:textId="77777777" w:rsidR="00EC23FE" w:rsidRDefault="00EC23FE" w:rsidP="00EC23FE">
      <w:pPr>
        <w:pStyle w:val="DCETEXTE0"/>
      </w:pPr>
      <w:r w:rsidRPr="00EC23FE">
        <w:rPr>
          <w:lang w:eastAsia="x-none"/>
        </w:rPr>
        <w:t>Aucune.</w:t>
      </w:r>
    </w:p>
    <w:p w14:paraId="6334B4BA" w14:textId="4DC896EE" w:rsidR="009365B8" w:rsidRPr="00D639ED" w:rsidRDefault="00E02788" w:rsidP="00D639ED">
      <w:pPr>
        <w:pStyle w:val="DCETitre1"/>
        <w:keepNext w:val="0"/>
        <w:keepLines w:val="0"/>
        <w:widowControl w:val="0"/>
        <w:spacing w:before="360"/>
        <w:rPr>
          <w:b w:val="0"/>
        </w:rPr>
      </w:pPr>
      <w:bookmarkStart w:id="126" w:name="_Toc412818151"/>
      <w:bookmarkStart w:id="127" w:name="_Toc362432815"/>
      <w:bookmarkStart w:id="128" w:name="_Toc362546728"/>
      <w:bookmarkStart w:id="129" w:name="_Toc166043505"/>
      <w:bookmarkStart w:id="130" w:name="_Toc222911543"/>
      <w:bookmarkStart w:id="131" w:name="_Toc226873725"/>
      <w:bookmarkStart w:id="132" w:name="_Toc227050725"/>
      <w:bookmarkStart w:id="133" w:name="_Toc233002973"/>
      <w:bookmarkStart w:id="134" w:name="_Toc235521635"/>
      <w:bookmarkStart w:id="135" w:name="_Toc235692518"/>
      <w:bookmarkStart w:id="136" w:name="_Toc208997884"/>
      <w:r>
        <w:rPr>
          <w:b w:val="0"/>
        </w:rPr>
        <w:t>C</w:t>
      </w:r>
      <w:r w:rsidR="009365B8" w:rsidRPr="00D639ED">
        <w:rPr>
          <w:b w:val="0"/>
        </w:rPr>
        <w:t>onditions de la consultation</w:t>
      </w:r>
      <w:bookmarkEnd w:id="126"/>
      <w:bookmarkEnd w:id="136"/>
    </w:p>
    <w:p w14:paraId="78062593" w14:textId="77777777" w:rsidR="007E2DBB" w:rsidRPr="00550274" w:rsidRDefault="000D6DF9" w:rsidP="00550274">
      <w:pPr>
        <w:pStyle w:val="DCETitre2"/>
      </w:pPr>
      <w:bookmarkStart w:id="137" w:name="_Toc412818153"/>
      <w:bookmarkStart w:id="138" w:name="_Toc208997885"/>
      <w:r>
        <w:t>C</w:t>
      </w:r>
      <w:r w:rsidR="007E2DBB" w:rsidRPr="00550274">
        <w:t xml:space="preserve">ontenu </w:t>
      </w:r>
      <w:r w:rsidR="00075A17" w:rsidRPr="00550274">
        <w:t>du dossier de consultation</w:t>
      </w:r>
      <w:bookmarkEnd w:id="137"/>
      <w:bookmarkEnd w:id="138"/>
    </w:p>
    <w:bookmarkEnd w:id="127"/>
    <w:bookmarkEnd w:id="128"/>
    <w:p w14:paraId="1EDC68B9" w14:textId="77777777" w:rsidR="00DD14AA" w:rsidRPr="00044F1B" w:rsidRDefault="00DD14AA" w:rsidP="008D4220">
      <w:pPr>
        <w:pStyle w:val="DCETEXTE0"/>
      </w:pPr>
      <w:r w:rsidRPr="00044F1B">
        <w:t>Le dossier de consultation comprend les pièces suivantes</w:t>
      </w:r>
      <w:r>
        <w:t> :</w:t>
      </w:r>
    </w:p>
    <w:p w14:paraId="08AA3F7A" w14:textId="1EE98F44" w:rsidR="003618CD" w:rsidRDefault="00202F97" w:rsidP="00FA3DC1">
      <w:pPr>
        <w:pStyle w:val="Paragraphedeliste"/>
        <w:numPr>
          <w:ilvl w:val="0"/>
          <w:numId w:val="28"/>
        </w:numPr>
        <w:tabs>
          <w:tab w:val="left" w:pos="993"/>
        </w:tabs>
        <w:overflowPunct w:val="0"/>
        <w:autoSpaceDE w:val="0"/>
        <w:autoSpaceDN w:val="0"/>
        <w:adjustRightInd w:val="0"/>
        <w:spacing w:after="240"/>
        <w:ind w:left="1281" w:hanging="357"/>
        <w:contextualSpacing w:val="0"/>
        <w:jc w:val="both"/>
        <w:textAlignment w:val="baseline"/>
      </w:pPr>
      <w:proofErr w:type="gramStart"/>
      <w:r>
        <w:t>l</w:t>
      </w:r>
      <w:r w:rsidR="005C4E83">
        <w:t>e</w:t>
      </w:r>
      <w:proofErr w:type="gramEnd"/>
      <w:r w:rsidR="005C4E83">
        <w:t xml:space="preserve"> règlement de la consultation</w:t>
      </w:r>
      <w:r w:rsidR="004903E4">
        <w:t xml:space="preserve"> (RC)</w:t>
      </w:r>
      <w:r w:rsidR="005C4E83">
        <w:t> ;</w:t>
      </w:r>
    </w:p>
    <w:p w14:paraId="0651DCA1" w14:textId="776679EA" w:rsidR="000C680A" w:rsidRDefault="006F2B20" w:rsidP="00FA3DC1">
      <w:pPr>
        <w:pStyle w:val="Paragraphedeliste"/>
        <w:numPr>
          <w:ilvl w:val="0"/>
          <w:numId w:val="28"/>
        </w:numPr>
        <w:tabs>
          <w:tab w:val="left" w:pos="993"/>
        </w:tabs>
        <w:overflowPunct w:val="0"/>
        <w:autoSpaceDE w:val="0"/>
        <w:autoSpaceDN w:val="0"/>
        <w:adjustRightInd w:val="0"/>
        <w:spacing w:after="240"/>
        <w:ind w:left="1281" w:hanging="357"/>
        <w:contextualSpacing w:val="0"/>
        <w:jc w:val="both"/>
        <w:textAlignment w:val="baseline"/>
        <w:rPr>
          <w:szCs w:val="28"/>
        </w:rPr>
      </w:pPr>
      <w:proofErr w:type="gramStart"/>
      <w:r w:rsidRPr="00075A17">
        <w:t>le</w:t>
      </w:r>
      <w:proofErr w:type="gramEnd"/>
      <w:r w:rsidRPr="00075A17">
        <w:t xml:space="preserve"> </w:t>
      </w:r>
      <w:r w:rsidR="00152C62">
        <w:t>contrat</w:t>
      </w:r>
      <w:r w:rsidRPr="00075A17">
        <w:t xml:space="preserve"> </w:t>
      </w:r>
      <w:r w:rsidR="00A40761">
        <w:t xml:space="preserve">afférent à </w:t>
      </w:r>
      <w:r w:rsidR="00152C62">
        <w:t>la gestion de la concession</w:t>
      </w:r>
      <w:r w:rsidR="005E4425">
        <w:t xml:space="preserve"> </w:t>
      </w:r>
      <w:r w:rsidR="00EC7445" w:rsidRPr="008D4220">
        <w:rPr>
          <w:szCs w:val="28"/>
        </w:rPr>
        <w:t>;</w:t>
      </w:r>
    </w:p>
    <w:p w14:paraId="315FF5BA" w14:textId="02C6AA3D" w:rsidR="004903E4" w:rsidRDefault="004903E4" w:rsidP="00FA3DC1">
      <w:pPr>
        <w:pStyle w:val="Paragraphedeliste"/>
        <w:numPr>
          <w:ilvl w:val="0"/>
          <w:numId w:val="28"/>
        </w:numPr>
        <w:tabs>
          <w:tab w:val="left" w:pos="993"/>
        </w:tabs>
        <w:overflowPunct w:val="0"/>
        <w:autoSpaceDE w:val="0"/>
        <w:autoSpaceDN w:val="0"/>
        <w:adjustRightInd w:val="0"/>
        <w:spacing w:after="240"/>
        <w:ind w:left="1281" w:hanging="357"/>
        <w:contextualSpacing w:val="0"/>
        <w:jc w:val="both"/>
        <w:textAlignment w:val="baseline"/>
        <w:rPr>
          <w:szCs w:val="28"/>
        </w:rPr>
      </w:pPr>
      <w:proofErr w:type="gramStart"/>
      <w:r>
        <w:rPr>
          <w:szCs w:val="28"/>
        </w:rPr>
        <w:lastRenderedPageBreak/>
        <w:t>le</w:t>
      </w:r>
      <w:proofErr w:type="gramEnd"/>
      <w:r>
        <w:rPr>
          <w:szCs w:val="28"/>
        </w:rPr>
        <w:t xml:space="preserve"> cahier des réponses attendues (CRA) ;</w:t>
      </w:r>
    </w:p>
    <w:p w14:paraId="0D89AD89" w14:textId="60A32178" w:rsidR="006F4D67" w:rsidRPr="00321614" w:rsidRDefault="005E4425" w:rsidP="001057B1">
      <w:pPr>
        <w:pStyle w:val="Paragraphedeliste"/>
        <w:numPr>
          <w:ilvl w:val="0"/>
          <w:numId w:val="28"/>
        </w:numPr>
        <w:tabs>
          <w:tab w:val="left" w:pos="993"/>
        </w:tabs>
        <w:overflowPunct w:val="0"/>
        <w:autoSpaceDE w:val="0"/>
        <w:autoSpaceDN w:val="0"/>
        <w:adjustRightInd w:val="0"/>
        <w:spacing w:after="240"/>
        <w:ind w:left="1281" w:hanging="357"/>
        <w:contextualSpacing w:val="0"/>
        <w:jc w:val="both"/>
        <w:textAlignment w:val="baseline"/>
        <w:rPr>
          <w:szCs w:val="28"/>
        </w:rPr>
      </w:pPr>
      <w:proofErr w:type="gramStart"/>
      <w:r w:rsidRPr="00321614">
        <w:rPr>
          <w:szCs w:val="28"/>
        </w:rPr>
        <w:t>le</w:t>
      </w:r>
      <w:proofErr w:type="gramEnd"/>
      <w:r w:rsidRPr="00321614">
        <w:rPr>
          <w:szCs w:val="28"/>
        </w:rPr>
        <w:t xml:space="preserve"> </w:t>
      </w:r>
      <w:r w:rsidR="006B726E">
        <w:rPr>
          <w:szCs w:val="28"/>
        </w:rPr>
        <w:t>modèle</w:t>
      </w:r>
      <w:r w:rsidRPr="00321614">
        <w:rPr>
          <w:szCs w:val="28"/>
        </w:rPr>
        <w:t xml:space="preserve"> de comp</w:t>
      </w:r>
      <w:r w:rsidR="00321614">
        <w:rPr>
          <w:szCs w:val="28"/>
        </w:rPr>
        <w:t>te d’exploitation prévisionnel.</w:t>
      </w:r>
    </w:p>
    <w:p w14:paraId="3E54DFB4" w14:textId="77777777" w:rsidR="007E2DBB" w:rsidRDefault="007E2DBB" w:rsidP="00DD14AA">
      <w:pPr>
        <w:pStyle w:val="DCETitre2"/>
        <w:spacing w:before="240"/>
        <w:ind w:left="788" w:hanging="431"/>
      </w:pPr>
      <w:bookmarkStart w:id="139" w:name="_Toc412818154"/>
      <w:bookmarkStart w:id="140" w:name="_Toc208997886"/>
      <w:r>
        <w:t>Modification du dossier de consultation</w:t>
      </w:r>
      <w:bookmarkEnd w:id="139"/>
      <w:bookmarkEnd w:id="140"/>
    </w:p>
    <w:p w14:paraId="5916E19E" w14:textId="7F76B7F6" w:rsidR="00DD14AA" w:rsidRDefault="00DD14AA" w:rsidP="008D4220">
      <w:pPr>
        <w:pStyle w:val="DCETEXTE0"/>
      </w:pPr>
      <w:r>
        <w:t xml:space="preserve">Le Sénat se réserve le droit d’apporter, au plus tard </w:t>
      </w:r>
      <w:r w:rsidR="004903E4">
        <w:t>six</w:t>
      </w:r>
      <w:r w:rsidR="00837D58">
        <w:t xml:space="preserve"> (</w:t>
      </w:r>
      <w:r w:rsidR="004903E4">
        <w:t>6</w:t>
      </w:r>
      <w:r w:rsidR="00837D58">
        <w:t>)</w:t>
      </w:r>
      <w:r>
        <w:t xml:space="preserve"> jours calendaires avant la date fixée pour la remise des offres, des modifications de détail au dossier de consultation. Les</w:t>
      </w:r>
      <w:r w:rsidR="008D4220">
        <w:t> </w:t>
      </w:r>
      <w:r>
        <w:t>candidats doivent alors répondre sur la base du dossier modifié sans pouvoir élever aucune réclamation à ce sujet.</w:t>
      </w:r>
    </w:p>
    <w:p w14:paraId="5DDA5372" w14:textId="5E6D41CC" w:rsidR="007E2DBB" w:rsidRPr="004903E4" w:rsidRDefault="00DD14AA" w:rsidP="008D4220">
      <w:pPr>
        <w:pStyle w:val="DCETEXTE0"/>
        <w:rPr>
          <w:bCs/>
        </w:rPr>
      </w:pPr>
      <w:r w:rsidRPr="004903E4">
        <w:rPr>
          <w:bCs/>
        </w:rPr>
        <w:t xml:space="preserve">En cas de retrait anonyme du dossier de consultation sur la plateforme de dématérialisation, le candidat est informé qu’il ne pourra pas recevoir les différentes </w:t>
      </w:r>
      <w:r w:rsidR="004903E4" w:rsidRPr="004903E4">
        <w:rPr>
          <w:bCs/>
        </w:rPr>
        <w:t>notification</w:t>
      </w:r>
      <w:r w:rsidRPr="004903E4">
        <w:rPr>
          <w:bCs/>
        </w:rPr>
        <w:t>s, et notamment la publication des questions/réponses ou encore l</w:t>
      </w:r>
      <w:r w:rsidR="001057B1" w:rsidRPr="004903E4">
        <w:rPr>
          <w:bCs/>
        </w:rPr>
        <w:t>a</w:t>
      </w:r>
      <w:r w:rsidRPr="004903E4">
        <w:rPr>
          <w:bCs/>
        </w:rPr>
        <w:t xml:space="preserve"> </w:t>
      </w:r>
      <w:r w:rsidR="001057B1" w:rsidRPr="004903E4">
        <w:rPr>
          <w:bCs/>
        </w:rPr>
        <w:t>modification éventuelle</w:t>
      </w:r>
      <w:r w:rsidRPr="004903E4">
        <w:rPr>
          <w:bCs/>
        </w:rPr>
        <w:t xml:space="preserve"> du dossier de consu</w:t>
      </w:r>
      <w:r w:rsidR="00AA3673" w:rsidRPr="004903E4">
        <w:rPr>
          <w:bCs/>
        </w:rPr>
        <w:t>ltation en cours de procédure. En effet, c</w:t>
      </w:r>
      <w:r w:rsidRPr="004903E4">
        <w:rPr>
          <w:bCs/>
        </w:rPr>
        <w:t>es correspondances seront adressées uniquement aux candidats identifiés. Seule la consultation régulière de la plateforme permettra alors au candidat</w:t>
      </w:r>
      <w:r w:rsidR="004903E4">
        <w:rPr>
          <w:bCs/>
        </w:rPr>
        <w:t xml:space="preserve"> anonyme</w:t>
      </w:r>
      <w:r w:rsidRPr="004903E4">
        <w:rPr>
          <w:bCs/>
        </w:rPr>
        <w:t xml:space="preserve"> de rester informé de l’évolution de la procédure.</w:t>
      </w:r>
    </w:p>
    <w:p w14:paraId="1BC02F95" w14:textId="19DECFAF" w:rsidR="005C4E83" w:rsidRDefault="007E2DBB" w:rsidP="008D4220">
      <w:pPr>
        <w:pStyle w:val="DCETEXTE0"/>
      </w:pPr>
      <w:r w:rsidRPr="00BE564E">
        <w:t xml:space="preserve">Si, pendant l’étude du dossier par les candidats, la date limite de réception des </w:t>
      </w:r>
      <w:r>
        <w:t>offres</w:t>
      </w:r>
      <w:r w:rsidRPr="00BE564E">
        <w:t xml:space="preserve"> </w:t>
      </w:r>
      <w:r>
        <w:t>était</w:t>
      </w:r>
      <w:r w:rsidRPr="00BE564E">
        <w:t xml:space="preserve"> reportée, l</w:t>
      </w:r>
      <w:r>
        <w:t>es</w:t>
      </w:r>
      <w:r w:rsidRPr="00BE564E">
        <w:t xml:space="preserve"> disposition</w:t>
      </w:r>
      <w:r>
        <w:t>s</w:t>
      </w:r>
      <w:r w:rsidRPr="00BE564E">
        <w:t xml:space="preserve"> précédente</w:t>
      </w:r>
      <w:r>
        <w:t>s</w:t>
      </w:r>
      <w:r w:rsidRPr="00BE564E">
        <w:t xml:space="preserve"> </w:t>
      </w:r>
      <w:r>
        <w:t>seraient</w:t>
      </w:r>
      <w:r w:rsidRPr="00BE564E">
        <w:t xml:space="preserve"> applicable</w:t>
      </w:r>
      <w:r>
        <w:t xml:space="preserve">s </w:t>
      </w:r>
      <w:r w:rsidRPr="00BE564E">
        <w:t>en fonction de cette nouvelle date.</w:t>
      </w:r>
    </w:p>
    <w:p w14:paraId="64F6DE57" w14:textId="7684E323" w:rsidR="0085236C" w:rsidRPr="0085236C" w:rsidRDefault="0085236C" w:rsidP="0085236C">
      <w:pPr>
        <w:pStyle w:val="DCETitre2"/>
      </w:pPr>
      <w:bookmarkStart w:id="141" w:name="_Toc183426026"/>
      <w:bookmarkStart w:id="142" w:name="_Toc208997887"/>
      <w:r w:rsidRPr="0085236C">
        <w:t>Interruption prématurée de la procédure</w:t>
      </w:r>
      <w:bookmarkEnd w:id="141"/>
      <w:bookmarkEnd w:id="142"/>
    </w:p>
    <w:p w14:paraId="6DBC9C06" w14:textId="5CF6E2E2" w:rsidR="0085236C" w:rsidRPr="0085236C" w:rsidRDefault="0085236C" w:rsidP="0085236C">
      <w:pPr>
        <w:widowControl/>
        <w:spacing w:after="120"/>
        <w:jc w:val="both"/>
      </w:pPr>
      <w:r w:rsidRPr="0085236C">
        <w:t>Le Sénat se réserve le droit de mettre fin à la consultation à tout moment pour un motif d’intérêt général. Aucune indemnisation ne pourra être accordée aux candidats.</w:t>
      </w:r>
    </w:p>
    <w:p w14:paraId="36EE2193" w14:textId="43F0859C" w:rsidR="005E7064" w:rsidRPr="00407FB0" w:rsidRDefault="00E02788" w:rsidP="00D60227">
      <w:pPr>
        <w:pStyle w:val="DCETitre1"/>
        <w:spacing w:before="360"/>
        <w:rPr>
          <w:b w:val="0"/>
        </w:rPr>
      </w:pPr>
      <w:bookmarkStart w:id="143" w:name="_Toc208997888"/>
      <w:r>
        <w:rPr>
          <w:b w:val="0"/>
        </w:rPr>
        <w:t>R</w:t>
      </w:r>
      <w:r w:rsidR="00407FB0">
        <w:rPr>
          <w:b w:val="0"/>
        </w:rPr>
        <w:t>enseignements complémentaires</w:t>
      </w:r>
      <w:r w:rsidR="005C1813">
        <w:rPr>
          <w:b w:val="0"/>
        </w:rPr>
        <w:t xml:space="preserve"> – visite du site</w:t>
      </w:r>
      <w:bookmarkEnd w:id="143"/>
    </w:p>
    <w:p w14:paraId="688AD1F3" w14:textId="77777777" w:rsidR="005C1813" w:rsidRDefault="005C1813" w:rsidP="00D60227">
      <w:pPr>
        <w:pStyle w:val="DCETitre2"/>
        <w:keepNext/>
        <w:keepLines/>
        <w:widowControl/>
        <w:spacing w:before="240"/>
        <w:ind w:left="788" w:hanging="431"/>
      </w:pPr>
      <w:bookmarkStart w:id="144" w:name="_Toc208997889"/>
      <w:r>
        <w:t>Renseignements complémentaires</w:t>
      </w:r>
      <w:bookmarkEnd w:id="144"/>
    </w:p>
    <w:p w14:paraId="30A55768" w14:textId="04651A91" w:rsidR="005E7064" w:rsidRPr="001847DF" w:rsidRDefault="005E7064" w:rsidP="003C6603">
      <w:pPr>
        <w:pStyle w:val="DCETEXTE0"/>
      </w:pPr>
      <w:r w:rsidRPr="00044F1B">
        <w:t>Des renseignements complémentaires peuvent être demandés</w:t>
      </w:r>
      <w:r w:rsidR="000E3CD9">
        <w:t xml:space="preserve"> </w:t>
      </w:r>
      <w:r w:rsidR="000E3CD9" w:rsidRPr="001847DF">
        <w:t xml:space="preserve">obligatoirement </w:t>
      </w:r>
      <w:r w:rsidRPr="001847DF">
        <w:t xml:space="preserve">via la plateforme </w:t>
      </w:r>
      <w:r w:rsidR="003C6603" w:rsidRPr="001847DF">
        <w:t xml:space="preserve">PLACE </w:t>
      </w:r>
      <w:r w:rsidRPr="001847DF">
        <w:t>de dématérialisation des marchés</w:t>
      </w:r>
      <w:r w:rsidR="003D3ABA" w:rsidRPr="001847DF">
        <w:t xml:space="preserve"> publics du Sénat : </w:t>
      </w:r>
      <w:r w:rsidR="003C6603" w:rsidRPr="001847DF">
        <w:t>https://www.marches-publics.gouv.fr</w:t>
      </w:r>
    </w:p>
    <w:p w14:paraId="35AD2B8A" w14:textId="6C5BA6C2" w:rsidR="003C6603" w:rsidRPr="003C6603" w:rsidRDefault="00837D58" w:rsidP="003C6603">
      <w:pPr>
        <w:jc w:val="both"/>
      </w:pPr>
      <w:r>
        <w:t xml:space="preserve">Conformément aux dispositions de l’article R. 3122-12 du code de la commande publique, </w:t>
      </w:r>
      <w:r w:rsidR="003C6603">
        <w:t>c</w:t>
      </w:r>
      <w:r w:rsidR="003C6603" w:rsidRPr="003C6603">
        <w:t>es renseignements complémentaires sont fournis par la Direction de la Logistique et des Moyens généraux du Sénat au plus tard six (6) jours avant la date limite de remise des offres, via la plateforme PLACE, pour autant que la demande en ait été formulée en temps utile par les candidats. Ces derniers devront en conséquence avoir formulé leur demande au plus tard sept (7) jours avant la date limite de remise des offres.</w:t>
      </w:r>
    </w:p>
    <w:p w14:paraId="3A392ABB" w14:textId="77777777" w:rsidR="003C6603" w:rsidRDefault="003C6603" w:rsidP="003C6603">
      <w:pPr>
        <w:pStyle w:val="DCETEXTE0"/>
        <w:spacing w:after="0"/>
        <w:rPr>
          <w:szCs w:val="24"/>
        </w:rPr>
      </w:pPr>
    </w:p>
    <w:p w14:paraId="0135C2B3" w14:textId="067B109E" w:rsidR="003C6603" w:rsidRDefault="003C6603" w:rsidP="003C6603">
      <w:pPr>
        <w:pStyle w:val="DCETEXTE0"/>
        <w:rPr>
          <w:szCs w:val="24"/>
        </w:rPr>
      </w:pPr>
      <w:r w:rsidRPr="003C6603">
        <w:rPr>
          <w:szCs w:val="24"/>
        </w:rPr>
        <w:t xml:space="preserve">Aucun renseignement n’est donné par téléphone. </w:t>
      </w:r>
    </w:p>
    <w:p w14:paraId="50D4B8CD" w14:textId="40BBD70C" w:rsidR="00EF0845" w:rsidRDefault="003C6603" w:rsidP="003C6603">
      <w:pPr>
        <w:pStyle w:val="DCETEXTE0"/>
      </w:pPr>
      <w:r w:rsidRPr="003C6603">
        <w:rPr>
          <w:szCs w:val="24"/>
        </w:rPr>
        <w:t>Aucune réclamation pour mauvaise compréhension du dossier de consultation n’est acceptée.</w:t>
      </w:r>
    </w:p>
    <w:p w14:paraId="3AE002F8" w14:textId="7AAC9461" w:rsidR="005C1813" w:rsidRDefault="005C1813" w:rsidP="005C1813">
      <w:pPr>
        <w:pStyle w:val="DCETitre2"/>
        <w:spacing w:before="240"/>
        <w:ind w:left="788" w:hanging="431"/>
      </w:pPr>
      <w:bookmarkStart w:id="145" w:name="_Toc208997890"/>
      <w:r>
        <w:t xml:space="preserve">Visite </w:t>
      </w:r>
      <w:r w:rsidR="003C6603">
        <w:t>obligatoir</w:t>
      </w:r>
      <w:r>
        <w:t>e du site</w:t>
      </w:r>
      <w:bookmarkEnd w:id="145"/>
    </w:p>
    <w:p w14:paraId="72F6102F" w14:textId="7AE75562" w:rsidR="001847DF" w:rsidRDefault="004A3F0A" w:rsidP="008D4220">
      <w:pPr>
        <w:pStyle w:val="DCETEXTE0"/>
      </w:pPr>
      <w:bookmarkStart w:id="146" w:name="_Toc244686982"/>
      <w:bookmarkStart w:id="147" w:name="_Toc247714093"/>
      <w:bookmarkStart w:id="148" w:name="_Toc248228172"/>
      <w:bookmarkStart w:id="149" w:name="_Toc412818156"/>
      <w:r>
        <w:t>La</w:t>
      </w:r>
      <w:r w:rsidR="00642E32">
        <w:t xml:space="preserve"> visite</w:t>
      </w:r>
      <w:r w:rsidR="006773B4">
        <w:t xml:space="preserve"> </w:t>
      </w:r>
      <w:r>
        <w:t xml:space="preserve">du site par les candidats </w:t>
      </w:r>
      <w:r w:rsidR="006773B4">
        <w:t>est</w:t>
      </w:r>
      <w:r w:rsidR="00642E32">
        <w:t xml:space="preserve"> </w:t>
      </w:r>
      <w:r w:rsidR="001847DF">
        <w:t>obligatoire.</w:t>
      </w:r>
      <w:r>
        <w:t xml:space="preserve"> </w:t>
      </w:r>
      <w:r w:rsidR="001847DF">
        <w:t>À</w:t>
      </w:r>
      <w:r>
        <w:t xml:space="preserve"> cette fin, ceux-ci devront prendre rendez-vous </w:t>
      </w:r>
      <w:r w:rsidR="0070620D">
        <w:t>auprès d</w:t>
      </w:r>
      <w:r w:rsidR="006B726E">
        <w:t>u</w:t>
      </w:r>
      <w:r>
        <w:t xml:space="preserve"> </w:t>
      </w:r>
      <w:r w:rsidR="0070620D">
        <w:t xml:space="preserve">correspondant administratif de la consultation </w:t>
      </w:r>
      <w:r w:rsidR="007910D6">
        <w:t>au moins</w:t>
      </w:r>
      <w:r>
        <w:t xml:space="preserve"> quarante-huit heures à l’avance </w:t>
      </w:r>
      <w:r w:rsidR="0070620D">
        <w:t>(</w:t>
      </w:r>
      <w:hyperlink r:id="rId14" w:history="1">
        <w:r w:rsidRPr="00497DBD">
          <w:rPr>
            <w:rStyle w:val="Lienhypertexte"/>
          </w:rPr>
          <w:t>marches-dlmg@senat.fr</w:t>
        </w:r>
      </w:hyperlink>
      <w:r>
        <w:t xml:space="preserve"> ou +33 (0)1 42 34 28 28</w:t>
      </w:r>
      <w:r w:rsidR="0070620D">
        <w:t>).</w:t>
      </w:r>
      <w:r>
        <w:t xml:space="preserve"> </w:t>
      </w:r>
      <w:r w:rsidR="001847DF">
        <w:t>Le récépissé remis au candidat à l’issue de la visite constitue un élément de la candidature.</w:t>
      </w:r>
    </w:p>
    <w:p w14:paraId="48C49BF3" w14:textId="76A4B1FA" w:rsidR="001847DF" w:rsidRDefault="004A3F0A" w:rsidP="008D4220">
      <w:pPr>
        <w:pStyle w:val="DCETEXTE0"/>
      </w:pPr>
      <w:r>
        <w:lastRenderedPageBreak/>
        <w:t xml:space="preserve">Les visites pourront être organisées jusqu’au </w:t>
      </w:r>
      <w:r w:rsidR="001847DF">
        <w:t>20 octobre 2025 au plus tard</w:t>
      </w:r>
      <w:r w:rsidR="007910D6">
        <w:t xml:space="preserve">. </w:t>
      </w:r>
    </w:p>
    <w:p w14:paraId="3EDEC31A" w14:textId="64D7E04B" w:rsidR="008D4220" w:rsidRDefault="007910D6" w:rsidP="008D4220">
      <w:pPr>
        <w:pStyle w:val="DCETEXTE0"/>
      </w:pPr>
      <w:r>
        <w:t>Une seule visite par candidat est autorisée.</w:t>
      </w:r>
    </w:p>
    <w:p w14:paraId="38784743" w14:textId="7B06483E" w:rsidR="00576BCF" w:rsidRPr="00D639ED" w:rsidRDefault="00E02788" w:rsidP="00D639ED">
      <w:pPr>
        <w:pStyle w:val="DCETitre1"/>
        <w:keepNext w:val="0"/>
        <w:keepLines w:val="0"/>
        <w:widowControl w:val="0"/>
        <w:spacing w:before="360"/>
        <w:rPr>
          <w:b w:val="0"/>
        </w:rPr>
      </w:pPr>
      <w:bookmarkStart w:id="150" w:name="_Toc412818157"/>
      <w:bookmarkStart w:id="151" w:name="_Toc362432816"/>
      <w:bookmarkStart w:id="152" w:name="_Toc362546729"/>
      <w:bookmarkStart w:id="153" w:name="_Toc208997891"/>
      <w:bookmarkEnd w:id="146"/>
      <w:bookmarkEnd w:id="147"/>
      <w:bookmarkEnd w:id="148"/>
      <w:bookmarkEnd w:id="149"/>
      <w:r>
        <w:rPr>
          <w:b w:val="0"/>
        </w:rPr>
        <w:t>C</w:t>
      </w:r>
      <w:r w:rsidR="00576BCF" w:rsidRPr="00D639ED">
        <w:rPr>
          <w:b w:val="0"/>
        </w:rPr>
        <w:t>onditions de participatio</w:t>
      </w:r>
      <w:bookmarkEnd w:id="150"/>
      <w:r w:rsidR="00870973" w:rsidRPr="00D639ED">
        <w:rPr>
          <w:b w:val="0"/>
        </w:rPr>
        <w:t>n</w:t>
      </w:r>
      <w:bookmarkEnd w:id="153"/>
    </w:p>
    <w:bookmarkEnd w:id="151"/>
    <w:bookmarkEnd w:id="152"/>
    <w:p w14:paraId="7952AB48" w14:textId="77777777" w:rsidR="00576BCF" w:rsidRDefault="009F23E2" w:rsidP="008D4220">
      <w:pPr>
        <w:pStyle w:val="DCETEXTE0"/>
      </w:pPr>
      <w:r>
        <w:t>En application de la loi n° 94-665 du 4 août 1994, l’offre devra être rédigée en langue française.</w:t>
      </w:r>
    </w:p>
    <w:p w14:paraId="7381D01B" w14:textId="77777777" w:rsidR="005C45DD" w:rsidRPr="008F0FAD" w:rsidRDefault="005C45DD" w:rsidP="008D4220">
      <w:pPr>
        <w:pStyle w:val="DCETEXTE0"/>
      </w:pPr>
      <w:r>
        <w:t xml:space="preserve">La loi applicable est la loi française. La juridiction compétente est le </w:t>
      </w:r>
      <w:r w:rsidR="00321614">
        <w:t>t</w:t>
      </w:r>
      <w:r w:rsidRPr="008F0FAD">
        <w:t xml:space="preserve">ribunal administratif de Paris. </w:t>
      </w:r>
    </w:p>
    <w:p w14:paraId="56198BD3" w14:textId="77777777" w:rsidR="00576BCF" w:rsidRDefault="00576BCF" w:rsidP="008D4220">
      <w:pPr>
        <w:pStyle w:val="DCETEXTE0"/>
      </w:pPr>
      <w:r>
        <w:t>Il est rappelé que le</w:t>
      </w:r>
      <w:r w:rsidR="00EC7445">
        <w:t xml:space="preserve"> </w:t>
      </w:r>
      <w:r w:rsidR="0082375C">
        <w:t>ou</w:t>
      </w:r>
      <w:r>
        <w:t xml:space="preserve"> les signataires doivent être habili</w:t>
      </w:r>
      <w:r w:rsidR="00B82AFA">
        <w:t>tés à engager le candidat</w:t>
      </w:r>
      <w:r>
        <w:t>.</w:t>
      </w:r>
    </w:p>
    <w:p w14:paraId="2D160CC6" w14:textId="50614EC6" w:rsidR="00513439" w:rsidRPr="008537A3" w:rsidRDefault="0016051F" w:rsidP="009F23E2">
      <w:pPr>
        <w:pStyle w:val="DCETitre2"/>
        <w:spacing w:before="240"/>
        <w:ind w:left="788" w:hanging="431"/>
      </w:pPr>
      <w:bookmarkStart w:id="154" w:name="_Toc412818158"/>
      <w:r>
        <w:t xml:space="preserve"> </w:t>
      </w:r>
      <w:bookmarkStart w:id="155" w:name="_Toc208997892"/>
      <w:r w:rsidR="004E2EA1" w:rsidRPr="008537A3">
        <w:t>Dossier</w:t>
      </w:r>
      <w:r w:rsidR="00B82AFA" w:rsidRPr="008537A3">
        <w:t xml:space="preserve"> à remettre par les candidats</w:t>
      </w:r>
      <w:bookmarkEnd w:id="154"/>
      <w:bookmarkEnd w:id="155"/>
    </w:p>
    <w:p w14:paraId="41F4C9B8" w14:textId="59BC432C" w:rsidR="008D6A5C" w:rsidRDefault="008D6A5C" w:rsidP="008D4220">
      <w:pPr>
        <w:pStyle w:val="DCETEXTE0"/>
      </w:pPr>
      <w:r>
        <w:t>Le dossier pré</w:t>
      </w:r>
      <w:r w:rsidR="00A11678">
        <w:t>senté par chaque candidat</w:t>
      </w:r>
      <w:r>
        <w:t xml:space="preserve"> doit comporter</w:t>
      </w:r>
      <w:r w:rsidR="001F673D">
        <w:t xml:space="preserve"> les éléments définis ci-après. Le ou</w:t>
      </w:r>
      <w:r w:rsidR="001F673D" w:rsidRPr="00B13072">
        <w:t xml:space="preserve"> les signataires</w:t>
      </w:r>
      <w:r w:rsidR="001F673D">
        <w:t xml:space="preserve"> de ce dossier </w:t>
      </w:r>
      <w:r w:rsidR="001F673D" w:rsidRPr="00B13072">
        <w:t>doivent être habilités à engager le candidat.</w:t>
      </w:r>
    </w:p>
    <w:p w14:paraId="66EB5DC0" w14:textId="0376B04B" w:rsidR="005C45DD" w:rsidRDefault="005C45DD" w:rsidP="00D44230">
      <w:pPr>
        <w:pStyle w:val="DCETitre3"/>
      </w:pPr>
      <w:bookmarkStart w:id="156" w:name="_Toc208997893"/>
      <w:r w:rsidRPr="005C45DD">
        <w:t>Éléments de la candidature</w:t>
      </w:r>
      <w:bookmarkEnd w:id="156"/>
    </w:p>
    <w:p w14:paraId="187F5CB6" w14:textId="77777777" w:rsidR="001F673D" w:rsidRPr="001F673D" w:rsidRDefault="001F673D" w:rsidP="001F673D">
      <w:pPr>
        <w:keepNext/>
        <w:keepLines/>
        <w:widowControl/>
        <w:spacing w:after="240"/>
        <w:jc w:val="both"/>
      </w:pPr>
      <w:r w:rsidRPr="001F673D">
        <w:t>Le dossier de candidature présenté par chaque candidat comporte les pièces suivantes :</w:t>
      </w:r>
    </w:p>
    <w:tbl>
      <w:tblPr>
        <w:tblStyle w:val="Grilledutableau"/>
        <w:tblW w:w="0" w:type="auto"/>
        <w:tblLook w:val="04A0" w:firstRow="1" w:lastRow="0" w:firstColumn="1" w:lastColumn="0" w:noHBand="0" w:noVBand="1"/>
      </w:tblPr>
      <w:tblGrid>
        <w:gridCol w:w="1056"/>
        <w:gridCol w:w="6339"/>
        <w:gridCol w:w="1382"/>
      </w:tblGrid>
      <w:tr w:rsidR="001F673D" w:rsidRPr="001F673D" w14:paraId="0A524D6F" w14:textId="77777777" w:rsidTr="00701EA1">
        <w:tc>
          <w:tcPr>
            <w:tcW w:w="0" w:type="auto"/>
            <w:vAlign w:val="center"/>
          </w:tcPr>
          <w:p w14:paraId="691461D8" w14:textId="77777777" w:rsidR="001F673D" w:rsidRPr="001F673D" w:rsidRDefault="001F673D" w:rsidP="001F673D">
            <w:pPr>
              <w:widowControl/>
              <w:jc w:val="center"/>
              <w:rPr>
                <w:rFonts w:ascii="Times New Roman" w:hAnsi="Times New Roman" w:cs="Times New Roman"/>
                <w:b/>
              </w:rPr>
            </w:pPr>
            <w:r w:rsidRPr="001F673D">
              <w:rPr>
                <w:rFonts w:ascii="Times New Roman" w:hAnsi="Times New Roman" w:cs="Times New Roman"/>
                <w:b/>
              </w:rPr>
              <w:t>Numéro</w:t>
            </w:r>
          </w:p>
        </w:tc>
        <w:tc>
          <w:tcPr>
            <w:tcW w:w="0" w:type="auto"/>
            <w:vAlign w:val="center"/>
          </w:tcPr>
          <w:p w14:paraId="4DFA905B" w14:textId="77777777" w:rsidR="001F673D" w:rsidRPr="001F673D" w:rsidRDefault="001F673D" w:rsidP="001F673D">
            <w:pPr>
              <w:widowControl/>
              <w:jc w:val="center"/>
              <w:rPr>
                <w:rFonts w:ascii="Times New Roman" w:hAnsi="Times New Roman" w:cs="Times New Roman"/>
                <w:b/>
              </w:rPr>
            </w:pPr>
            <w:r w:rsidRPr="001F673D">
              <w:rPr>
                <w:rFonts w:ascii="Times New Roman" w:hAnsi="Times New Roman" w:cs="Times New Roman"/>
                <w:b/>
              </w:rPr>
              <w:t>Pièce attendue</w:t>
            </w:r>
          </w:p>
        </w:tc>
        <w:tc>
          <w:tcPr>
            <w:tcW w:w="0" w:type="auto"/>
            <w:vAlign w:val="center"/>
          </w:tcPr>
          <w:p w14:paraId="2080DAB0" w14:textId="77777777" w:rsidR="001F673D" w:rsidRPr="001F673D" w:rsidRDefault="001F673D" w:rsidP="001F673D">
            <w:pPr>
              <w:widowControl/>
              <w:jc w:val="center"/>
              <w:rPr>
                <w:rFonts w:ascii="Times New Roman" w:hAnsi="Times New Roman" w:cs="Times New Roman"/>
                <w:b/>
              </w:rPr>
            </w:pPr>
            <w:r w:rsidRPr="001F673D">
              <w:rPr>
                <w:rFonts w:ascii="Times New Roman" w:hAnsi="Times New Roman" w:cs="Times New Roman"/>
                <w:b/>
              </w:rPr>
              <w:t>Signature de la pièce</w:t>
            </w:r>
          </w:p>
        </w:tc>
      </w:tr>
      <w:tr w:rsidR="001F673D" w:rsidRPr="001F673D" w14:paraId="336DAE17" w14:textId="77777777" w:rsidTr="00701EA1">
        <w:tc>
          <w:tcPr>
            <w:tcW w:w="0" w:type="auto"/>
            <w:vAlign w:val="center"/>
          </w:tcPr>
          <w:p w14:paraId="12715758"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1</w:t>
            </w:r>
          </w:p>
        </w:tc>
        <w:tc>
          <w:tcPr>
            <w:tcW w:w="0" w:type="auto"/>
          </w:tcPr>
          <w:p w14:paraId="21309167" w14:textId="77777777" w:rsidR="001F673D" w:rsidRPr="001F673D" w:rsidRDefault="001F673D" w:rsidP="001F673D">
            <w:pPr>
              <w:widowControl/>
              <w:spacing w:beforeLines="20" w:before="48" w:afterLines="20" w:after="48"/>
              <w:ind w:right="-28"/>
              <w:jc w:val="both"/>
              <w:textAlignment w:val="baseline"/>
              <w:rPr>
                <w:rFonts w:ascii="Times New Roman" w:hAnsi="Times New Roman" w:cs="Times New Roman"/>
              </w:rPr>
            </w:pPr>
            <w:r w:rsidRPr="001F673D">
              <w:rPr>
                <w:rFonts w:ascii="Times New Roman" w:hAnsi="Times New Roman" w:cs="Times New Roman"/>
              </w:rPr>
              <w:t>Une note de présentation</w:t>
            </w:r>
            <w:r w:rsidRPr="001F673D">
              <w:rPr>
                <w:rFonts w:ascii="Times New Roman" w:hAnsi="Times New Roman" w:cs="Times New Roman"/>
                <w:vertAlign w:val="superscript"/>
              </w:rPr>
              <w:footnoteReference w:id="2"/>
            </w:r>
            <w:r w:rsidRPr="001F673D">
              <w:rPr>
                <w:rFonts w:ascii="Times New Roman" w:hAnsi="Times New Roman" w:cs="Times New Roman"/>
              </w:rPr>
              <w:t xml:space="preserve"> précisant notamment :</w:t>
            </w:r>
          </w:p>
          <w:p w14:paraId="5F46EC5D" w14:textId="77777777" w:rsidR="001F673D" w:rsidRPr="001F673D" w:rsidRDefault="001F673D" w:rsidP="001F673D">
            <w:pPr>
              <w:widowControl/>
              <w:numPr>
                <w:ilvl w:val="0"/>
                <w:numId w:val="40"/>
              </w:numPr>
              <w:spacing w:beforeLines="20" w:before="48" w:afterLines="20" w:after="48"/>
              <w:ind w:left="198" w:right="-28" w:hanging="159"/>
              <w:jc w:val="both"/>
              <w:textAlignment w:val="baseline"/>
              <w:rPr>
                <w:rFonts w:ascii="Times New Roman" w:hAnsi="Times New Roman" w:cs="Times New Roman"/>
                <w:szCs w:val="20"/>
              </w:rPr>
            </w:pPr>
            <w:proofErr w:type="gramStart"/>
            <w:r w:rsidRPr="001F673D">
              <w:rPr>
                <w:rFonts w:ascii="Times New Roman" w:hAnsi="Times New Roman" w:cs="Times New Roman"/>
                <w:szCs w:val="20"/>
              </w:rPr>
              <w:t>les</w:t>
            </w:r>
            <w:proofErr w:type="gramEnd"/>
            <w:r w:rsidRPr="001F673D">
              <w:rPr>
                <w:rFonts w:ascii="Times New Roman" w:hAnsi="Times New Roman" w:cs="Times New Roman"/>
                <w:szCs w:val="20"/>
              </w:rPr>
              <w:t xml:space="preserve"> références professionnelles du candidat, en lien avec l’objet du contrat de concession ; </w:t>
            </w:r>
          </w:p>
          <w:p w14:paraId="3EE6A4B8" w14:textId="77777777" w:rsidR="001F673D" w:rsidRPr="001F673D" w:rsidRDefault="001F673D" w:rsidP="001F673D">
            <w:pPr>
              <w:widowControl/>
              <w:numPr>
                <w:ilvl w:val="0"/>
                <w:numId w:val="40"/>
              </w:numPr>
              <w:spacing w:beforeLines="20" w:before="48" w:afterLines="20" w:after="48"/>
              <w:ind w:left="198" w:right="-28" w:hanging="159"/>
              <w:jc w:val="both"/>
              <w:textAlignment w:val="baseline"/>
              <w:rPr>
                <w:rFonts w:ascii="Times New Roman" w:hAnsi="Times New Roman" w:cs="Times New Roman"/>
                <w:szCs w:val="20"/>
              </w:rPr>
            </w:pPr>
            <w:proofErr w:type="gramStart"/>
            <w:r w:rsidRPr="001F673D">
              <w:rPr>
                <w:rFonts w:ascii="Times New Roman" w:hAnsi="Times New Roman" w:cs="Times New Roman"/>
                <w:szCs w:val="20"/>
              </w:rPr>
              <w:t>le</w:t>
            </w:r>
            <w:proofErr w:type="gramEnd"/>
            <w:r w:rsidRPr="001F673D">
              <w:rPr>
                <w:rFonts w:ascii="Times New Roman" w:hAnsi="Times New Roman" w:cs="Times New Roman"/>
                <w:szCs w:val="20"/>
              </w:rPr>
              <w:t xml:space="preserve"> caractère individuel ou sous forme de groupement de la candidature. Dans ce dernier cas, après l’attribution du contrat de concession, le groupement devra avoir un caractère solidaire</w:t>
            </w:r>
            <w:r w:rsidRPr="001F673D">
              <w:rPr>
                <w:rFonts w:ascii="Times New Roman" w:hAnsi="Times New Roman" w:cs="Times New Roman"/>
                <w:szCs w:val="20"/>
                <w:vertAlign w:val="superscript"/>
              </w:rPr>
              <w:footnoteReference w:id="3"/>
            </w:r>
            <w:r w:rsidRPr="001F673D">
              <w:rPr>
                <w:rFonts w:ascii="Times New Roman" w:hAnsi="Times New Roman" w:cs="Times New Roman"/>
                <w:szCs w:val="20"/>
              </w:rPr>
              <w:t xml:space="preserve"> ou conjoint avec mandataire solidaire ;</w:t>
            </w:r>
          </w:p>
          <w:p w14:paraId="314A0721" w14:textId="77777777" w:rsidR="001F673D" w:rsidRPr="001F673D" w:rsidRDefault="001F673D" w:rsidP="001F673D">
            <w:pPr>
              <w:widowControl/>
              <w:numPr>
                <w:ilvl w:val="0"/>
                <w:numId w:val="40"/>
              </w:numPr>
              <w:spacing w:beforeLines="20" w:before="48" w:afterLines="20" w:after="48"/>
              <w:ind w:left="198" w:right="-28" w:hanging="159"/>
              <w:jc w:val="both"/>
              <w:textAlignment w:val="baseline"/>
              <w:rPr>
                <w:rFonts w:ascii="Times New Roman" w:hAnsi="Times New Roman" w:cs="Times New Roman"/>
                <w:szCs w:val="20"/>
              </w:rPr>
            </w:pPr>
            <w:proofErr w:type="gramStart"/>
            <w:r w:rsidRPr="001F673D">
              <w:rPr>
                <w:rFonts w:ascii="Times New Roman" w:hAnsi="Times New Roman" w:cs="Times New Roman"/>
                <w:szCs w:val="20"/>
              </w:rPr>
              <w:t>les</w:t>
            </w:r>
            <w:proofErr w:type="gramEnd"/>
            <w:r w:rsidRPr="001F673D">
              <w:rPr>
                <w:rFonts w:ascii="Times New Roman" w:hAnsi="Times New Roman" w:cs="Times New Roman"/>
                <w:szCs w:val="20"/>
              </w:rPr>
              <w:t xml:space="preserve"> renseignements suivants :</w:t>
            </w:r>
          </w:p>
          <w:p w14:paraId="00004021" w14:textId="77777777" w:rsidR="001F673D" w:rsidRPr="001F673D" w:rsidRDefault="001F673D" w:rsidP="001F673D">
            <w:pPr>
              <w:widowControl/>
              <w:numPr>
                <w:ilvl w:val="0"/>
                <w:numId w:val="41"/>
              </w:numPr>
              <w:spacing w:beforeLines="20" w:before="48" w:afterLines="20" w:after="48"/>
              <w:ind w:left="481" w:right="-28" w:hanging="97"/>
              <w:contextualSpacing/>
              <w:jc w:val="both"/>
              <w:textAlignment w:val="baseline"/>
              <w:rPr>
                <w:rFonts w:ascii="Times New Roman" w:hAnsi="Times New Roman" w:cs="Times New Roman"/>
              </w:rPr>
            </w:pPr>
            <w:proofErr w:type="gramStart"/>
            <w:r w:rsidRPr="001F673D">
              <w:rPr>
                <w:rFonts w:ascii="Times New Roman" w:hAnsi="Times New Roman" w:cs="Times New Roman"/>
              </w:rPr>
              <w:t>la</w:t>
            </w:r>
            <w:proofErr w:type="gramEnd"/>
            <w:r w:rsidRPr="001F673D">
              <w:rPr>
                <w:rFonts w:ascii="Times New Roman" w:hAnsi="Times New Roman" w:cs="Times New Roman"/>
              </w:rPr>
              <w:t xml:space="preserve"> liste des dirigeants et des personnes ayant qualité pour engager le candidat ou le cotraitant ;</w:t>
            </w:r>
          </w:p>
          <w:p w14:paraId="24A8DBE0" w14:textId="53094A68" w:rsidR="001F673D" w:rsidRPr="001F673D" w:rsidRDefault="001F673D" w:rsidP="001F673D">
            <w:pPr>
              <w:widowControl/>
              <w:numPr>
                <w:ilvl w:val="0"/>
                <w:numId w:val="41"/>
              </w:numPr>
              <w:spacing w:beforeLines="20" w:before="48" w:afterLines="20" w:after="48"/>
              <w:ind w:left="481" w:right="-28" w:hanging="97"/>
              <w:contextualSpacing/>
              <w:jc w:val="both"/>
              <w:textAlignment w:val="baseline"/>
              <w:rPr>
                <w:rFonts w:ascii="Times New Roman" w:hAnsi="Times New Roman" w:cs="Times New Roman"/>
              </w:rPr>
            </w:pPr>
            <w:proofErr w:type="gramStart"/>
            <w:r w:rsidRPr="001F673D">
              <w:rPr>
                <w:rFonts w:ascii="Times New Roman" w:hAnsi="Times New Roman" w:cs="Times New Roman"/>
              </w:rPr>
              <w:t>la</w:t>
            </w:r>
            <w:proofErr w:type="gramEnd"/>
            <w:r w:rsidRPr="001F673D">
              <w:rPr>
                <w:rFonts w:ascii="Times New Roman" w:hAnsi="Times New Roman" w:cs="Times New Roman"/>
              </w:rPr>
              <w:t xml:space="preserve"> désignation du mandataire apte à représenter la société</w:t>
            </w:r>
            <w:r w:rsidR="005B7B90">
              <w:rPr>
                <w:rFonts w:ascii="Times New Roman" w:hAnsi="Times New Roman" w:cs="Times New Roman"/>
              </w:rPr>
              <w:t xml:space="preserve"> ainsi que, le cas échéant, le mandataire du</w:t>
            </w:r>
            <w:r w:rsidRPr="001F673D">
              <w:rPr>
                <w:rFonts w:ascii="Times New Roman" w:hAnsi="Times New Roman" w:cs="Times New Roman"/>
              </w:rPr>
              <w:t xml:space="preserve"> groupement </w:t>
            </w:r>
            <w:r w:rsidR="005B7B90">
              <w:rPr>
                <w:rFonts w:ascii="Times New Roman" w:hAnsi="Times New Roman" w:cs="Times New Roman"/>
              </w:rPr>
              <w:t>en cas de candidature groupée</w:t>
            </w:r>
            <w:r w:rsidRPr="001F673D">
              <w:rPr>
                <w:rFonts w:ascii="Times New Roman" w:hAnsi="Times New Roman" w:cs="Times New Roman"/>
              </w:rPr>
              <w:t>.</w:t>
            </w:r>
          </w:p>
        </w:tc>
        <w:tc>
          <w:tcPr>
            <w:tcW w:w="0" w:type="auto"/>
            <w:vAlign w:val="center"/>
          </w:tcPr>
          <w:p w14:paraId="7D07E874"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NON</w:t>
            </w:r>
          </w:p>
        </w:tc>
      </w:tr>
      <w:tr w:rsidR="001F673D" w:rsidRPr="001F673D" w14:paraId="4D65312A" w14:textId="77777777" w:rsidTr="00701EA1">
        <w:tc>
          <w:tcPr>
            <w:tcW w:w="0" w:type="auto"/>
            <w:vAlign w:val="center"/>
          </w:tcPr>
          <w:p w14:paraId="11BC7D41"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2</w:t>
            </w:r>
          </w:p>
        </w:tc>
        <w:tc>
          <w:tcPr>
            <w:tcW w:w="0" w:type="auto"/>
          </w:tcPr>
          <w:p w14:paraId="071DD260" w14:textId="77777777" w:rsidR="001F673D" w:rsidRPr="001F673D" w:rsidRDefault="001F673D" w:rsidP="001F673D">
            <w:pPr>
              <w:spacing w:beforeLines="20" w:before="48" w:afterLines="20" w:after="48"/>
              <w:ind w:right="-28"/>
              <w:jc w:val="both"/>
              <w:textAlignment w:val="baseline"/>
              <w:rPr>
                <w:rFonts w:ascii="Times New Roman" w:hAnsi="Times New Roman" w:cs="Times New Roman"/>
                <w:szCs w:val="20"/>
              </w:rPr>
            </w:pPr>
            <w:r w:rsidRPr="001F673D">
              <w:rPr>
                <w:rFonts w:ascii="Times New Roman" w:hAnsi="Times New Roman" w:cs="Times New Roman"/>
                <w:szCs w:val="20"/>
              </w:rPr>
              <w:t>La preuve des capacités financières, pouvant prendre la forme d’une déclaration des trois derniers chiffres d’affaires connus, en indiquant la part du chiffre d’affaires concernant des services similaires à ceux de la concession.</w:t>
            </w:r>
          </w:p>
          <w:p w14:paraId="1E1C635A" w14:textId="77777777" w:rsidR="001F673D" w:rsidRPr="001F673D" w:rsidRDefault="001F673D" w:rsidP="001F673D">
            <w:pPr>
              <w:spacing w:beforeLines="20" w:before="48" w:afterLines="20" w:after="48"/>
              <w:ind w:right="-28"/>
              <w:jc w:val="both"/>
              <w:textAlignment w:val="baseline"/>
              <w:rPr>
                <w:rFonts w:ascii="Times New Roman" w:hAnsi="Times New Roman" w:cs="Times New Roman"/>
                <w:szCs w:val="20"/>
              </w:rPr>
            </w:pPr>
            <w:r w:rsidRPr="001F673D">
              <w:rPr>
                <w:rFonts w:ascii="Times New Roman" w:hAnsi="Times New Roman" w:cs="Times New Roman"/>
                <w:szCs w:val="20"/>
              </w:rPr>
              <w:t>Les entreprises de création récente peuvent justifier leurs capacités par tout autre moyen.</w:t>
            </w:r>
          </w:p>
        </w:tc>
        <w:tc>
          <w:tcPr>
            <w:tcW w:w="0" w:type="auto"/>
            <w:vAlign w:val="center"/>
          </w:tcPr>
          <w:p w14:paraId="421C2932"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NON</w:t>
            </w:r>
          </w:p>
        </w:tc>
      </w:tr>
      <w:tr w:rsidR="001F673D" w:rsidRPr="001F673D" w14:paraId="2CE19737" w14:textId="77777777" w:rsidTr="00701EA1">
        <w:tc>
          <w:tcPr>
            <w:tcW w:w="0" w:type="auto"/>
            <w:vAlign w:val="center"/>
          </w:tcPr>
          <w:p w14:paraId="3E1BF578"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lastRenderedPageBreak/>
              <w:t>3</w:t>
            </w:r>
          </w:p>
        </w:tc>
        <w:tc>
          <w:tcPr>
            <w:tcW w:w="0" w:type="auto"/>
          </w:tcPr>
          <w:p w14:paraId="51A4D4EF" w14:textId="18DA1362" w:rsidR="001F673D" w:rsidRPr="001F673D" w:rsidRDefault="00D61D32" w:rsidP="001F673D">
            <w:pPr>
              <w:widowControl/>
              <w:spacing w:beforeLines="20" w:before="48" w:afterLines="20" w:after="48"/>
              <w:ind w:right="-28"/>
              <w:jc w:val="both"/>
              <w:textAlignment w:val="baseline"/>
              <w:rPr>
                <w:rFonts w:ascii="Times New Roman" w:hAnsi="Times New Roman" w:cs="Times New Roman"/>
              </w:rPr>
            </w:pPr>
            <w:r>
              <w:rPr>
                <w:rFonts w:ascii="Times New Roman" w:hAnsi="Times New Roman" w:cs="Times New Roman"/>
              </w:rPr>
              <w:t>L</w:t>
            </w:r>
            <w:r w:rsidR="001F673D" w:rsidRPr="001F673D">
              <w:rPr>
                <w:rFonts w:ascii="Times New Roman" w:hAnsi="Times New Roman" w:cs="Times New Roman"/>
              </w:rPr>
              <w:t>es comptes sociaux des trois derniers exercices disponibles, accompagnés de leurs annexes.</w:t>
            </w:r>
          </w:p>
        </w:tc>
        <w:tc>
          <w:tcPr>
            <w:tcW w:w="0" w:type="auto"/>
            <w:vAlign w:val="center"/>
          </w:tcPr>
          <w:p w14:paraId="3B89B495"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NON</w:t>
            </w:r>
          </w:p>
        </w:tc>
      </w:tr>
      <w:tr w:rsidR="001F673D" w:rsidRPr="001F673D" w14:paraId="513225FF" w14:textId="77777777" w:rsidTr="00701EA1">
        <w:tc>
          <w:tcPr>
            <w:tcW w:w="0" w:type="auto"/>
            <w:vAlign w:val="center"/>
          </w:tcPr>
          <w:p w14:paraId="6572DFB6"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4</w:t>
            </w:r>
          </w:p>
        </w:tc>
        <w:tc>
          <w:tcPr>
            <w:tcW w:w="0" w:type="auto"/>
          </w:tcPr>
          <w:p w14:paraId="02FD34F1" w14:textId="77777777" w:rsidR="001F673D" w:rsidRPr="001F673D" w:rsidRDefault="001F673D" w:rsidP="001F673D">
            <w:pPr>
              <w:widowControl/>
              <w:spacing w:beforeLines="20" w:before="48" w:afterLines="20" w:after="48"/>
              <w:ind w:right="-28"/>
              <w:jc w:val="both"/>
              <w:textAlignment w:val="baseline"/>
              <w:rPr>
                <w:rFonts w:ascii="Times New Roman" w:hAnsi="Times New Roman" w:cs="Times New Roman"/>
              </w:rPr>
            </w:pPr>
            <w:r w:rsidRPr="001F673D">
              <w:rPr>
                <w:rFonts w:ascii="Times New Roman" w:hAnsi="Times New Roman" w:cs="Times New Roman"/>
              </w:rPr>
              <w:t>Sauf pour les entreprises créées il y a moins d’un an, une attestation de régularité fiscale de moins de trois mois.</w:t>
            </w:r>
          </w:p>
        </w:tc>
        <w:tc>
          <w:tcPr>
            <w:tcW w:w="0" w:type="auto"/>
            <w:vAlign w:val="center"/>
          </w:tcPr>
          <w:p w14:paraId="46E4C3A3"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NON</w:t>
            </w:r>
          </w:p>
        </w:tc>
      </w:tr>
      <w:tr w:rsidR="001F673D" w:rsidRPr="001F673D" w14:paraId="6033D590" w14:textId="77777777" w:rsidTr="00701EA1">
        <w:tc>
          <w:tcPr>
            <w:tcW w:w="0" w:type="auto"/>
            <w:vAlign w:val="center"/>
          </w:tcPr>
          <w:p w14:paraId="0BE89A0E"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5</w:t>
            </w:r>
          </w:p>
        </w:tc>
        <w:tc>
          <w:tcPr>
            <w:tcW w:w="0" w:type="auto"/>
          </w:tcPr>
          <w:p w14:paraId="756ACC92" w14:textId="77777777" w:rsidR="001F673D" w:rsidRPr="001F673D" w:rsidRDefault="001F673D" w:rsidP="001F673D">
            <w:pPr>
              <w:widowControl/>
              <w:suppressAutoHyphens/>
              <w:jc w:val="both"/>
              <w:rPr>
                <w:rFonts w:ascii="Times New Roman" w:hAnsi="Times New Roman" w:cs="Times New Roman"/>
              </w:rPr>
            </w:pPr>
            <w:r w:rsidRPr="001F673D">
              <w:rPr>
                <w:rFonts w:ascii="Times New Roman" w:hAnsi="Times New Roman" w:cs="Times New Roman"/>
              </w:rPr>
              <w:t>Une attestation sociale (</w:t>
            </w:r>
            <w:r w:rsidRPr="001F673D">
              <w:rPr>
                <w:rFonts w:ascii="Times New Roman" w:hAnsi="Times New Roman" w:cs="Times New Roman"/>
                <w:color w:val="000000"/>
                <w:shd w:val="clear" w:color="auto" w:fill="FFFFFF"/>
              </w:rPr>
              <w:t>attestation mentionnée à l'</w:t>
            </w:r>
            <w:r w:rsidRPr="001F673D">
              <w:rPr>
                <w:rFonts w:ascii="Times New Roman" w:hAnsi="Times New Roman" w:cs="Times New Roman"/>
                <w:shd w:val="clear" w:color="auto" w:fill="FFFFFF"/>
              </w:rPr>
              <w:t xml:space="preserve">article L. 243-15 du code de la sécurité sociale, correspondant le cas échéant </w:t>
            </w:r>
            <w:r w:rsidRPr="001F673D">
              <w:rPr>
                <w:rFonts w:ascii="Times New Roman" w:hAnsi="Times New Roman" w:cs="Times New Roman"/>
              </w:rPr>
              <w:t>à l’</w:t>
            </w:r>
            <w:r w:rsidRPr="001F673D">
              <w:rPr>
                <w:rFonts w:ascii="Times New Roman" w:hAnsi="Times New Roman" w:cs="Times New Roman"/>
                <w:color w:val="000000"/>
                <w:shd w:val="clear" w:color="auto" w:fill="FFFFFF"/>
              </w:rPr>
              <w:t>attestation vigilance délivrée par l’URSSAF)</w:t>
            </w:r>
            <w:r w:rsidRPr="001F673D">
              <w:rPr>
                <w:rFonts w:ascii="Times New Roman" w:hAnsi="Times New Roman" w:cs="Times New Roman"/>
                <w:shd w:val="clear" w:color="auto" w:fill="FFFFFF"/>
              </w:rPr>
              <w:t xml:space="preserve"> </w:t>
            </w:r>
            <w:r w:rsidRPr="001F673D">
              <w:rPr>
                <w:rFonts w:ascii="Times New Roman" w:hAnsi="Times New Roman" w:cs="Times New Roman"/>
              </w:rPr>
              <w:t>de moins de six mois</w:t>
            </w:r>
          </w:p>
        </w:tc>
        <w:tc>
          <w:tcPr>
            <w:tcW w:w="0" w:type="auto"/>
            <w:vAlign w:val="center"/>
          </w:tcPr>
          <w:p w14:paraId="1D36F3CE"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NON</w:t>
            </w:r>
          </w:p>
        </w:tc>
      </w:tr>
      <w:tr w:rsidR="001F673D" w:rsidRPr="001F673D" w14:paraId="0DADD890" w14:textId="77777777" w:rsidTr="00701EA1">
        <w:tc>
          <w:tcPr>
            <w:tcW w:w="0" w:type="auto"/>
            <w:vAlign w:val="center"/>
          </w:tcPr>
          <w:p w14:paraId="3F94EA33"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6</w:t>
            </w:r>
          </w:p>
        </w:tc>
        <w:tc>
          <w:tcPr>
            <w:tcW w:w="0" w:type="auto"/>
          </w:tcPr>
          <w:p w14:paraId="4EE98E27" w14:textId="77777777" w:rsidR="001F673D" w:rsidRPr="001F673D" w:rsidRDefault="001F673D" w:rsidP="001F673D">
            <w:pPr>
              <w:widowControl/>
              <w:spacing w:after="200"/>
              <w:ind w:right="-28"/>
              <w:jc w:val="both"/>
              <w:textAlignment w:val="baseline"/>
              <w:rPr>
                <w:rFonts w:ascii="Times New Roman" w:hAnsi="Times New Roman" w:cs="Times New Roman"/>
              </w:rPr>
            </w:pPr>
            <w:r w:rsidRPr="001F673D">
              <w:rPr>
                <w:rFonts w:ascii="Times New Roman" w:hAnsi="Times New Roman" w:cs="Times New Roman"/>
              </w:rPr>
              <w:t>Le numéro unique d’identification prévu à l’article 3 de la loi n° 94-126 du 11 février 1994 (numéro de SIREN) ou, pour les candidats ayant commencé leur activité depuis moins d'un an, un récépissé de dépôt de déclaration auprès d'un centre de formalités des entreprises. Pour les sociétés en cours de constitution, le projet de statuts et l’identité des actionnaires doivent également être fournis.</w:t>
            </w:r>
          </w:p>
        </w:tc>
        <w:tc>
          <w:tcPr>
            <w:tcW w:w="0" w:type="auto"/>
            <w:vAlign w:val="center"/>
          </w:tcPr>
          <w:p w14:paraId="70FF5006"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NON</w:t>
            </w:r>
          </w:p>
        </w:tc>
      </w:tr>
      <w:tr w:rsidR="001F673D" w:rsidRPr="001F673D" w14:paraId="2BF95E0D" w14:textId="77777777" w:rsidTr="00701EA1">
        <w:tc>
          <w:tcPr>
            <w:tcW w:w="0" w:type="auto"/>
            <w:vAlign w:val="center"/>
          </w:tcPr>
          <w:p w14:paraId="6159D2D1"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7</w:t>
            </w:r>
          </w:p>
        </w:tc>
        <w:tc>
          <w:tcPr>
            <w:tcW w:w="0" w:type="auto"/>
          </w:tcPr>
          <w:p w14:paraId="4DF99935" w14:textId="08E6352E" w:rsidR="001F673D" w:rsidRPr="001F673D" w:rsidRDefault="001F673D" w:rsidP="001F673D">
            <w:pPr>
              <w:widowControl/>
              <w:spacing w:after="200"/>
              <w:ind w:right="-28"/>
              <w:jc w:val="both"/>
              <w:textAlignment w:val="baseline"/>
              <w:rPr>
                <w:rFonts w:ascii="Times New Roman" w:hAnsi="Times New Roman" w:cs="Times New Roman"/>
                <w:szCs w:val="28"/>
              </w:rPr>
            </w:pPr>
            <w:r w:rsidRPr="001F673D">
              <w:rPr>
                <w:rFonts w:ascii="Times New Roman" w:hAnsi="Times New Roman" w:cs="Times New Roman"/>
              </w:rPr>
              <w:t xml:space="preserve">La </w:t>
            </w:r>
            <w:r w:rsidRPr="001F673D">
              <w:rPr>
                <w:rFonts w:ascii="Times New Roman" w:hAnsi="Times New Roman" w:cs="Times New Roman"/>
                <w:szCs w:val="22"/>
              </w:rPr>
              <w:t>déclaration sur l’honneur</w:t>
            </w:r>
            <w:r w:rsidRPr="001F673D">
              <w:rPr>
                <w:rFonts w:ascii="Times New Roman" w:hAnsi="Times New Roman" w:cs="Times New Roman"/>
              </w:rPr>
              <w:t xml:space="preserve"> prévue à l’article R. 3123-16 du code de la commande publique, complétée, datée et signée, selon le modèle joint en annexe </w:t>
            </w:r>
            <w:r w:rsidR="00CA3E06">
              <w:rPr>
                <w:rFonts w:ascii="Times New Roman" w:hAnsi="Times New Roman" w:cs="Times New Roman"/>
              </w:rPr>
              <w:t>du présent règlement de la consultation</w:t>
            </w:r>
            <w:r w:rsidRPr="001F673D">
              <w:rPr>
                <w:rFonts w:ascii="Times New Roman" w:hAnsi="Times New Roman" w:cs="Times New Roman"/>
              </w:rPr>
              <w:t>.</w:t>
            </w:r>
          </w:p>
        </w:tc>
        <w:tc>
          <w:tcPr>
            <w:tcW w:w="0" w:type="auto"/>
            <w:vAlign w:val="center"/>
          </w:tcPr>
          <w:p w14:paraId="7B7754B3" w14:textId="77777777" w:rsidR="001F673D" w:rsidRPr="001F673D" w:rsidRDefault="001F673D" w:rsidP="001F673D">
            <w:pPr>
              <w:widowControl/>
              <w:jc w:val="center"/>
              <w:rPr>
                <w:rFonts w:ascii="Times New Roman" w:hAnsi="Times New Roman" w:cs="Times New Roman"/>
                <w:b/>
              </w:rPr>
            </w:pPr>
            <w:r w:rsidRPr="001F673D">
              <w:rPr>
                <w:rFonts w:ascii="Times New Roman" w:hAnsi="Times New Roman" w:cs="Times New Roman"/>
                <w:b/>
              </w:rPr>
              <w:t>OUI</w:t>
            </w:r>
          </w:p>
        </w:tc>
      </w:tr>
      <w:tr w:rsidR="001F673D" w:rsidRPr="001F673D" w14:paraId="47A271DA" w14:textId="77777777" w:rsidTr="00701EA1">
        <w:tc>
          <w:tcPr>
            <w:tcW w:w="0" w:type="auto"/>
            <w:vAlign w:val="center"/>
          </w:tcPr>
          <w:p w14:paraId="1899D87D"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8</w:t>
            </w:r>
          </w:p>
        </w:tc>
        <w:tc>
          <w:tcPr>
            <w:tcW w:w="0" w:type="auto"/>
          </w:tcPr>
          <w:p w14:paraId="6112FCFD" w14:textId="77777777" w:rsidR="001F673D" w:rsidRPr="001F673D" w:rsidRDefault="001F673D" w:rsidP="001F673D">
            <w:pPr>
              <w:widowControl/>
              <w:spacing w:after="200"/>
              <w:ind w:right="-28"/>
              <w:jc w:val="both"/>
              <w:textAlignment w:val="baseline"/>
              <w:rPr>
                <w:rFonts w:ascii="Times New Roman" w:hAnsi="Times New Roman" w:cs="Times New Roman"/>
                <w:szCs w:val="28"/>
              </w:rPr>
            </w:pPr>
            <w:r w:rsidRPr="001F673D">
              <w:rPr>
                <w:rFonts w:ascii="Times New Roman" w:hAnsi="Times New Roman" w:cs="Times New Roman"/>
              </w:rPr>
              <w:t>Pour les candidats en redressement judiciaire, la copie du ou des jugements prononcés, justifiant qu’ils ont été habilités à poursuivre leur activité pendant la durée de l’autorisation.</w:t>
            </w:r>
          </w:p>
        </w:tc>
        <w:tc>
          <w:tcPr>
            <w:tcW w:w="0" w:type="auto"/>
            <w:vAlign w:val="center"/>
          </w:tcPr>
          <w:p w14:paraId="30805DFD"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NON</w:t>
            </w:r>
          </w:p>
        </w:tc>
      </w:tr>
      <w:tr w:rsidR="001F673D" w:rsidRPr="001F673D" w14:paraId="2F1C71FB" w14:textId="77777777" w:rsidTr="00701EA1">
        <w:tc>
          <w:tcPr>
            <w:tcW w:w="0" w:type="auto"/>
            <w:vAlign w:val="center"/>
          </w:tcPr>
          <w:p w14:paraId="3DF681DA"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9</w:t>
            </w:r>
          </w:p>
        </w:tc>
        <w:tc>
          <w:tcPr>
            <w:tcW w:w="0" w:type="auto"/>
          </w:tcPr>
          <w:p w14:paraId="34E050E0" w14:textId="77777777" w:rsidR="001F673D" w:rsidRPr="001F673D" w:rsidRDefault="001F673D" w:rsidP="001F673D">
            <w:pPr>
              <w:widowControl/>
              <w:spacing w:after="200"/>
              <w:ind w:right="-28"/>
              <w:jc w:val="both"/>
              <w:textAlignment w:val="baseline"/>
              <w:rPr>
                <w:rFonts w:ascii="Times New Roman" w:hAnsi="Times New Roman" w:cs="Times New Roman"/>
              </w:rPr>
            </w:pPr>
            <w:r w:rsidRPr="001F673D">
              <w:rPr>
                <w:rFonts w:ascii="Times New Roman" w:hAnsi="Times New Roman" w:cs="Times New Roman"/>
              </w:rPr>
              <w:t>Une déclaration appropriée de banque ou la preuve d'une assurance au titre des risques professionnels liés à l’exploitation.</w:t>
            </w:r>
          </w:p>
        </w:tc>
        <w:tc>
          <w:tcPr>
            <w:tcW w:w="0" w:type="auto"/>
            <w:vAlign w:val="center"/>
          </w:tcPr>
          <w:p w14:paraId="1C8B828F"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NON</w:t>
            </w:r>
          </w:p>
        </w:tc>
      </w:tr>
      <w:tr w:rsidR="001F673D" w:rsidRPr="001F673D" w14:paraId="2686C77F" w14:textId="77777777" w:rsidTr="00701EA1">
        <w:tc>
          <w:tcPr>
            <w:tcW w:w="0" w:type="auto"/>
            <w:vAlign w:val="center"/>
          </w:tcPr>
          <w:p w14:paraId="714D6F57" w14:textId="77777777" w:rsidR="001F673D" w:rsidRPr="001F673D" w:rsidRDefault="001F673D" w:rsidP="001F673D">
            <w:pPr>
              <w:widowControl/>
              <w:jc w:val="center"/>
              <w:rPr>
                <w:rFonts w:ascii="Times New Roman" w:hAnsi="Times New Roman" w:cs="Times New Roman"/>
              </w:rPr>
            </w:pPr>
            <w:r w:rsidRPr="001F673D">
              <w:rPr>
                <w:rFonts w:ascii="Times New Roman" w:hAnsi="Times New Roman" w:cs="Times New Roman"/>
              </w:rPr>
              <w:t>10</w:t>
            </w:r>
          </w:p>
        </w:tc>
        <w:tc>
          <w:tcPr>
            <w:tcW w:w="0" w:type="auto"/>
          </w:tcPr>
          <w:p w14:paraId="42B54F8C" w14:textId="677F6364" w:rsidR="001F673D" w:rsidRPr="001F673D" w:rsidRDefault="001F673D" w:rsidP="001F673D">
            <w:pPr>
              <w:widowControl/>
              <w:spacing w:after="200"/>
              <w:ind w:right="-28"/>
              <w:jc w:val="both"/>
              <w:textAlignment w:val="baseline"/>
              <w:rPr>
                <w:rFonts w:ascii="Times New Roman" w:hAnsi="Times New Roman" w:cs="Times New Roman"/>
              </w:rPr>
            </w:pPr>
            <w:r w:rsidRPr="001F673D">
              <w:rPr>
                <w:rFonts w:ascii="Times New Roman" w:hAnsi="Times New Roman" w:cs="Times New Roman"/>
              </w:rPr>
              <w:t>L</w:t>
            </w:r>
            <w:r w:rsidR="006B726E">
              <w:rPr>
                <w:rFonts w:ascii="Times New Roman" w:hAnsi="Times New Roman" w:cs="Times New Roman"/>
              </w:rPr>
              <w:t>’</w:t>
            </w:r>
            <w:r w:rsidRPr="001F673D">
              <w:rPr>
                <w:rFonts w:ascii="Times New Roman" w:hAnsi="Times New Roman" w:cs="Times New Roman"/>
              </w:rPr>
              <w:t xml:space="preserve">attestation de la réalisation de la visite obligatoire prévue à l'article </w:t>
            </w:r>
            <w:r w:rsidR="00EB4F7F">
              <w:rPr>
                <w:rFonts w:ascii="Times New Roman" w:hAnsi="Times New Roman" w:cs="Times New Roman"/>
              </w:rPr>
              <w:t>9</w:t>
            </w:r>
            <w:r>
              <w:rPr>
                <w:rFonts w:ascii="Times New Roman" w:hAnsi="Times New Roman" w:cs="Times New Roman"/>
              </w:rPr>
              <w:t>.2</w:t>
            </w:r>
            <w:r w:rsidRPr="001F673D">
              <w:rPr>
                <w:rFonts w:ascii="Times New Roman" w:hAnsi="Times New Roman" w:cs="Times New Roman"/>
              </w:rPr>
              <w:t xml:space="preserve"> du présent règlement de la consultation.</w:t>
            </w:r>
          </w:p>
        </w:tc>
        <w:tc>
          <w:tcPr>
            <w:tcW w:w="0" w:type="auto"/>
            <w:vAlign w:val="center"/>
          </w:tcPr>
          <w:p w14:paraId="40B979E9" w14:textId="77777777" w:rsidR="001F673D" w:rsidRPr="001F673D" w:rsidRDefault="001F673D" w:rsidP="001F673D">
            <w:pPr>
              <w:widowControl/>
              <w:jc w:val="center"/>
              <w:rPr>
                <w:rFonts w:ascii="Times New Roman" w:hAnsi="Times New Roman" w:cs="Times New Roman"/>
                <w:b/>
              </w:rPr>
            </w:pPr>
            <w:r w:rsidRPr="001F673D">
              <w:rPr>
                <w:rFonts w:ascii="Times New Roman" w:hAnsi="Times New Roman" w:cs="Times New Roman"/>
                <w:b/>
              </w:rPr>
              <w:t>OUI</w:t>
            </w:r>
          </w:p>
        </w:tc>
      </w:tr>
    </w:tbl>
    <w:p w14:paraId="698014C9" w14:textId="77777777" w:rsidR="001F673D" w:rsidRPr="001F673D" w:rsidRDefault="001F673D" w:rsidP="001F673D">
      <w:pPr>
        <w:widowControl/>
        <w:autoSpaceDE w:val="0"/>
        <w:autoSpaceDN w:val="0"/>
        <w:adjustRightInd w:val="0"/>
        <w:ind w:left="-284"/>
        <w:jc w:val="both"/>
        <w:rPr>
          <w:color w:val="000000"/>
        </w:rPr>
      </w:pPr>
    </w:p>
    <w:p w14:paraId="71AA50F0" w14:textId="4912C79D" w:rsidR="001F673D" w:rsidRPr="001F673D" w:rsidRDefault="001F673D" w:rsidP="006B726E">
      <w:pPr>
        <w:widowControl/>
        <w:autoSpaceDE w:val="0"/>
        <w:autoSpaceDN w:val="0"/>
        <w:adjustRightInd w:val="0"/>
        <w:jc w:val="both"/>
        <w:rPr>
          <w:color w:val="000000"/>
        </w:rPr>
      </w:pPr>
      <w:r w:rsidRPr="001F673D">
        <w:rPr>
          <w:color w:val="000000"/>
        </w:rPr>
        <w:t>Pour justifier ses capacités professionnelles, techniques et financières, le candidat, y compris s’il s’agit d’un membre d’un groupement, peut demander que soient prises en compte les capacités professionnelles, techniques et financières d</w:t>
      </w:r>
      <w:r w:rsidR="0040142A">
        <w:rPr>
          <w:color w:val="000000"/>
        </w:rPr>
        <w:t>’</w:t>
      </w:r>
      <w:r w:rsidRPr="001F673D">
        <w:rPr>
          <w:color w:val="000000"/>
        </w:rPr>
        <w:t xml:space="preserve">autres opérateurs économiques, quelle que soit la nature des liens existant entre ces opérateurs et lui. </w:t>
      </w:r>
    </w:p>
    <w:p w14:paraId="2DEFF2F0" w14:textId="77777777" w:rsidR="001F673D" w:rsidRPr="001F673D" w:rsidRDefault="001F673D" w:rsidP="006B726E">
      <w:pPr>
        <w:widowControl/>
        <w:autoSpaceDE w:val="0"/>
        <w:autoSpaceDN w:val="0"/>
        <w:adjustRightInd w:val="0"/>
        <w:jc w:val="both"/>
        <w:rPr>
          <w:color w:val="000000"/>
        </w:rPr>
      </w:pPr>
    </w:p>
    <w:p w14:paraId="69479C74" w14:textId="77777777" w:rsidR="001F673D" w:rsidRPr="001F673D" w:rsidRDefault="001F673D" w:rsidP="006B726E">
      <w:pPr>
        <w:widowControl/>
        <w:autoSpaceDE w:val="0"/>
        <w:autoSpaceDN w:val="0"/>
        <w:adjustRightInd w:val="0"/>
        <w:jc w:val="both"/>
        <w:rPr>
          <w:color w:val="000000"/>
        </w:rPr>
      </w:pPr>
      <w:r w:rsidRPr="001F673D">
        <w:rPr>
          <w:color w:val="000000"/>
        </w:rPr>
        <w:t>Dans ce cas, le candidat justifie alors des capacités de cet autre opérateur dont il se prévaut et apporte la preuve qu’il en disposera pendant toute la durée d’exécution du contrat de concession. À cet égard, il peut, notamment, produire une lettre engageant l’opérateur en question à mettre ses capacités à disposition du candidat pour l’exécution du contrat de concession.</w:t>
      </w:r>
    </w:p>
    <w:p w14:paraId="7B4A01FA" w14:textId="77777777" w:rsidR="001F673D" w:rsidRPr="001F673D" w:rsidRDefault="001F673D" w:rsidP="006B726E">
      <w:pPr>
        <w:widowControl/>
        <w:autoSpaceDE w:val="0"/>
        <w:autoSpaceDN w:val="0"/>
        <w:adjustRightInd w:val="0"/>
        <w:jc w:val="both"/>
        <w:rPr>
          <w:color w:val="000000"/>
        </w:rPr>
      </w:pPr>
    </w:p>
    <w:p w14:paraId="613ACCFA" w14:textId="446E4101" w:rsidR="001F673D" w:rsidRPr="001F673D" w:rsidRDefault="001F673D" w:rsidP="006B726E">
      <w:pPr>
        <w:widowControl/>
        <w:autoSpaceDE w:val="0"/>
        <w:autoSpaceDN w:val="0"/>
        <w:adjustRightInd w:val="0"/>
        <w:jc w:val="both"/>
        <w:rPr>
          <w:color w:val="000000"/>
        </w:rPr>
      </w:pPr>
      <w:r w:rsidRPr="001F673D">
        <w:rPr>
          <w:color w:val="000000"/>
        </w:rPr>
        <w:t xml:space="preserve">En application de l’article </w:t>
      </w:r>
      <w:r w:rsidR="00EB4F7F">
        <w:rPr>
          <w:color w:val="000000"/>
        </w:rPr>
        <w:t>6</w:t>
      </w:r>
      <w:r w:rsidRPr="001F673D">
        <w:rPr>
          <w:color w:val="000000"/>
        </w:rPr>
        <w:t>.4 du présent règlement de la consultation, lorsque le candidat déclare vouloir recourir, pour l’exécution d’une partie du contrat de concession, à un sous-concessionnaire ou à un sous-traitant, il complète le dossier de candidature par les pièces n° 1 à 9 renseignées par ce dernier.</w:t>
      </w:r>
    </w:p>
    <w:p w14:paraId="27D68816" w14:textId="77777777" w:rsidR="001F673D" w:rsidRPr="001F673D" w:rsidRDefault="001F673D" w:rsidP="006B726E">
      <w:pPr>
        <w:widowControl/>
        <w:autoSpaceDE w:val="0"/>
        <w:autoSpaceDN w:val="0"/>
        <w:adjustRightInd w:val="0"/>
        <w:jc w:val="both"/>
        <w:rPr>
          <w:rFonts w:ascii="Garamond" w:hAnsi="Garamond" w:cs="Calibri"/>
          <w:color w:val="000000"/>
        </w:rPr>
      </w:pPr>
    </w:p>
    <w:p w14:paraId="6C2F71BB" w14:textId="77777777" w:rsidR="001F673D" w:rsidRPr="001F673D" w:rsidRDefault="001F673D" w:rsidP="006B726E">
      <w:pPr>
        <w:widowControl/>
        <w:spacing w:after="200" w:line="276" w:lineRule="auto"/>
      </w:pPr>
      <w:r w:rsidRPr="001F673D">
        <w:t>En cas de groupement, les pièces attendues et énumérées ci-avant sont remises par chaque membre du groupement, à l’exception de :</w:t>
      </w:r>
    </w:p>
    <w:p w14:paraId="732B068C" w14:textId="77777777" w:rsidR="001F673D" w:rsidRPr="001F673D" w:rsidRDefault="001F673D" w:rsidP="006B726E">
      <w:pPr>
        <w:widowControl/>
        <w:numPr>
          <w:ilvl w:val="0"/>
          <w:numId w:val="29"/>
        </w:numPr>
        <w:spacing w:after="120" w:line="276" w:lineRule="auto"/>
        <w:ind w:left="0" w:firstLine="426"/>
        <w:jc w:val="both"/>
      </w:pPr>
      <w:proofErr w:type="gramStart"/>
      <w:r w:rsidRPr="001F673D">
        <w:lastRenderedPageBreak/>
        <w:t>la</w:t>
      </w:r>
      <w:proofErr w:type="gramEnd"/>
      <w:r w:rsidRPr="001F673D">
        <w:t xml:space="preserve"> pièce n°1 « Note de présentation » (ou document DUME utilisé en lieu et place), qui fait l’objet d’un seul document présenté au nom du groupement, en indiquant le cas échéant le ou les membres du groupement disposant de la capacité (Exemple : les références attendues sont présentées en indiquant le cas échéant, le membre du groupement qui dispose de la référence) ;</w:t>
      </w:r>
    </w:p>
    <w:p w14:paraId="23A90A4B" w14:textId="5AF0815C" w:rsidR="00873F25" w:rsidRDefault="001F673D" w:rsidP="006B726E">
      <w:pPr>
        <w:widowControl/>
        <w:numPr>
          <w:ilvl w:val="0"/>
          <w:numId w:val="29"/>
        </w:numPr>
        <w:spacing w:after="120" w:line="276" w:lineRule="auto"/>
        <w:ind w:left="0" w:firstLine="426"/>
        <w:jc w:val="both"/>
      </w:pPr>
      <w:proofErr w:type="gramStart"/>
      <w:r w:rsidRPr="001F673D">
        <w:t>la</w:t>
      </w:r>
      <w:proofErr w:type="gramEnd"/>
      <w:r w:rsidRPr="001F673D">
        <w:t xml:space="preserve"> pièce n°10 « Attestation de la réalisation de la visite obligatoire du site ». </w:t>
      </w:r>
    </w:p>
    <w:p w14:paraId="27B1CCAC" w14:textId="2543588E" w:rsidR="001F673D" w:rsidRPr="001F673D" w:rsidRDefault="001F673D" w:rsidP="006B726E">
      <w:pPr>
        <w:widowControl/>
        <w:jc w:val="both"/>
      </w:pPr>
      <w:r w:rsidRPr="001F673D">
        <w:t>Les candidats ne sont pas tenus de fournir les documents justificatifs et moyens de preuve que le Sénat peut obtenir directement par le biais d’un système électronique de mise à disposition d’informations administré par un organisme officiel ou d’un espace de stockage numérique, à la condition toutefois que figurent dans le dossier de candidature toutes les informations nécessaires à la consultation de ce système ou de cet espace et que l’accès à celui</w:t>
      </w:r>
      <w:r w:rsidRPr="001F673D">
        <w:noBreakHyphen/>
        <w:t>ci soit gratuit.</w:t>
      </w:r>
    </w:p>
    <w:p w14:paraId="7B55E8A9" w14:textId="77777777" w:rsidR="001F673D" w:rsidRPr="001F673D" w:rsidRDefault="001F673D" w:rsidP="001F673D"/>
    <w:p w14:paraId="700E7571" w14:textId="77777777" w:rsidR="005C45DD" w:rsidRPr="00D44230" w:rsidRDefault="005C45DD" w:rsidP="00D44230">
      <w:pPr>
        <w:pStyle w:val="DCETitre3"/>
      </w:pPr>
      <w:bookmarkStart w:id="157" w:name="_Toc208997894"/>
      <w:r w:rsidRPr="00D44230">
        <w:t>Éléments de l’offre</w:t>
      </w:r>
      <w:bookmarkEnd w:id="157"/>
    </w:p>
    <w:p w14:paraId="06588E85" w14:textId="77777777" w:rsidR="00EE6D65" w:rsidRDefault="00EE6D65" w:rsidP="00EE6D65">
      <w:pPr>
        <w:spacing w:afterLines="60" w:after="144"/>
        <w:jc w:val="both"/>
      </w:pPr>
      <w:r>
        <w:t>L’offre</w:t>
      </w:r>
      <w:r w:rsidRPr="00B13072">
        <w:t xml:space="preserve"> présenté</w:t>
      </w:r>
      <w:r>
        <w:t>e</w:t>
      </w:r>
      <w:r w:rsidRPr="00B13072">
        <w:t xml:space="preserve"> par chaque candidat </w:t>
      </w:r>
      <w:r>
        <w:t>comporte</w:t>
      </w:r>
      <w:r w:rsidRPr="00B13072">
        <w:t> :</w:t>
      </w:r>
    </w:p>
    <w:p w14:paraId="0E604728" w14:textId="1AF799C6" w:rsidR="00EE6D65" w:rsidRDefault="00EE6D65" w:rsidP="00EE6D65">
      <w:pPr>
        <w:overflowPunct w:val="0"/>
        <w:autoSpaceDE w:val="0"/>
        <w:autoSpaceDN w:val="0"/>
        <w:adjustRightInd w:val="0"/>
        <w:spacing w:after="60"/>
        <w:ind w:left="641" w:right="-28" w:hanging="357"/>
        <w:jc w:val="both"/>
        <w:textAlignment w:val="baseline"/>
      </w:pPr>
      <w:r>
        <w:t>1°</w:t>
      </w:r>
      <w:r w:rsidR="00873F25">
        <w:t> L</w:t>
      </w:r>
      <w:r>
        <w:t>es réponses apportées au cahier des réponses attendues, au sein desquelles figure une présentation de la maquette initiale du site internet proposé pour la boutique en ligne ;</w:t>
      </w:r>
    </w:p>
    <w:p w14:paraId="581E0F89" w14:textId="70B635FC" w:rsidR="00BA113F" w:rsidRDefault="00BA113F" w:rsidP="00EE6D65">
      <w:pPr>
        <w:overflowPunct w:val="0"/>
        <w:autoSpaceDE w:val="0"/>
        <w:autoSpaceDN w:val="0"/>
        <w:adjustRightInd w:val="0"/>
        <w:spacing w:after="60"/>
        <w:ind w:left="641" w:right="-28" w:hanging="357"/>
        <w:jc w:val="both"/>
        <w:textAlignment w:val="baseline"/>
      </w:pPr>
      <w:r>
        <w:t>2°</w:t>
      </w:r>
      <w:r w:rsidR="00873F25">
        <w:t> L</w:t>
      </w:r>
      <w:r>
        <w:t>a</w:t>
      </w:r>
      <w:r w:rsidR="00C40A13">
        <w:t xml:space="preserve"> liste des références des produits composant le catalogue proposé, ainsi que la</w:t>
      </w:r>
      <w:r>
        <w:t xml:space="preserve"> grille tarifaire </w:t>
      </w:r>
      <w:r w:rsidR="00C40A13">
        <w:t>associ</w:t>
      </w:r>
      <w:r w:rsidR="00873F25">
        <w:t>é</w:t>
      </w:r>
      <w:r w:rsidR="00C40A13">
        <w:t>e</w:t>
      </w:r>
      <w:r>
        <w:t> ;</w:t>
      </w:r>
    </w:p>
    <w:p w14:paraId="1E967DE9" w14:textId="4E8E3C2B" w:rsidR="00EE6D65" w:rsidRDefault="00BA113F" w:rsidP="00EE6D65">
      <w:pPr>
        <w:overflowPunct w:val="0"/>
        <w:autoSpaceDE w:val="0"/>
        <w:autoSpaceDN w:val="0"/>
        <w:adjustRightInd w:val="0"/>
        <w:spacing w:after="60"/>
        <w:ind w:left="641" w:right="-28" w:hanging="357"/>
        <w:jc w:val="both"/>
        <w:textAlignment w:val="baseline"/>
      </w:pPr>
      <w:r>
        <w:t>3</w:t>
      </w:r>
      <w:r w:rsidR="00EE6D65">
        <w:t>°</w:t>
      </w:r>
      <w:r w:rsidR="00873F25">
        <w:t> Un</w:t>
      </w:r>
      <w:r w:rsidR="00EE6D65">
        <w:t>e présentation financière du projet d’exploitation précisant :</w:t>
      </w:r>
    </w:p>
    <w:p w14:paraId="0E6905DA" w14:textId="2BD35B77" w:rsidR="00EE6D65" w:rsidRDefault="00EE6D65" w:rsidP="00803BE0">
      <w:pPr>
        <w:pStyle w:val="DCETEXTE0"/>
        <w:widowControl w:val="0"/>
        <w:numPr>
          <w:ilvl w:val="0"/>
          <w:numId w:val="40"/>
        </w:numPr>
        <w:spacing w:beforeLines="20" w:before="48" w:afterLines="20" w:after="48"/>
        <w:ind w:left="924" w:right="-28" w:hanging="357"/>
      </w:pPr>
      <w:proofErr w:type="gramStart"/>
      <w:r>
        <w:t>un</w:t>
      </w:r>
      <w:proofErr w:type="gramEnd"/>
      <w:r>
        <w:t xml:space="preserve"> com</w:t>
      </w:r>
      <w:r w:rsidRPr="00B13072">
        <w:t>pte d’exploitation prévisionnel</w:t>
      </w:r>
      <w:r>
        <w:t xml:space="preserve"> </w:t>
      </w:r>
      <w:r w:rsidRPr="00B13072">
        <w:t xml:space="preserve"> par exercice et consolidé sur la durée </w:t>
      </w:r>
      <w:r>
        <w:t xml:space="preserve">de la concession, selon le modèle fourni </w:t>
      </w:r>
      <w:r w:rsidR="006440E9">
        <w:t>dans le présent DCE</w:t>
      </w:r>
      <w:r>
        <w:t> ;</w:t>
      </w:r>
    </w:p>
    <w:p w14:paraId="6E122421" w14:textId="313806AA" w:rsidR="00EE6D65" w:rsidRDefault="00EE6D65" w:rsidP="00EE6D65">
      <w:pPr>
        <w:pStyle w:val="DCETEXTE0"/>
        <w:widowControl w:val="0"/>
        <w:numPr>
          <w:ilvl w:val="0"/>
          <w:numId w:val="40"/>
        </w:numPr>
        <w:spacing w:beforeLines="20" w:before="48" w:afterLines="20" w:after="48"/>
        <w:ind w:left="924" w:right="-28" w:hanging="357"/>
      </w:pPr>
      <w:proofErr w:type="gramStart"/>
      <w:r>
        <w:t>le</w:t>
      </w:r>
      <w:proofErr w:type="gramEnd"/>
      <w:r>
        <w:t xml:space="preserve"> montant proposé pour la part variable de la redevance, présenté sous la forme d’un ou de pourcentages </w:t>
      </w:r>
      <w:r w:rsidR="00BA113F">
        <w:t xml:space="preserve">assis sur le </w:t>
      </w:r>
      <w:r>
        <w:t>chiffre d’affaires hors taxe</w:t>
      </w:r>
      <w:r w:rsidR="00BA113F">
        <w:t>s</w:t>
      </w:r>
      <w:r>
        <w:t xml:space="preserve"> de </w:t>
      </w:r>
      <w:r w:rsidR="00BA113F">
        <w:t xml:space="preserve">l’exploitation, avec un minimum de </w:t>
      </w:r>
      <w:r w:rsidR="005B143D">
        <w:t>huit pourcent (</w:t>
      </w:r>
      <w:r w:rsidR="00BA113F">
        <w:t>8 %</w:t>
      </w:r>
      <w:r w:rsidR="005B143D">
        <w:t>)</w:t>
      </w:r>
      <w:r w:rsidR="00BA113F">
        <w:t xml:space="preserve"> et à l’exception du chiffres d’affaires sur l</w:t>
      </w:r>
      <w:r w:rsidR="005B143D">
        <w:t>’</w:t>
      </w:r>
      <w:r w:rsidR="00BA113F">
        <w:t xml:space="preserve">ouvrage d’art </w:t>
      </w:r>
      <w:r w:rsidR="005B143D">
        <w:t>du Sénat,</w:t>
      </w:r>
      <w:r w:rsidR="00BA113F">
        <w:t xml:space="preserve"> conformément </w:t>
      </w:r>
      <w:r w:rsidR="005B143D">
        <w:t xml:space="preserve">à l’article </w:t>
      </w:r>
      <w:r w:rsidR="006C5E94">
        <w:t>16.2</w:t>
      </w:r>
      <w:r w:rsidR="00BA113F">
        <w:t xml:space="preserve"> du contrat de concession </w:t>
      </w:r>
      <w:r>
        <w:t> ;</w:t>
      </w:r>
    </w:p>
    <w:p w14:paraId="4900FF12" w14:textId="1D34C892" w:rsidR="00EE6D65" w:rsidRDefault="00BA113F" w:rsidP="00EE6D65">
      <w:pPr>
        <w:overflowPunct w:val="0"/>
        <w:autoSpaceDE w:val="0"/>
        <w:autoSpaceDN w:val="0"/>
        <w:adjustRightInd w:val="0"/>
        <w:spacing w:after="60"/>
        <w:ind w:left="641" w:right="-28" w:hanging="357"/>
        <w:jc w:val="both"/>
        <w:textAlignment w:val="baseline"/>
      </w:pPr>
      <w:r>
        <w:t>4</w:t>
      </w:r>
      <w:r w:rsidR="00EE6D65">
        <w:t>°</w:t>
      </w:r>
      <w:r w:rsidR="00873F25">
        <w:t> T</w:t>
      </w:r>
      <w:r w:rsidR="00EE6D65" w:rsidRPr="00B13072">
        <w:t xml:space="preserve">outes pièces ou précisions </w:t>
      </w:r>
      <w:r w:rsidR="00EE6D65">
        <w:t>de nature à étayer l’offre</w:t>
      </w:r>
      <w:r w:rsidR="00A534F4">
        <w:t>.</w:t>
      </w:r>
    </w:p>
    <w:p w14:paraId="6D4B5A53" w14:textId="77777777" w:rsidR="00A534F4" w:rsidRDefault="00A534F4" w:rsidP="00A534F4">
      <w:pPr>
        <w:pStyle w:val="Paragraphedeliste"/>
        <w:tabs>
          <w:tab w:val="left" w:pos="993"/>
        </w:tabs>
        <w:overflowPunct w:val="0"/>
        <w:autoSpaceDE w:val="0"/>
        <w:autoSpaceDN w:val="0"/>
        <w:adjustRightInd w:val="0"/>
        <w:spacing w:after="240"/>
        <w:ind w:left="0"/>
        <w:jc w:val="both"/>
        <w:textAlignment w:val="baseline"/>
      </w:pPr>
    </w:p>
    <w:p w14:paraId="52638524" w14:textId="7ED514F1" w:rsidR="00A534F4" w:rsidRDefault="00A534F4" w:rsidP="00A534F4">
      <w:pPr>
        <w:pStyle w:val="Paragraphedeliste"/>
        <w:tabs>
          <w:tab w:val="left" w:pos="993"/>
        </w:tabs>
        <w:overflowPunct w:val="0"/>
        <w:autoSpaceDE w:val="0"/>
        <w:autoSpaceDN w:val="0"/>
        <w:adjustRightInd w:val="0"/>
        <w:spacing w:after="240"/>
        <w:ind w:left="0"/>
        <w:jc w:val="both"/>
        <w:textAlignment w:val="baseline"/>
      </w:pPr>
      <w:r>
        <w:t>Les offres sans signature manuscrite ou électronique sont acceptées. Le dépôt d’une offre vaut engagement de la part du candidat à accepter l’attribution de la concession.</w:t>
      </w:r>
    </w:p>
    <w:p w14:paraId="4F915CF5" w14:textId="77777777" w:rsidR="00A534F4" w:rsidRDefault="00A534F4" w:rsidP="00A534F4">
      <w:pPr>
        <w:pStyle w:val="Paragraphedeliste"/>
        <w:tabs>
          <w:tab w:val="left" w:pos="993"/>
        </w:tabs>
        <w:overflowPunct w:val="0"/>
        <w:autoSpaceDE w:val="0"/>
        <w:autoSpaceDN w:val="0"/>
        <w:adjustRightInd w:val="0"/>
        <w:spacing w:after="240"/>
        <w:ind w:left="0"/>
        <w:jc w:val="both"/>
        <w:textAlignment w:val="baseline"/>
      </w:pPr>
    </w:p>
    <w:p w14:paraId="08D6852A" w14:textId="4EF79098" w:rsidR="00A73AE2" w:rsidRDefault="00A534F4" w:rsidP="00A534F4">
      <w:pPr>
        <w:pStyle w:val="Paragraphedeliste"/>
        <w:tabs>
          <w:tab w:val="left" w:pos="993"/>
        </w:tabs>
        <w:overflowPunct w:val="0"/>
        <w:autoSpaceDE w:val="0"/>
        <w:autoSpaceDN w:val="0"/>
        <w:adjustRightInd w:val="0"/>
        <w:spacing w:after="240"/>
        <w:ind w:left="0"/>
        <w:contextualSpacing w:val="0"/>
        <w:jc w:val="both"/>
        <w:textAlignment w:val="baseline"/>
      </w:pPr>
      <w:r>
        <w:t>Une signature manuscrite du contrat de concession sera ultérieurement demandée au candidat retenu.</w:t>
      </w:r>
    </w:p>
    <w:p w14:paraId="28BF5116" w14:textId="4017F2D9" w:rsidR="00C118BB" w:rsidRPr="008D6A5C" w:rsidRDefault="0016051F" w:rsidP="00803D71">
      <w:pPr>
        <w:pStyle w:val="DCETitre2"/>
        <w:spacing w:before="240"/>
        <w:ind w:left="788" w:hanging="431"/>
      </w:pPr>
      <w:bookmarkStart w:id="158" w:name="_Toc242075693"/>
      <w:bookmarkStart w:id="159" w:name="_Toc242076677"/>
      <w:bookmarkStart w:id="160" w:name="_Toc243996240"/>
      <w:bookmarkStart w:id="161" w:name="_Toc243997715"/>
      <w:bookmarkStart w:id="162" w:name="_Toc244686991"/>
      <w:bookmarkStart w:id="163" w:name="_Toc247714102"/>
      <w:bookmarkStart w:id="164" w:name="_Toc248228181"/>
      <w:bookmarkStart w:id="165" w:name="_Toc412818162"/>
      <w:r>
        <w:t xml:space="preserve"> </w:t>
      </w:r>
      <w:bookmarkStart w:id="166" w:name="_Toc208997895"/>
      <w:r w:rsidR="00C118BB" w:rsidRPr="008D6A5C">
        <w:t>D</w:t>
      </w:r>
      <w:r w:rsidR="00EC6B4C">
        <w:t>urée</w:t>
      </w:r>
      <w:r w:rsidR="00C118BB" w:rsidRPr="008D6A5C">
        <w:t xml:space="preserve"> de validité des offres</w:t>
      </w:r>
      <w:bookmarkEnd w:id="158"/>
      <w:bookmarkEnd w:id="159"/>
      <w:bookmarkEnd w:id="160"/>
      <w:bookmarkEnd w:id="161"/>
      <w:bookmarkEnd w:id="162"/>
      <w:bookmarkEnd w:id="163"/>
      <w:bookmarkEnd w:id="164"/>
      <w:bookmarkEnd w:id="165"/>
      <w:bookmarkEnd w:id="166"/>
    </w:p>
    <w:p w14:paraId="4E966EA4" w14:textId="48D76234" w:rsidR="00C118BB" w:rsidRPr="00363F0E" w:rsidRDefault="00C118BB" w:rsidP="00D44230">
      <w:pPr>
        <w:pStyle w:val="DCETEXTE0"/>
      </w:pPr>
      <w:r w:rsidRPr="00363F0E">
        <w:t>L</w:t>
      </w:r>
      <w:r w:rsidR="00EC6B4C">
        <w:t>a</w:t>
      </w:r>
      <w:r w:rsidRPr="00363F0E">
        <w:t xml:space="preserve"> d</w:t>
      </w:r>
      <w:r w:rsidR="00EC6B4C">
        <w:t>urée</w:t>
      </w:r>
      <w:r w:rsidRPr="00363F0E">
        <w:t xml:space="preserve"> de validité des offres est </w:t>
      </w:r>
      <w:r w:rsidRPr="00FA0A86">
        <w:t>fixé</w:t>
      </w:r>
      <w:r w:rsidR="00EC6B4C">
        <w:t>e</w:t>
      </w:r>
      <w:r w:rsidRPr="00FA0A86">
        <w:t xml:space="preserve"> à </w:t>
      </w:r>
      <w:r w:rsidR="003007D0">
        <w:t>cent vingt (</w:t>
      </w:r>
      <w:r w:rsidR="00152C62">
        <w:t>120</w:t>
      </w:r>
      <w:r w:rsidR="003007D0">
        <w:t>)</w:t>
      </w:r>
      <w:r w:rsidR="00E72A17">
        <w:t> </w:t>
      </w:r>
      <w:r w:rsidR="00F70847" w:rsidRPr="00FA0A86">
        <w:t>jours</w:t>
      </w:r>
      <w:r w:rsidRPr="00FA0A86">
        <w:t xml:space="preserve"> à compter</w:t>
      </w:r>
      <w:r w:rsidRPr="00363F0E">
        <w:t xml:space="preserve"> de la date limite de remise des candidatures et des offres. </w:t>
      </w:r>
    </w:p>
    <w:p w14:paraId="7C1F6583" w14:textId="77777777" w:rsidR="00C118BB" w:rsidRDefault="00C118BB" w:rsidP="00D44230">
      <w:pPr>
        <w:pStyle w:val="DCETEXTE0"/>
      </w:pPr>
      <w:r w:rsidRPr="00363F0E">
        <w:t>En cas de report de la date limite de remise des candidatures et des offres, cette disposition est applicable à compter de la date reportée, et non de la date initiale.</w:t>
      </w:r>
    </w:p>
    <w:p w14:paraId="57F8E82A" w14:textId="77777777" w:rsidR="00CD2326" w:rsidRDefault="00C118BB" w:rsidP="00C40A13">
      <w:pPr>
        <w:pStyle w:val="DCETitre1"/>
        <w:keepLines w:val="0"/>
        <w:spacing w:before="360"/>
        <w:rPr>
          <w:b w:val="0"/>
        </w:rPr>
      </w:pPr>
      <w:bookmarkStart w:id="167" w:name="_Toc412818163"/>
      <w:bookmarkStart w:id="168" w:name="_Toc208997896"/>
      <w:r w:rsidRPr="00D639ED">
        <w:rPr>
          <w:b w:val="0"/>
        </w:rPr>
        <w:lastRenderedPageBreak/>
        <w:t>Conditions de remise des candidatures et des offres</w:t>
      </w:r>
      <w:bookmarkEnd w:id="167"/>
      <w:bookmarkEnd w:id="168"/>
    </w:p>
    <w:p w14:paraId="6AA4A7D6" w14:textId="131C6B2D" w:rsidR="00A534F4" w:rsidRPr="00A534F4" w:rsidRDefault="000F209E" w:rsidP="00C40A13">
      <w:pPr>
        <w:pStyle w:val="DCETitre2"/>
        <w:keepNext/>
        <w:widowControl/>
      </w:pPr>
      <w:bookmarkStart w:id="169" w:name="_Toc183426032"/>
      <w:r>
        <w:t xml:space="preserve"> </w:t>
      </w:r>
      <w:bookmarkStart w:id="170" w:name="_Toc208997897"/>
      <w:r w:rsidR="00A534F4" w:rsidRPr="00A534F4">
        <w:t>Transmission électronique des plis</w:t>
      </w:r>
      <w:bookmarkEnd w:id="169"/>
      <w:bookmarkEnd w:id="170"/>
    </w:p>
    <w:p w14:paraId="49C7A4E4" w14:textId="69F6C113" w:rsidR="00A534F4" w:rsidRPr="00A534F4" w:rsidRDefault="00A534F4" w:rsidP="00C40A13">
      <w:pPr>
        <w:keepNext/>
        <w:widowControl/>
        <w:jc w:val="both"/>
      </w:pPr>
      <w:r w:rsidRPr="00A534F4">
        <w:t xml:space="preserve">Les plis des candidats, comportant les éléments attendus au titre de la candidature et de l’offre, font obligatoirement l’objet d’une transmission électronique sur le profil d’acheteur du Sénat - la plateforme des achats de l’État PLACE - accessible à l’adresse suivante : </w:t>
      </w:r>
      <w:hyperlink r:id="rId15" w:history="1">
        <w:r w:rsidRPr="00A534F4">
          <w:rPr>
            <w:color w:val="0000FF"/>
            <w:u w:val="single"/>
          </w:rPr>
          <w:t>https://www.marches-publics.gouv.fr/</w:t>
        </w:r>
      </w:hyperlink>
      <w:r w:rsidRPr="00A534F4">
        <w:t>, en se référant à la consultation appropriée.</w:t>
      </w:r>
    </w:p>
    <w:p w14:paraId="0B0DAB1A" w14:textId="77777777" w:rsidR="00A534F4" w:rsidRPr="00A534F4" w:rsidRDefault="00A534F4" w:rsidP="00A534F4">
      <w:pPr>
        <w:widowControl/>
        <w:spacing w:before="240" w:after="240"/>
        <w:jc w:val="both"/>
        <w:rPr>
          <w:b/>
          <w:caps/>
        </w:rPr>
      </w:pPr>
      <w:r w:rsidRPr="00A534F4">
        <w:t>La date et l’heure limites de remise des offres sont fixées sur la page de garde du présent règlement de la consultation.</w:t>
      </w:r>
    </w:p>
    <w:p w14:paraId="6C6C4F8B" w14:textId="248B2940" w:rsidR="00873F25" w:rsidRPr="00A534F4" w:rsidRDefault="00A534F4" w:rsidP="000F209E">
      <w:pPr>
        <w:widowControl/>
        <w:spacing w:before="240" w:after="240"/>
        <w:jc w:val="both"/>
      </w:pPr>
      <w:r w:rsidRPr="00A534F4">
        <w:t>Les dossiers transmis après ces date et heure limites ou par tout autre moyen qu’une transmission électronique sur PLACE ne seront pas pris en considération et seront éliminés sans examen.</w:t>
      </w:r>
    </w:p>
    <w:p w14:paraId="43766B3D" w14:textId="44484BA7" w:rsidR="00A534F4" w:rsidRPr="00873F25" w:rsidRDefault="000F209E" w:rsidP="00A5693E">
      <w:pPr>
        <w:pStyle w:val="DCETitre2"/>
      </w:pPr>
      <w:bookmarkStart w:id="171" w:name="_Toc183426033"/>
      <w:r>
        <w:t xml:space="preserve"> </w:t>
      </w:r>
      <w:bookmarkStart w:id="172" w:name="_Toc208997898"/>
      <w:r w:rsidR="00A534F4" w:rsidRPr="00A534F4">
        <w:t>Copie de sauvegarde</w:t>
      </w:r>
      <w:bookmarkEnd w:id="171"/>
      <w:bookmarkEnd w:id="172"/>
    </w:p>
    <w:p w14:paraId="30FCE0D2" w14:textId="77777777" w:rsidR="00A534F4" w:rsidRPr="00A534F4" w:rsidRDefault="00A534F4" w:rsidP="00A534F4">
      <w:pPr>
        <w:widowControl/>
        <w:spacing w:before="120" w:after="360"/>
        <w:jc w:val="both"/>
      </w:pPr>
      <w:r w:rsidRPr="00A534F4">
        <w:t xml:space="preserve">Le candidat a la possibilité d’adresser ou de remettre une copie de sauvegarde de son dossier sur support papier ou sur support physique électronique (CD-ROM ou clé USB) dans une enveloppe </w:t>
      </w:r>
      <w:r w:rsidRPr="00A534F4">
        <w:rPr>
          <w:b/>
          <w:bCs/>
        </w:rPr>
        <w:t xml:space="preserve">cachetée </w:t>
      </w:r>
      <w:r w:rsidRPr="00A534F4">
        <w:t xml:space="preserve">comportant la mention : </w:t>
      </w:r>
    </w:p>
    <w:p w14:paraId="7049B413" w14:textId="3FB24C57" w:rsidR="00A534F4" w:rsidRPr="00A534F4" w:rsidRDefault="00A534F4" w:rsidP="00A534F4">
      <w:pPr>
        <w:keepNext/>
        <w:keepLines/>
        <w:widowControl/>
        <w:pBdr>
          <w:top w:val="single" w:sz="4" w:space="8" w:color="auto"/>
          <w:left w:val="single" w:sz="4" w:space="4" w:color="auto"/>
          <w:bottom w:val="single" w:sz="4" w:space="8" w:color="auto"/>
          <w:right w:val="single" w:sz="4" w:space="4" w:color="auto"/>
        </w:pBdr>
        <w:jc w:val="center"/>
        <w:rPr>
          <w:rFonts w:ascii="Times New Roman Gras" w:hAnsi="Times New Roman Gras"/>
          <w:b/>
          <w:smallCaps/>
        </w:rPr>
      </w:pPr>
      <w:r w:rsidRPr="00A534F4">
        <w:rPr>
          <w:b/>
          <w:caps/>
        </w:rPr>
        <w:t>Concession pour</w:t>
      </w:r>
    </w:p>
    <w:p w14:paraId="568E2A4C" w14:textId="2EA65FB4" w:rsidR="00A534F4" w:rsidRDefault="00A534F4" w:rsidP="00A534F4">
      <w:pPr>
        <w:keepNext/>
        <w:keepLines/>
        <w:widowControl/>
        <w:pBdr>
          <w:top w:val="single" w:sz="4" w:space="8" w:color="auto"/>
          <w:left w:val="single" w:sz="4" w:space="4" w:color="auto"/>
          <w:bottom w:val="single" w:sz="4" w:space="8" w:color="auto"/>
          <w:right w:val="single" w:sz="4" w:space="4" w:color="auto"/>
        </w:pBdr>
        <w:jc w:val="center"/>
        <w:rPr>
          <w:b/>
          <w:caps/>
        </w:rPr>
      </w:pPr>
      <w:r w:rsidRPr="00A534F4">
        <w:rPr>
          <w:b/>
          <w:caps/>
        </w:rPr>
        <w:t xml:space="preserve">l’EXPLOITATION </w:t>
      </w:r>
      <w:r>
        <w:rPr>
          <w:b/>
          <w:caps/>
        </w:rPr>
        <w:t>d’une boutique de vente dans</w:t>
      </w:r>
      <w:r w:rsidR="00016FF4">
        <w:rPr>
          <w:b/>
          <w:caps/>
        </w:rPr>
        <w:t xml:space="preserve"> </w:t>
      </w:r>
      <w:r>
        <w:rPr>
          <w:b/>
          <w:caps/>
        </w:rPr>
        <w:t>le palais</w:t>
      </w:r>
      <w:r w:rsidRPr="00A534F4">
        <w:rPr>
          <w:b/>
          <w:caps/>
        </w:rPr>
        <w:t xml:space="preserve"> du </w:t>
      </w:r>
      <w:r>
        <w:rPr>
          <w:b/>
          <w:caps/>
        </w:rPr>
        <w:t>Luxembourg</w:t>
      </w:r>
    </w:p>
    <w:p w14:paraId="256D7E6F" w14:textId="00B4111E" w:rsidR="00A534F4" w:rsidRPr="00A534F4" w:rsidRDefault="00A534F4" w:rsidP="00A534F4">
      <w:pPr>
        <w:keepNext/>
        <w:keepLines/>
        <w:widowControl/>
        <w:pBdr>
          <w:top w:val="single" w:sz="4" w:space="8" w:color="auto"/>
          <w:left w:val="single" w:sz="4" w:space="4" w:color="auto"/>
          <w:bottom w:val="single" w:sz="4" w:space="8" w:color="auto"/>
          <w:right w:val="single" w:sz="4" w:space="4" w:color="auto"/>
        </w:pBdr>
        <w:jc w:val="center"/>
        <w:rPr>
          <w:i/>
        </w:rPr>
      </w:pPr>
      <w:r>
        <w:rPr>
          <w:i/>
        </w:rPr>
        <w:t>Nom du c</w:t>
      </w:r>
      <w:r w:rsidRPr="00A534F4">
        <w:rPr>
          <w:i/>
        </w:rPr>
        <w:t>andidat</w:t>
      </w:r>
      <w:proofErr w:type="gramStart"/>
      <w:r w:rsidRPr="00A534F4">
        <w:rPr>
          <w:i/>
        </w:rPr>
        <w:t> :…</w:t>
      </w:r>
      <w:proofErr w:type="gramEnd"/>
      <w:r w:rsidRPr="00A534F4">
        <w:rPr>
          <w:i/>
        </w:rPr>
        <w:t>………………… (à compléter)</w:t>
      </w:r>
    </w:p>
    <w:p w14:paraId="26F986F1" w14:textId="77777777" w:rsidR="00A534F4" w:rsidRPr="00A534F4" w:rsidRDefault="00A534F4" w:rsidP="00A534F4">
      <w:pPr>
        <w:keepNext/>
        <w:keepLines/>
        <w:widowControl/>
        <w:pBdr>
          <w:top w:val="single" w:sz="4" w:space="8" w:color="auto"/>
          <w:left w:val="single" w:sz="4" w:space="4" w:color="auto"/>
          <w:bottom w:val="single" w:sz="4" w:space="8" w:color="auto"/>
          <w:right w:val="single" w:sz="4" w:space="4" w:color="auto"/>
        </w:pBdr>
        <w:spacing w:before="120" w:after="120"/>
        <w:jc w:val="center"/>
        <w:rPr>
          <w:b/>
          <w:u w:val="single"/>
        </w:rPr>
      </w:pPr>
      <w:r w:rsidRPr="00A534F4">
        <w:rPr>
          <w:b/>
          <w:u w:val="single"/>
        </w:rPr>
        <w:t>Copie de sauvegarde</w:t>
      </w:r>
    </w:p>
    <w:p w14:paraId="4DBAA384" w14:textId="77777777" w:rsidR="00A534F4" w:rsidRPr="00A534F4" w:rsidRDefault="00A534F4" w:rsidP="00A534F4">
      <w:pPr>
        <w:widowControl/>
        <w:pBdr>
          <w:top w:val="single" w:sz="4" w:space="8" w:color="auto"/>
          <w:left w:val="single" w:sz="4" w:space="4" w:color="auto"/>
          <w:bottom w:val="single" w:sz="4" w:space="8" w:color="auto"/>
          <w:right w:val="single" w:sz="4" w:space="4" w:color="auto"/>
        </w:pBdr>
        <w:jc w:val="center"/>
      </w:pPr>
      <w:r w:rsidRPr="00A534F4">
        <w:t>NE PAS OUVRIR</w:t>
      </w:r>
    </w:p>
    <w:p w14:paraId="0C1FE23D" w14:textId="77777777" w:rsidR="00A534F4" w:rsidRPr="00A534F4" w:rsidRDefault="00A534F4" w:rsidP="00A534F4">
      <w:pPr>
        <w:widowControl/>
      </w:pPr>
    </w:p>
    <w:p w14:paraId="3E36E520" w14:textId="77777777" w:rsidR="00A534F4" w:rsidRPr="00A534F4" w:rsidRDefault="00A534F4" w:rsidP="00A534F4">
      <w:pPr>
        <w:widowControl/>
        <w:jc w:val="both"/>
      </w:pPr>
      <w:r w:rsidRPr="00A534F4">
        <w:t>Cette copie de sauvegarde est adressée à l’adresse suivante, par porteur et contre récépissé :</w:t>
      </w:r>
    </w:p>
    <w:p w14:paraId="5B00C17C" w14:textId="77777777" w:rsidR="00A534F4" w:rsidRPr="00A534F4" w:rsidRDefault="00A534F4" w:rsidP="00A534F4">
      <w:pPr>
        <w:widowControl/>
        <w:jc w:val="both"/>
      </w:pPr>
    </w:p>
    <w:p w14:paraId="470B891D" w14:textId="77777777" w:rsidR="00A534F4" w:rsidRPr="00A534F4" w:rsidRDefault="00A534F4" w:rsidP="00A534F4">
      <w:pPr>
        <w:keepNext/>
        <w:keepLines/>
        <w:widowControl/>
        <w:pBdr>
          <w:top w:val="single" w:sz="4" w:space="8" w:color="auto"/>
          <w:left w:val="single" w:sz="4" w:space="4" w:color="auto"/>
          <w:bottom w:val="single" w:sz="4" w:space="8" w:color="auto"/>
          <w:right w:val="single" w:sz="4" w:space="4" w:color="auto"/>
        </w:pBdr>
        <w:jc w:val="center"/>
      </w:pPr>
      <w:r w:rsidRPr="00A534F4">
        <w:t>Sénat</w:t>
      </w:r>
    </w:p>
    <w:p w14:paraId="2097F9ED" w14:textId="77777777" w:rsidR="00A534F4" w:rsidRPr="00A534F4" w:rsidRDefault="00A534F4" w:rsidP="00A534F4">
      <w:pPr>
        <w:keepNext/>
        <w:keepLines/>
        <w:widowControl/>
        <w:pBdr>
          <w:top w:val="single" w:sz="4" w:space="8" w:color="auto"/>
          <w:left w:val="single" w:sz="4" w:space="4" w:color="auto"/>
          <w:bottom w:val="single" w:sz="4" w:space="8" w:color="auto"/>
          <w:right w:val="single" w:sz="4" w:space="4" w:color="auto"/>
        </w:pBdr>
        <w:jc w:val="center"/>
      </w:pPr>
      <w:r w:rsidRPr="00A534F4">
        <w:t>Direction de la Logistique et des Moyens généraux</w:t>
      </w:r>
    </w:p>
    <w:p w14:paraId="015BAB27" w14:textId="77777777" w:rsidR="00A534F4" w:rsidRPr="00A534F4" w:rsidRDefault="00A534F4" w:rsidP="00A534F4">
      <w:pPr>
        <w:keepNext/>
        <w:keepLines/>
        <w:widowControl/>
        <w:pBdr>
          <w:top w:val="single" w:sz="4" w:space="8" w:color="auto"/>
          <w:left w:val="single" w:sz="4" w:space="4" w:color="auto"/>
          <w:bottom w:val="single" w:sz="4" w:space="8" w:color="auto"/>
          <w:right w:val="single" w:sz="4" w:space="4" w:color="auto"/>
        </w:pBdr>
        <w:jc w:val="center"/>
      </w:pPr>
      <w:r w:rsidRPr="00A534F4">
        <w:t>11, rue Servandoni</w:t>
      </w:r>
    </w:p>
    <w:p w14:paraId="34C1B788" w14:textId="77777777" w:rsidR="00A534F4" w:rsidRPr="00A534F4" w:rsidRDefault="00A534F4" w:rsidP="00A534F4">
      <w:pPr>
        <w:widowControl/>
        <w:pBdr>
          <w:top w:val="single" w:sz="4" w:space="8" w:color="auto"/>
          <w:left w:val="single" w:sz="4" w:space="4" w:color="auto"/>
          <w:bottom w:val="single" w:sz="4" w:space="8" w:color="auto"/>
          <w:right w:val="single" w:sz="4" w:space="4" w:color="auto"/>
        </w:pBdr>
        <w:jc w:val="center"/>
      </w:pPr>
      <w:r w:rsidRPr="00A534F4">
        <w:t>75006 PARIS</w:t>
      </w:r>
    </w:p>
    <w:p w14:paraId="06AAB760" w14:textId="77777777" w:rsidR="00A534F4" w:rsidRPr="00A534F4" w:rsidRDefault="00A534F4" w:rsidP="00A534F4">
      <w:pPr>
        <w:widowControl/>
        <w:pBdr>
          <w:top w:val="single" w:sz="4" w:space="8" w:color="auto"/>
          <w:left w:val="single" w:sz="4" w:space="4" w:color="auto"/>
          <w:bottom w:val="single" w:sz="4" w:space="8" w:color="auto"/>
          <w:right w:val="single" w:sz="4" w:space="4" w:color="auto"/>
        </w:pBdr>
        <w:jc w:val="center"/>
      </w:pPr>
      <w:proofErr w:type="gramStart"/>
      <w:r w:rsidRPr="00A534F4">
        <w:t>du</w:t>
      </w:r>
      <w:proofErr w:type="gramEnd"/>
      <w:r w:rsidRPr="00A534F4">
        <w:t xml:space="preserve"> lundi au vendredi de 9 heures à 12 heures et de 14 heures à 17 heures</w:t>
      </w:r>
    </w:p>
    <w:p w14:paraId="5E498A1E" w14:textId="77777777" w:rsidR="00A534F4" w:rsidRPr="00A534F4" w:rsidRDefault="00A534F4" w:rsidP="00A534F4">
      <w:pPr>
        <w:keepNext/>
        <w:keepLines/>
        <w:widowControl/>
        <w:spacing w:before="240" w:after="240"/>
        <w:jc w:val="both"/>
      </w:pPr>
      <w:proofErr w:type="gramStart"/>
      <w:r w:rsidRPr="00A534F4">
        <w:t>ou</w:t>
      </w:r>
      <w:proofErr w:type="gramEnd"/>
      <w:r w:rsidRPr="00A534F4">
        <w:t xml:space="preserve"> à l’adresse suivante, par courrier recommandé avec accusé de réception :</w:t>
      </w:r>
    </w:p>
    <w:p w14:paraId="464497D9" w14:textId="77777777" w:rsidR="00A534F4" w:rsidRPr="00A534F4" w:rsidRDefault="00A534F4" w:rsidP="00A534F4">
      <w:pPr>
        <w:keepNext/>
        <w:keepLines/>
        <w:widowControl/>
        <w:pBdr>
          <w:top w:val="single" w:sz="4" w:space="8" w:color="auto"/>
          <w:left w:val="single" w:sz="4" w:space="4" w:color="auto"/>
          <w:bottom w:val="single" w:sz="4" w:space="8" w:color="auto"/>
          <w:right w:val="single" w:sz="4" w:space="4" w:color="auto"/>
        </w:pBdr>
        <w:jc w:val="center"/>
      </w:pPr>
      <w:r w:rsidRPr="00A534F4">
        <w:t>Sénat</w:t>
      </w:r>
    </w:p>
    <w:p w14:paraId="5082340D" w14:textId="77777777" w:rsidR="00A534F4" w:rsidRPr="00A534F4" w:rsidRDefault="00A534F4" w:rsidP="00A534F4">
      <w:pPr>
        <w:keepNext/>
        <w:keepLines/>
        <w:widowControl/>
        <w:pBdr>
          <w:top w:val="single" w:sz="4" w:space="8" w:color="auto"/>
          <w:left w:val="single" w:sz="4" w:space="4" w:color="auto"/>
          <w:bottom w:val="single" w:sz="4" w:space="8" w:color="auto"/>
          <w:right w:val="single" w:sz="4" w:space="4" w:color="auto"/>
        </w:pBdr>
        <w:jc w:val="center"/>
      </w:pPr>
      <w:r w:rsidRPr="00A534F4">
        <w:t>Direction de la Logistique et des Moyens généraux</w:t>
      </w:r>
    </w:p>
    <w:p w14:paraId="2E13B6DB" w14:textId="77777777" w:rsidR="00A534F4" w:rsidRPr="00A534F4" w:rsidRDefault="00A534F4" w:rsidP="00A534F4">
      <w:pPr>
        <w:keepNext/>
        <w:keepLines/>
        <w:widowControl/>
        <w:pBdr>
          <w:top w:val="single" w:sz="4" w:space="8" w:color="auto"/>
          <w:left w:val="single" w:sz="4" w:space="4" w:color="auto"/>
          <w:bottom w:val="single" w:sz="4" w:space="8" w:color="auto"/>
          <w:right w:val="single" w:sz="4" w:space="4" w:color="auto"/>
        </w:pBdr>
        <w:jc w:val="center"/>
      </w:pPr>
      <w:r w:rsidRPr="00A534F4">
        <w:t>15, rue de Vaugirard</w:t>
      </w:r>
    </w:p>
    <w:p w14:paraId="455ACB1F" w14:textId="77777777" w:rsidR="00A534F4" w:rsidRPr="00A534F4" w:rsidRDefault="00A534F4" w:rsidP="00A534F4">
      <w:pPr>
        <w:keepNext/>
        <w:keepLines/>
        <w:widowControl/>
        <w:pBdr>
          <w:top w:val="single" w:sz="4" w:space="8" w:color="auto"/>
          <w:left w:val="single" w:sz="4" w:space="4" w:color="auto"/>
          <w:bottom w:val="single" w:sz="4" w:space="8" w:color="auto"/>
          <w:right w:val="single" w:sz="4" w:space="4" w:color="auto"/>
        </w:pBdr>
        <w:jc w:val="center"/>
      </w:pPr>
      <w:r w:rsidRPr="00A534F4">
        <w:t>75291 PARIS Cedex 06</w:t>
      </w:r>
    </w:p>
    <w:p w14:paraId="472F3CC0" w14:textId="77777777" w:rsidR="00A534F4" w:rsidRPr="00A534F4" w:rsidRDefault="00A534F4" w:rsidP="00A534F4">
      <w:pPr>
        <w:widowControl/>
        <w:autoSpaceDE w:val="0"/>
        <w:autoSpaceDN w:val="0"/>
        <w:adjustRightInd w:val="0"/>
        <w:jc w:val="both"/>
        <w:rPr>
          <w:rFonts w:ascii="Garamond" w:hAnsi="Garamond" w:cs="Garamond"/>
          <w:color w:val="000000"/>
        </w:rPr>
      </w:pPr>
    </w:p>
    <w:p w14:paraId="7A3A7F71" w14:textId="77777777" w:rsidR="00A534F4" w:rsidRPr="00A534F4" w:rsidRDefault="00A534F4" w:rsidP="00A534F4">
      <w:pPr>
        <w:widowControl/>
        <w:autoSpaceDE w:val="0"/>
        <w:autoSpaceDN w:val="0"/>
        <w:adjustRightInd w:val="0"/>
        <w:jc w:val="both"/>
        <w:rPr>
          <w:color w:val="000000"/>
        </w:rPr>
      </w:pPr>
      <w:r w:rsidRPr="00A534F4">
        <w:rPr>
          <w:color w:val="000000"/>
        </w:rPr>
        <w:t xml:space="preserve">Le candidat peut également remettre une copie de sauvegarde par voie électronique. </w:t>
      </w:r>
    </w:p>
    <w:p w14:paraId="31380F42" w14:textId="77777777" w:rsidR="00A534F4" w:rsidRPr="00A534F4" w:rsidRDefault="00A534F4" w:rsidP="00A534F4">
      <w:pPr>
        <w:widowControl/>
        <w:autoSpaceDE w:val="0"/>
        <w:autoSpaceDN w:val="0"/>
        <w:adjustRightInd w:val="0"/>
        <w:jc w:val="both"/>
        <w:rPr>
          <w:color w:val="000000"/>
        </w:rPr>
      </w:pPr>
    </w:p>
    <w:p w14:paraId="4EAE1E88" w14:textId="77777777" w:rsidR="00A534F4" w:rsidRPr="00A534F4" w:rsidRDefault="00A534F4" w:rsidP="00A534F4">
      <w:pPr>
        <w:widowControl/>
        <w:autoSpaceDE w:val="0"/>
        <w:autoSpaceDN w:val="0"/>
        <w:adjustRightInd w:val="0"/>
        <w:jc w:val="both"/>
        <w:rPr>
          <w:color w:val="222222"/>
        </w:rPr>
      </w:pPr>
      <w:r w:rsidRPr="00A534F4">
        <w:rPr>
          <w:color w:val="000000"/>
        </w:rPr>
        <w:lastRenderedPageBreak/>
        <w:t xml:space="preserve">Le cas échéant, cette copie de sauvegarde doit être </w:t>
      </w:r>
      <w:r w:rsidRPr="00A534F4">
        <w:rPr>
          <w:color w:val="222222"/>
        </w:rPr>
        <w:t>transmise au moyen d'outils et de dispositifs conformes aux exigences minimales des moyens de communication électronique prévus par les dispositions de l'arrêté du 22 mars 2019 relatif aux exigences minimales des moyens de communication électronique utilisés dans la commande publique (annexe 8 du code de la commande publique).</w:t>
      </w:r>
    </w:p>
    <w:p w14:paraId="08D63328" w14:textId="77777777" w:rsidR="00A534F4" w:rsidRPr="00A534F4" w:rsidRDefault="00A534F4" w:rsidP="00A534F4">
      <w:pPr>
        <w:widowControl/>
        <w:autoSpaceDE w:val="0"/>
        <w:autoSpaceDN w:val="0"/>
        <w:adjustRightInd w:val="0"/>
        <w:jc w:val="both"/>
        <w:rPr>
          <w:color w:val="000000"/>
        </w:rPr>
      </w:pPr>
    </w:p>
    <w:p w14:paraId="1C7540A7" w14:textId="77777777" w:rsidR="00A534F4" w:rsidRPr="00A534F4" w:rsidRDefault="00A534F4" w:rsidP="00A534F4">
      <w:pPr>
        <w:widowControl/>
        <w:autoSpaceDE w:val="0"/>
        <w:autoSpaceDN w:val="0"/>
        <w:adjustRightInd w:val="0"/>
        <w:jc w:val="both"/>
        <w:rPr>
          <w:color w:val="000000"/>
        </w:rPr>
      </w:pPr>
      <w:r w:rsidRPr="00A534F4">
        <w:rPr>
          <w:color w:val="000000"/>
        </w:rPr>
        <w:t>Quelle que soit la forme de la copie de sauvegarde, celle-ci devra parvenir au Sénat avant les dates et heures de remise des plis indiquées en page de garde.</w:t>
      </w:r>
    </w:p>
    <w:p w14:paraId="593E0635" w14:textId="77777777" w:rsidR="00A534F4" w:rsidRPr="00A534F4" w:rsidRDefault="00A534F4" w:rsidP="00A534F4">
      <w:pPr>
        <w:widowControl/>
        <w:spacing w:before="240"/>
        <w:jc w:val="both"/>
      </w:pPr>
      <w:r w:rsidRPr="00A534F4">
        <w:t xml:space="preserve">Conformément à l’article 2 de l’arrêté du 22 mars 2019 fixant les modalités de mise à disposition des documents de la consultation et de la copie de sauvegarde, la copie de sauvegarde ne sera ouverte que dans l’une ou l’autre des hypothèses suivantes : </w:t>
      </w:r>
    </w:p>
    <w:p w14:paraId="3B80FA4B" w14:textId="77777777" w:rsidR="00A534F4" w:rsidRPr="00A534F4" w:rsidRDefault="00A534F4" w:rsidP="00A534F4">
      <w:pPr>
        <w:widowControl/>
        <w:numPr>
          <w:ilvl w:val="0"/>
          <w:numId w:val="42"/>
        </w:numPr>
        <w:tabs>
          <w:tab w:val="left" w:pos="851"/>
        </w:tabs>
        <w:spacing w:before="120" w:after="160"/>
        <w:jc w:val="both"/>
      </w:pPr>
      <w:proofErr w:type="gramStart"/>
      <w:r w:rsidRPr="00A534F4">
        <w:t>un</w:t>
      </w:r>
      <w:proofErr w:type="gramEnd"/>
      <w:r w:rsidRPr="00A534F4">
        <w:t xml:space="preserve"> programme informatique malveillant est détecté dans le dossier électronique déposé sur la plate-forme de dématérialisation ; </w:t>
      </w:r>
    </w:p>
    <w:p w14:paraId="6A186D64" w14:textId="7706ECB9" w:rsidR="00FE416F" w:rsidRDefault="00A534F4" w:rsidP="00A534F4">
      <w:pPr>
        <w:widowControl/>
        <w:numPr>
          <w:ilvl w:val="0"/>
          <w:numId w:val="42"/>
        </w:numPr>
        <w:tabs>
          <w:tab w:val="left" w:pos="851"/>
        </w:tabs>
        <w:spacing w:before="120" w:after="160"/>
        <w:jc w:val="both"/>
      </w:pPr>
      <w:proofErr w:type="gramStart"/>
      <w:r w:rsidRPr="00A534F4">
        <w:rPr>
          <w:szCs w:val="20"/>
        </w:rPr>
        <w:t>l’offre</w:t>
      </w:r>
      <w:proofErr w:type="gramEnd"/>
      <w:r w:rsidRPr="00A534F4">
        <w:rPr>
          <w:szCs w:val="20"/>
        </w:rPr>
        <w:t xml:space="preserve"> électronique est réceptionnée de manière incomplète, hors délai, ou n’a pu être ouverte par l’acheteur, mais il existe des éléments tangibles indiquant que sa transmission a débuté avant la date limite de remise des plis</w:t>
      </w:r>
      <w:r w:rsidRPr="00A534F4">
        <w:t>.</w:t>
      </w:r>
    </w:p>
    <w:p w14:paraId="46297B4E" w14:textId="35C40AC4" w:rsidR="00CD2326" w:rsidRPr="00D639ED" w:rsidRDefault="00E02788" w:rsidP="00392240">
      <w:pPr>
        <w:pStyle w:val="DCETitre1"/>
        <w:keepNext w:val="0"/>
        <w:keepLines w:val="0"/>
        <w:widowControl w:val="0"/>
        <w:rPr>
          <w:b w:val="0"/>
        </w:rPr>
      </w:pPr>
      <w:bookmarkStart w:id="173" w:name="_Toc362432818"/>
      <w:bookmarkStart w:id="174" w:name="_Toc362546731"/>
      <w:bookmarkStart w:id="175" w:name="_Toc412818164"/>
      <w:bookmarkStart w:id="176" w:name="_Toc208997899"/>
      <w:r>
        <w:rPr>
          <w:b w:val="0"/>
        </w:rPr>
        <w:t>S</w:t>
      </w:r>
      <w:r w:rsidR="008537A3" w:rsidRPr="00D639ED">
        <w:rPr>
          <w:rFonts w:hint="eastAsia"/>
          <w:b w:val="0"/>
        </w:rPr>
        <w:t>é</w:t>
      </w:r>
      <w:r w:rsidR="008537A3" w:rsidRPr="00D639ED">
        <w:rPr>
          <w:b w:val="0"/>
        </w:rPr>
        <w:t>lection des candidatures et jugement des offres</w:t>
      </w:r>
      <w:bookmarkEnd w:id="173"/>
      <w:bookmarkEnd w:id="174"/>
      <w:bookmarkEnd w:id="175"/>
      <w:bookmarkEnd w:id="176"/>
    </w:p>
    <w:p w14:paraId="406C4158" w14:textId="28651E1B" w:rsidR="0032638A" w:rsidRPr="008537A3" w:rsidRDefault="003D3ABA" w:rsidP="008537A3">
      <w:pPr>
        <w:pStyle w:val="DCETitre2"/>
      </w:pPr>
      <w:bookmarkStart w:id="177" w:name="_Toc412818165"/>
      <w:r>
        <w:t xml:space="preserve"> </w:t>
      </w:r>
      <w:bookmarkStart w:id="178" w:name="_Toc208997900"/>
      <w:r w:rsidR="003104F8">
        <w:t>Examen</w:t>
      </w:r>
      <w:r w:rsidR="0032638A" w:rsidRPr="008537A3">
        <w:t xml:space="preserve"> des candidatures</w:t>
      </w:r>
      <w:bookmarkEnd w:id="177"/>
      <w:bookmarkEnd w:id="178"/>
    </w:p>
    <w:p w14:paraId="141396ED" w14:textId="354155B0" w:rsidR="00D86B49" w:rsidRDefault="003104F8" w:rsidP="00A56406">
      <w:pPr>
        <w:pStyle w:val="DCECorpsdetexte"/>
        <w:ind w:firstLine="0"/>
      </w:pPr>
      <w:r>
        <w:t>L’examen</w:t>
      </w:r>
      <w:r w:rsidR="00D86B49" w:rsidRPr="0067052A">
        <w:t xml:space="preserve"> des candidatures est réalisé dans les conditions prévues aux articles R.</w:t>
      </w:r>
      <w:r w:rsidR="00D86B49">
        <w:t> 3123</w:t>
      </w:r>
      <w:r w:rsidR="00D86B49">
        <w:noBreakHyphen/>
        <w:t>20</w:t>
      </w:r>
      <w:r w:rsidR="00D86B49" w:rsidRPr="0067052A">
        <w:t xml:space="preserve"> </w:t>
      </w:r>
      <w:r w:rsidR="00D86B49">
        <w:t>et</w:t>
      </w:r>
      <w:r w:rsidR="00D86B49" w:rsidRPr="0067052A">
        <w:t xml:space="preserve"> R.</w:t>
      </w:r>
      <w:r w:rsidR="00D86B49">
        <w:t> 3123-21</w:t>
      </w:r>
      <w:r w:rsidR="00D86B49" w:rsidRPr="0067052A">
        <w:t xml:space="preserve"> du code de la commande publique. </w:t>
      </w:r>
      <w:r>
        <w:t>Il comprend l’examen</w:t>
      </w:r>
      <w:r w:rsidR="00D86B49" w:rsidRPr="0067052A">
        <w:t xml:space="preserve"> des garanties et capacités professionnelles, techniques et financières des candidats</w:t>
      </w:r>
      <w:r w:rsidR="005C516B">
        <w:t>.</w:t>
      </w:r>
    </w:p>
    <w:p w14:paraId="4E91C04A" w14:textId="77777777" w:rsidR="0032638A" w:rsidRPr="008537A3" w:rsidRDefault="003D3ABA" w:rsidP="008537A3">
      <w:pPr>
        <w:pStyle w:val="DCETitre2"/>
      </w:pPr>
      <w:bookmarkStart w:id="179" w:name="_Toc412818166"/>
      <w:r>
        <w:t xml:space="preserve"> </w:t>
      </w:r>
      <w:bookmarkStart w:id="180" w:name="_Toc208997901"/>
      <w:r w:rsidR="0032638A" w:rsidRPr="008537A3">
        <w:t>Jugement des offres</w:t>
      </w:r>
      <w:bookmarkEnd w:id="179"/>
      <w:bookmarkEnd w:id="180"/>
    </w:p>
    <w:p w14:paraId="488AA795" w14:textId="77777777" w:rsidR="00A73AE2" w:rsidRDefault="00A73AE2" w:rsidP="005C516B">
      <w:pPr>
        <w:spacing w:after="240"/>
        <w:jc w:val="both"/>
      </w:pPr>
      <w:r w:rsidRPr="00826AC2">
        <w:t>Le jugement des offres sera réalisé dans les conditions prévues aux articles R</w:t>
      </w:r>
      <w:r>
        <w:t>. 3124-4 </w:t>
      </w:r>
      <w:r w:rsidRPr="00826AC2">
        <w:t>à R</w:t>
      </w:r>
      <w:r>
        <w:t>. 3124-6</w:t>
      </w:r>
      <w:r w:rsidRPr="00826AC2">
        <w:t xml:space="preserve"> du code de la commande publique</w:t>
      </w:r>
      <w:r w:rsidR="005C516B">
        <w:t>.</w:t>
      </w:r>
    </w:p>
    <w:p w14:paraId="0A4BCAA9" w14:textId="09980B7E" w:rsidR="005C4E83" w:rsidRDefault="005C516B" w:rsidP="005C516B">
      <w:pPr>
        <w:spacing w:after="240"/>
        <w:jc w:val="both"/>
      </w:pPr>
      <w:r>
        <w:t xml:space="preserve">Les critères </w:t>
      </w:r>
      <w:r w:rsidR="00016FF4">
        <w:t>de</w:t>
      </w:r>
      <w:r w:rsidR="00BD360D">
        <w:t xml:space="preserve"> jugement des offres sont</w:t>
      </w:r>
      <w:r w:rsidR="00016FF4">
        <w:t xml:space="preserve"> les suivants</w:t>
      </w:r>
      <w:r>
        <w:t xml:space="preserve"> </w:t>
      </w:r>
      <w:r w:rsidR="00BD360D">
        <w:t>:</w:t>
      </w:r>
    </w:p>
    <w:tbl>
      <w:tblPr>
        <w:tblStyle w:val="Grilledutableau"/>
        <w:tblW w:w="5000" w:type="pct"/>
        <w:tblLook w:val="04A0" w:firstRow="1" w:lastRow="0" w:firstColumn="1" w:lastColumn="0" w:noHBand="0" w:noVBand="1"/>
      </w:tblPr>
      <w:tblGrid>
        <w:gridCol w:w="2309"/>
        <w:gridCol w:w="5617"/>
        <w:gridCol w:w="851"/>
      </w:tblGrid>
      <w:tr w:rsidR="00873F25" w:rsidRPr="00873F25" w14:paraId="23FA0840" w14:textId="77777777" w:rsidTr="00873F25">
        <w:tc>
          <w:tcPr>
            <w:tcW w:w="1315" w:type="pct"/>
            <w:vAlign w:val="center"/>
          </w:tcPr>
          <w:p w14:paraId="24E017B9" w14:textId="77777777" w:rsidR="00873F25" w:rsidRPr="00873F25" w:rsidRDefault="00873F25" w:rsidP="00873F25">
            <w:pPr>
              <w:spacing w:before="120" w:after="120"/>
              <w:jc w:val="center"/>
              <w:rPr>
                <w:rFonts w:ascii="Times New Roman" w:hAnsi="Times New Roman" w:cs="Times New Roman"/>
                <w:b/>
                <w:bCs/>
                <w:szCs w:val="32"/>
              </w:rPr>
            </w:pPr>
            <w:r w:rsidRPr="00873F25">
              <w:rPr>
                <w:rFonts w:ascii="Times New Roman" w:hAnsi="Times New Roman" w:cs="Times New Roman"/>
                <w:b/>
                <w:bCs/>
                <w:szCs w:val="32"/>
              </w:rPr>
              <w:t>Critère</w:t>
            </w:r>
          </w:p>
        </w:tc>
        <w:tc>
          <w:tcPr>
            <w:tcW w:w="3200" w:type="pct"/>
            <w:vAlign w:val="center"/>
          </w:tcPr>
          <w:p w14:paraId="43FACFED" w14:textId="3A8B2524" w:rsidR="00873F25" w:rsidRPr="00873F25" w:rsidRDefault="00873F25" w:rsidP="00873F25">
            <w:pPr>
              <w:spacing w:before="120" w:after="120"/>
              <w:jc w:val="center"/>
              <w:rPr>
                <w:rFonts w:ascii="Times New Roman" w:hAnsi="Times New Roman" w:cs="Times New Roman"/>
                <w:b/>
                <w:bCs/>
                <w:szCs w:val="32"/>
              </w:rPr>
            </w:pPr>
            <w:r w:rsidRPr="00873F25">
              <w:rPr>
                <w:rFonts w:ascii="Times New Roman" w:hAnsi="Times New Roman" w:cs="Times New Roman"/>
                <w:b/>
                <w:bCs/>
                <w:szCs w:val="32"/>
              </w:rPr>
              <w:t>Éléments d’appréciation</w:t>
            </w:r>
          </w:p>
        </w:tc>
        <w:tc>
          <w:tcPr>
            <w:tcW w:w="485" w:type="pct"/>
            <w:vAlign w:val="center"/>
          </w:tcPr>
          <w:p w14:paraId="08078806" w14:textId="77777777" w:rsidR="00873F25" w:rsidRPr="00873F25" w:rsidRDefault="00873F25" w:rsidP="00873F25">
            <w:pPr>
              <w:spacing w:before="120" w:after="120"/>
              <w:jc w:val="center"/>
              <w:rPr>
                <w:rFonts w:ascii="Times New Roman" w:hAnsi="Times New Roman" w:cs="Times New Roman"/>
                <w:b/>
                <w:bCs/>
                <w:szCs w:val="32"/>
              </w:rPr>
            </w:pPr>
            <w:r w:rsidRPr="00873F25">
              <w:rPr>
                <w:rFonts w:ascii="Times New Roman" w:hAnsi="Times New Roman" w:cs="Times New Roman"/>
                <w:b/>
                <w:bCs/>
                <w:szCs w:val="32"/>
              </w:rPr>
              <w:t>%</w:t>
            </w:r>
          </w:p>
        </w:tc>
      </w:tr>
      <w:tr w:rsidR="00873F25" w:rsidRPr="00873F25" w14:paraId="4B056D29" w14:textId="77777777" w:rsidTr="00873F25">
        <w:tc>
          <w:tcPr>
            <w:tcW w:w="1315" w:type="pct"/>
            <w:vAlign w:val="center"/>
          </w:tcPr>
          <w:p w14:paraId="4A1B5052" w14:textId="77777777" w:rsidR="00873F25" w:rsidRPr="00873F25" w:rsidRDefault="00873F25" w:rsidP="00873F25">
            <w:pPr>
              <w:spacing w:before="120" w:after="120"/>
              <w:rPr>
                <w:rFonts w:ascii="Times New Roman" w:hAnsi="Times New Roman" w:cs="Times New Roman"/>
                <w:b/>
                <w:bCs/>
                <w:szCs w:val="32"/>
              </w:rPr>
            </w:pPr>
            <w:r w:rsidRPr="00873F25">
              <w:rPr>
                <w:rFonts w:ascii="Times New Roman" w:hAnsi="Times New Roman" w:cs="Times New Roman"/>
                <w:b/>
                <w:bCs/>
                <w:szCs w:val="32"/>
              </w:rPr>
              <w:t>Qualité des produits</w:t>
            </w:r>
          </w:p>
        </w:tc>
        <w:tc>
          <w:tcPr>
            <w:tcW w:w="3200" w:type="pct"/>
            <w:vAlign w:val="center"/>
          </w:tcPr>
          <w:p w14:paraId="14E54829" w14:textId="77777777" w:rsidR="00873F25" w:rsidRPr="00873F25" w:rsidRDefault="00873F25" w:rsidP="00873F25">
            <w:pPr>
              <w:spacing w:before="120" w:after="120"/>
              <w:rPr>
                <w:rFonts w:ascii="Times New Roman" w:hAnsi="Times New Roman" w:cs="Times New Roman"/>
                <w:szCs w:val="32"/>
              </w:rPr>
            </w:pPr>
            <w:r w:rsidRPr="00873F25">
              <w:rPr>
                <w:rFonts w:ascii="Times New Roman" w:hAnsi="Times New Roman" w:cs="Times New Roman"/>
                <w:szCs w:val="32"/>
              </w:rPr>
              <w:t>- originalité des objets logotés Sénat</w:t>
            </w:r>
          </w:p>
          <w:p w14:paraId="3B0E15BA" w14:textId="77777777" w:rsidR="00873F25" w:rsidRPr="00873F25" w:rsidRDefault="00873F25" w:rsidP="00873F25">
            <w:pPr>
              <w:spacing w:before="120" w:after="120"/>
              <w:rPr>
                <w:rFonts w:ascii="Times New Roman" w:hAnsi="Times New Roman" w:cs="Times New Roman"/>
                <w:szCs w:val="32"/>
              </w:rPr>
            </w:pPr>
            <w:r w:rsidRPr="00873F25">
              <w:rPr>
                <w:rFonts w:ascii="Times New Roman" w:hAnsi="Times New Roman" w:cs="Times New Roman"/>
                <w:szCs w:val="32"/>
              </w:rPr>
              <w:t>- originalité des produits de la marque du candidat</w:t>
            </w:r>
          </w:p>
          <w:p w14:paraId="26644954" w14:textId="5E335CB5" w:rsidR="00873F25" w:rsidRPr="00873F25" w:rsidRDefault="00873F25" w:rsidP="00873F25">
            <w:pPr>
              <w:spacing w:before="120" w:after="120"/>
              <w:rPr>
                <w:rFonts w:ascii="Times New Roman" w:hAnsi="Times New Roman" w:cs="Times New Roman"/>
                <w:szCs w:val="32"/>
              </w:rPr>
            </w:pPr>
            <w:r w:rsidRPr="00873F25">
              <w:rPr>
                <w:rFonts w:ascii="Times New Roman" w:hAnsi="Times New Roman" w:cs="Times New Roman"/>
                <w:szCs w:val="32"/>
              </w:rPr>
              <w:t xml:space="preserve">- </w:t>
            </w:r>
            <w:r>
              <w:rPr>
                <w:rFonts w:ascii="Times New Roman" w:hAnsi="Times New Roman" w:cs="Times New Roman"/>
                <w:szCs w:val="32"/>
              </w:rPr>
              <w:t>niveau des prix et modalités de leur évolution</w:t>
            </w:r>
          </w:p>
          <w:p w14:paraId="705DDD4D" w14:textId="77777777" w:rsidR="00873F25" w:rsidRPr="00873F25" w:rsidRDefault="00873F25" w:rsidP="00873F25">
            <w:pPr>
              <w:spacing w:before="120" w:after="120"/>
              <w:rPr>
                <w:rFonts w:ascii="Times New Roman" w:hAnsi="Times New Roman" w:cs="Times New Roman"/>
                <w:szCs w:val="32"/>
              </w:rPr>
            </w:pPr>
            <w:r w:rsidRPr="00873F25">
              <w:rPr>
                <w:rFonts w:ascii="Times New Roman" w:hAnsi="Times New Roman" w:cs="Times New Roman"/>
                <w:szCs w:val="32"/>
              </w:rPr>
              <w:t>- intérêt du « kit » du sénateur proposé</w:t>
            </w:r>
          </w:p>
          <w:p w14:paraId="5BFFBF3E" w14:textId="049FD9FA" w:rsidR="00873F25" w:rsidRPr="00873F25" w:rsidRDefault="00873F25" w:rsidP="00873F25">
            <w:pPr>
              <w:spacing w:before="120" w:after="120"/>
              <w:rPr>
                <w:rFonts w:ascii="Times New Roman" w:hAnsi="Times New Roman" w:cs="Times New Roman"/>
                <w:szCs w:val="32"/>
              </w:rPr>
            </w:pPr>
            <w:r w:rsidRPr="00873F25">
              <w:rPr>
                <w:rFonts w:ascii="Times New Roman" w:hAnsi="Times New Roman" w:cs="Times New Roman"/>
                <w:szCs w:val="32"/>
              </w:rPr>
              <w:t>- </w:t>
            </w:r>
            <w:r w:rsidR="0040142A">
              <w:rPr>
                <w:rFonts w:ascii="Times New Roman" w:hAnsi="Times New Roman" w:cs="Times New Roman"/>
                <w:szCs w:val="32"/>
              </w:rPr>
              <w:t>diversité de l’origine géographique des produits</w:t>
            </w:r>
          </w:p>
        </w:tc>
        <w:tc>
          <w:tcPr>
            <w:tcW w:w="485" w:type="pct"/>
            <w:vAlign w:val="center"/>
          </w:tcPr>
          <w:p w14:paraId="7D58997E" w14:textId="77777777" w:rsidR="00873F25" w:rsidRPr="00873F25" w:rsidRDefault="00873F25" w:rsidP="00873F25">
            <w:pPr>
              <w:spacing w:before="120" w:after="120"/>
              <w:jc w:val="center"/>
              <w:rPr>
                <w:rFonts w:ascii="Times New Roman" w:hAnsi="Times New Roman" w:cs="Times New Roman"/>
                <w:szCs w:val="32"/>
              </w:rPr>
            </w:pPr>
            <w:r w:rsidRPr="00873F25">
              <w:rPr>
                <w:rFonts w:ascii="Times New Roman" w:hAnsi="Times New Roman" w:cs="Times New Roman"/>
                <w:szCs w:val="32"/>
              </w:rPr>
              <w:t>45 %</w:t>
            </w:r>
          </w:p>
        </w:tc>
      </w:tr>
      <w:tr w:rsidR="00873F25" w:rsidRPr="00873F25" w14:paraId="7A9AD188" w14:textId="77777777" w:rsidTr="00873F25">
        <w:tc>
          <w:tcPr>
            <w:tcW w:w="1315" w:type="pct"/>
            <w:vAlign w:val="center"/>
          </w:tcPr>
          <w:p w14:paraId="2A39976F" w14:textId="77777777" w:rsidR="00873F25" w:rsidRPr="00873F25" w:rsidRDefault="00873F25" w:rsidP="00873F25">
            <w:pPr>
              <w:spacing w:before="120" w:after="120"/>
              <w:rPr>
                <w:rFonts w:ascii="Times New Roman" w:hAnsi="Times New Roman" w:cs="Times New Roman"/>
                <w:b/>
                <w:bCs/>
                <w:szCs w:val="32"/>
              </w:rPr>
            </w:pPr>
            <w:r w:rsidRPr="00873F25">
              <w:rPr>
                <w:rFonts w:ascii="Times New Roman" w:hAnsi="Times New Roman" w:cs="Times New Roman"/>
                <w:b/>
                <w:bCs/>
                <w:szCs w:val="32"/>
              </w:rPr>
              <w:t>Empreinte écologique</w:t>
            </w:r>
          </w:p>
        </w:tc>
        <w:tc>
          <w:tcPr>
            <w:tcW w:w="3200" w:type="pct"/>
            <w:vAlign w:val="center"/>
          </w:tcPr>
          <w:p w14:paraId="7E73597C" w14:textId="77777777" w:rsidR="00873F25" w:rsidRPr="00873F25" w:rsidRDefault="00873F25" w:rsidP="00873F25">
            <w:pPr>
              <w:spacing w:before="120" w:after="120"/>
              <w:rPr>
                <w:rFonts w:ascii="Times New Roman" w:hAnsi="Times New Roman" w:cs="Times New Roman"/>
                <w:szCs w:val="32"/>
              </w:rPr>
            </w:pPr>
            <w:r w:rsidRPr="00873F25">
              <w:rPr>
                <w:rFonts w:ascii="Times New Roman" w:hAnsi="Times New Roman" w:cs="Times New Roman"/>
                <w:szCs w:val="32"/>
              </w:rPr>
              <w:t>- conditions de distribution des produits du catalogue (conditionnement, mode de livraison et compatibilité avec l’objectif de réduction des déchets plastique)</w:t>
            </w:r>
          </w:p>
        </w:tc>
        <w:tc>
          <w:tcPr>
            <w:tcW w:w="485" w:type="pct"/>
            <w:vAlign w:val="center"/>
          </w:tcPr>
          <w:p w14:paraId="2A3CD3EC" w14:textId="77777777" w:rsidR="00873F25" w:rsidRPr="00873F25" w:rsidRDefault="00873F25" w:rsidP="00873F25">
            <w:pPr>
              <w:spacing w:before="120" w:after="120"/>
              <w:jc w:val="center"/>
              <w:rPr>
                <w:rFonts w:ascii="Times New Roman" w:hAnsi="Times New Roman" w:cs="Times New Roman"/>
                <w:szCs w:val="32"/>
              </w:rPr>
            </w:pPr>
            <w:r w:rsidRPr="00873F25">
              <w:rPr>
                <w:rFonts w:ascii="Times New Roman" w:hAnsi="Times New Roman" w:cs="Times New Roman"/>
                <w:szCs w:val="32"/>
              </w:rPr>
              <w:t>10 %</w:t>
            </w:r>
          </w:p>
        </w:tc>
      </w:tr>
      <w:tr w:rsidR="00873F25" w:rsidRPr="00873F25" w14:paraId="180E99BA" w14:textId="77777777" w:rsidTr="00873F25">
        <w:tc>
          <w:tcPr>
            <w:tcW w:w="1315" w:type="pct"/>
            <w:vAlign w:val="center"/>
          </w:tcPr>
          <w:p w14:paraId="20655594" w14:textId="77777777" w:rsidR="00873F25" w:rsidRPr="00873F25" w:rsidRDefault="00873F25" w:rsidP="00873F25">
            <w:pPr>
              <w:spacing w:before="120" w:after="120"/>
              <w:rPr>
                <w:rFonts w:ascii="Times New Roman" w:hAnsi="Times New Roman" w:cs="Times New Roman"/>
                <w:b/>
                <w:bCs/>
                <w:szCs w:val="32"/>
              </w:rPr>
            </w:pPr>
            <w:r w:rsidRPr="00873F25">
              <w:rPr>
                <w:rFonts w:ascii="Times New Roman" w:hAnsi="Times New Roman" w:cs="Times New Roman"/>
                <w:b/>
                <w:bCs/>
                <w:szCs w:val="32"/>
              </w:rPr>
              <w:t xml:space="preserve">Communication et animation de la </w:t>
            </w:r>
            <w:r w:rsidRPr="00873F25">
              <w:rPr>
                <w:rFonts w:ascii="Times New Roman" w:hAnsi="Times New Roman" w:cs="Times New Roman"/>
                <w:b/>
                <w:bCs/>
                <w:szCs w:val="32"/>
              </w:rPr>
              <w:lastRenderedPageBreak/>
              <w:t>boutique en ligne</w:t>
            </w:r>
          </w:p>
        </w:tc>
        <w:tc>
          <w:tcPr>
            <w:tcW w:w="3200" w:type="pct"/>
            <w:vAlign w:val="center"/>
          </w:tcPr>
          <w:p w14:paraId="6A90DC50" w14:textId="245386A2" w:rsidR="00873F25" w:rsidRPr="00873F25" w:rsidRDefault="00873F25" w:rsidP="00873F25">
            <w:pPr>
              <w:spacing w:before="120" w:after="120"/>
              <w:rPr>
                <w:rFonts w:ascii="Times New Roman" w:hAnsi="Times New Roman" w:cs="Times New Roman"/>
                <w:szCs w:val="32"/>
              </w:rPr>
            </w:pPr>
            <w:r w:rsidRPr="00873F25">
              <w:rPr>
                <w:rFonts w:ascii="Times New Roman" w:hAnsi="Times New Roman" w:cs="Times New Roman"/>
                <w:szCs w:val="32"/>
              </w:rPr>
              <w:lastRenderedPageBreak/>
              <w:t xml:space="preserve">- stratégie de communication comprenant les horaires d’ouverture, l’organisation matérielle </w:t>
            </w:r>
            <w:r w:rsidR="00C40A13">
              <w:rPr>
                <w:rFonts w:ascii="Times New Roman" w:hAnsi="Times New Roman" w:cs="Times New Roman"/>
                <w:szCs w:val="32"/>
              </w:rPr>
              <w:t xml:space="preserve">et humaine </w:t>
            </w:r>
            <w:r w:rsidRPr="00873F25">
              <w:rPr>
                <w:rFonts w:ascii="Times New Roman" w:hAnsi="Times New Roman" w:cs="Times New Roman"/>
                <w:szCs w:val="32"/>
              </w:rPr>
              <w:t xml:space="preserve">du </w:t>
            </w:r>
            <w:r w:rsidRPr="00873F25">
              <w:rPr>
                <w:rFonts w:ascii="Times New Roman" w:hAnsi="Times New Roman" w:cs="Times New Roman"/>
                <w:szCs w:val="32"/>
              </w:rPr>
              <w:lastRenderedPageBreak/>
              <w:t>Comptoir selon les contraintes de la convention et les actions de communication visant les publics de la boutique</w:t>
            </w:r>
            <w:r w:rsidR="003104F8">
              <w:rPr>
                <w:rFonts w:ascii="Times New Roman" w:hAnsi="Times New Roman" w:cs="Times New Roman"/>
                <w:szCs w:val="32"/>
              </w:rPr>
              <w:t xml:space="preserve"> physique</w:t>
            </w:r>
          </w:p>
          <w:p w14:paraId="5260E930" w14:textId="77777777" w:rsidR="00873F25" w:rsidRPr="00873F25" w:rsidRDefault="00873F25" w:rsidP="00873F25">
            <w:pPr>
              <w:spacing w:before="120" w:after="120"/>
              <w:rPr>
                <w:rFonts w:ascii="Times New Roman" w:hAnsi="Times New Roman" w:cs="Times New Roman"/>
                <w:szCs w:val="32"/>
              </w:rPr>
            </w:pPr>
            <w:r w:rsidRPr="00873F25">
              <w:rPr>
                <w:rFonts w:ascii="Times New Roman" w:hAnsi="Times New Roman" w:cs="Times New Roman"/>
                <w:szCs w:val="32"/>
              </w:rPr>
              <w:t>- stratégie de déploiement de la boutique en ligne (calendrier, objectifs, effectifs dédiés, communication)</w:t>
            </w:r>
          </w:p>
          <w:p w14:paraId="6ADEC781" w14:textId="77777777" w:rsidR="00873F25" w:rsidRPr="00873F25" w:rsidRDefault="00873F25" w:rsidP="00873F25">
            <w:pPr>
              <w:spacing w:before="120" w:after="120"/>
              <w:rPr>
                <w:rFonts w:ascii="Times New Roman" w:hAnsi="Times New Roman" w:cs="Times New Roman"/>
                <w:szCs w:val="32"/>
              </w:rPr>
            </w:pPr>
            <w:r w:rsidRPr="00873F25">
              <w:rPr>
                <w:rFonts w:ascii="Times New Roman" w:hAnsi="Times New Roman" w:cs="Times New Roman"/>
                <w:szCs w:val="32"/>
              </w:rPr>
              <w:t>- qualité de la maquette initiale du site internet</w:t>
            </w:r>
          </w:p>
        </w:tc>
        <w:tc>
          <w:tcPr>
            <w:tcW w:w="485" w:type="pct"/>
            <w:vAlign w:val="center"/>
          </w:tcPr>
          <w:p w14:paraId="7F987D5F" w14:textId="77777777" w:rsidR="00873F25" w:rsidRPr="00873F25" w:rsidRDefault="00873F25" w:rsidP="00873F25">
            <w:pPr>
              <w:spacing w:before="120" w:after="120"/>
              <w:jc w:val="center"/>
              <w:rPr>
                <w:rFonts w:ascii="Times New Roman" w:hAnsi="Times New Roman" w:cs="Times New Roman"/>
                <w:szCs w:val="32"/>
              </w:rPr>
            </w:pPr>
            <w:r w:rsidRPr="00873F25">
              <w:rPr>
                <w:rFonts w:ascii="Times New Roman" w:hAnsi="Times New Roman" w:cs="Times New Roman"/>
                <w:szCs w:val="32"/>
              </w:rPr>
              <w:lastRenderedPageBreak/>
              <w:t>15 %</w:t>
            </w:r>
          </w:p>
        </w:tc>
      </w:tr>
      <w:tr w:rsidR="00873F25" w:rsidRPr="00873F25" w14:paraId="4829420F" w14:textId="77777777" w:rsidTr="00873F25">
        <w:tc>
          <w:tcPr>
            <w:tcW w:w="1315" w:type="pct"/>
            <w:vAlign w:val="center"/>
          </w:tcPr>
          <w:p w14:paraId="032C43EC" w14:textId="77777777" w:rsidR="00873F25" w:rsidRPr="00873F25" w:rsidRDefault="00873F25" w:rsidP="00873F25">
            <w:pPr>
              <w:keepNext/>
              <w:keepLines/>
              <w:widowControl/>
              <w:spacing w:before="120" w:after="120"/>
              <w:rPr>
                <w:rFonts w:ascii="Times New Roman" w:hAnsi="Times New Roman" w:cs="Times New Roman"/>
                <w:b/>
                <w:bCs/>
                <w:szCs w:val="32"/>
              </w:rPr>
            </w:pPr>
            <w:r w:rsidRPr="00873F25">
              <w:rPr>
                <w:rFonts w:ascii="Times New Roman" w:hAnsi="Times New Roman" w:cs="Times New Roman"/>
                <w:b/>
                <w:bCs/>
                <w:szCs w:val="32"/>
              </w:rPr>
              <w:t>Intérêt financier de l’offre</w:t>
            </w:r>
          </w:p>
        </w:tc>
        <w:tc>
          <w:tcPr>
            <w:tcW w:w="3200" w:type="pct"/>
            <w:vAlign w:val="center"/>
          </w:tcPr>
          <w:p w14:paraId="543675EC" w14:textId="77777777" w:rsidR="00873F25" w:rsidRPr="00873F25" w:rsidRDefault="00873F25" w:rsidP="00873F25">
            <w:pPr>
              <w:keepNext/>
              <w:keepLines/>
              <w:widowControl/>
              <w:spacing w:before="120" w:after="120"/>
              <w:rPr>
                <w:rFonts w:ascii="Times New Roman" w:hAnsi="Times New Roman" w:cs="Times New Roman"/>
                <w:szCs w:val="32"/>
              </w:rPr>
            </w:pPr>
            <w:r w:rsidRPr="00873F25">
              <w:rPr>
                <w:rFonts w:ascii="Times New Roman" w:hAnsi="Times New Roman" w:cs="Times New Roman"/>
                <w:szCs w:val="32"/>
              </w:rPr>
              <w:t>- compte d’exploitation prévisionnel</w:t>
            </w:r>
          </w:p>
          <w:p w14:paraId="4856B9A0" w14:textId="77777777" w:rsidR="00873F25" w:rsidRPr="00873F25" w:rsidRDefault="00873F25" w:rsidP="00873F25">
            <w:pPr>
              <w:keepNext/>
              <w:keepLines/>
              <w:widowControl/>
              <w:spacing w:before="120" w:after="120"/>
              <w:rPr>
                <w:rFonts w:ascii="Times New Roman" w:hAnsi="Times New Roman" w:cs="Times New Roman"/>
                <w:szCs w:val="32"/>
              </w:rPr>
            </w:pPr>
            <w:r w:rsidRPr="00873F25">
              <w:rPr>
                <w:rFonts w:ascii="Times New Roman" w:hAnsi="Times New Roman" w:cs="Times New Roman"/>
                <w:szCs w:val="32"/>
              </w:rPr>
              <w:t>- taux de la redevance variable proposé sur le chiffre d’affaires hors taxe (hors ouvrages d’art)</w:t>
            </w:r>
          </w:p>
        </w:tc>
        <w:tc>
          <w:tcPr>
            <w:tcW w:w="485" w:type="pct"/>
            <w:vAlign w:val="center"/>
          </w:tcPr>
          <w:p w14:paraId="421C0644" w14:textId="77777777" w:rsidR="00873F25" w:rsidRPr="00873F25" w:rsidRDefault="00873F25" w:rsidP="00873F25">
            <w:pPr>
              <w:keepNext/>
              <w:keepLines/>
              <w:widowControl/>
              <w:spacing w:before="120" w:after="120"/>
              <w:jc w:val="center"/>
              <w:rPr>
                <w:rFonts w:ascii="Times New Roman" w:hAnsi="Times New Roman" w:cs="Times New Roman"/>
                <w:szCs w:val="32"/>
              </w:rPr>
            </w:pPr>
            <w:r w:rsidRPr="00873F25">
              <w:rPr>
                <w:rFonts w:ascii="Times New Roman" w:hAnsi="Times New Roman" w:cs="Times New Roman"/>
                <w:szCs w:val="32"/>
              </w:rPr>
              <w:t>30 %</w:t>
            </w:r>
          </w:p>
        </w:tc>
      </w:tr>
    </w:tbl>
    <w:p w14:paraId="1EBC6617" w14:textId="77777777" w:rsidR="00E36E8C" w:rsidRPr="00550C05" w:rsidRDefault="00E36E8C" w:rsidP="00E36E8C">
      <w:pPr>
        <w:pStyle w:val="RapTexte"/>
        <w:spacing w:after="0"/>
      </w:pPr>
    </w:p>
    <w:p w14:paraId="6E3B9F2A" w14:textId="5CDA476B" w:rsidR="00BB271C" w:rsidRDefault="00873F25" w:rsidP="00BB271C">
      <w:pPr>
        <w:pStyle w:val="DCETitre2"/>
      </w:pPr>
      <w:r>
        <w:t> </w:t>
      </w:r>
      <w:bookmarkStart w:id="181" w:name="_Toc208997902"/>
      <w:r w:rsidR="00BB271C">
        <w:t>Négociation</w:t>
      </w:r>
      <w:bookmarkEnd w:id="181"/>
    </w:p>
    <w:p w14:paraId="052E0779" w14:textId="2FB5646C" w:rsidR="003C67E7" w:rsidRDefault="00A73AE2" w:rsidP="0004474D">
      <w:pPr>
        <w:spacing w:after="240"/>
        <w:jc w:val="both"/>
      </w:pPr>
      <w:r>
        <w:t xml:space="preserve">Conformément </w:t>
      </w:r>
      <w:r w:rsidR="00D152ED">
        <w:t xml:space="preserve">aux </w:t>
      </w:r>
      <w:r>
        <w:t>article</w:t>
      </w:r>
      <w:r w:rsidR="00D152ED">
        <w:t>s L. 3121-1 et</w:t>
      </w:r>
      <w:r>
        <w:t xml:space="preserve"> R. 3124-1 du </w:t>
      </w:r>
      <w:r w:rsidR="0051198E">
        <w:t xml:space="preserve">code </w:t>
      </w:r>
      <w:r>
        <w:t>de la commande publique, l</w:t>
      </w:r>
      <w:r w:rsidR="001205D0">
        <w:t xml:space="preserve">e Sénat se réserve le droit de négocier avec </w:t>
      </w:r>
      <w:r w:rsidR="00873F25">
        <w:t>les trois</w:t>
      </w:r>
      <w:r w:rsidR="001205D0">
        <w:t xml:space="preserve"> candidats les mieux classés, qui pourront être auditionnés. </w:t>
      </w:r>
      <w:r w:rsidR="00BB271C">
        <w:t xml:space="preserve">Cette audition interviendra dans les locaux du Sénat ou en </w:t>
      </w:r>
      <w:proofErr w:type="spellStart"/>
      <w:r w:rsidR="00BB271C">
        <w:t>visio</w:t>
      </w:r>
      <w:proofErr w:type="spellEnd"/>
      <w:r w:rsidR="00BB271C">
        <w:t xml:space="preserve"> ou </w:t>
      </w:r>
      <w:proofErr w:type="spellStart"/>
      <w:r w:rsidR="00BB271C">
        <w:t>audio-conférence</w:t>
      </w:r>
      <w:proofErr w:type="spellEnd"/>
      <w:r w:rsidR="00BB271C">
        <w:t>. Le Sénat</w:t>
      </w:r>
      <w:r w:rsidR="003007D0">
        <w:t xml:space="preserve"> peut aussi</w:t>
      </w:r>
      <w:r w:rsidR="001205D0">
        <w:t xml:space="preserve"> attribuer </w:t>
      </w:r>
      <w:r>
        <w:t>la concession</w:t>
      </w:r>
      <w:r w:rsidR="001205D0">
        <w:t xml:space="preserve"> sur la base des offres initiales</w:t>
      </w:r>
      <w:r w:rsidR="00BB271C">
        <w:t>, sans négociation</w:t>
      </w:r>
      <w:r w:rsidR="006453E9">
        <w:t>.</w:t>
      </w:r>
    </w:p>
    <w:p w14:paraId="51E15B0A" w14:textId="77777777" w:rsidR="00EC4DA8" w:rsidRDefault="00ED6442" w:rsidP="0004474D">
      <w:pPr>
        <w:spacing w:after="240"/>
        <w:jc w:val="both"/>
      </w:pPr>
      <w:r>
        <w:br w:type="page"/>
      </w:r>
      <w:bookmarkStart w:id="182" w:name="_Toc231016269"/>
      <w:bookmarkStart w:id="183" w:name="_Toc236020500"/>
      <w:bookmarkStart w:id="184" w:name="_Toc242179504"/>
      <w:bookmarkStart w:id="185" w:name="_Toc263672953"/>
      <w:bookmarkStart w:id="186" w:name="_Toc265487467"/>
      <w:bookmarkStart w:id="187" w:name="_Toc286164089"/>
      <w:bookmarkStart w:id="188" w:name="_Toc286218484"/>
      <w:bookmarkStart w:id="189" w:name="_Toc286223021"/>
      <w:bookmarkStart w:id="190" w:name="_Toc286223156"/>
      <w:bookmarkStart w:id="191" w:name="_Toc286311666"/>
      <w:bookmarkStart w:id="192" w:name="_Toc286312637"/>
      <w:bookmarkStart w:id="193" w:name="_Toc356925700"/>
      <w:bookmarkStart w:id="194" w:name="_Toc357086877"/>
      <w:bookmarkStart w:id="195" w:name="_Toc358642186"/>
      <w:bookmarkStart w:id="196" w:name="_Toc358642761"/>
      <w:bookmarkStart w:id="197" w:name="_Toc358651390"/>
      <w:bookmarkStart w:id="198" w:name="_Toc360192530"/>
      <w:bookmarkStart w:id="199" w:name="_Toc361671827"/>
      <w:bookmarkStart w:id="200" w:name="_Toc361672985"/>
      <w:bookmarkStart w:id="201" w:name="_Toc476228497"/>
      <w:bookmarkEnd w:id="129"/>
      <w:bookmarkEnd w:id="130"/>
      <w:bookmarkEnd w:id="131"/>
      <w:bookmarkEnd w:id="132"/>
      <w:bookmarkEnd w:id="133"/>
      <w:bookmarkEnd w:id="134"/>
      <w:bookmarkEnd w:id="135"/>
    </w:p>
    <w:p w14:paraId="4D6E5D4F" w14:textId="77777777" w:rsidR="00EC4DA8" w:rsidRDefault="00EC4DA8" w:rsidP="00EC4DA8">
      <w:pPr>
        <w:pStyle w:val="DCEAnnexe"/>
      </w:pPr>
    </w:p>
    <w:p w14:paraId="1DFE6EE7" w14:textId="77777777" w:rsidR="00EC4DA8" w:rsidRDefault="00EC4DA8" w:rsidP="00EC4DA8">
      <w:pPr>
        <w:pStyle w:val="DCEAnnexe"/>
      </w:pPr>
      <w:bookmarkStart w:id="202" w:name="_Toc208997903"/>
      <w:r w:rsidRPr="00806508">
        <w:t>ANNEXE</w:t>
      </w:r>
      <w:r w:rsidRPr="00806508">
        <w:br/>
      </w:r>
      <w:r w:rsidRPr="00806508">
        <w:br/>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t>Déclaration sur l’honneur</w:t>
      </w:r>
      <w:r w:rsidRPr="005F5B6A">
        <w:rPr>
          <w:rStyle w:val="Appelnotedebasdep"/>
          <w:i/>
        </w:rPr>
        <w:footnoteReference w:id="4"/>
      </w:r>
      <w:bookmarkEnd w:id="202"/>
    </w:p>
    <w:p w14:paraId="44F1472B" w14:textId="77777777" w:rsidR="00EC4DA8" w:rsidRDefault="00EC4DA8" w:rsidP="00EC4DA8">
      <w:pPr>
        <w:spacing w:after="240"/>
        <w:ind w:left="425"/>
        <w:rPr>
          <w:sz w:val="22"/>
          <w:szCs w:val="22"/>
        </w:rPr>
      </w:pPr>
    </w:p>
    <w:p w14:paraId="77441FC0" w14:textId="77777777" w:rsidR="00EC4DA8" w:rsidRDefault="00EC4DA8" w:rsidP="00EC4DA8">
      <w:pPr>
        <w:spacing w:after="240"/>
        <w:ind w:left="425"/>
        <w:rPr>
          <w:sz w:val="22"/>
          <w:szCs w:val="22"/>
        </w:rPr>
      </w:pPr>
    </w:p>
    <w:p w14:paraId="0B82EE82" w14:textId="77777777" w:rsidR="00D576D2" w:rsidRDefault="00D576D2" w:rsidP="00EC4DA8">
      <w:pPr>
        <w:pStyle w:val="NormalWeb"/>
        <w:spacing w:after="360"/>
        <w:jc w:val="both"/>
      </w:pPr>
      <w:r w:rsidRPr="00F74340">
        <w:t>Je déclare sur l’honneur</w:t>
      </w:r>
      <w:r>
        <w:t> :</w:t>
      </w:r>
    </w:p>
    <w:p w14:paraId="3904981D" w14:textId="77777777" w:rsidR="00EC4DA8" w:rsidRPr="00D576D2" w:rsidRDefault="00D576D2" w:rsidP="00EC4DA8">
      <w:pPr>
        <w:pStyle w:val="NormalWeb"/>
        <w:spacing w:after="360"/>
        <w:jc w:val="both"/>
      </w:pPr>
      <w:proofErr w:type="gramStart"/>
      <w:r w:rsidRPr="00F74340">
        <w:t>n’entrer</w:t>
      </w:r>
      <w:proofErr w:type="gramEnd"/>
      <w:r w:rsidRPr="00F74340">
        <w:t xml:space="preserve"> dans aucun des cas d’interdiction de soumissionner prévus aux articles </w:t>
      </w:r>
      <w:r>
        <w:t>L.</w:t>
      </w:r>
      <w:r w:rsidR="00EB24A6">
        <w:t>3123</w:t>
      </w:r>
      <w:r>
        <w:t>-1 à L.</w:t>
      </w:r>
      <w:r w:rsidR="00EB24A6">
        <w:t>3123</w:t>
      </w:r>
      <w:r>
        <w:t>-5 et L.</w:t>
      </w:r>
      <w:r w:rsidR="00EB24A6">
        <w:t>3123</w:t>
      </w:r>
      <w:r>
        <w:t>-7 à L.</w:t>
      </w:r>
      <w:r w:rsidR="00EB24A6">
        <w:t>3123</w:t>
      </w:r>
      <w:r>
        <w:t>-</w:t>
      </w:r>
      <w:r w:rsidR="003A4A67">
        <w:t xml:space="preserve">10 </w:t>
      </w:r>
      <w:r>
        <w:t xml:space="preserve">du code de la commande publique </w:t>
      </w:r>
      <w:r w:rsidR="00EC4DA8" w:rsidRPr="00D576D2">
        <w:t>;</w:t>
      </w:r>
    </w:p>
    <w:p w14:paraId="004C74CB" w14:textId="77777777" w:rsidR="00EC4DA8" w:rsidRPr="00D576D2" w:rsidRDefault="00990859" w:rsidP="00EC4DA8">
      <w:pPr>
        <w:pStyle w:val="NormalWeb"/>
        <w:spacing w:after="360"/>
        <w:jc w:val="both"/>
      </w:pPr>
      <w:proofErr w:type="gramStart"/>
      <w:r>
        <w:t>ê</w:t>
      </w:r>
      <w:r w:rsidR="00EC4DA8" w:rsidRPr="00D576D2">
        <w:t>tre</w:t>
      </w:r>
      <w:proofErr w:type="gramEnd"/>
      <w:r w:rsidR="00EC4DA8" w:rsidRPr="00D576D2">
        <w:t xml:space="preserve"> en règle au regard des articles L. 5212</w:t>
      </w:r>
      <w:r w:rsidR="00EC4DA8" w:rsidRPr="00D576D2">
        <w:noBreakHyphen/>
        <w:t>1 à L. 5212</w:t>
      </w:r>
      <w:r w:rsidR="00EC4DA8" w:rsidRPr="00D576D2">
        <w:noBreakHyphen/>
        <w:t>11 du code du travail concernant l’emploi des travailleurs handicapés.</w:t>
      </w:r>
    </w:p>
    <w:p w14:paraId="10294493" w14:textId="77777777" w:rsidR="00EC4DA8" w:rsidRPr="003C4E65" w:rsidRDefault="00EC4DA8" w:rsidP="00EC4DA8">
      <w:pPr>
        <w:pStyle w:val="NormalWeb"/>
        <w:widowControl/>
        <w:suppressAutoHyphens/>
        <w:spacing w:after="360"/>
        <w:jc w:val="both"/>
      </w:pPr>
    </w:p>
    <w:p w14:paraId="1A38710E" w14:textId="77777777" w:rsidR="00EC4DA8" w:rsidRPr="00D576D2" w:rsidRDefault="00EC4DA8" w:rsidP="00EC4DA8">
      <w:pPr>
        <w:tabs>
          <w:tab w:val="left" w:pos="2694"/>
          <w:tab w:val="left" w:pos="3686"/>
        </w:tabs>
        <w:spacing w:before="240" w:after="240"/>
        <w:ind w:left="3686"/>
      </w:pPr>
      <w:r w:rsidRPr="00D576D2">
        <w:t xml:space="preserve">A                                    </w:t>
      </w:r>
      <w:proofErr w:type="gramStart"/>
      <w:r w:rsidRPr="00D576D2">
        <w:t xml:space="preserve">  ,</w:t>
      </w:r>
      <w:proofErr w:type="gramEnd"/>
      <w:r w:rsidRPr="00D576D2">
        <w:t xml:space="preserve"> le </w:t>
      </w:r>
    </w:p>
    <w:p w14:paraId="0255EA08" w14:textId="77777777" w:rsidR="00EC4DA8" w:rsidRPr="008D0EEB" w:rsidRDefault="00EC4DA8" w:rsidP="00EC4DA8">
      <w:pPr>
        <w:ind w:left="4395"/>
        <w:rPr>
          <w:vertAlign w:val="superscript"/>
        </w:rPr>
      </w:pPr>
      <w:r w:rsidRPr="00D576D2">
        <w:t>Nom et qualité du signataire</w:t>
      </w:r>
      <w:r w:rsidRPr="008D0EEB">
        <w:rPr>
          <w:vertAlign w:val="superscript"/>
        </w:rPr>
        <w:footnoteReference w:id="5"/>
      </w:r>
    </w:p>
    <w:p w14:paraId="34FFE691" w14:textId="77777777" w:rsidR="00EC4DA8" w:rsidRPr="003C4E65" w:rsidRDefault="00EC4DA8" w:rsidP="00EC4DA8">
      <w:pPr>
        <w:ind w:left="4395"/>
      </w:pPr>
    </w:p>
    <w:p w14:paraId="583D1469" w14:textId="77777777" w:rsidR="00EC4DA8" w:rsidRPr="00FC6BAD" w:rsidRDefault="00EC4DA8" w:rsidP="00EC4DA8">
      <w:pPr>
        <w:pStyle w:val="DCEAnnexe"/>
      </w:pPr>
    </w:p>
    <w:p w14:paraId="3A44EAF5" w14:textId="77777777" w:rsidR="007144CD" w:rsidRPr="003C4E65" w:rsidRDefault="007144CD" w:rsidP="00C4219A">
      <w:pPr>
        <w:pStyle w:val="DCEAnnexe"/>
      </w:pPr>
    </w:p>
    <w:p w14:paraId="00F67CE5" w14:textId="77777777" w:rsidR="007144CD" w:rsidRPr="003C4E65" w:rsidRDefault="007144CD" w:rsidP="007144CD"/>
    <w:sectPr w:rsidR="007144CD" w:rsidRPr="003C4E65" w:rsidSect="00D60227">
      <w:headerReference w:type="default" r:id="rId16"/>
      <w:footerReference w:type="even" r:id="rId17"/>
      <w:footerReference w:type="default" r:id="rId18"/>
      <w:footerReference w:type="first" r:id="rId19"/>
      <w:footnotePr>
        <w:numRestart w:val="eachPage"/>
      </w:footnotePr>
      <w:pgSz w:w="11906" w:h="16838" w:code="9"/>
      <w:pgMar w:top="1560"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7E4D9" w14:textId="77777777" w:rsidR="00D60227" w:rsidRDefault="00D60227">
      <w:r>
        <w:separator/>
      </w:r>
    </w:p>
    <w:p w14:paraId="0F73518B" w14:textId="77777777" w:rsidR="00D60227" w:rsidRDefault="00D60227"/>
    <w:p w14:paraId="560C0CDF" w14:textId="77777777" w:rsidR="00D60227" w:rsidRDefault="00D60227"/>
  </w:endnote>
  <w:endnote w:type="continuationSeparator" w:id="0">
    <w:p w14:paraId="4598AC80" w14:textId="77777777" w:rsidR="00D60227" w:rsidRDefault="00D60227">
      <w:r>
        <w:continuationSeparator/>
      </w:r>
    </w:p>
    <w:p w14:paraId="0D1E7D26" w14:textId="77777777" w:rsidR="00D60227" w:rsidRDefault="00D60227"/>
    <w:p w14:paraId="65B3DBB1" w14:textId="77777777" w:rsidR="00D60227" w:rsidRDefault="00D60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
    <w:panose1 w:val="02020803070505020304"/>
    <w:charset w:val="00"/>
    <w:family w:val="roman"/>
    <w:notTrueType/>
    <w:pitch w:val="default"/>
  </w:font>
  <w:font w:name="Bookman">
    <w:altName w:val="Bookman Old Style"/>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9611" w14:textId="77777777" w:rsidR="00D60227" w:rsidRDefault="00D60227" w:rsidP="00EC770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4CECC8AA" w14:textId="77777777" w:rsidR="00D60227" w:rsidRDefault="00D60227" w:rsidP="00EC770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E4C9" w14:textId="77777777" w:rsidR="00D60227" w:rsidRDefault="00D60227" w:rsidP="00E1201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8B6A48D" w14:textId="77777777" w:rsidR="00D60227" w:rsidRDefault="00D60227">
    <w:pPr>
      <w:pStyle w:val="Pieddepage"/>
    </w:pPr>
  </w:p>
  <w:p w14:paraId="01D36B2D" w14:textId="77777777" w:rsidR="00D60227" w:rsidRDefault="00D602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CAF6" w14:textId="77777777" w:rsidR="00D60227" w:rsidRPr="00392240" w:rsidRDefault="00D60227" w:rsidP="0039224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206E" w14:textId="77777777" w:rsidR="00D60227" w:rsidRPr="00003FBB" w:rsidRDefault="00D60227" w:rsidP="00003F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719E9" w14:textId="77777777" w:rsidR="00D60227" w:rsidRDefault="00D60227">
      <w:r>
        <w:separator/>
      </w:r>
    </w:p>
  </w:footnote>
  <w:footnote w:type="continuationSeparator" w:id="0">
    <w:p w14:paraId="3E767191" w14:textId="77777777" w:rsidR="00D60227" w:rsidRDefault="00D60227">
      <w:r>
        <w:continuationSeparator/>
      </w:r>
    </w:p>
  </w:footnote>
  <w:footnote w:id="1">
    <w:p w14:paraId="7C93C8ED" w14:textId="77777777" w:rsidR="00AB2F97" w:rsidRPr="00B344D8" w:rsidRDefault="00AB2F97" w:rsidP="00AB2F97">
      <w:pPr>
        <w:pStyle w:val="Notedebasdepage"/>
        <w:jc w:val="both"/>
        <w:rPr>
          <w:i/>
          <w:iCs/>
        </w:rPr>
      </w:pPr>
      <w:r>
        <w:rPr>
          <w:rStyle w:val="Appelnotedebasdep"/>
        </w:rPr>
        <w:footnoteRef/>
      </w:r>
      <w:r>
        <w:t xml:space="preserve"> </w:t>
      </w:r>
      <w:r w:rsidRPr="00B344D8">
        <w:rPr>
          <w:i/>
          <w:iCs/>
        </w:rPr>
        <w:t xml:space="preserve">Arrêté modifié par </w:t>
      </w:r>
      <w:r>
        <w:rPr>
          <w:i/>
          <w:iCs/>
        </w:rPr>
        <w:t>l’</w:t>
      </w:r>
      <w:r w:rsidRPr="00B344D8">
        <w:rPr>
          <w:i/>
          <w:iCs/>
        </w:rPr>
        <w:t>arrêté</w:t>
      </w:r>
      <w:r>
        <w:rPr>
          <w:i/>
          <w:iCs/>
        </w:rPr>
        <w:t xml:space="preserve"> de Questure</w:t>
      </w:r>
      <w:r w:rsidRPr="00B344D8">
        <w:rPr>
          <w:i/>
          <w:iCs/>
        </w:rPr>
        <w:t xml:space="preserve"> n° 2024-84</w:t>
      </w:r>
      <w:r>
        <w:rPr>
          <w:i/>
          <w:iCs/>
        </w:rPr>
        <w:t>4</w:t>
      </w:r>
      <w:r w:rsidRPr="00B344D8">
        <w:rPr>
          <w:i/>
          <w:iCs/>
        </w:rPr>
        <w:t xml:space="preserve"> du 17 juillet 2024 (JORF du 23 juillet 2024)</w:t>
      </w:r>
    </w:p>
    <w:p w14:paraId="4C902927" w14:textId="77777777" w:rsidR="00AB2F97" w:rsidRDefault="00AB2F97" w:rsidP="00AB2F97">
      <w:pPr>
        <w:pStyle w:val="Notedebasdepage"/>
        <w:jc w:val="both"/>
      </w:pPr>
    </w:p>
  </w:footnote>
  <w:footnote w:id="2">
    <w:p w14:paraId="6B059AFA" w14:textId="77777777" w:rsidR="001F673D" w:rsidRDefault="001F673D" w:rsidP="001F673D">
      <w:pPr>
        <w:pStyle w:val="Notedebasdepage"/>
        <w:jc w:val="both"/>
      </w:pPr>
      <w:r>
        <w:rPr>
          <w:rStyle w:val="Appelnotedebasdep"/>
        </w:rPr>
        <w:footnoteRef/>
      </w:r>
      <w:r>
        <w:t> </w:t>
      </w:r>
      <w:r w:rsidRPr="003F7897">
        <w:rPr>
          <w:i/>
        </w:rPr>
        <w:t>Les candidats ont</w:t>
      </w:r>
      <w:r>
        <w:rPr>
          <w:i/>
        </w:rPr>
        <w:t xml:space="preserve"> ici</w:t>
      </w:r>
      <w:r w:rsidRPr="003F7897">
        <w:rPr>
          <w:i/>
        </w:rPr>
        <w:t xml:space="preserve"> la possibilité de </w:t>
      </w:r>
      <w:r>
        <w:rPr>
          <w:i/>
        </w:rPr>
        <w:t>renseigner</w:t>
      </w:r>
      <w:r w:rsidRPr="003F7897">
        <w:rPr>
          <w:i/>
        </w:rPr>
        <w:t xml:space="preserve"> un document unique de marché</w:t>
      </w:r>
      <w:r>
        <w:rPr>
          <w:i/>
        </w:rPr>
        <w:t> euro</w:t>
      </w:r>
      <w:r w:rsidRPr="003F7897">
        <w:rPr>
          <w:i/>
        </w:rPr>
        <w:t xml:space="preserve">péen électronique </w:t>
      </w:r>
      <w:r>
        <w:rPr>
          <w:i/>
        </w:rPr>
        <w:t>(e-DUME)</w:t>
      </w:r>
      <w:r w:rsidRPr="003F7897">
        <w:rPr>
          <w:i/>
        </w:rPr>
        <w:t>,</w:t>
      </w:r>
      <w:r>
        <w:rPr>
          <w:i/>
        </w:rPr>
        <w:t xml:space="preserve"> </w:t>
      </w:r>
      <w:r w:rsidRPr="003F7897">
        <w:rPr>
          <w:i/>
        </w:rPr>
        <w:t>en y intégrant les informations sur la candidature requises au titre de la consultation.</w:t>
      </w:r>
    </w:p>
  </w:footnote>
  <w:footnote w:id="3">
    <w:p w14:paraId="51176760" w14:textId="77777777" w:rsidR="001F673D" w:rsidRPr="00AC22D9" w:rsidRDefault="001F673D" w:rsidP="001F673D">
      <w:pPr>
        <w:pStyle w:val="Notedebasdepage"/>
        <w:jc w:val="both"/>
        <w:rPr>
          <w:i/>
        </w:rPr>
      </w:pPr>
      <w:r w:rsidRPr="00AC22D9">
        <w:rPr>
          <w:rStyle w:val="Appelnotedebasdep"/>
          <w:i/>
        </w:rPr>
        <w:footnoteRef/>
      </w:r>
      <w:r w:rsidRPr="00AC22D9">
        <w:rPr>
          <w:i/>
        </w:rPr>
        <w:t xml:space="preserve"> L’exigence de solidarité est justifiée par la nécessité d’une bonne exécution de la concession, compte tenu de l’étroite interdépendance des prestations attendues.</w:t>
      </w:r>
    </w:p>
  </w:footnote>
  <w:footnote w:id="4">
    <w:p w14:paraId="6612FE90" w14:textId="77777777" w:rsidR="00D60227" w:rsidRPr="005F5B6A" w:rsidRDefault="00D60227" w:rsidP="00EC4DA8">
      <w:pPr>
        <w:pStyle w:val="Notedebasdepage"/>
        <w:rPr>
          <w:i/>
        </w:rPr>
      </w:pPr>
      <w:r>
        <w:rPr>
          <w:rStyle w:val="Appelnotedebasdep"/>
        </w:rPr>
        <w:footnoteRef/>
      </w:r>
      <w:r>
        <w:t xml:space="preserve"> </w:t>
      </w:r>
      <w:r w:rsidRPr="005F5B6A">
        <w:rPr>
          <w:i/>
        </w:rPr>
        <w:t>À compléter et à joindre au dossier par le candidat</w:t>
      </w:r>
    </w:p>
  </w:footnote>
  <w:footnote w:id="5">
    <w:p w14:paraId="01BCB847" w14:textId="77777777" w:rsidR="00D60227" w:rsidRPr="004A18A7" w:rsidRDefault="00D60227" w:rsidP="00EC4DA8">
      <w:pPr>
        <w:pStyle w:val="Notedebasdepage"/>
        <w:rPr>
          <w:i/>
        </w:rPr>
      </w:pPr>
      <w:r w:rsidRPr="004A18A7">
        <w:rPr>
          <w:rStyle w:val="Appelnotedebasdep"/>
          <w:i/>
        </w:rPr>
        <w:footnoteRef/>
      </w:r>
      <w:r w:rsidRPr="004A18A7">
        <w:rPr>
          <w:i/>
        </w:rPr>
        <w:t xml:space="preserve"> Personne ayant pouvoir d’engager la personne morale candidate</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B5D5" w14:textId="77777777" w:rsidR="00D60227" w:rsidRDefault="00D60227" w:rsidP="00EC770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7F8C974C" w14:textId="77777777" w:rsidR="00D60227" w:rsidRDefault="00D60227" w:rsidP="00EC770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97DB" w14:textId="77777777" w:rsidR="00D60227" w:rsidRDefault="00D60227" w:rsidP="00815531">
    <w:pPr>
      <w:widowControl/>
      <w:tabs>
        <w:tab w:val="center" w:pos="4395"/>
        <w:tab w:val="right" w:pos="8787"/>
      </w:tabs>
      <w:ind w:left="-851"/>
      <w:rPr>
        <w:i/>
        <w:sz w:val="18"/>
        <w:szCs w:val="18"/>
      </w:rPr>
    </w:pPr>
    <w:r w:rsidRPr="00D60227">
      <w:rPr>
        <w:i/>
        <w:sz w:val="18"/>
        <w:szCs w:val="18"/>
      </w:rPr>
      <w:t>Concession de services</w:t>
    </w:r>
    <w:r>
      <w:rPr>
        <w:i/>
        <w:sz w:val="18"/>
        <w:szCs w:val="18"/>
      </w:rPr>
      <w:tab/>
    </w:r>
    <w:r w:rsidRPr="00D02D36">
      <w:rPr>
        <w:i/>
        <w:sz w:val="18"/>
        <w:szCs w:val="18"/>
      </w:rPr>
      <w:t xml:space="preserve">Règlement de la </w:t>
    </w:r>
    <w:r>
      <w:rPr>
        <w:i/>
        <w:sz w:val="18"/>
        <w:szCs w:val="18"/>
      </w:rPr>
      <w:t>c</w:t>
    </w:r>
    <w:r w:rsidRPr="00D02D36">
      <w:rPr>
        <w:i/>
        <w:sz w:val="18"/>
        <w:szCs w:val="18"/>
      </w:rPr>
      <w:t>onsultation</w:t>
    </w:r>
    <w:r>
      <w:rPr>
        <w:i/>
        <w:sz w:val="18"/>
        <w:szCs w:val="18"/>
      </w:rPr>
      <w:tab/>
    </w:r>
    <w:r w:rsidRPr="00D02D36">
      <w:rPr>
        <w:rStyle w:val="Numrodepage"/>
        <w:i/>
        <w:sz w:val="18"/>
        <w:szCs w:val="18"/>
      </w:rPr>
      <w:fldChar w:fldCharType="begin"/>
    </w:r>
    <w:r w:rsidRPr="00D02D36">
      <w:rPr>
        <w:rStyle w:val="Numrodepage"/>
        <w:i/>
        <w:sz w:val="18"/>
        <w:szCs w:val="18"/>
      </w:rPr>
      <w:instrText xml:space="preserve">PAGE  </w:instrText>
    </w:r>
    <w:r w:rsidRPr="00D02D36">
      <w:rPr>
        <w:rStyle w:val="Numrodepage"/>
        <w:i/>
        <w:sz w:val="18"/>
        <w:szCs w:val="18"/>
      </w:rPr>
      <w:fldChar w:fldCharType="separate"/>
    </w:r>
    <w:r w:rsidR="000C4502">
      <w:rPr>
        <w:rStyle w:val="Numrodepage"/>
        <w:i/>
        <w:noProof/>
        <w:sz w:val="18"/>
        <w:szCs w:val="18"/>
      </w:rPr>
      <w:t>2</w:t>
    </w:r>
    <w:r w:rsidRPr="00D02D36">
      <w:rPr>
        <w:rStyle w:val="Numrodepage"/>
        <w:i/>
        <w:sz w:val="18"/>
        <w:szCs w:val="18"/>
      </w:rPr>
      <w:fldChar w:fldCharType="end"/>
    </w:r>
    <w:r w:rsidRPr="00D02D36">
      <w:rPr>
        <w:rStyle w:val="Numrodepage"/>
        <w:i/>
        <w:sz w:val="18"/>
        <w:szCs w:val="18"/>
      </w:rPr>
      <w:t>/</w:t>
    </w:r>
    <w:r w:rsidRPr="00D02D36">
      <w:rPr>
        <w:rStyle w:val="Numrodepage"/>
        <w:i/>
        <w:sz w:val="18"/>
        <w:szCs w:val="18"/>
      </w:rPr>
      <w:fldChar w:fldCharType="begin"/>
    </w:r>
    <w:r w:rsidRPr="00D02D36">
      <w:rPr>
        <w:rStyle w:val="Numrodepage"/>
        <w:i/>
        <w:sz w:val="18"/>
        <w:szCs w:val="18"/>
      </w:rPr>
      <w:instrText xml:space="preserve"> NUMPAGES </w:instrText>
    </w:r>
    <w:r w:rsidRPr="00D02D36">
      <w:rPr>
        <w:rStyle w:val="Numrodepage"/>
        <w:i/>
        <w:sz w:val="18"/>
        <w:szCs w:val="18"/>
      </w:rPr>
      <w:fldChar w:fldCharType="separate"/>
    </w:r>
    <w:r w:rsidR="000C4502">
      <w:rPr>
        <w:rStyle w:val="Numrodepage"/>
        <w:i/>
        <w:noProof/>
        <w:sz w:val="18"/>
        <w:szCs w:val="18"/>
      </w:rPr>
      <w:t>12</w:t>
    </w:r>
    <w:r w:rsidRPr="00D02D36">
      <w:rPr>
        <w:rStyle w:val="Numrodepage"/>
        <w:i/>
        <w:sz w:val="18"/>
        <w:szCs w:val="18"/>
      </w:rPr>
      <w:fldChar w:fldCharType="end"/>
    </w:r>
    <w:r>
      <w:rPr>
        <w:i/>
        <w:sz w:val="18"/>
        <w:szCs w:val="18"/>
      </w:rPr>
      <w:br/>
    </w:r>
    <w:r w:rsidRPr="00D60227">
      <w:rPr>
        <w:i/>
        <w:sz w:val="18"/>
        <w:szCs w:val="18"/>
      </w:rPr>
      <w:t>pour l'exploitation</w:t>
    </w:r>
    <w:r>
      <w:rPr>
        <w:i/>
        <w:sz w:val="18"/>
        <w:szCs w:val="18"/>
      </w:rPr>
      <w:t xml:space="preserve"> d'une boutique de vente</w:t>
    </w:r>
  </w:p>
  <w:p w14:paraId="51B69442" w14:textId="4CE739D3" w:rsidR="00D60227" w:rsidRPr="00D60227" w:rsidRDefault="00D60227" w:rsidP="00D60227">
    <w:pPr>
      <w:widowControl/>
      <w:tabs>
        <w:tab w:val="center" w:pos="4395"/>
        <w:tab w:val="right" w:pos="8787"/>
      </w:tabs>
      <w:ind w:left="-851"/>
      <w:rPr>
        <w:i/>
        <w:sz w:val="18"/>
        <w:szCs w:val="18"/>
      </w:rPr>
    </w:pPr>
    <w:proofErr w:type="gramStart"/>
    <w:r w:rsidRPr="00D60227">
      <w:rPr>
        <w:i/>
        <w:sz w:val="18"/>
        <w:szCs w:val="18"/>
      </w:rPr>
      <w:t>dans</w:t>
    </w:r>
    <w:proofErr w:type="gramEnd"/>
    <w:r w:rsidRPr="00D60227">
      <w:rPr>
        <w:i/>
        <w:sz w:val="18"/>
        <w:szCs w:val="18"/>
      </w:rPr>
      <w:t xml:space="preserve"> le Palais du </w:t>
    </w:r>
    <w:r w:rsidR="0040142A">
      <w:rPr>
        <w:i/>
        <w:sz w:val="18"/>
        <w:szCs w:val="18"/>
      </w:rPr>
      <w:t>Luxembourg et d’une boutique en ligne</w:t>
    </w:r>
  </w:p>
  <w:p w14:paraId="646290CD" w14:textId="77777777" w:rsidR="00D60227" w:rsidRDefault="00D60227" w:rsidP="00EC7703">
    <w:pPr>
      <w:pStyle w:val="En-tte"/>
      <w:ind w:left="-851"/>
      <w:rPr>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811A" w14:textId="77777777" w:rsidR="00D60227" w:rsidRDefault="00D60227" w:rsidP="00D60227">
    <w:pPr>
      <w:widowControl/>
      <w:tabs>
        <w:tab w:val="center" w:pos="4395"/>
        <w:tab w:val="right" w:pos="8787"/>
      </w:tabs>
      <w:ind w:left="-851"/>
      <w:rPr>
        <w:i/>
        <w:sz w:val="18"/>
        <w:szCs w:val="18"/>
      </w:rPr>
    </w:pPr>
    <w:r w:rsidRPr="00D60227">
      <w:rPr>
        <w:i/>
        <w:sz w:val="18"/>
        <w:szCs w:val="18"/>
      </w:rPr>
      <w:t>Concession de services</w:t>
    </w:r>
    <w:r>
      <w:rPr>
        <w:i/>
        <w:sz w:val="18"/>
        <w:szCs w:val="18"/>
      </w:rPr>
      <w:tab/>
    </w:r>
    <w:r w:rsidRPr="00D02D36">
      <w:rPr>
        <w:i/>
        <w:sz w:val="18"/>
        <w:szCs w:val="18"/>
      </w:rPr>
      <w:t xml:space="preserve">Règlement de la </w:t>
    </w:r>
    <w:r>
      <w:rPr>
        <w:i/>
        <w:sz w:val="18"/>
        <w:szCs w:val="18"/>
      </w:rPr>
      <w:t>c</w:t>
    </w:r>
    <w:r w:rsidRPr="00D02D36">
      <w:rPr>
        <w:i/>
        <w:sz w:val="18"/>
        <w:szCs w:val="18"/>
      </w:rPr>
      <w:t>onsultation</w:t>
    </w:r>
    <w:r>
      <w:rPr>
        <w:i/>
        <w:sz w:val="18"/>
        <w:szCs w:val="18"/>
      </w:rPr>
      <w:tab/>
    </w:r>
    <w:r w:rsidRPr="00D02D36">
      <w:rPr>
        <w:rStyle w:val="Numrodepage"/>
        <w:i/>
        <w:sz w:val="18"/>
        <w:szCs w:val="18"/>
      </w:rPr>
      <w:fldChar w:fldCharType="begin"/>
    </w:r>
    <w:r w:rsidRPr="00D02D36">
      <w:rPr>
        <w:rStyle w:val="Numrodepage"/>
        <w:i/>
        <w:sz w:val="18"/>
        <w:szCs w:val="18"/>
      </w:rPr>
      <w:instrText xml:space="preserve">PAGE  </w:instrText>
    </w:r>
    <w:r w:rsidRPr="00D02D36">
      <w:rPr>
        <w:rStyle w:val="Numrodepage"/>
        <w:i/>
        <w:sz w:val="18"/>
        <w:szCs w:val="18"/>
      </w:rPr>
      <w:fldChar w:fldCharType="separate"/>
    </w:r>
    <w:r w:rsidR="000C4502">
      <w:rPr>
        <w:rStyle w:val="Numrodepage"/>
        <w:i/>
        <w:noProof/>
        <w:sz w:val="18"/>
        <w:szCs w:val="18"/>
      </w:rPr>
      <w:t>12</w:t>
    </w:r>
    <w:r w:rsidRPr="00D02D36">
      <w:rPr>
        <w:rStyle w:val="Numrodepage"/>
        <w:i/>
        <w:sz w:val="18"/>
        <w:szCs w:val="18"/>
      </w:rPr>
      <w:fldChar w:fldCharType="end"/>
    </w:r>
    <w:r w:rsidRPr="00D02D36">
      <w:rPr>
        <w:rStyle w:val="Numrodepage"/>
        <w:i/>
        <w:sz w:val="18"/>
        <w:szCs w:val="18"/>
      </w:rPr>
      <w:t>/</w:t>
    </w:r>
    <w:r w:rsidRPr="00D02D36">
      <w:rPr>
        <w:rStyle w:val="Numrodepage"/>
        <w:i/>
        <w:sz w:val="18"/>
        <w:szCs w:val="18"/>
      </w:rPr>
      <w:fldChar w:fldCharType="begin"/>
    </w:r>
    <w:r w:rsidRPr="00D02D36">
      <w:rPr>
        <w:rStyle w:val="Numrodepage"/>
        <w:i/>
        <w:sz w:val="18"/>
        <w:szCs w:val="18"/>
      </w:rPr>
      <w:instrText xml:space="preserve"> NUMPAGES </w:instrText>
    </w:r>
    <w:r w:rsidRPr="00D02D36">
      <w:rPr>
        <w:rStyle w:val="Numrodepage"/>
        <w:i/>
        <w:sz w:val="18"/>
        <w:szCs w:val="18"/>
      </w:rPr>
      <w:fldChar w:fldCharType="separate"/>
    </w:r>
    <w:r w:rsidR="000C4502">
      <w:rPr>
        <w:rStyle w:val="Numrodepage"/>
        <w:i/>
        <w:noProof/>
        <w:sz w:val="18"/>
        <w:szCs w:val="18"/>
      </w:rPr>
      <w:t>12</w:t>
    </w:r>
    <w:r w:rsidRPr="00D02D36">
      <w:rPr>
        <w:rStyle w:val="Numrodepage"/>
        <w:i/>
        <w:sz w:val="18"/>
        <w:szCs w:val="18"/>
      </w:rPr>
      <w:fldChar w:fldCharType="end"/>
    </w:r>
    <w:r>
      <w:rPr>
        <w:i/>
        <w:sz w:val="18"/>
        <w:szCs w:val="18"/>
      </w:rPr>
      <w:br/>
    </w:r>
    <w:r w:rsidRPr="00D60227">
      <w:rPr>
        <w:i/>
        <w:sz w:val="18"/>
        <w:szCs w:val="18"/>
      </w:rPr>
      <w:t>pour l'exploitation</w:t>
    </w:r>
    <w:r>
      <w:rPr>
        <w:i/>
        <w:sz w:val="18"/>
        <w:szCs w:val="18"/>
      </w:rPr>
      <w:t xml:space="preserve"> d'une boutique de vente </w:t>
    </w:r>
  </w:p>
  <w:p w14:paraId="2066B53D" w14:textId="2C94959F" w:rsidR="00D60227" w:rsidRPr="00D60227" w:rsidRDefault="00D60227" w:rsidP="00D60227">
    <w:pPr>
      <w:widowControl/>
      <w:tabs>
        <w:tab w:val="center" w:pos="4395"/>
        <w:tab w:val="right" w:pos="8787"/>
      </w:tabs>
      <w:ind w:left="-851"/>
      <w:rPr>
        <w:i/>
        <w:sz w:val="18"/>
        <w:szCs w:val="18"/>
      </w:rPr>
    </w:pPr>
    <w:proofErr w:type="gramStart"/>
    <w:r w:rsidRPr="00D60227">
      <w:rPr>
        <w:i/>
        <w:sz w:val="18"/>
        <w:szCs w:val="18"/>
      </w:rPr>
      <w:t>dans</w:t>
    </w:r>
    <w:proofErr w:type="gramEnd"/>
    <w:r w:rsidRPr="00D60227">
      <w:rPr>
        <w:i/>
        <w:sz w:val="18"/>
        <w:szCs w:val="18"/>
      </w:rPr>
      <w:t xml:space="preserve"> le Palais du </w:t>
    </w:r>
    <w:r w:rsidR="0040142A">
      <w:rPr>
        <w:i/>
        <w:sz w:val="18"/>
        <w:szCs w:val="18"/>
      </w:rPr>
      <w:t>Luxembourg et d’une boutique en ligne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4AA740"/>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7C622020"/>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A268026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B06A14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088701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422DD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88AD5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E8FEF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E4EAA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D6AD2F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Titre1"/>
      <w:lvlText w:val="%1."/>
      <w:legacy w:legacy="1" w:legacySpace="0" w:legacyIndent="454"/>
      <w:lvlJc w:val="left"/>
      <w:pPr>
        <w:ind w:left="454" w:hanging="454"/>
      </w:pPr>
    </w:lvl>
    <w:lvl w:ilvl="1">
      <w:start w:val="1"/>
      <w:numFmt w:val="upperLetter"/>
      <w:pStyle w:val="Titre2"/>
      <w:lvlText w:val="%2."/>
      <w:legacy w:legacy="1" w:legacySpace="0" w:legacyIndent="680"/>
      <w:lvlJc w:val="left"/>
      <w:pPr>
        <w:ind w:left="908" w:hanging="680"/>
      </w:pPr>
    </w:lvl>
    <w:lvl w:ilvl="2">
      <w:start w:val="1"/>
      <w:numFmt w:val="decimal"/>
      <w:pStyle w:val="Titre3"/>
      <w:lvlText w:val="%3."/>
      <w:legacy w:legacy="1" w:legacySpace="0" w:legacyIndent="708"/>
      <w:lvlJc w:val="left"/>
      <w:pPr>
        <w:ind w:left="1362" w:hanging="708"/>
      </w:pPr>
    </w:lvl>
    <w:lvl w:ilvl="3">
      <w:start w:val="1"/>
      <w:numFmt w:val="lowerLetter"/>
      <w:pStyle w:val="Titre4"/>
      <w:lvlText w:val="%4)"/>
      <w:legacy w:legacy="1" w:legacySpace="0" w:legacyIndent="708"/>
      <w:lvlJc w:val="left"/>
      <w:pPr>
        <w:ind w:left="2550" w:hanging="708"/>
      </w:pPr>
    </w:lvl>
    <w:lvl w:ilvl="4">
      <w:start w:val="1"/>
      <w:numFmt w:val="decimal"/>
      <w:pStyle w:val="Titre5"/>
      <w:lvlText w:val="(%5)"/>
      <w:legacy w:legacy="1" w:legacySpace="0" w:legacyIndent="708"/>
      <w:lvlJc w:val="left"/>
      <w:pPr>
        <w:ind w:left="3258" w:hanging="708"/>
      </w:pPr>
    </w:lvl>
    <w:lvl w:ilvl="5">
      <w:start w:val="1"/>
      <w:numFmt w:val="lowerLetter"/>
      <w:pStyle w:val="Titre6"/>
      <w:lvlText w:val="(%6)"/>
      <w:legacy w:legacy="1" w:legacySpace="0" w:legacyIndent="708"/>
      <w:lvlJc w:val="left"/>
      <w:pPr>
        <w:ind w:left="3966" w:hanging="708"/>
      </w:pPr>
    </w:lvl>
    <w:lvl w:ilvl="6">
      <w:start w:val="1"/>
      <w:numFmt w:val="lowerRoman"/>
      <w:pStyle w:val="Titre7"/>
      <w:lvlText w:val="(%7)"/>
      <w:legacy w:legacy="1" w:legacySpace="0" w:legacyIndent="708"/>
      <w:lvlJc w:val="left"/>
      <w:pPr>
        <w:ind w:left="4674" w:hanging="708"/>
      </w:pPr>
    </w:lvl>
    <w:lvl w:ilvl="7">
      <w:start w:val="1"/>
      <w:numFmt w:val="lowerLetter"/>
      <w:pStyle w:val="Titre8"/>
      <w:lvlText w:val="(%8)"/>
      <w:legacy w:legacy="1" w:legacySpace="0" w:legacyIndent="708"/>
      <w:lvlJc w:val="left"/>
      <w:pPr>
        <w:ind w:left="5382" w:hanging="708"/>
      </w:pPr>
    </w:lvl>
    <w:lvl w:ilvl="8">
      <w:start w:val="1"/>
      <w:numFmt w:val="lowerRoman"/>
      <w:pStyle w:val="Titre9"/>
      <w:lvlText w:val="(%9)"/>
      <w:legacy w:legacy="1" w:legacySpace="0" w:legacyIndent="708"/>
      <w:lvlJc w:val="left"/>
      <w:pPr>
        <w:ind w:left="6090" w:hanging="708"/>
      </w:pPr>
    </w:lvl>
  </w:abstractNum>
  <w:abstractNum w:abstractNumId="11" w15:restartNumberingAfterBreak="0">
    <w:nsid w:val="00000002"/>
    <w:multiLevelType w:val="multilevel"/>
    <w:tmpl w:val="874AC962"/>
    <w:name w:val="WW8Num2"/>
    <w:lvl w:ilvl="0">
      <w:start w:val="1"/>
      <w:numFmt w:val="lowerLetter"/>
      <w:lvlText w:val="%1)"/>
      <w:lvlJc w:val="left"/>
      <w:pPr>
        <w:tabs>
          <w:tab w:val="num" w:pos="360"/>
        </w:tabs>
        <w:ind w:left="360" w:hanging="360"/>
      </w:pPr>
      <w:rPr>
        <w:rFonts w:ascii="Times New Roman" w:hAnsi="Times New Roman" w:cs="Times New Roman" w:hint="default"/>
        <w:b/>
        <w:bCs/>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002D6674"/>
    <w:multiLevelType w:val="hybridMultilevel"/>
    <w:tmpl w:val="1B34F07E"/>
    <w:lvl w:ilvl="0" w:tplc="A3349194">
      <w:start w:val="1"/>
      <w:numFmt w:val="bullet"/>
      <w:pStyle w:val="DCEPuceflche"/>
      <w:lvlText w:val=""/>
      <w:lvlJc w:val="left"/>
      <w:pPr>
        <w:tabs>
          <w:tab w:val="num" w:pos="720"/>
        </w:tabs>
        <w:ind w:left="720" w:hanging="360"/>
      </w:pPr>
      <w:rPr>
        <w:rFonts w:ascii="Wingdings" w:hAnsi="Wingdings" w:hint="default"/>
        <w:sz w:val="22"/>
        <w:szCs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6F0DE7"/>
    <w:multiLevelType w:val="hybridMultilevel"/>
    <w:tmpl w:val="053E718A"/>
    <w:lvl w:ilvl="0" w:tplc="067050F6">
      <w:start w:val="1"/>
      <w:numFmt w:val="bullet"/>
      <w:lvlText w:val="-"/>
      <w:lvlJc w:val="left"/>
      <w:pPr>
        <w:ind w:left="1069" w:hanging="360"/>
      </w:pPr>
      <w:rPr>
        <w:rFonts w:ascii="Times New Roman" w:hAnsi="Times New Roman" w:cs="Times New Roman" w:hint="default"/>
      </w:rPr>
    </w:lvl>
    <w:lvl w:ilvl="1" w:tplc="4BFC5CAA">
      <w:start w:val="1"/>
      <w:numFmt w:val="bullet"/>
      <w:lvlText w:val=""/>
      <w:lvlJc w:val="left"/>
      <w:pPr>
        <w:ind w:left="284" w:hanging="360"/>
      </w:pPr>
      <w:rPr>
        <w:rFonts w:ascii="Symbol" w:hAnsi="Symbol"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07190508"/>
    <w:multiLevelType w:val="hybridMultilevel"/>
    <w:tmpl w:val="55DA033E"/>
    <w:lvl w:ilvl="0" w:tplc="63C87884">
      <w:start w:val="1"/>
      <w:numFmt w:val="bull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097D3608"/>
    <w:multiLevelType w:val="hybridMultilevel"/>
    <w:tmpl w:val="44B68BE8"/>
    <w:lvl w:ilvl="0" w:tplc="067050F6">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4DBEE90A">
      <w:start w:val="1"/>
      <w:numFmt w:val="bullet"/>
      <w:lvlText w:val="-"/>
      <w:lvlJc w:val="left"/>
      <w:pPr>
        <w:ind w:left="2160" w:hanging="360"/>
      </w:pPr>
      <w:rPr>
        <w:rFonts w:ascii="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9C340A1"/>
    <w:multiLevelType w:val="hybridMultilevel"/>
    <w:tmpl w:val="1E9A8078"/>
    <w:lvl w:ilvl="0" w:tplc="067050F6">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02A5D97"/>
    <w:multiLevelType w:val="multilevel"/>
    <w:tmpl w:val="1D84D8BC"/>
    <w:lvl w:ilvl="0">
      <w:start w:val="1"/>
      <w:numFmt w:val="decimal"/>
      <w:pStyle w:val="DCEArticle"/>
      <w:isLgl/>
      <w:suff w:val="nothing"/>
      <w:lvlText w:val="ARTICLE %1 - "/>
      <w:lvlJc w:val="left"/>
      <w:pPr>
        <w:ind w:left="1135" w:firstLine="0"/>
      </w:pPr>
      <w:rPr>
        <w:rFonts w:ascii="Times New Roman" w:hAnsi="Times New Roman" w:hint="default"/>
        <w:b/>
        <w:i w:val="0"/>
        <w:sz w:val="26"/>
        <w:szCs w:val="26"/>
        <w:u w:val="single"/>
      </w:rPr>
    </w:lvl>
    <w:lvl w:ilvl="1">
      <w:start w:val="11"/>
      <w:numFmt w:val="decimal"/>
      <w:suff w:val="space"/>
      <w:lvlText w:val="%1.%2."/>
      <w:lvlJc w:val="left"/>
      <w:pPr>
        <w:ind w:left="852" w:hanging="852"/>
      </w:pPr>
      <w:rPr>
        <w:rFonts w:ascii="Times New Roman" w:hAnsi="Times New Roman" w:hint="default"/>
      </w:rPr>
    </w:lvl>
    <w:lvl w:ilvl="2">
      <w:start w:val="1"/>
      <w:numFmt w:val="decimal"/>
      <w:suff w:val="space"/>
      <w:lvlText w:val="%1.%2.%3."/>
      <w:lvlJc w:val="left"/>
      <w:pPr>
        <w:ind w:left="-141" w:firstLine="1134"/>
      </w:pPr>
      <w:rPr>
        <w:rFonts w:ascii="Times New Roman" w:hAnsi="Times New Roman" w:hint="default"/>
      </w:rPr>
    </w:lvl>
    <w:lvl w:ilvl="3">
      <w:start w:val="1"/>
      <w:numFmt w:val="decimal"/>
      <w:suff w:val="space"/>
      <w:lvlText w:val="%1.%2.%3.%4."/>
      <w:lvlJc w:val="left"/>
      <w:pPr>
        <w:ind w:left="0" w:firstLine="1701"/>
      </w:pPr>
      <w:rPr>
        <w:rFonts w:ascii="Times New Roman" w:hAnsi="Times New Roman" w:hint="default"/>
      </w:rPr>
    </w:lvl>
    <w:lvl w:ilvl="4">
      <w:start w:val="1"/>
      <w:numFmt w:val="decimal"/>
      <w:lvlText w:val="%1.%2.%3.%4.%5."/>
      <w:lvlJc w:val="left"/>
      <w:pPr>
        <w:tabs>
          <w:tab w:val="num" w:pos="6075"/>
        </w:tabs>
        <w:ind w:left="5067" w:hanging="792"/>
      </w:pPr>
      <w:rPr>
        <w:rFonts w:hint="default"/>
      </w:rPr>
    </w:lvl>
    <w:lvl w:ilvl="5">
      <w:start w:val="1"/>
      <w:numFmt w:val="decimal"/>
      <w:lvlText w:val="%1.%2.%3.%4.%5.%6."/>
      <w:lvlJc w:val="left"/>
      <w:pPr>
        <w:tabs>
          <w:tab w:val="num" w:pos="6435"/>
        </w:tabs>
        <w:ind w:left="5571" w:hanging="936"/>
      </w:pPr>
      <w:rPr>
        <w:rFonts w:hint="default"/>
      </w:rPr>
    </w:lvl>
    <w:lvl w:ilvl="6">
      <w:start w:val="1"/>
      <w:numFmt w:val="decimal"/>
      <w:lvlText w:val="%1.%2.%3.%4.%5.%6.%7."/>
      <w:lvlJc w:val="left"/>
      <w:pPr>
        <w:tabs>
          <w:tab w:val="num" w:pos="7155"/>
        </w:tabs>
        <w:ind w:left="6075" w:hanging="1080"/>
      </w:pPr>
      <w:rPr>
        <w:rFonts w:hint="default"/>
      </w:rPr>
    </w:lvl>
    <w:lvl w:ilvl="7">
      <w:start w:val="1"/>
      <w:numFmt w:val="decimal"/>
      <w:lvlText w:val="%1.%2.%3.%4.%5.%6.%7.%8."/>
      <w:lvlJc w:val="left"/>
      <w:pPr>
        <w:tabs>
          <w:tab w:val="num" w:pos="7875"/>
        </w:tabs>
        <w:ind w:left="6579" w:hanging="1224"/>
      </w:pPr>
      <w:rPr>
        <w:rFonts w:hint="default"/>
      </w:rPr>
    </w:lvl>
    <w:lvl w:ilvl="8">
      <w:start w:val="1"/>
      <w:numFmt w:val="decimal"/>
      <w:lvlText w:val="%1.%2.%3.%4.%5.%6.%7.%8.%9."/>
      <w:lvlJc w:val="left"/>
      <w:pPr>
        <w:tabs>
          <w:tab w:val="num" w:pos="8595"/>
        </w:tabs>
        <w:ind w:left="7155" w:hanging="1440"/>
      </w:pPr>
      <w:rPr>
        <w:rFonts w:hint="default"/>
      </w:rPr>
    </w:lvl>
  </w:abstractNum>
  <w:abstractNum w:abstractNumId="18" w15:restartNumberingAfterBreak="0">
    <w:nsid w:val="12770409"/>
    <w:multiLevelType w:val="hybridMultilevel"/>
    <w:tmpl w:val="E21841CC"/>
    <w:lvl w:ilvl="0" w:tplc="63C8788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756687E"/>
    <w:multiLevelType w:val="hybridMultilevel"/>
    <w:tmpl w:val="14B60440"/>
    <w:lvl w:ilvl="0" w:tplc="067050F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B387BC3"/>
    <w:multiLevelType w:val="hybridMultilevel"/>
    <w:tmpl w:val="BE206234"/>
    <w:lvl w:ilvl="0" w:tplc="F138814E">
      <w:start w:val="1"/>
      <w:numFmt w:val="bullet"/>
      <w:pStyle w:val="DCETiret"/>
      <w:lvlText w:val="-"/>
      <w:lvlJc w:val="left"/>
      <w:pPr>
        <w:tabs>
          <w:tab w:val="num" w:pos="1287"/>
        </w:tabs>
        <w:ind w:left="1287" w:hanging="360"/>
      </w:pPr>
      <w:rPr>
        <w:rFonts w:ascii="Times New Roman" w:hAnsi="Times New Roman" w:cs="Times New Roman" w:hint="default"/>
      </w:rPr>
    </w:lvl>
    <w:lvl w:ilvl="1" w:tplc="040C0003">
      <w:start w:val="1"/>
      <w:numFmt w:val="bullet"/>
      <w:lvlText w:val="o"/>
      <w:lvlJc w:val="left"/>
      <w:pPr>
        <w:tabs>
          <w:tab w:val="num" w:pos="2007"/>
        </w:tabs>
        <w:ind w:left="2007" w:hanging="360"/>
      </w:pPr>
      <w:rPr>
        <w:rFonts w:ascii="Courier New" w:hAnsi="Courier New" w:cs="Courier New" w:hint="default"/>
      </w:rPr>
    </w:lvl>
    <w:lvl w:ilvl="2" w:tplc="040C0005">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1F7E6694"/>
    <w:multiLevelType w:val="hybridMultilevel"/>
    <w:tmpl w:val="BCE6644A"/>
    <w:lvl w:ilvl="0" w:tplc="0818C2F8">
      <w:start w:val="1"/>
      <w:numFmt w:val="lowerLetter"/>
      <w:pStyle w:val="DCEPucea"/>
      <w:lvlText w:val="%1)"/>
      <w:lvlJc w:val="left"/>
      <w:pPr>
        <w:tabs>
          <w:tab w:val="num" w:pos="284"/>
        </w:tabs>
        <w:ind w:left="284" w:hanging="284"/>
      </w:pPr>
      <w:rPr>
        <w:rFonts w:hint="default"/>
        <w:sz w:val="22"/>
        <w:szCs w:val="22"/>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2052AA"/>
    <w:multiLevelType w:val="hybridMultilevel"/>
    <w:tmpl w:val="FAE27776"/>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29072629"/>
    <w:multiLevelType w:val="hybridMultilevel"/>
    <w:tmpl w:val="4E269B56"/>
    <w:lvl w:ilvl="0" w:tplc="DAB6333E">
      <w:numFmt w:val="bullet"/>
      <w:pStyle w:val="DCEpuceniveau2"/>
      <w:lvlText w:val="•"/>
      <w:lvlJc w:val="left"/>
      <w:pPr>
        <w:tabs>
          <w:tab w:val="num" w:pos="567"/>
        </w:tabs>
        <w:ind w:left="567" w:hanging="567"/>
      </w:pPr>
      <w:rPr>
        <w:rFonts w:ascii="Times New (W1)" w:hAnsi="Times New (W1)" w:cs="Times New Roman"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45498A"/>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8901F6D"/>
    <w:multiLevelType w:val="hybridMultilevel"/>
    <w:tmpl w:val="9B384E38"/>
    <w:lvl w:ilvl="0" w:tplc="59A6A100">
      <w:start w:val="1"/>
      <w:numFmt w:val="bullet"/>
      <w:lvlText w:val=""/>
      <w:lvlJc w:val="left"/>
      <w:pPr>
        <w:ind w:left="720" w:hanging="360"/>
      </w:pPr>
      <w:rPr>
        <w:rFonts w:ascii="Wingdings" w:hAnsi="Wingdings" w:hint="default"/>
        <w:b/>
        <w:i w:val="0"/>
        <w:color w:val="auto"/>
        <w:sz w:val="20"/>
        <w:szCs w:val="1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C17252"/>
    <w:multiLevelType w:val="multilevel"/>
    <w:tmpl w:val="590EF444"/>
    <w:lvl w:ilvl="0">
      <w:start w:val="1"/>
      <w:numFmt w:val="decimal"/>
      <w:isLgl/>
      <w:suff w:val="space"/>
      <w:lvlText w:val="%1. –"/>
      <w:lvlJc w:val="left"/>
      <w:pPr>
        <w:ind w:left="360" w:hanging="360"/>
      </w:pPr>
      <w:rPr>
        <w:rFonts w:hint="default"/>
        <w:b/>
        <w:i w:val="0"/>
        <w:caps/>
        <w:sz w:val="24"/>
        <w:szCs w:val="24"/>
      </w:rPr>
    </w:lvl>
    <w:lvl w:ilvl="1">
      <w:start w:val="1"/>
      <w:numFmt w:val="decimal"/>
      <w:pStyle w:val="DCET2SSARTICLE"/>
      <w:lvlText w:val="%1.%2."/>
      <w:lvlJc w:val="left"/>
      <w:pPr>
        <w:tabs>
          <w:tab w:val="num" w:pos="792"/>
        </w:tabs>
        <w:ind w:left="792" w:hanging="432"/>
      </w:pPr>
      <w:rPr>
        <w:rFonts w:hint="default"/>
      </w:rPr>
    </w:lvl>
    <w:lvl w:ilvl="2">
      <w:start w:val="1"/>
      <w:numFmt w:val="decimal"/>
      <w:pStyle w:val="DCET3SSARTICLE"/>
      <w:isLg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4AA5EF7"/>
    <w:multiLevelType w:val="hybridMultilevel"/>
    <w:tmpl w:val="6A2CA51C"/>
    <w:lvl w:ilvl="0" w:tplc="B8CC2228">
      <w:start w:val="1"/>
      <w:numFmt w:val="bullet"/>
      <w:pStyle w:val="Corpstexte"/>
      <w:lvlText w:val=""/>
      <w:lvlJc w:val="left"/>
      <w:pPr>
        <w:tabs>
          <w:tab w:val="num" w:pos="720"/>
        </w:tabs>
        <w:ind w:left="720" w:hanging="360"/>
      </w:pPr>
      <w:rPr>
        <w:rFonts w:ascii="Wingdings" w:hAnsi="Wingdings" w:hint="default"/>
        <w:sz w:val="22"/>
        <w:szCs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CE3E17"/>
    <w:multiLevelType w:val="multilevel"/>
    <w:tmpl w:val="5B7AE90E"/>
    <w:lvl w:ilvl="0">
      <w:start w:val="1"/>
      <w:numFmt w:val="decimal"/>
      <w:pStyle w:val="DCETitre1"/>
      <w:isLgl/>
      <w:suff w:val="space"/>
      <w:lvlText w:val="Article %1. –"/>
      <w:lvlJc w:val="left"/>
      <w:pPr>
        <w:ind w:left="1211" w:hanging="360"/>
      </w:pPr>
      <w:rPr>
        <w:rFonts w:hint="default"/>
        <w:b/>
        <w:i w:val="0"/>
        <w:caps/>
        <w:sz w:val="22"/>
        <w:szCs w:val="24"/>
      </w:rPr>
    </w:lvl>
    <w:lvl w:ilvl="1">
      <w:start w:val="1"/>
      <w:numFmt w:val="decimal"/>
      <w:pStyle w:val="DCETitre2"/>
      <w:lvlText w:val="%1.%2."/>
      <w:lvlJc w:val="left"/>
      <w:pPr>
        <w:tabs>
          <w:tab w:val="num" w:pos="792"/>
        </w:tabs>
        <w:ind w:left="792" w:hanging="432"/>
      </w:pPr>
      <w:rPr>
        <w:rFonts w:hint="default"/>
      </w:rPr>
    </w:lvl>
    <w:lvl w:ilvl="2">
      <w:start w:val="1"/>
      <w:numFmt w:val="decimal"/>
      <w:pStyle w:val="DCETitre3"/>
      <w:isLg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4B1D6E1D"/>
    <w:multiLevelType w:val="hybridMultilevel"/>
    <w:tmpl w:val="3EC8D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696A61"/>
    <w:multiLevelType w:val="hybridMultilevel"/>
    <w:tmpl w:val="A9C2EA92"/>
    <w:lvl w:ilvl="0" w:tplc="72EE9F82">
      <w:numFmt w:val="bullet"/>
      <w:pStyle w:val="DCEpuceniveau1"/>
      <w:lvlText w:val="–"/>
      <w:lvlJc w:val="left"/>
      <w:pPr>
        <w:tabs>
          <w:tab w:val="num" w:pos="1778"/>
        </w:tabs>
        <w:ind w:left="1778" w:hanging="360"/>
      </w:pPr>
      <w:rPr>
        <w:rFonts w:ascii="Times New Roman" w:hAnsi="Times New Roman" w:cs="Times New Roman" w:hint="default"/>
        <w:sz w:val="24"/>
        <w:szCs w:val="24"/>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4F6F26F1"/>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023083C"/>
    <w:multiLevelType w:val="hybridMultilevel"/>
    <w:tmpl w:val="3118E17A"/>
    <w:lvl w:ilvl="0" w:tplc="63C87884">
      <w:start w:val="1"/>
      <w:numFmt w:val="bullet"/>
      <w:lvlText w:val="-"/>
      <w:lvlJc w:val="left"/>
      <w:pPr>
        <w:ind w:left="720" w:hanging="360"/>
      </w:pPr>
      <w:rPr>
        <w:rFonts w:ascii="Times New Roman" w:hAnsi="Times New Roman" w:cs="Times New Roman" w:hint="default"/>
      </w:rPr>
    </w:lvl>
    <w:lvl w:ilvl="1" w:tplc="F5BA690C">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492A68"/>
    <w:multiLevelType w:val="hybridMultilevel"/>
    <w:tmpl w:val="139ED462"/>
    <w:lvl w:ilvl="0" w:tplc="4D32D0AA">
      <w:start w:val="1"/>
      <w:numFmt w:val="bullet"/>
      <w:lvlText w:val=""/>
      <w:lvlJc w:val="left"/>
      <w:pPr>
        <w:ind w:left="2988" w:hanging="360"/>
      </w:pPr>
      <w:rPr>
        <w:rFonts w:ascii="Wingdings" w:hAnsi="Wingdings" w:hint="default"/>
        <w:b/>
        <w:i w:val="0"/>
        <w:color w:val="auto"/>
        <w:sz w:val="24"/>
        <w:szCs w:val="24"/>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34" w15:restartNumberingAfterBreak="0">
    <w:nsid w:val="677007F0"/>
    <w:multiLevelType w:val="hybridMultilevel"/>
    <w:tmpl w:val="4EE65C2E"/>
    <w:lvl w:ilvl="0" w:tplc="40706478">
      <w:start w:val="1"/>
      <w:numFmt w:val="bullet"/>
      <w:pStyle w:val="DCEPuce"/>
      <w:lvlText w:val=""/>
      <w:lvlJc w:val="left"/>
      <w:pPr>
        <w:tabs>
          <w:tab w:val="num" w:pos="1287"/>
        </w:tabs>
        <w:ind w:left="1287" w:hanging="360"/>
      </w:pPr>
      <w:rPr>
        <w:rFonts w:ascii="Symbol" w:hAnsi="Symbol" w:cs="Times New Roman" w:hint="default"/>
        <w:sz w:val="18"/>
        <w:szCs w:val="18"/>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EA01392"/>
    <w:multiLevelType w:val="multilevel"/>
    <w:tmpl w:val="040C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27"/>
  </w:num>
  <w:num w:numId="3">
    <w:abstractNumId w:val="2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7"/>
  </w:num>
  <w:num w:numId="15">
    <w:abstractNumId w:val="20"/>
  </w:num>
  <w:num w:numId="16">
    <w:abstractNumId w:val="31"/>
  </w:num>
  <w:num w:numId="17">
    <w:abstractNumId w:val="24"/>
  </w:num>
  <w:num w:numId="18">
    <w:abstractNumId w:val="35"/>
  </w:num>
  <w:num w:numId="19">
    <w:abstractNumId w:val="34"/>
  </w:num>
  <w:num w:numId="20">
    <w:abstractNumId w:val="12"/>
  </w:num>
  <w:num w:numId="21">
    <w:abstractNumId w:val="30"/>
  </w:num>
  <w:num w:numId="22">
    <w:abstractNumId w:val="23"/>
  </w:num>
  <w:num w:numId="23">
    <w:abstractNumId w:val="26"/>
  </w:num>
  <w:num w:numId="24">
    <w:abstractNumId w:val="28"/>
  </w:num>
  <w:num w:numId="25">
    <w:abstractNumId w:val="19"/>
  </w:num>
  <w:num w:numId="26">
    <w:abstractNumId w:val="13"/>
  </w:num>
  <w:num w:numId="27">
    <w:abstractNumId w:val="18"/>
  </w:num>
  <w:num w:numId="28">
    <w:abstractNumId w:val="14"/>
  </w:num>
  <w:num w:numId="29">
    <w:abstractNumId w:val="32"/>
  </w:num>
  <w:num w:numId="30">
    <w:abstractNumId w:val="25"/>
  </w:num>
  <w:num w:numId="31">
    <w:abstractNumId w:val="33"/>
  </w:num>
  <w:num w:numId="32">
    <w:abstractNumId w:val="28"/>
  </w:num>
  <w:num w:numId="33">
    <w:abstractNumId w:val="15"/>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29"/>
  </w:num>
  <w:num w:numId="41">
    <w:abstractNumId w:val="22"/>
  </w:num>
  <w:num w:numId="42">
    <w:abstractNumId w:val="16"/>
  </w:num>
  <w:num w:numId="43">
    <w:abstractNumId w:val="28"/>
  </w:num>
  <w:num w:numId="44">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5E"/>
    <w:rsid w:val="0000060B"/>
    <w:rsid w:val="00002840"/>
    <w:rsid w:val="00002C86"/>
    <w:rsid w:val="00003FBB"/>
    <w:rsid w:val="000055AB"/>
    <w:rsid w:val="00005C98"/>
    <w:rsid w:val="00005FEA"/>
    <w:rsid w:val="000064C3"/>
    <w:rsid w:val="00007255"/>
    <w:rsid w:val="000074FF"/>
    <w:rsid w:val="00010501"/>
    <w:rsid w:val="000111A7"/>
    <w:rsid w:val="00012482"/>
    <w:rsid w:val="00016FF4"/>
    <w:rsid w:val="00020F5A"/>
    <w:rsid w:val="000244D6"/>
    <w:rsid w:val="000262F5"/>
    <w:rsid w:val="000362E1"/>
    <w:rsid w:val="00037110"/>
    <w:rsid w:val="00041B79"/>
    <w:rsid w:val="0004474D"/>
    <w:rsid w:val="00046A04"/>
    <w:rsid w:val="00051148"/>
    <w:rsid w:val="00051ADE"/>
    <w:rsid w:val="00060762"/>
    <w:rsid w:val="00062EC5"/>
    <w:rsid w:val="0006430D"/>
    <w:rsid w:val="0006606C"/>
    <w:rsid w:val="00067A9E"/>
    <w:rsid w:val="000746A7"/>
    <w:rsid w:val="00075A17"/>
    <w:rsid w:val="00080227"/>
    <w:rsid w:val="000825CF"/>
    <w:rsid w:val="000837F8"/>
    <w:rsid w:val="000A00B2"/>
    <w:rsid w:val="000A5C6B"/>
    <w:rsid w:val="000B02AF"/>
    <w:rsid w:val="000B0B25"/>
    <w:rsid w:val="000B1A1C"/>
    <w:rsid w:val="000B3B25"/>
    <w:rsid w:val="000C0917"/>
    <w:rsid w:val="000C0F7D"/>
    <w:rsid w:val="000C17D6"/>
    <w:rsid w:val="000C1924"/>
    <w:rsid w:val="000C4502"/>
    <w:rsid w:val="000C680A"/>
    <w:rsid w:val="000C7C6F"/>
    <w:rsid w:val="000C7F23"/>
    <w:rsid w:val="000D26E8"/>
    <w:rsid w:val="000D52C3"/>
    <w:rsid w:val="000D6DF9"/>
    <w:rsid w:val="000D72E1"/>
    <w:rsid w:val="000E2582"/>
    <w:rsid w:val="000E3CD9"/>
    <w:rsid w:val="000E7804"/>
    <w:rsid w:val="000F11EB"/>
    <w:rsid w:val="000F209E"/>
    <w:rsid w:val="000F2111"/>
    <w:rsid w:val="000F7A3A"/>
    <w:rsid w:val="000F7F13"/>
    <w:rsid w:val="001035B2"/>
    <w:rsid w:val="001057B1"/>
    <w:rsid w:val="001060FB"/>
    <w:rsid w:val="001071E5"/>
    <w:rsid w:val="00111DD1"/>
    <w:rsid w:val="0011335B"/>
    <w:rsid w:val="00114F64"/>
    <w:rsid w:val="001152D9"/>
    <w:rsid w:val="001179E5"/>
    <w:rsid w:val="001205D0"/>
    <w:rsid w:val="00120A91"/>
    <w:rsid w:val="00125E8E"/>
    <w:rsid w:val="00127982"/>
    <w:rsid w:val="00127AFE"/>
    <w:rsid w:val="00142DD7"/>
    <w:rsid w:val="00152C62"/>
    <w:rsid w:val="00153A41"/>
    <w:rsid w:val="001557F9"/>
    <w:rsid w:val="0016051F"/>
    <w:rsid w:val="00160AF3"/>
    <w:rsid w:val="0016251F"/>
    <w:rsid w:val="001643FB"/>
    <w:rsid w:val="001672D1"/>
    <w:rsid w:val="001722B2"/>
    <w:rsid w:val="00173653"/>
    <w:rsid w:val="001765E2"/>
    <w:rsid w:val="001841D6"/>
    <w:rsid w:val="0018431A"/>
    <w:rsid w:val="00184587"/>
    <w:rsid w:val="001847DF"/>
    <w:rsid w:val="0018548A"/>
    <w:rsid w:val="00185A01"/>
    <w:rsid w:val="00185C73"/>
    <w:rsid w:val="00186465"/>
    <w:rsid w:val="00187933"/>
    <w:rsid w:val="00187DEF"/>
    <w:rsid w:val="00193A95"/>
    <w:rsid w:val="00194C95"/>
    <w:rsid w:val="001A27E8"/>
    <w:rsid w:val="001B0F5B"/>
    <w:rsid w:val="001B1F53"/>
    <w:rsid w:val="001B30B1"/>
    <w:rsid w:val="001B3CAE"/>
    <w:rsid w:val="001B5AB1"/>
    <w:rsid w:val="001D04BD"/>
    <w:rsid w:val="001D68B7"/>
    <w:rsid w:val="001D69DD"/>
    <w:rsid w:val="001E0BC7"/>
    <w:rsid w:val="001E20B0"/>
    <w:rsid w:val="001E5348"/>
    <w:rsid w:val="001E69ED"/>
    <w:rsid w:val="001E7EB7"/>
    <w:rsid w:val="001F07FB"/>
    <w:rsid w:val="001F20AC"/>
    <w:rsid w:val="001F4728"/>
    <w:rsid w:val="001F4F50"/>
    <w:rsid w:val="001F673D"/>
    <w:rsid w:val="001F71EB"/>
    <w:rsid w:val="00202F97"/>
    <w:rsid w:val="00205188"/>
    <w:rsid w:val="00211F9B"/>
    <w:rsid w:val="00213BBB"/>
    <w:rsid w:val="00220348"/>
    <w:rsid w:val="00221456"/>
    <w:rsid w:val="002307EC"/>
    <w:rsid w:val="00232FDD"/>
    <w:rsid w:val="0024067E"/>
    <w:rsid w:val="002432B1"/>
    <w:rsid w:val="002539BC"/>
    <w:rsid w:val="0025452C"/>
    <w:rsid w:val="00254A6B"/>
    <w:rsid w:val="0025704C"/>
    <w:rsid w:val="00261DB9"/>
    <w:rsid w:val="002661CB"/>
    <w:rsid w:val="002677C3"/>
    <w:rsid w:val="00270A1B"/>
    <w:rsid w:val="002711EA"/>
    <w:rsid w:val="00275246"/>
    <w:rsid w:val="00275864"/>
    <w:rsid w:val="002776AC"/>
    <w:rsid w:val="00280A72"/>
    <w:rsid w:val="002818A8"/>
    <w:rsid w:val="002826AA"/>
    <w:rsid w:val="00283105"/>
    <w:rsid w:val="00283B68"/>
    <w:rsid w:val="00285199"/>
    <w:rsid w:val="00286A48"/>
    <w:rsid w:val="00286BBF"/>
    <w:rsid w:val="00291523"/>
    <w:rsid w:val="002B2450"/>
    <w:rsid w:val="002B370E"/>
    <w:rsid w:val="002B40CF"/>
    <w:rsid w:val="002B4927"/>
    <w:rsid w:val="002B5B59"/>
    <w:rsid w:val="002C073E"/>
    <w:rsid w:val="002C4244"/>
    <w:rsid w:val="002D2FD2"/>
    <w:rsid w:val="002D3C96"/>
    <w:rsid w:val="002E6A77"/>
    <w:rsid w:val="002F147A"/>
    <w:rsid w:val="002F5386"/>
    <w:rsid w:val="003007D0"/>
    <w:rsid w:val="0030486B"/>
    <w:rsid w:val="003060D8"/>
    <w:rsid w:val="00306882"/>
    <w:rsid w:val="003104F8"/>
    <w:rsid w:val="003123C8"/>
    <w:rsid w:val="00312A45"/>
    <w:rsid w:val="00313AAC"/>
    <w:rsid w:val="0031420B"/>
    <w:rsid w:val="0032016E"/>
    <w:rsid w:val="003208BB"/>
    <w:rsid w:val="00321614"/>
    <w:rsid w:val="0032316F"/>
    <w:rsid w:val="0032638A"/>
    <w:rsid w:val="0033079D"/>
    <w:rsid w:val="00344AC9"/>
    <w:rsid w:val="00351243"/>
    <w:rsid w:val="00354A9B"/>
    <w:rsid w:val="003559A4"/>
    <w:rsid w:val="003579EE"/>
    <w:rsid w:val="003602AA"/>
    <w:rsid w:val="00360D33"/>
    <w:rsid w:val="003618CD"/>
    <w:rsid w:val="003621A3"/>
    <w:rsid w:val="00363746"/>
    <w:rsid w:val="00363F0E"/>
    <w:rsid w:val="00364E73"/>
    <w:rsid w:val="003669AB"/>
    <w:rsid w:val="00367437"/>
    <w:rsid w:val="00370B1D"/>
    <w:rsid w:val="00371411"/>
    <w:rsid w:val="0037257C"/>
    <w:rsid w:val="00385D26"/>
    <w:rsid w:val="00387B7A"/>
    <w:rsid w:val="00391A92"/>
    <w:rsid w:val="00391ABC"/>
    <w:rsid w:val="00392240"/>
    <w:rsid w:val="003950AF"/>
    <w:rsid w:val="003A4A67"/>
    <w:rsid w:val="003A51A6"/>
    <w:rsid w:val="003B3152"/>
    <w:rsid w:val="003B3F7C"/>
    <w:rsid w:val="003B439D"/>
    <w:rsid w:val="003B7D65"/>
    <w:rsid w:val="003C1163"/>
    <w:rsid w:val="003C4E65"/>
    <w:rsid w:val="003C6603"/>
    <w:rsid w:val="003C67E7"/>
    <w:rsid w:val="003C7985"/>
    <w:rsid w:val="003D3ABA"/>
    <w:rsid w:val="003D6F89"/>
    <w:rsid w:val="003D7D58"/>
    <w:rsid w:val="003E55EC"/>
    <w:rsid w:val="003F6739"/>
    <w:rsid w:val="003F7333"/>
    <w:rsid w:val="004009C9"/>
    <w:rsid w:val="0040142A"/>
    <w:rsid w:val="0040344C"/>
    <w:rsid w:val="00406BC5"/>
    <w:rsid w:val="004075DF"/>
    <w:rsid w:val="00407FB0"/>
    <w:rsid w:val="004102A6"/>
    <w:rsid w:val="00412026"/>
    <w:rsid w:val="00412403"/>
    <w:rsid w:val="004163F4"/>
    <w:rsid w:val="004235BE"/>
    <w:rsid w:val="00424BB3"/>
    <w:rsid w:val="004308D0"/>
    <w:rsid w:val="00433A51"/>
    <w:rsid w:val="00433F46"/>
    <w:rsid w:val="00442369"/>
    <w:rsid w:val="0044524F"/>
    <w:rsid w:val="00445B9E"/>
    <w:rsid w:val="00446AB0"/>
    <w:rsid w:val="00456198"/>
    <w:rsid w:val="004566AC"/>
    <w:rsid w:val="00460DAF"/>
    <w:rsid w:val="004661E9"/>
    <w:rsid w:val="004662ED"/>
    <w:rsid w:val="00466877"/>
    <w:rsid w:val="00475C3A"/>
    <w:rsid w:val="00480282"/>
    <w:rsid w:val="00480C4A"/>
    <w:rsid w:val="00481FCD"/>
    <w:rsid w:val="004842BE"/>
    <w:rsid w:val="004903E4"/>
    <w:rsid w:val="0049071B"/>
    <w:rsid w:val="004912E9"/>
    <w:rsid w:val="00491AA3"/>
    <w:rsid w:val="00491C8A"/>
    <w:rsid w:val="00492ED8"/>
    <w:rsid w:val="004947BD"/>
    <w:rsid w:val="004A07EC"/>
    <w:rsid w:val="004A1DD2"/>
    <w:rsid w:val="004A303F"/>
    <w:rsid w:val="004A3F0A"/>
    <w:rsid w:val="004A40B5"/>
    <w:rsid w:val="004A50F2"/>
    <w:rsid w:val="004A526A"/>
    <w:rsid w:val="004A5B15"/>
    <w:rsid w:val="004A79E5"/>
    <w:rsid w:val="004B2B5F"/>
    <w:rsid w:val="004B5374"/>
    <w:rsid w:val="004B5925"/>
    <w:rsid w:val="004B6871"/>
    <w:rsid w:val="004B75B6"/>
    <w:rsid w:val="004C05DE"/>
    <w:rsid w:val="004C1678"/>
    <w:rsid w:val="004C1CE9"/>
    <w:rsid w:val="004C22FE"/>
    <w:rsid w:val="004C337E"/>
    <w:rsid w:val="004C4F46"/>
    <w:rsid w:val="004C6FB5"/>
    <w:rsid w:val="004C701C"/>
    <w:rsid w:val="004C7EE6"/>
    <w:rsid w:val="004D070D"/>
    <w:rsid w:val="004D378E"/>
    <w:rsid w:val="004E2EA1"/>
    <w:rsid w:val="004E403C"/>
    <w:rsid w:val="004E578A"/>
    <w:rsid w:val="004E6EC2"/>
    <w:rsid w:val="004E7DF5"/>
    <w:rsid w:val="004F2BED"/>
    <w:rsid w:val="004F32DF"/>
    <w:rsid w:val="004F3587"/>
    <w:rsid w:val="004F3F83"/>
    <w:rsid w:val="004F6713"/>
    <w:rsid w:val="005002AB"/>
    <w:rsid w:val="0050374A"/>
    <w:rsid w:val="00503BC0"/>
    <w:rsid w:val="00504585"/>
    <w:rsid w:val="00504E5D"/>
    <w:rsid w:val="00505F0B"/>
    <w:rsid w:val="005116C6"/>
    <w:rsid w:val="0051198E"/>
    <w:rsid w:val="00513439"/>
    <w:rsid w:val="005146F5"/>
    <w:rsid w:val="00523705"/>
    <w:rsid w:val="00526B54"/>
    <w:rsid w:val="00527120"/>
    <w:rsid w:val="00531CA7"/>
    <w:rsid w:val="00537337"/>
    <w:rsid w:val="00541788"/>
    <w:rsid w:val="00541F2B"/>
    <w:rsid w:val="00543C31"/>
    <w:rsid w:val="0054573E"/>
    <w:rsid w:val="00546E1A"/>
    <w:rsid w:val="00550274"/>
    <w:rsid w:val="00550C05"/>
    <w:rsid w:val="00553A4D"/>
    <w:rsid w:val="005542C1"/>
    <w:rsid w:val="00554AE3"/>
    <w:rsid w:val="005616E3"/>
    <w:rsid w:val="00561BFE"/>
    <w:rsid w:val="005633C6"/>
    <w:rsid w:val="005703BA"/>
    <w:rsid w:val="00570E84"/>
    <w:rsid w:val="00572FD2"/>
    <w:rsid w:val="00574FB3"/>
    <w:rsid w:val="00576BCF"/>
    <w:rsid w:val="0057753E"/>
    <w:rsid w:val="00587F6E"/>
    <w:rsid w:val="005916DC"/>
    <w:rsid w:val="0059411A"/>
    <w:rsid w:val="00594983"/>
    <w:rsid w:val="00597D1E"/>
    <w:rsid w:val="005A5EDE"/>
    <w:rsid w:val="005A63F2"/>
    <w:rsid w:val="005A6E83"/>
    <w:rsid w:val="005A7B06"/>
    <w:rsid w:val="005B0483"/>
    <w:rsid w:val="005B143D"/>
    <w:rsid w:val="005B6936"/>
    <w:rsid w:val="005B6E07"/>
    <w:rsid w:val="005B7B90"/>
    <w:rsid w:val="005C0D39"/>
    <w:rsid w:val="005C1813"/>
    <w:rsid w:val="005C19D1"/>
    <w:rsid w:val="005C3FE4"/>
    <w:rsid w:val="005C45DD"/>
    <w:rsid w:val="005C4E83"/>
    <w:rsid w:val="005C516B"/>
    <w:rsid w:val="005C785E"/>
    <w:rsid w:val="005C7D3E"/>
    <w:rsid w:val="005D4C17"/>
    <w:rsid w:val="005D5E1D"/>
    <w:rsid w:val="005D7374"/>
    <w:rsid w:val="005E067B"/>
    <w:rsid w:val="005E0A63"/>
    <w:rsid w:val="005E0D86"/>
    <w:rsid w:val="005E4425"/>
    <w:rsid w:val="005E5BEB"/>
    <w:rsid w:val="005E7064"/>
    <w:rsid w:val="005F5B6A"/>
    <w:rsid w:val="005F6AC8"/>
    <w:rsid w:val="0060776F"/>
    <w:rsid w:val="00610C98"/>
    <w:rsid w:val="0061181A"/>
    <w:rsid w:val="00612B33"/>
    <w:rsid w:val="00613060"/>
    <w:rsid w:val="00613DE7"/>
    <w:rsid w:val="00617376"/>
    <w:rsid w:val="00617923"/>
    <w:rsid w:val="00625396"/>
    <w:rsid w:val="006262BB"/>
    <w:rsid w:val="00627380"/>
    <w:rsid w:val="00627F5D"/>
    <w:rsid w:val="006354CE"/>
    <w:rsid w:val="0064177A"/>
    <w:rsid w:val="006426DC"/>
    <w:rsid w:val="00642E32"/>
    <w:rsid w:val="006440E9"/>
    <w:rsid w:val="006453E9"/>
    <w:rsid w:val="0064719E"/>
    <w:rsid w:val="00651964"/>
    <w:rsid w:val="00651CFA"/>
    <w:rsid w:val="006521BA"/>
    <w:rsid w:val="00653F98"/>
    <w:rsid w:val="00655F78"/>
    <w:rsid w:val="0065735F"/>
    <w:rsid w:val="0066157E"/>
    <w:rsid w:val="0066175B"/>
    <w:rsid w:val="00665227"/>
    <w:rsid w:val="006700EB"/>
    <w:rsid w:val="00672790"/>
    <w:rsid w:val="00672C7C"/>
    <w:rsid w:val="006736E9"/>
    <w:rsid w:val="006773B4"/>
    <w:rsid w:val="00677FB4"/>
    <w:rsid w:val="00680FDE"/>
    <w:rsid w:val="00684561"/>
    <w:rsid w:val="00692504"/>
    <w:rsid w:val="00694E50"/>
    <w:rsid w:val="0069548C"/>
    <w:rsid w:val="0069636D"/>
    <w:rsid w:val="006A5CAA"/>
    <w:rsid w:val="006A7E8F"/>
    <w:rsid w:val="006B4D7B"/>
    <w:rsid w:val="006B726E"/>
    <w:rsid w:val="006B7CBE"/>
    <w:rsid w:val="006C32F6"/>
    <w:rsid w:val="006C4809"/>
    <w:rsid w:val="006C5E94"/>
    <w:rsid w:val="006C718F"/>
    <w:rsid w:val="006C76C2"/>
    <w:rsid w:val="006D0E6F"/>
    <w:rsid w:val="006D15FD"/>
    <w:rsid w:val="006D1705"/>
    <w:rsid w:val="006D23FB"/>
    <w:rsid w:val="006D6E71"/>
    <w:rsid w:val="006E11B1"/>
    <w:rsid w:val="006E14E2"/>
    <w:rsid w:val="006E1B64"/>
    <w:rsid w:val="006F2B20"/>
    <w:rsid w:val="006F2B5E"/>
    <w:rsid w:val="006F2ECC"/>
    <w:rsid w:val="006F4D67"/>
    <w:rsid w:val="006F54E1"/>
    <w:rsid w:val="00700649"/>
    <w:rsid w:val="007028EC"/>
    <w:rsid w:val="00702C1D"/>
    <w:rsid w:val="0070620D"/>
    <w:rsid w:val="00711EFA"/>
    <w:rsid w:val="00711FFE"/>
    <w:rsid w:val="00712EDF"/>
    <w:rsid w:val="00713DCF"/>
    <w:rsid w:val="007144CD"/>
    <w:rsid w:val="00716653"/>
    <w:rsid w:val="007172CA"/>
    <w:rsid w:val="00720196"/>
    <w:rsid w:val="00721BC8"/>
    <w:rsid w:val="00725ACA"/>
    <w:rsid w:val="0072614D"/>
    <w:rsid w:val="007273B1"/>
    <w:rsid w:val="00730DE7"/>
    <w:rsid w:val="0073714D"/>
    <w:rsid w:val="00745AC8"/>
    <w:rsid w:val="00755B2D"/>
    <w:rsid w:val="00755CA2"/>
    <w:rsid w:val="00761181"/>
    <w:rsid w:val="00761DF7"/>
    <w:rsid w:val="00761E4C"/>
    <w:rsid w:val="00766073"/>
    <w:rsid w:val="00766FE5"/>
    <w:rsid w:val="007677B3"/>
    <w:rsid w:val="00771711"/>
    <w:rsid w:val="00773E4E"/>
    <w:rsid w:val="00774AAC"/>
    <w:rsid w:val="00776C08"/>
    <w:rsid w:val="00776C9B"/>
    <w:rsid w:val="00781DB6"/>
    <w:rsid w:val="00783E60"/>
    <w:rsid w:val="007910D6"/>
    <w:rsid w:val="00791885"/>
    <w:rsid w:val="00794EE6"/>
    <w:rsid w:val="007A25C1"/>
    <w:rsid w:val="007A4573"/>
    <w:rsid w:val="007B04EA"/>
    <w:rsid w:val="007B085F"/>
    <w:rsid w:val="007B3AA8"/>
    <w:rsid w:val="007B3C67"/>
    <w:rsid w:val="007B5DD7"/>
    <w:rsid w:val="007C2A75"/>
    <w:rsid w:val="007C5630"/>
    <w:rsid w:val="007C7D3A"/>
    <w:rsid w:val="007D25E3"/>
    <w:rsid w:val="007D3710"/>
    <w:rsid w:val="007D67AF"/>
    <w:rsid w:val="007E08E8"/>
    <w:rsid w:val="007E12B5"/>
    <w:rsid w:val="007E27EE"/>
    <w:rsid w:val="007E29A7"/>
    <w:rsid w:val="007E2DBB"/>
    <w:rsid w:val="007E3972"/>
    <w:rsid w:val="007F3CC6"/>
    <w:rsid w:val="007F6AB0"/>
    <w:rsid w:val="00803D71"/>
    <w:rsid w:val="0080605C"/>
    <w:rsid w:val="00806508"/>
    <w:rsid w:val="0081209F"/>
    <w:rsid w:val="00812952"/>
    <w:rsid w:val="008146D1"/>
    <w:rsid w:val="008153C6"/>
    <w:rsid w:val="00815531"/>
    <w:rsid w:val="00817588"/>
    <w:rsid w:val="00822562"/>
    <w:rsid w:val="00823069"/>
    <w:rsid w:val="0082375C"/>
    <w:rsid w:val="00826D27"/>
    <w:rsid w:val="00827042"/>
    <w:rsid w:val="00837D58"/>
    <w:rsid w:val="00843C85"/>
    <w:rsid w:val="00845807"/>
    <w:rsid w:val="008468D2"/>
    <w:rsid w:val="0085236C"/>
    <w:rsid w:val="008527B5"/>
    <w:rsid w:val="008537A3"/>
    <w:rsid w:val="00857822"/>
    <w:rsid w:val="00860CED"/>
    <w:rsid w:val="008624A6"/>
    <w:rsid w:val="00862B06"/>
    <w:rsid w:val="0087010D"/>
    <w:rsid w:val="00870973"/>
    <w:rsid w:val="00872956"/>
    <w:rsid w:val="0087303F"/>
    <w:rsid w:val="00873F25"/>
    <w:rsid w:val="0089235E"/>
    <w:rsid w:val="00894E88"/>
    <w:rsid w:val="00896F3B"/>
    <w:rsid w:val="008979F1"/>
    <w:rsid w:val="008A047C"/>
    <w:rsid w:val="008A66E3"/>
    <w:rsid w:val="008A6C70"/>
    <w:rsid w:val="008A73CD"/>
    <w:rsid w:val="008C0082"/>
    <w:rsid w:val="008C00A9"/>
    <w:rsid w:val="008C1854"/>
    <w:rsid w:val="008C284C"/>
    <w:rsid w:val="008C3231"/>
    <w:rsid w:val="008C3496"/>
    <w:rsid w:val="008C7012"/>
    <w:rsid w:val="008D0EEB"/>
    <w:rsid w:val="008D4212"/>
    <w:rsid w:val="008D4220"/>
    <w:rsid w:val="008D426B"/>
    <w:rsid w:val="008D4EF8"/>
    <w:rsid w:val="008D6A5C"/>
    <w:rsid w:val="008E3362"/>
    <w:rsid w:val="008E5D43"/>
    <w:rsid w:val="008F0FAD"/>
    <w:rsid w:val="008F3AF3"/>
    <w:rsid w:val="008F5A60"/>
    <w:rsid w:val="008F6D99"/>
    <w:rsid w:val="00900980"/>
    <w:rsid w:val="00905D81"/>
    <w:rsid w:val="00911A15"/>
    <w:rsid w:val="00913083"/>
    <w:rsid w:val="00916EDD"/>
    <w:rsid w:val="00921DD0"/>
    <w:rsid w:val="00924800"/>
    <w:rsid w:val="00926372"/>
    <w:rsid w:val="00926656"/>
    <w:rsid w:val="00927923"/>
    <w:rsid w:val="0093183B"/>
    <w:rsid w:val="0093565E"/>
    <w:rsid w:val="00935668"/>
    <w:rsid w:val="009365B8"/>
    <w:rsid w:val="00937C29"/>
    <w:rsid w:val="009450CC"/>
    <w:rsid w:val="00945D29"/>
    <w:rsid w:val="00946032"/>
    <w:rsid w:val="00950264"/>
    <w:rsid w:val="00950C3F"/>
    <w:rsid w:val="00954B9F"/>
    <w:rsid w:val="00957307"/>
    <w:rsid w:val="00962024"/>
    <w:rsid w:val="00975415"/>
    <w:rsid w:val="0097569F"/>
    <w:rsid w:val="00983295"/>
    <w:rsid w:val="00987CEC"/>
    <w:rsid w:val="00990859"/>
    <w:rsid w:val="00992D88"/>
    <w:rsid w:val="00994E15"/>
    <w:rsid w:val="0099579D"/>
    <w:rsid w:val="009973A9"/>
    <w:rsid w:val="00997FF6"/>
    <w:rsid w:val="009A5D29"/>
    <w:rsid w:val="009B2592"/>
    <w:rsid w:val="009B2929"/>
    <w:rsid w:val="009B6629"/>
    <w:rsid w:val="009C32AD"/>
    <w:rsid w:val="009C6468"/>
    <w:rsid w:val="009D09BA"/>
    <w:rsid w:val="009D28F3"/>
    <w:rsid w:val="009D3546"/>
    <w:rsid w:val="009D4099"/>
    <w:rsid w:val="009E1357"/>
    <w:rsid w:val="009E782C"/>
    <w:rsid w:val="009F0ABC"/>
    <w:rsid w:val="009F23E2"/>
    <w:rsid w:val="009F3A67"/>
    <w:rsid w:val="009F5123"/>
    <w:rsid w:val="00A04BC7"/>
    <w:rsid w:val="00A06452"/>
    <w:rsid w:val="00A06A3B"/>
    <w:rsid w:val="00A11678"/>
    <w:rsid w:val="00A1386D"/>
    <w:rsid w:val="00A15447"/>
    <w:rsid w:val="00A169B1"/>
    <w:rsid w:val="00A2126B"/>
    <w:rsid w:val="00A21AE6"/>
    <w:rsid w:val="00A25BC3"/>
    <w:rsid w:val="00A31E5D"/>
    <w:rsid w:val="00A37E25"/>
    <w:rsid w:val="00A40761"/>
    <w:rsid w:val="00A427D2"/>
    <w:rsid w:val="00A50757"/>
    <w:rsid w:val="00A534F4"/>
    <w:rsid w:val="00A54CDD"/>
    <w:rsid w:val="00A56406"/>
    <w:rsid w:val="00A56501"/>
    <w:rsid w:val="00A5693E"/>
    <w:rsid w:val="00A63D0C"/>
    <w:rsid w:val="00A71964"/>
    <w:rsid w:val="00A73080"/>
    <w:rsid w:val="00A73AE2"/>
    <w:rsid w:val="00A748C3"/>
    <w:rsid w:val="00A7522B"/>
    <w:rsid w:val="00A811F0"/>
    <w:rsid w:val="00A875B5"/>
    <w:rsid w:val="00A93A5D"/>
    <w:rsid w:val="00A93E0D"/>
    <w:rsid w:val="00A960EC"/>
    <w:rsid w:val="00AA3673"/>
    <w:rsid w:val="00AA54ED"/>
    <w:rsid w:val="00AA6ACB"/>
    <w:rsid w:val="00AB088D"/>
    <w:rsid w:val="00AB2F97"/>
    <w:rsid w:val="00AB3EB9"/>
    <w:rsid w:val="00AB6553"/>
    <w:rsid w:val="00AC437A"/>
    <w:rsid w:val="00AD0EA9"/>
    <w:rsid w:val="00AD17FC"/>
    <w:rsid w:val="00AD3721"/>
    <w:rsid w:val="00AD790B"/>
    <w:rsid w:val="00AE3076"/>
    <w:rsid w:val="00AE4C53"/>
    <w:rsid w:val="00AF1E50"/>
    <w:rsid w:val="00AF2647"/>
    <w:rsid w:val="00AF3854"/>
    <w:rsid w:val="00AF6328"/>
    <w:rsid w:val="00AF7550"/>
    <w:rsid w:val="00AF7C67"/>
    <w:rsid w:val="00B00F17"/>
    <w:rsid w:val="00B1048F"/>
    <w:rsid w:val="00B1095C"/>
    <w:rsid w:val="00B136A4"/>
    <w:rsid w:val="00B14FE1"/>
    <w:rsid w:val="00B16FD0"/>
    <w:rsid w:val="00B21248"/>
    <w:rsid w:val="00B21388"/>
    <w:rsid w:val="00B21C45"/>
    <w:rsid w:val="00B22F95"/>
    <w:rsid w:val="00B251AC"/>
    <w:rsid w:val="00B3685C"/>
    <w:rsid w:val="00B36C7F"/>
    <w:rsid w:val="00B37EF3"/>
    <w:rsid w:val="00B41DBE"/>
    <w:rsid w:val="00B43F3C"/>
    <w:rsid w:val="00B55B1F"/>
    <w:rsid w:val="00B55C12"/>
    <w:rsid w:val="00B61B06"/>
    <w:rsid w:val="00B71B68"/>
    <w:rsid w:val="00B72DDE"/>
    <w:rsid w:val="00B73491"/>
    <w:rsid w:val="00B73791"/>
    <w:rsid w:val="00B74879"/>
    <w:rsid w:val="00B7488C"/>
    <w:rsid w:val="00B767B9"/>
    <w:rsid w:val="00B769C3"/>
    <w:rsid w:val="00B80807"/>
    <w:rsid w:val="00B82AFA"/>
    <w:rsid w:val="00B8645D"/>
    <w:rsid w:val="00B978CA"/>
    <w:rsid w:val="00BA0F06"/>
    <w:rsid w:val="00BA113F"/>
    <w:rsid w:val="00BA6407"/>
    <w:rsid w:val="00BB271C"/>
    <w:rsid w:val="00BB342F"/>
    <w:rsid w:val="00BB4EAE"/>
    <w:rsid w:val="00BC1B54"/>
    <w:rsid w:val="00BC2DE1"/>
    <w:rsid w:val="00BC3A04"/>
    <w:rsid w:val="00BC58C3"/>
    <w:rsid w:val="00BC5FBC"/>
    <w:rsid w:val="00BD360D"/>
    <w:rsid w:val="00BD53A6"/>
    <w:rsid w:val="00BD5A01"/>
    <w:rsid w:val="00BE378D"/>
    <w:rsid w:val="00BE4B97"/>
    <w:rsid w:val="00BE56A5"/>
    <w:rsid w:val="00BF1006"/>
    <w:rsid w:val="00BF5173"/>
    <w:rsid w:val="00BF7AD3"/>
    <w:rsid w:val="00BF7E6F"/>
    <w:rsid w:val="00C06269"/>
    <w:rsid w:val="00C0681C"/>
    <w:rsid w:val="00C118BB"/>
    <w:rsid w:val="00C17222"/>
    <w:rsid w:val="00C177AF"/>
    <w:rsid w:val="00C24206"/>
    <w:rsid w:val="00C31AAC"/>
    <w:rsid w:val="00C32051"/>
    <w:rsid w:val="00C34FF0"/>
    <w:rsid w:val="00C356EF"/>
    <w:rsid w:val="00C35CFB"/>
    <w:rsid w:val="00C40A13"/>
    <w:rsid w:val="00C41051"/>
    <w:rsid w:val="00C42058"/>
    <w:rsid w:val="00C4219A"/>
    <w:rsid w:val="00C50CC8"/>
    <w:rsid w:val="00C514AF"/>
    <w:rsid w:val="00C54621"/>
    <w:rsid w:val="00C5494D"/>
    <w:rsid w:val="00C55663"/>
    <w:rsid w:val="00C56131"/>
    <w:rsid w:val="00C56726"/>
    <w:rsid w:val="00C6155F"/>
    <w:rsid w:val="00C6502E"/>
    <w:rsid w:val="00C660F9"/>
    <w:rsid w:val="00C67D8B"/>
    <w:rsid w:val="00C7152D"/>
    <w:rsid w:val="00C8253A"/>
    <w:rsid w:val="00C8454C"/>
    <w:rsid w:val="00C8461B"/>
    <w:rsid w:val="00C8461C"/>
    <w:rsid w:val="00C91282"/>
    <w:rsid w:val="00C95002"/>
    <w:rsid w:val="00C954B9"/>
    <w:rsid w:val="00C9565E"/>
    <w:rsid w:val="00CA3E06"/>
    <w:rsid w:val="00CA60CD"/>
    <w:rsid w:val="00CB01C7"/>
    <w:rsid w:val="00CB1127"/>
    <w:rsid w:val="00CB4B97"/>
    <w:rsid w:val="00CB6BF9"/>
    <w:rsid w:val="00CB751A"/>
    <w:rsid w:val="00CC04B9"/>
    <w:rsid w:val="00CC0645"/>
    <w:rsid w:val="00CC4597"/>
    <w:rsid w:val="00CD2326"/>
    <w:rsid w:val="00CD5739"/>
    <w:rsid w:val="00CE242E"/>
    <w:rsid w:val="00CE4E76"/>
    <w:rsid w:val="00CE63A5"/>
    <w:rsid w:val="00CE6DCE"/>
    <w:rsid w:val="00CE7DF8"/>
    <w:rsid w:val="00CE7E7E"/>
    <w:rsid w:val="00CF195F"/>
    <w:rsid w:val="00CF4E96"/>
    <w:rsid w:val="00CF5462"/>
    <w:rsid w:val="00CF75E3"/>
    <w:rsid w:val="00D01A9A"/>
    <w:rsid w:val="00D02D36"/>
    <w:rsid w:val="00D122E4"/>
    <w:rsid w:val="00D150CC"/>
    <w:rsid w:val="00D152ED"/>
    <w:rsid w:val="00D166C6"/>
    <w:rsid w:val="00D2035B"/>
    <w:rsid w:val="00D25E11"/>
    <w:rsid w:val="00D27014"/>
    <w:rsid w:val="00D3055B"/>
    <w:rsid w:val="00D32154"/>
    <w:rsid w:val="00D3253A"/>
    <w:rsid w:val="00D440D2"/>
    <w:rsid w:val="00D44230"/>
    <w:rsid w:val="00D46C17"/>
    <w:rsid w:val="00D50BB1"/>
    <w:rsid w:val="00D523FF"/>
    <w:rsid w:val="00D53823"/>
    <w:rsid w:val="00D55BB9"/>
    <w:rsid w:val="00D574E4"/>
    <w:rsid w:val="00D576D2"/>
    <w:rsid w:val="00D60227"/>
    <w:rsid w:val="00D60D8B"/>
    <w:rsid w:val="00D616E9"/>
    <w:rsid w:val="00D61875"/>
    <w:rsid w:val="00D61D32"/>
    <w:rsid w:val="00D63134"/>
    <w:rsid w:val="00D635F7"/>
    <w:rsid w:val="00D639ED"/>
    <w:rsid w:val="00D71335"/>
    <w:rsid w:val="00D724CD"/>
    <w:rsid w:val="00D7295A"/>
    <w:rsid w:val="00D80482"/>
    <w:rsid w:val="00D83502"/>
    <w:rsid w:val="00D8361A"/>
    <w:rsid w:val="00D84C28"/>
    <w:rsid w:val="00D84F9E"/>
    <w:rsid w:val="00D85BAA"/>
    <w:rsid w:val="00D86B49"/>
    <w:rsid w:val="00D95D11"/>
    <w:rsid w:val="00D96761"/>
    <w:rsid w:val="00D97BE5"/>
    <w:rsid w:val="00DA1EAC"/>
    <w:rsid w:val="00DA43AB"/>
    <w:rsid w:val="00DA7496"/>
    <w:rsid w:val="00DB1217"/>
    <w:rsid w:val="00DB1EA2"/>
    <w:rsid w:val="00DC2C86"/>
    <w:rsid w:val="00DC480B"/>
    <w:rsid w:val="00DC4F00"/>
    <w:rsid w:val="00DC709A"/>
    <w:rsid w:val="00DD14AA"/>
    <w:rsid w:val="00DD1567"/>
    <w:rsid w:val="00DD367B"/>
    <w:rsid w:val="00DD60C7"/>
    <w:rsid w:val="00DE6D51"/>
    <w:rsid w:val="00DF2CBA"/>
    <w:rsid w:val="00DF310F"/>
    <w:rsid w:val="00DF3EAC"/>
    <w:rsid w:val="00DF70A9"/>
    <w:rsid w:val="00E00711"/>
    <w:rsid w:val="00E01543"/>
    <w:rsid w:val="00E02788"/>
    <w:rsid w:val="00E043C9"/>
    <w:rsid w:val="00E072AA"/>
    <w:rsid w:val="00E079C7"/>
    <w:rsid w:val="00E12014"/>
    <w:rsid w:val="00E127B5"/>
    <w:rsid w:val="00E1517F"/>
    <w:rsid w:val="00E155EF"/>
    <w:rsid w:val="00E20E30"/>
    <w:rsid w:val="00E2195F"/>
    <w:rsid w:val="00E21E42"/>
    <w:rsid w:val="00E226B4"/>
    <w:rsid w:val="00E2478D"/>
    <w:rsid w:val="00E30237"/>
    <w:rsid w:val="00E33976"/>
    <w:rsid w:val="00E36E8C"/>
    <w:rsid w:val="00E37CFB"/>
    <w:rsid w:val="00E414ED"/>
    <w:rsid w:val="00E45FFA"/>
    <w:rsid w:val="00E47AC6"/>
    <w:rsid w:val="00E51FE1"/>
    <w:rsid w:val="00E54171"/>
    <w:rsid w:val="00E54C66"/>
    <w:rsid w:val="00E551C0"/>
    <w:rsid w:val="00E56578"/>
    <w:rsid w:val="00E62751"/>
    <w:rsid w:val="00E72A17"/>
    <w:rsid w:val="00E75DBA"/>
    <w:rsid w:val="00E80174"/>
    <w:rsid w:val="00E9225C"/>
    <w:rsid w:val="00E92A3D"/>
    <w:rsid w:val="00E97BF6"/>
    <w:rsid w:val="00EA032B"/>
    <w:rsid w:val="00EB24A6"/>
    <w:rsid w:val="00EB4F7F"/>
    <w:rsid w:val="00EB6C41"/>
    <w:rsid w:val="00EC0CDD"/>
    <w:rsid w:val="00EC23FE"/>
    <w:rsid w:val="00EC3329"/>
    <w:rsid w:val="00EC4DA8"/>
    <w:rsid w:val="00EC628D"/>
    <w:rsid w:val="00EC6B4C"/>
    <w:rsid w:val="00EC7445"/>
    <w:rsid w:val="00EC7703"/>
    <w:rsid w:val="00ED03FA"/>
    <w:rsid w:val="00ED0A40"/>
    <w:rsid w:val="00ED0C5F"/>
    <w:rsid w:val="00ED1E8B"/>
    <w:rsid w:val="00ED1EF0"/>
    <w:rsid w:val="00ED32BC"/>
    <w:rsid w:val="00ED54B9"/>
    <w:rsid w:val="00ED6442"/>
    <w:rsid w:val="00ED7D9D"/>
    <w:rsid w:val="00EE16F8"/>
    <w:rsid w:val="00EE2E33"/>
    <w:rsid w:val="00EE3DA9"/>
    <w:rsid w:val="00EE48B0"/>
    <w:rsid w:val="00EE48C5"/>
    <w:rsid w:val="00EE6D65"/>
    <w:rsid w:val="00EF0845"/>
    <w:rsid w:val="00EF4C94"/>
    <w:rsid w:val="00EF5713"/>
    <w:rsid w:val="00F0070F"/>
    <w:rsid w:val="00F014B3"/>
    <w:rsid w:val="00F05256"/>
    <w:rsid w:val="00F10C76"/>
    <w:rsid w:val="00F11A38"/>
    <w:rsid w:val="00F120FA"/>
    <w:rsid w:val="00F12176"/>
    <w:rsid w:val="00F125C8"/>
    <w:rsid w:val="00F128A4"/>
    <w:rsid w:val="00F17420"/>
    <w:rsid w:val="00F2071F"/>
    <w:rsid w:val="00F23E87"/>
    <w:rsid w:val="00F245D0"/>
    <w:rsid w:val="00F24BA9"/>
    <w:rsid w:val="00F255FF"/>
    <w:rsid w:val="00F274C5"/>
    <w:rsid w:val="00F27DC4"/>
    <w:rsid w:val="00F326E4"/>
    <w:rsid w:val="00F36002"/>
    <w:rsid w:val="00F41C6B"/>
    <w:rsid w:val="00F41C6E"/>
    <w:rsid w:val="00F42518"/>
    <w:rsid w:val="00F43693"/>
    <w:rsid w:val="00F47D1D"/>
    <w:rsid w:val="00F526D2"/>
    <w:rsid w:val="00F54ECB"/>
    <w:rsid w:val="00F5763E"/>
    <w:rsid w:val="00F70847"/>
    <w:rsid w:val="00F72918"/>
    <w:rsid w:val="00F81E11"/>
    <w:rsid w:val="00F82E27"/>
    <w:rsid w:val="00F8473B"/>
    <w:rsid w:val="00F85EE3"/>
    <w:rsid w:val="00F91D1F"/>
    <w:rsid w:val="00F931B8"/>
    <w:rsid w:val="00F9474D"/>
    <w:rsid w:val="00F95010"/>
    <w:rsid w:val="00F9514F"/>
    <w:rsid w:val="00FA0991"/>
    <w:rsid w:val="00FA0A86"/>
    <w:rsid w:val="00FA0F7C"/>
    <w:rsid w:val="00FA3DC1"/>
    <w:rsid w:val="00FB3CC2"/>
    <w:rsid w:val="00FC4B0C"/>
    <w:rsid w:val="00FC530A"/>
    <w:rsid w:val="00FC6543"/>
    <w:rsid w:val="00FD3366"/>
    <w:rsid w:val="00FD61B1"/>
    <w:rsid w:val="00FE02AC"/>
    <w:rsid w:val="00FE2429"/>
    <w:rsid w:val="00FE416F"/>
    <w:rsid w:val="00FE452D"/>
    <w:rsid w:val="00FE5A4D"/>
    <w:rsid w:val="00FF01A4"/>
    <w:rsid w:val="00FF07FE"/>
    <w:rsid w:val="00FF314D"/>
    <w:rsid w:val="00FF57C8"/>
    <w:rsid w:val="00FF6001"/>
    <w:rsid w:val="00FF6D93"/>
    <w:rsid w:val="00FF7A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1258A84"/>
  <w15:docId w15:val="{BA39B5FA-012D-458D-ABF1-FEB2F068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Titre1">
    <w:name w:val="heading 1"/>
    <w:basedOn w:val="Normal"/>
    <w:next w:val="Normal"/>
    <w:qFormat/>
    <w:pPr>
      <w:widowControl/>
      <w:numPr>
        <w:numId w:val="1"/>
      </w:numPr>
      <w:spacing w:after="240"/>
      <w:jc w:val="both"/>
      <w:outlineLvl w:val="0"/>
    </w:pPr>
    <w:rPr>
      <w:caps/>
      <w:sz w:val="28"/>
      <w:szCs w:val="28"/>
    </w:rPr>
  </w:style>
  <w:style w:type="paragraph" w:styleId="Titre2">
    <w:name w:val="heading 2"/>
    <w:basedOn w:val="Normal"/>
    <w:next w:val="Normal"/>
    <w:qFormat/>
    <w:pPr>
      <w:widowControl/>
      <w:numPr>
        <w:ilvl w:val="1"/>
        <w:numId w:val="1"/>
      </w:numPr>
      <w:spacing w:after="240"/>
      <w:ind w:hanging="454"/>
      <w:jc w:val="both"/>
      <w:outlineLvl w:val="1"/>
    </w:pPr>
    <w:rPr>
      <w:smallCaps/>
    </w:rPr>
  </w:style>
  <w:style w:type="paragraph" w:styleId="Titre3">
    <w:name w:val="heading 3"/>
    <w:basedOn w:val="Normal"/>
    <w:next w:val="Normal"/>
    <w:qFormat/>
    <w:pPr>
      <w:widowControl/>
      <w:numPr>
        <w:ilvl w:val="2"/>
        <w:numId w:val="1"/>
      </w:numPr>
      <w:spacing w:after="240"/>
      <w:ind w:hanging="454"/>
      <w:jc w:val="both"/>
      <w:outlineLvl w:val="2"/>
    </w:pPr>
    <w:rPr>
      <w:sz w:val="22"/>
      <w:szCs w:val="22"/>
    </w:rPr>
  </w:style>
  <w:style w:type="paragraph" w:styleId="Titre4">
    <w:name w:val="heading 4"/>
    <w:basedOn w:val="Normal"/>
    <w:next w:val="Normal"/>
    <w:qFormat/>
    <w:pPr>
      <w:keepNext/>
      <w:numPr>
        <w:ilvl w:val="3"/>
        <w:numId w:val="1"/>
      </w:numPr>
      <w:jc w:val="center"/>
      <w:outlineLvl w:val="3"/>
    </w:pPr>
    <w:rPr>
      <w:rFonts w:ascii="Times" w:hAnsi="Times" w:cs="Times"/>
      <w:i/>
      <w:iCs/>
      <w:sz w:val="22"/>
      <w:szCs w:val="22"/>
    </w:rPr>
  </w:style>
  <w:style w:type="paragraph" w:styleId="Titre5">
    <w:name w:val="heading 5"/>
    <w:basedOn w:val="Normal"/>
    <w:next w:val="Normal"/>
    <w:qFormat/>
    <w:pPr>
      <w:numPr>
        <w:ilvl w:val="4"/>
        <w:numId w:val="1"/>
      </w:numPr>
      <w:spacing w:before="240" w:after="60"/>
      <w:outlineLvl w:val="4"/>
    </w:pPr>
    <w:rPr>
      <w:rFonts w:ascii="Arial" w:hAnsi="Arial" w:cs="Arial"/>
      <w:sz w:val="22"/>
      <w:szCs w:val="22"/>
    </w:rPr>
  </w:style>
  <w:style w:type="paragraph" w:styleId="Titre6">
    <w:name w:val="heading 6"/>
    <w:basedOn w:val="Normal"/>
    <w:next w:val="Normal"/>
    <w:qFormat/>
    <w:pPr>
      <w:numPr>
        <w:ilvl w:val="5"/>
        <w:numId w:val="1"/>
      </w:numPr>
      <w:spacing w:before="240" w:after="60"/>
      <w:outlineLvl w:val="5"/>
    </w:pPr>
    <w:rPr>
      <w:i/>
      <w:iCs/>
      <w:sz w:val="22"/>
      <w:szCs w:val="22"/>
    </w:rPr>
  </w:style>
  <w:style w:type="paragraph" w:styleId="Titre7">
    <w:name w:val="heading 7"/>
    <w:basedOn w:val="Normal"/>
    <w:next w:val="Normal"/>
    <w:qFormat/>
    <w:pPr>
      <w:numPr>
        <w:ilvl w:val="6"/>
        <w:numId w:val="1"/>
      </w:numPr>
      <w:spacing w:before="240" w:after="60"/>
      <w:outlineLvl w:val="6"/>
    </w:pPr>
    <w:rPr>
      <w:rFonts w:ascii="Arial" w:hAnsi="Arial" w:cs="Arial"/>
      <w:sz w:val="20"/>
      <w:szCs w:val="20"/>
    </w:rPr>
  </w:style>
  <w:style w:type="paragraph" w:styleId="Titre8">
    <w:name w:val="heading 8"/>
    <w:basedOn w:val="Normal"/>
    <w:next w:val="Normal"/>
    <w:qFormat/>
    <w:pPr>
      <w:numPr>
        <w:ilvl w:val="7"/>
        <w:numId w:val="1"/>
      </w:numPr>
      <w:spacing w:before="240" w:after="60"/>
      <w:outlineLvl w:val="7"/>
    </w:pPr>
    <w:rPr>
      <w:rFonts w:ascii="Arial" w:hAnsi="Arial" w:cs="Arial"/>
      <w:i/>
      <w:iCs/>
      <w:sz w:val="20"/>
      <w:szCs w:val="20"/>
    </w:rPr>
  </w:style>
  <w:style w:type="paragraph" w:styleId="Titre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CEArticle">
    <w:name w:val="DCE Article"/>
    <w:basedOn w:val="Normal"/>
    <w:next w:val="DCETitre2"/>
    <w:link w:val="DCEArticleCar"/>
    <w:qFormat/>
    <w:rsid w:val="00AF3854"/>
    <w:pPr>
      <w:keepNext/>
      <w:keepLines/>
      <w:widowControl/>
      <w:numPr>
        <w:numId w:val="14"/>
      </w:numPr>
      <w:spacing w:before="360" w:after="240"/>
      <w:outlineLvl w:val="0"/>
    </w:pPr>
    <w:rPr>
      <w:b/>
      <w:caps/>
      <w:sz w:val="26"/>
      <w:szCs w:val="26"/>
      <w:u w:val="single"/>
    </w:rPr>
  </w:style>
  <w:style w:type="paragraph" w:styleId="En-tte">
    <w:name w:val="header"/>
    <w:basedOn w:val="Normal"/>
    <w:link w:val="En-tteCar"/>
    <w:semiHidden/>
    <w:rsid w:val="001F71EB"/>
    <w:pPr>
      <w:tabs>
        <w:tab w:val="center" w:pos="4536"/>
        <w:tab w:val="right" w:pos="9072"/>
      </w:tabs>
    </w:pPr>
  </w:style>
  <w:style w:type="paragraph" w:styleId="Notedebasdepage">
    <w:name w:val="footnote text"/>
    <w:basedOn w:val="Normal"/>
    <w:link w:val="NotedebasdepageCar"/>
    <w:rsid w:val="006262BB"/>
    <w:rPr>
      <w:sz w:val="20"/>
      <w:szCs w:val="20"/>
    </w:rPr>
  </w:style>
  <w:style w:type="paragraph" w:styleId="Pieddepage">
    <w:name w:val="footer"/>
    <w:basedOn w:val="Normal"/>
    <w:semiHidden/>
    <w:pPr>
      <w:tabs>
        <w:tab w:val="center" w:pos="4536"/>
        <w:tab w:val="right" w:pos="9072"/>
      </w:tabs>
    </w:pPr>
  </w:style>
  <w:style w:type="character" w:styleId="Appelnotedebasdep">
    <w:name w:val="footnote reference"/>
    <w:rsid w:val="00120A91"/>
    <w:rPr>
      <w:vertAlign w:val="superscript"/>
    </w:rPr>
  </w:style>
  <w:style w:type="character" w:styleId="Numrodepage">
    <w:name w:val="page number"/>
    <w:basedOn w:val="Policepardfaut"/>
    <w:semiHidden/>
  </w:style>
  <w:style w:type="paragraph" w:customStyle="1" w:styleId="DCETitre2">
    <w:name w:val="DCE Titre 2"/>
    <w:next w:val="DCECorpsdetexte"/>
    <w:link w:val="DCETitre2Car"/>
    <w:qFormat/>
    <w:rsid w:val="00550274"/>
    <w:pPr>
      <w:widowControl w:val="0"/>
      <w:numPr>
        <w:ilvl w:val="1"/>
        <w:numId w:val="24"/>
      </w:numPr>
      <w:tabs>
        <w:tab w:val="left" w:pos="851"/>
      </w:tabs>
      <w:spacing w:after="240"/>
      <w:jc w:val="both"/>
      <w:outlineLvl w:val="1"/>
    </w:pPr>
    <w:rPr>
      <w:b/>
      <w:iCs/>
      <w:sz w:val="24"/>
      <w:szCs w:val="24"/>
    </w:rPr>
  </w:style>
  <w:style w:type="paragraph" w:customStyle="1" w:styleId="DCEPucea">
    <w:name w:val="DCE Puce a)"/>
    <w:basedOn w:val="Corpstexte"/>
    <w:rsid w:val="007B5DD7"/>
    <w:pPr>
      <w:numPr>
        <w:numId w:val="3"/>
      </w:numPr>
    </w:pPr>
  </w:style>
  <w:style w:type="character" w:styleId="Lienhypertexte">
    <w:name w:val="Hyperlink"/>
    <w:uiPriority w:val="99"/>
    <w:rsid w:val="00120A91"/>
    <w:rPr>
      <w:color w:val="0000FF"/>
      <w:u w:val="single"/>
    </w:rPr>
  </w:style>
  <w:style w:type="paragraph" w:customStyle="1" w:styleId="Sous-article">
    <w:name w:val="Sous-article"/>
    <w:basedOn w:val="Normal"/>
    <w:semiHidden/>
    <w:rsid w:val="00C34FF0"/>
    <w:pPr>
      <w:spacing w:before="120" w:after="240"/>
    </w:pPr>
    <w:rPr>
      <w:b/>
    </w:rPr>
  </w:style>
  <w:style w:type="paragraph" w:customStyle="1" w:styleId="Article">
    <w:name w:val="Article"/>
    <w:basedOn w:val="Normal"/>
    <w:semiHidden/>
    <w:rsid w:val="00E079C7"/>
    <w:pPr>
      <w:spacing w:before="240" w:after="240"/>
      <w:jc w:val="both"/>
    </w:pPr>
    <w:rPr>
      <w:b/>
      <w:caps/>
      <w:u w:val="single"/>
    </w:rPr>
  </w:style>
  <w:style w:type="paragraph" w:customStyle="1" w:styleId="Puce1">
    <w:name w:val="Puce1"/>
    <w:basedOn w:val="Normal"/>
    <w:semiHidden/>
    <w:rsid w:val="00F255FF"/>
    <w:pPr>
      <w:tabs>
        <w:tab w:val="num" w:pos="720"/>
      </w:tabs>
      <w:spacing w:before="120" w:after="240"/>
      <w:ind w:left="714" w:hanging="357"/>
    </w:pPr>
  </w:style>
  <w:style w:type="paragraph" w:customStyle="1" w:styleId="Corpstexte">
    <w:name w:val="Corps texte"/>
    <w:basedOn w:val="Normal"/>
    <w:semiHidden/>
    <w:rsid w:val="00C34FF0"/>
    <w:pPr>
      <w:numPr>
        <w:numId w:val="2"/>
      </w:numPr>
      <w:spacing w:before="120" w:after="240"/>
    </w:pPr>
  </w:style>
  <w:style w:type="paragraph" w:customStyle="1" w:styleId="Texteparagraphe">
    <w:name w:val="Texte paragraphe"/>
    <w:basedOn w:val="Normal"/>
    <w:semiHidden/>
    <w:rsid w:val="007C7D3A"/>
    <w:pPr>
      <w:widowControl/>
      <w:spacing w:after="240"/>
      <w:jc w:val="both"/>
    </w:pPr>
  </w:style>
  <w:style w:type="paragraph" w:customStyle="1" w:styleId="StyleCentr">
    <w:name w:val="Style Centré"/>
    <w:basedOn w:val="Normal"/>
    <w:semiHidden/>
    <w:rsid w:val="00E079C7"/>
    <w:pPr>
      <w:jc w:val="center"/>
    </w:pPr>
    <w:rPr>
      <w:szCs w:val="20"/>
    </w:rPr>
  </w:style>
  <w:style w:type="paragraph" w:customStyle="1" w:styleId="DCETitre4">
    <w:name w:val="DCE Titre 4"/>
    <w:basedOn w:val="DCETitre1"/>
    <w:next w:val="DCECorpsdetexte"/>
    <w:rsid w:val="00EC7703"/>
    <w:pPr>
      <w:numPr>
        <w:numId w:val="0"/>
      </w:numPr>
    </w:pPr>
  </w:style>
  <w:style w:type="paragraph" w:customStyle="1" w:styleId="DCETiret">
    <w:name w:val="DCE Tiret"/>
    <w:basedOn w:val="Normal"/>
    <w:rsid w:val="00EE16F8"/>
    <w:pPr>
      <w:widowControl/>
      <w:numPr>
        <w:numId w:val="15"/>
      </w:numPr>
      <w:tabs>
        <w:tab w:val="left" w:pos="851"/>
      </w:tabs>
      <w:spacing w:before="120" w:after="160"/>
      <w:jc w:val="both"/>
    </w:pPr>
  </w:style>
  <w:style w:type="table" w:styleId="Grilledutableau">
    <w:name w:val="Table Grid"/>
    <w:basedOn w:val="TableauNormal"/>
    <w:rsid w:val="006426DC"/>
    <w:pPr>
      <w:overflowPunct w:val="0"/>
      <w:autoSpaceDE w:val="0"/>
      <w:autoSpaceDN w:val="0"/>
      <w:adjustRightInd w:val="0"/>
    </w:pPr>
    <w:rPr>
      <w:rFonts w:ascii="Bookman" w:hAnsi="Bookman" w:cs="Book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E">
    <w:name w:val="DCE"/>
    <w:basedOn w:val="En-tte"/>
    <w:rsid w:val="00D95D11"/>
    <w:pPr>
      <w:widowControl/>
      <w:pBdr>
        <w:top w:val="single" w:sz="4" w:space="1" w:color="auto"/>
        <w:left w:val="single" w:sz="4" w:space="4" w:color="auto"/>
        <w:bottom w:val="single" w:sz="4" w:space="1" w:color="auto"/>
        <w:right w:val="single" w:sz="4" w:space="4" w:color="auto"/>
      </w:pBdr>
      <w:tabs>
        <w:tab w:val="clear" w:pos="4536"/>
      </w:tabs>
      <w:ind w:left="2835" w:right="2835"/>
      <w:jc w:val="center"/>
    </w:pPr>
    <w:rPr>
      <w:b/>
      <w:sz w:val="52"/>
      <w:szCs w:val="52"/>
    </w:rPr>
  </w:style>
  <w:style w:type="table" w:customStyle="1" w:styleId="DCETableau">
    <w:name w:val="DCE Tableau"/>
    <w:basedOn w:val="Grilledutableau"/>
    <w:rsid w:val="00A56501"/>
    <w:rPr>
      <w:rFonts w:ascii="Times New Roman" w:hAnsi="Times New Roman"/>
      <w:sz w:val="24"/>
      <w:szCs w:val="24"/>
    </w:rPr>
    <w:tblPr>
      <w:jc w:val="center"/>
    </w:tblPr>
    <w:trPr>
      <w:jc w:val="center"/>
    </w:trPr>
    <w:tcPr>
      <w:vAlign w:val="center"/>
    </w:tcPr>
  </w:style>
  <w:style w:type="table" w:styleId="Grilledetableau1">
    <w:name w:val="Table Grid 1"/>
    <w:basedOn w:val="TableauNormal"/>
    <w:semiHidden/>
    <w:rsid w:val="00E56578"/>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CECadre6pt">
    <w:name w:val="DCE Cadre 6 pt"/>
    <w:basedOn w:val="Normal"/>
    <w:rsid w:val="00EE16F8"/>
    <w:pPr>
      <w:widowControl/>
      <w:pBdr>
        <w:top w:val="single" w:sz="4" w:space="8" w:color="auto"/>
        <w:left w:val="single" w:sz="4" w:space="4" w:color="auto"/>
        <w:bottom w:val="single" w:sz="4" w:space="8" w:color="auto"/>
        <w:right w:val="single" w:sz="4" w:space="4" w:color="auto"/>
      </w:pBdr>
      <w:spacing w:before="120" w:after="120"/>
      <w:jc w:val="center"/>
    </w:pPr>
  </w:style>
  <w:style w:type="paragraph" w:styleId="Textedebulles">
    <w:name w:val="Balloon Text"/>
    <w:basedOn w:val="Normal"/>
    <w:semiHidden/>
    <w:rsid w:val="00A04BC7"/>
    <w:rPr>
      <w:rFonts w:ascii="Tahoma" w:hAnsi="Tahoma" w:cs="Tahoma"/>
      <w:sz w:val="16"/>
      <w:szCs w:val="16"/>
    </w:rPr>
  </w:style>
  <w:style w:type="paragraph" w:styleId="TM2">
    <w:name w:val="toc 2"/>
    <w:basedOn w:val="Normal"/>
    <w:next w:val="Normal"/>
    <w:autoRedefine/>
    <w:uiPriority w:val="39"/>
    <w:qFormat/>
    <w:rsid w:val="00C31AAC"/>
    <w:pPr>
      <w:widowControl/>
      <w:tabs>
        <w:tab w:val="left" w:pos="880"/>
        <w:tab w:val="right" w:leader="dot" w:pos="8777"/>
      </w:tabs>
      <w:ind w:left="238" w:right="454"/>
    </w:pPr>
    <w:rPr>
      <w:b/>
      <w:noProof/>
      <w:sz w:val="22"/>
      <w:szCs w:val="22"/>
    </w:rPr>
  </w:style>
  <w:style w:type="paragraph" w:styleId="TM1">
    <w:name w:val="toc 1"/>
    <w:basedOn w:val="Normal"/>
    <w:next w:val="Normal"/>
    <w:autoRedefine/>
    <w:uiPriority w:val="39"/>
    <w:qFormat/>
    <w:rsid w:val="00002C86"/>
    <w:pPr>
      <w:keepNext/>
      <w:keepLines/>
      <w:widowControl/>
      <w:tabs>
        <w:tab w:val="right" w:leader="dot" w:pos="8777"/>
      </w:tabs>
      <w:spacing w:before="160" w:line="360" w:lineRule="auto"/>
    </w:pPr>
    <w:rPr>
      <w:b/>
      <w:caps/>
      <w:noProof/>
      <w:sz w:val="22"/>
      <w:szCs w:val="22"/>
    </w:rPr>
  </w:style>
  <w:style w:type="paragraph" w:styleId="TM3">
    <w:name w:val="toc 3"/>
    <w:basedOn w:val="Normal"/>
    <w:next w:val="Normal"/>
    <w:autoRedefine/>
    <w:uiPriority w:val="39"/>
    <w:qFormat/>
    <w:rsid w:val="00822562"/>
    <w:pPr>
      <w:ind w:left="482" w:right="454"/>
    </w:pPr>
    <w:rPr>
      <w:i/>
      <w:sz w:val="22"/>
    </w:rPr>
  </w:style>
  <w:style w:type="paragraph" w:customStyle="1" w:styleId="DCEAnnexe">
    <w:name w:val="DCE Annexe"/>
    <w:basedOn w:val="Normal"/>
    <w:next w:val="Normal"/>
    <w:rsid w:val="00DC2C86"/>
    <w:pPr>
      <w:spacing w:after="240"/>
      <w:jc w:val="center"/>
    </w:pPr>
    <w:rPr>
      <w:b/>
      <w:spacing w:val="20"/>
    </w:rPr>
  </w:style>
  <w:style w:type="paragraph" w:styleId="TM4">
    <w:name w:val="toc 4"/>
    <w:basedOn w:val="Normal"/>
    <w:next w:val="Normal"/>
    <w:autoRedefine/>
    <w:semiHidden/>
    <w:rsid w:val="00822562"/>
    <w:pPr>
      <w:spacing w:before="240"/>
      <w:ind w:right="454"/>
    </w:pPr>
    <w:rPr>
      <w:b/>
      <w:sz w:val="22"/>
    </w:rPr>
  </w:style>
  <w:style w:type="numbering" w:styleId="111111">
    <w:name w:val="Outline List 2"/>
    <w:basedOn w:val="Aucuneliste"/>
    <w:semiHidden/>
    <w:rsid w:val="00173653"/>
    <w:pPr>
      <w:numPr>
        <w:numId w:val="16"/>
      </w:numPr>
    </w:pPr>
  </w:style>
  <w:style w:type="numbering" w:styleId="1ai">
    <w:name w:val="Outline List 1"/>
    <w:basedOn w:val="Aucuneliste"/>
    <w:semiHidden/>
    <w:rsid w:val="00173653"/>
    <w:pPr>
      <w:numPr>
        <w:numId w:val="17"/>
      </w:numPr>
    </w:pPr>
  </w:style>
  <w:style w:type="character" w:styleId="Accentuation">
    <w:name w:val="Emphasis"/>
    <w:qFormat/>
    <w:rsid w:val="00173653"/>
    <w:rPr>
      <w:i/>
      <w:iCs/>
    </w:rPr>
  </w:style>
  <w:style w:type="character" w:styleId="AcronymeHTML">
    <w:name w:val="HTML Acronym"/>
    <w:basedOn w:val="Policepardfaut"/>
    <w:semiHidden/>
    <w:rsid w:val="00173653"/>
  </w:style>
  <w:style w:type="paragraph" w:styleId="Adressedestinataire">
    <w:name w:val="envelope address"/>
    <w:basedOn w:val="Normal"/>
    <w:semiHidden/>
    <w:rsid w:val="00173653"/>
    <w:pPr>
      <w:framePr w:w="7938" w:h="1985" w:hRule="exact" w:hSpace="141" w:wrap="auto" w:hAnchor="page" w:xAlign="center" w:yAlign="bottom"/>
      <w:ind w:left="2835"/>
    </w:pPr>
    <w:rPr>
      <w:rFonts w:ascii="Arial" w:hAnsi="Arial" w:cs="Arial"/>
    </w:rPr>
  </w:style>
  <w:style w:type="paragraph" w:styleId="Adresseexpditeur">
    <w:name w:val="envelope return"/>
    <w:basedOn w:val="Normal"/>
    <w:semiHidden/>
    <w:rsid w:val="00173653"/>
    <w:rPr>
      <w:rFonts w:ascii="Arial" w:hAnsi="Arial" w:cs="Arial"/>
      <w:sz w:val="20"/>
      <w:szCs w:val="20"/>
    </w:rPr>
  </w:style>
  <w:style w:type="paragraph" w:styleId="AdresseHTML">
    <w:name w:val="HTML Address"/>
    <w:basedOn w:val="Normal"/>
    <w:semiHidden/>
    <w:rsid w:val="00173653"/>
    <w:rPr>
      <w:i/>
      <w:iCs/>
    </w:rPr>
  </w:style>
  <w:style w:type="numbering" w:styleId="ArticleSection">
    <w:name w:val="Outline List 3"/>
    <w:basedOn w:val="Aucuneliste"/>
    <w:semiHidden/>
    <w:rsid w:val="00173653"/>
    <w:pPr>
      <w:numPr>
        <w:numId w:val="18"/>
      </w:numPr>
    </w:pPr>
  </w:style>
  <w:style w:type="character" w:styleId="CitationHTML">
    <w:name w:val="HTML Cite"/>
    <w:semiHidden/>
    <w:rsid w:val="00173653"/>
    <w:rPr>
      <w:i/>
      <w:iCs/>
    </w:rPr>
  </w:style>
  <w:style w:type="table" w:styleId="Tableauclassique1">
    <w:name w:val="Table Classic 1"/>
    <w:basedOn w:val="TableauNormal"/>
    <w:semiHidden/>
    <w:rsid w:val="00173653"/>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173653"/>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173653"/>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173653"/>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173653"/>
    <w:rPr>
      <w:rFonts w:ascii="Courier New" w:hAnsi="Courier New" w:cs="Courier New"/>
      <w:sz w:val="20"/>
      <w:szCs w:val="20"/>
    </w:rPr>
  </w:style>
  <w:style w:type="character" w:styleId="CodeHTML">
    <w:name w:val="HTML Code"/>
    <w:semiHidden/>
    <w:rsid w:val="00173653"/>
    <w:rPr>
      <w:rFonts w:ascii="Courier New" w:hAnsi="Courier New" w:cs="Courier New"/>
      <w:sz w:val="20"/>
      <w:szCs w:val="20"/>
    </w:rPr>
  </w:style>
  <w:style w:type="table" w:styleId="Colonnesdetableau1">
    <w:name w:val="Table Columns 1"/>
    <w:basedOn w:val="TableauNormal"/>
    <w:semiHidden/>
    <w:rsid w:val="00173653"/>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173653"/>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173653"/>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173653"/>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173653"/>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173653"/>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173653"/>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173653"/>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173653"/>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173653"/>
    <w:pPr>
      <w:spacing w:after="120"/>
    </w:pPr>
  </w:style>
  <w:style w:type="paragraph" w:styleId="Corpsdetexte2">
    <w:name w:val="Body Text 2"/>
    <w:basedOn w:val="Normal"/>
    <w:semiHidden/>
    <w:rsid w:val="00173653"/>
    <w:pPr>
      <w:spacing w:after="120" w:line="480" w:lineRule="auto"/>
    </w:pPr>
  </w:style>
  <w:style w:type="paragraph" w:styleId="Corpsdetexte3">
    <w:name w:val="Body Text 3"/>
    <w:basedOn w:val="Normal"/>
    <w:semiHidden/>
    <w:rsid w:val="00173653"/>
    <w:pPr>
      <w:spacing w:after="120"/>
    </w:pPr>
    <w:rPr>
      <w:sz w:val="16"/>
      <w:szCs w:val="16"/>
    </w:rPr>
  </w:style>
  <w:style w:type="character" w:styleId="DfinitionHTML">
    <w:name w:val="HTML Definition"/>
    <w:semiHidden/>
    <w:rsid w:val="00173653"/>
    <w:rPr>
      <w:i/>
      <w:iCs/>
    </w:rPr>
  </w:style>
  <w:style w:type="table" w:styleId="Effetsdetableau3D2">
    <w:name w:val="Table 3D effects 2"/>
    <w:basedOn w:val="TableauNormal"/>
    <w:semiHidden/>
    <w:rsid w:val="00173653"/>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173653"/>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173653"/>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173653"/>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173653"/>
    <w:rPr>
      <w:b/>
      <w:bCs/>
    </w:rPr>
  </w:style>
  <w:style w:type="paragraph" w:styleId="En-ttedemessage">
    <w:name w:val="Message Header"/>
    <w:basedOn w:val="Normal"/>
    <w:semiHidden/>
    <w:rsid w:val="0017365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styleId="ExempleHTML">
    <w:name w:val="HTML Sample"/>
    <w:semiHidden/>
    <w:rsid w:val="00173653"/>
    <w:rPr>
      <w:rFonts w:ascii="Courier New" w:hAnsi="Courier New" w:cs="Courier New"/>
    </w:rPr>
  </w:style>
  <w:style w:type="paragraph" w:styleId="Formuledepolitesse">
    <w:name w:val="Closing"/>
    <w:basedOn w:val="Normal"/>
    <w:semiHidden/>
    <w:rsid w:val="00173653"/>
    <w:pPr>
      <w:ind w:left="4252"/>
    </w:pPr>
  </w:style>
  <w:style w:type="table" w:styleId="Grilledetableau2">
    <w:name w:val="Table Grid 2"/>
    <w:basedOn w:val="TableauNormal"/>
    <w:semiHidden/>
    <w:rsid w:val="00173653"/>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173653"/>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rsid w:val="00173653"/>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173653"/>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rsid w:val="00173653"/>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173653"/>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173653"/>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Lienhypertextesuivivisit">
    <w:name w:val="FollowedHyperlink"/>
    <w:semiHidden/>
    <w:rsid w:val="00173653"/>
    <w:rPr>
      <w:color w:val="800080"/>
      <w:u w:val="single"/>
    </w:rPr>
  </w:style>
  <w:style w:type="paragraph" w:styleId="Liste">
    <w:name w:val="List"/>
    <w:basedOn w:val="Normal"/>
    <w:semiHidden/>
    <w:rsid w:val="00173653"/>
    <w:pPr>
      <w:ind w:left="283" w:hanging="283"/>
    </w:pPr>
  </w:style>
  <w:style w:type="paragraph" w:styleId="Liste2">
    <w:name w:val="List 2"/>
    <w:basedOn w:val="Normal"/>
    <w:semiHidden/>
    <w:rsid w:val="00173653"/>
    <w:pPr>
      <w:ind w:left="566" w:hanging="283"/>
    </w:pPr>
  </w:style>
  <w:style w:type="paragraph" w:styleId="Liste3">
    <w:name w:val="List 3"/>
    <w:basedOn w:val="Normal"/>
    <w:semiHidden/>
    <w:rsid w:val="00173653"/>
    <w:pPr>
      <w:ind w:left="849" w:hanging="283"/>
    </w:pPr>
  </w:style>
  <w:style w:type="paragraph" w:styleId="Liste4">
    <w:name w:val="List 4"/>
    <w:basedOn w:val="Normal"/>
    <w:semiHidden/>
    <w:rsid w:val="00173653"/>
    <w:pPr>
      <w:ind w:left="1132" w:hanging="283"/>
    </w:pPr>
  </w:style>
  <w:style w:type="paragraph" w:styleId="Liste5">
    <w:name w:val="List 5"/>
    <w:basedOn w:val="Normal"/>
    <w:semiHidden/>
    <w:rsid w:val="00173653"/>
    <w:pPr>
      <w:ind w:left="1415" w:hanging="283"/>
    </w:pPr>
  </w:style>
  <w:style w:type="paragraph" w:styleId="Listenumros">
    <w:name w:val="List Number"/>
    <w:basedOn w:val="Normal"/>
    <w:semiHidden/>
    <w:rsid w:val="00173653"/>
    <w:pPr>
      <w:numPr>
        <w:numId w:val="4"/>
      </w:numPr>
    </w:pPr>
  </w:style>
  <w:style w:type="paragraph" w:styleId="Listenumros2">
    <w:name w:val="List Number 2"/>
    <w:basedOn w:val="Normal"/>
    <w:semiHidden/>
    <w:rsid w:val="00173653"/>
    <w:pPr>
      <w:numPr>
        <w:numId w:val="5"/>
      </w:numPr>
    </w:pPr>
  </w:style>
  <w:style w:type="paragraph" w:styleId="Listenumros3">
    <w:name w:val="List Number 3"/>
    <w:basedOn w:val="Normal"/>
    <w:semiHidden/>
    <w:rsid w:val="00173653"/>
    <w:pPr>
      <w:numPr>
        <w:numId w:val="6"/>
      </w:numPr>
    </w:pPr>
  </w:style>
  <w:style w:type="paragraph" w:styleId="Listenumros4">
    <w:name w:val="List Number 4"/>
    <w:basedOn w:val="Normal"/>
    <w:semiHidden/>
    <w:rsid w:val="00173653"/>
    <w:pPr>
      <w:numPr>
        <w:numId w:val="7"/>
      </w:numPr>
    </w:pPr>
  </w:style>
  <w:style w:type="paragraph" w:styleId="Listenumros5">
    <w:name w:val="List Number 5"/>
    <w:basedOn w:val="Normal"/>
    <w:semiHidden/>
    <w:rsid w:val="00173653"/>
    <w:pPr>
      <w:numPr>
        <w:numId w:val="8"/>
      </w:numPr>
    </w:pPr>
  </w:style>
  <w:style w:type="paragraph" w:styleId="Listepuces">
    <w:name w:val="List Bullet"/>
    <w:basedOn w:val="Normal"/>
    <w:semiHidden/>
    <w:rsid w:val="00173653"/>
    <w:pPr>
      <w:numPr>
        <w:numId w:val="9"/>
      </w:numPr>
    </w:pPr>
  </w:style>
  <w:style w:type="paragraph" w:styleId="Listepuces2">
    <w:name w:val="List Bullet 2"/>
    <w:basedOn w:val="Normal"/>
    <w:semiHidden/>
    <w:rsid w:val="00173653"/>
    <w:pPr>
      <w:numPr>
        <w:numId w:val="10"/>
      </w:numPr>
    </w:pPr>
  </w:style>
  <w:style w:type="paragraph" w:styleId="Listepuces3">
    <w:name w:val="List Bullet 3"/>
    <w:basedOn w:val="Normal"/>
    <w:semiHidden/>
    <w:rsid w:val="00173653"/>
    <w:pPr>
      <w:numPr>
        <w:numId w:val="11"/>
      </w:numPr>
    </w:pPr>
  </w:style>
  <w:style w:type="paragraph" w:styleId="Listepuces4">
    <w:name w:val="List Bullet 4"/>
    <w:basedOn w:val="Normal"/>
    <w:semiHidden/>
    <w:rsid w:val="00173653"/>
    <w:pPr>
      <w:numPr>
        <w:numId w:val="12"/>
      </w:numPr>
    </w:pPr>
  </w:style>
  <w:style w:type="paragraph" w:styleId="Listepuces5">
    <w:name w:val="List Bullet 5"/>
    <w:basedOn w:val="Normal"/>
    <w:semiHidden/>
    <w:rsid w:val="00173653"/>
    <w:pPr>
      <w:numPr>
        <w:numId w:val="13"/>
      </w:numPr>
    </w:pPr>
  </w:style>
  <w:style w:type="paragraph" w:styleId="Listecontinue">
    <w:name w:val="List Continue"/>
    <w:basedOn w:val="Normal"/>
    <w:semiHidden/>
    <w:rsid w:val="00173653"/>
    <w:pPr>
      <w:spacing w:after="120"/>
      <w:ind w:left="283"/>
    </w:pPr>
  </w:style>
  <w:style w:type="paragraph" w:styleId="Listecontinue2">
    <w:name w:val="List Continue 2"/>
    <w:basedOn w:val="Normal"/>
    <w:semiHidden/>
    <w:rsid w:val="00173653"/>
    <w:pPr>
      <w:spacing w:after="120"/>
      <w:ind w:left="566"/>
    </w:pPr>
  </w:style>
  <w:style w:type="paragraph" w:styleId="Listecontinue3">
    <w:name w:val="List Continue 3"/>
    <w:basedOn w:val="Normal"/>
    <w:semiHidden/>
    <w:rsid w:val="00173653"/>
    <w:pPr>
      <w:spacing w:after="120"/>
      <w:ind w:left="849"/>
    </w:pPr>
  </w:style>
  <w:style w:type="paragraph" w:styleId="Listecontinue4">
    <w:name w:val="List Continue 4"/>
    <w:basedOn w:val="Normal"/>
    <w:semiHidden/>
    <w:rsid w:val="00173653"/>
    <w:pPr>
      <w:spacing w:after="120"/>
      <w:ind w:left="1132"/>
    </w:pPr>
  </w:style>
  <w:style w:type="paragraph" w:styleId="Listecontinue5">
    <w:name w:val="List Continue 5"/>
    <w:basedOn w:val="Normal"/>
    <w:semiHidden/>
    <w:rsid w:val="00173653"/>
    <w:pPr>
      <w:spacing w:after="120"/>
      <w:ind w:left="1415"/>
    </w:pPr>
  </w:style>
  <w:style w:type="character" w:styleId="MachinecrireHTML">
    <w:name w:val="HTML Typewriter"/>
    <w:semiHidden/>
    <w:rsid w:val="00173653"/>
    <w:rPr>
      <w:rFonts w:ascii="Courier New" w:hAnsi="Courier New" w:cs="Courier New"/>
      <w:sz w:val="20"/>
      <w:szCs w:val="20"/>
    </w:rPr>
  </w:style>
  <w:style w:type="paragraph" w:styleId="NormalWeb">
    <w:name w:val="Normal (Web)"/>
    <w:basedOn w:val="Normal"/>
    <w:rsid w:val="00173653"/>
  </w:style>
  <w:style w:type="character" w:styleId="Numrodeligne">
    <w:name w:val="line number"/>
    <w:basedOn w:val="Policepardfaut"/>
    <w:semiHidden/>
    <w:rsid w:val="00173653"/>
  </w:style>
  <w:style w:type="table" w:styleId="Tableauple1">
    <w:name w:val="Table Subtle 1"/>
    <w:basedOn w:val="TableauNormal"/>
    <w:semiHidden/>
    <w:rsid w:val="00173653"/>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173653"/>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173653"/>
    <w:rPr>
      <w:rFonts w:ascii="Courier New" w:hAnsi="Courier New" w:cs="Courier New"/>
      <w:sz w:val="20"/>
      <w:szCs w:val="20"/>
    </w:rPr>
  </w:style>
  <w:style w:type="table" w:styleId="Tableauprofessionnel">
    <w:name w:val="Table Professional"/>
    <w:basedOn w:val="TableauNormal"/>
    <w:semiHidden/>
    <w:rsid w:val="0017365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CESommaire">
    <w:name w:val="DCE Sommaire"/>
    <w:basedOn w:val="Normal"/>
    <w:link w:val="DCESommaireCar"/>
    <w:rsid w:val="00EE16F8"/>
    <w:pPr>
      <w:widowControl/>
      <w:spacing w:before="120" w:after="120"/>
      <w:jc w:val="center"/>
    </w:pPr>
    <w:rPr>
      <w:b/>
      <w:caps/>
      <w:spacing w:val="40"/>
      <w:sz w:val="28"/>
      <w:szCs w:val="28"/>
    </w:rPr>
  </w:style>
  <w:style w:type="paragraph" w:customStyle="1" w:styleId="DCEPuce">
    <w:name w:val="DCE Puce"/>
    <w:basedOn w:val="DCETiret"/>
    <w:rsid w:val="00672C7C"/>
    <w:pPr>
      <w:numPr>
        <w:numId w:val="19"/>
      </w:numPr>
      <w:spacing w:before="0"/>
    </w:pPr>
  </w:style>
  <w:style w:type="paragraph" w:customStyle="1" w:styleId="DCETexte">
    <w:name w:val="DCE Texte"/>
    <w:basedOn w:val="Normal"/>
    <w:link w:val="DCETexteCar"/>
    <w:qFormat/>
    <w:rsid w:val="00EC7703"/>
    <w:pPr>
      <w:widowControl/>
      <w:overflowPunct w:val="0"/>
      <w:autoSpaceDE w:val="0"/>
      <w:autoSpaceDN w:val="0"/>
      <w:adjustRightInd w:val="0"/>
      <w:spacing w:after="240"/>
      <w:ind w:firstLine="567"/>
      <w:jc w:val="both"/>
      <w:textAlignment w:val="baseline"/>
    </w:pPr>
    <w:rPr>
      <w:szCs w:val="20"/>
    </w:rPr>
  </w:style>
  <w:style w:type="paragraph" w:customStyle="1" w:styleId="DCECadreGrand">
    <w:name w:val="DCE Cadre Grand"/>
    <w:basedOn w:val="Normal"/>
    <w:rsid w:val="00DC709A"/>
    <w:pPr>
      <w:widowControl/>
      <w:pBdr>
        <w:top w:val="single" w:sz="4" w:space="14" w:color="auto"/>
        <w:left w:val="single" w:sz="4" w:space="4" w:color="auto"/>
        <w:bottom w:val="single" w:sz="4" w:space="14" w:color="auto"/>
        <w:right w:val="single" w:sz="4" w:space="4" w:color="auto"/>
      </w:pBdr>
      <w:jc w:val="center"/>
    </w:pPr>
    <w:rPr>
      <w:b/>
      <w:caps/>
    </w:rPr>
  </w:style>
  <w:style w:type="paragraph" w:customStyle="1" w:styleId="DCECadresimple">
    <w:name w:val="DCE Cadre simple"/>
    <w:basedOn w:val="Normal"/>
    <w:rsid w:val="00194C95"/>
    <w:pPr>
      <w:widowControl/>
      <w:pBdr>
        <w:top w:val="single" w:sz="4" w:space="8" w:color="auto"/>
        <w:left w:val="single" w:sz="4" w:space="4" w:color="auto"/>
        <w:bottom w:val="single" w:sz="4" w:space="8" w:color="auto"/>
        <w:right w:val="single" w:sz="4" w:space="4" w:color="auto"/>
      </w:pBdr>
      <w:jc w:val="center"/>
    </w:pPr>
  </w:style>
  <w:style w:type="paragraph" w:customStyle="1" w:styleId="DCEPuceflche">
    <w:name w:val="DCE Puce flèche"/>
    <w:basedOn w:val="Normal"/>
    <w:rsid w:val="00EE16F8"/>
    <w:pPr>
      <w:widowControl/>
      <w:numPr>
        <w:numId w:val="20"/>
      </w:numPr>
      <w:spacing w:before="120" w:after="240"/>
      <w:jc w:val="both"/>
    </w:pPr>
  </w:style>
  <w:style w:type="paragraph" w:customStyle="1" w:styleId="DCELot">
    <w:name w:val="DCE Lot"/>
    <w:basedOn w:val="DCETiret"/>
    <w:rsid w:val="00921DD0"/>
    <w:pPr>
      <w:tabs>
        <w:tab w:val="clear" w:pos="851"/>
        <w:tab w:val="clear" w:pos="1287"/>
        <w:tab w:val="left" w:pos="284"/>
        <w:tab w:val="left" w:pos="1276"/>
      </w:tabs>
      <w:ind w:left="1559" w:hanging="1559"/>
    </w:pPr>
  </w:style>
  <w:style w:type="character" w:styleId="Marquedecommentaire">
    <w:name w:val="annotation reference"/>
    <w:semiHidden/>
    <w:rsid w:val="0089235E"/>
    <w:rPr>
      <w:sz w:val="16"/>
      <w:szCs w:val="16"/>
    </w:rPr>
  </w:style>
  <w:style w:type="paragraph" w:styleId="Commentaire">
    <w:name w:val="annotation text"/>
    <w:basedOn w:val="Normal"/>
    <w:semiHidden/>
    <w:rsid w:val="0089235E"/>
    <w:rPr>
      <w:sz w:val="20"/>
      <w:szCs w:val="20"/>
    </w:rPr>
  </w:style>
  <w:style w:type="paragraph" w:styleId="Objetducommentaire">
    <w:name w:val="annotation subject"/>
    <w:basedOn w:val="Commentaire"/>
    <w:next w:val="Commentaire"/>
    <w:semiHidden/>
    <w:rsid w:val="0089235E"/>
    <w:rPr>
      <w:b/>
      <w:bCs/>
    </w:rPr>
  </w:style>
  <w:style w:type="paragraph" w:customStyle="1" w:styleId="DCECorpsdetexte">
    <w:name w:val="DCE Corps de texte"/>
    <w:basedOn w:val="Normal"/>
    <w:link w:val="DCECorpsdetexteCar"/>
    <w:rsid w:val="00EC7703"/>
    <w:pPr>
      <w:widowControl/>
      <w:overflowPunct w:val="0"/>
      <w:autoSpaceDE w:val="0"/>
      <w:autoSpaceDN w:val="0"/>
      <w:adjustRightInd w:val="0"/>
      <w:spacing w:after="240"/>
      <w:ind w:firstLine="567"/>
      <w:jc w:val="both"/>
      <w:textAlignment w:val="baseline"/>
    </w:pPr>
    <w:rPr>
      <w:szCs w:val="20"/>
    </w:rPr>
  </w:style>
  <w:style w:type="character" w:customStyle="1" w:styleId="DCECorpsdetexteCar">
    <w:name w:val="DCE Corps de texte Car"/>
    <w:link w:val="DCECorpsdetexte"/>
    <w:rsid w:val="00EC7703"/>
    <w:rPr>
      <w:sz w:val="24"/>
    </w:rPr>
  </w:style>
  <w:style w:type="paragraph" w:customStyle="1" w:styleId="a">
    <w:basedOn w:val="Normal"/>
    <w:rsid w:val="00DB1EA2"/>
    <w:pPr>
      <w:widowControl/>
      <w:spacing w:after="160" w:line="240" w:lineRule="exact"/>
    </w:pPr>
    <w:rPr>
      <w:rFonts w:ascii="Tahoma" w:hAnsi="Tahoma"/>
      <w:sz w:val="20"/>
      <w:szCs w:val="20"/>
      <w:lang w:val="en-US" w:eastAsia="en-US"/>
    </w:rPr>
  </w:style>
  <w:style w:type="paragraph" w:customStyle="1" w:styleId="AlinaJustifi">
    <w:name w:val="Alinéa Justifié"/>
    <w:basedOn w:val="Normal"/>
    <w:rsid w:val="00CC4597"/>
    <w:pPr>
      <w:widowControl/>
      <w:spacing w:before="120" w:after="120" w:line="240" w:lineRule="atLeast"/>
      <w:ind w:firstLine="907"/>
      <w:jc w:val="both"/>
    </w:pPr>
  </w:style>
  <w:style w:type="paragraph" w:customStyle="1" w:styleId="eb1">
    <w:name w:val="eb1"/>
    <w:basedOn w:val="Normal"/>
    <w:rsid w:val="009365B8"/>
    <w:pPr>
      <w:widowControl/>
      <w:spacing w:after="60"/>
    </w:pPr>
    <w:rPr>
      <w:rFonts w:ascii="Comic Sans MS" w:hAnsi="Comic Sans MS"/>
      <w:b/>
      <w:i/>
      <w:color w:val="0000FF"/>
      <w:szCs w:val="20"/>
      <w:u w:val="single"/>
    </w:rPr>
  </w:style>
  <w:style w:type="paragraph" w:customStyle="1" w:styleId="n3">
    <w:name w:val="n3"/>
    <w:basedOn w:val="Normal"/>
    <w:rsid w:val="009365B8"/>
    <w:pPr>
      <w:widowControl/>
      <w:ind w:left="1134"/>
      <w:jc w:val="both"/>
    </w:pPr>
    <w:rPr>
      <w:rFonts w:ascii="Arial" w:hAnsi="Arial"/>
      <w:sz w:val="22"/>
      <w:szCs w:val="20"/>
    </w:rPr>
  </w:style>
  <w:style w:type="paragraph" w:customStyle="1" w:styleId="Normal1">
    <w:name w:val="Normal1"/>
    <w:basedOn w:val="Normal"/>
    <w:rsid w:val="007E2DBB"/>
    <w:pPr>
      <w:keepLines/>
      <w:widowControl/>
      <w:tabs>
        <w:tab w:val="left" w:pos="284"/>
        <w:tab w:val="left" w:pos="567"/>
        <w:tab w:val="left" w:pos="851"/>
      </w:tabs>
      <w:suppressAutoHyphens/>
      <w:ind w:firstLine="284"/>
      <w:jc w:val="both"/>
    </w:pPr>
    <w:rPr>
      <w:sz w:val="22"/>
      <w:szCs w:val="22"/>
      <w:lang w:eastAsia="ar-SA"/>
    </w:rPr>
  </w:style>
  <w:style w:type="paragraph" w:customStyle="1" w:styleId="RedTxt">
    <w:name w:val="RedTxt"/>
    <w:basedOn w:val="Normal"/>
    <w:rsid w:val="00C118BB"/>
    <w:pPr>
      <w:overflowPunct w:val="0"/>
      <w:autoSpaceDE w:val="0"/>
      <w:autoSpaceDN w:val="0"/>
      <w:adjustRightInd w:val="0"/>
      <w:textAlignment w:val="baseline"/>
    </w:pPr>
    <w:rPr>
      <w:rFonts w:ascii="Arial" w:hAnsi="Arial"/>
      <w:sz w:val="18"/>
      <w:szCs w:val="20"/>
    </w:rPr>
  </w:style>
  <w:style w:type="paragraph" w:styleId="Rvision">
    <w:name w:val="Revision"/>
    <w:hidden/>
    <w:uiPriority w:val="99"/>
    <w:semiHidden/>
    <w:rsid w:val="00363F0E"/>
    <w:rPr>
      <w:sz w:val="24"/>
      <w:szCs w:val="24"/>
    </w:rPr>
  </w:style>
  <w:style w:type="paragraph" w:styleId="Paragraphedeliste">
    <w:name w:val="List Paragraph"/>
    <w:basedOn w:val="Normal"/>
    <w:uiPriority w:val="34"/>
    <w:qFormat/>
    <w:rsid w:val="0082375C"/>
    <w:pPr>
      <w:ind w:left="720"/>
      <w:contextualSpacing/>
    </w:pPr>
  </w:style>
  <w:style w:type="paragraph" w:customStyle="1" w:styleId="DCEpuceniveau1">
    <w:name w:val="DCE puce niveau 1"/>
    <w:basedOn w:val="Normal"/>
    <w:rsid w:val="00EC7703"/>
    <w:pPr>
      <w:widowControl/>
      <w:numPr>
        <w:numId w:val="21"/>
      </w:numPr>
      <w:tabs>
        <w:tab w:val="left" w:pos="851"/>
      </w:tabs>
      <w:overflowPunct w:val="0"/>
      <w:autoSpaceDE w:val="0"/>
      <w:autoSpaceDN w:val="0"/>
      <w:adjustRightInd w:val="0"/>
      <w:spacing w:after="120"/>
      <w:jc w:val="both"/>
      <w:textAlignment w:val="baseline"/>
    </w:pPr>
    <w:rPr>
      <w:szCs w:val="20"/>
    </w:rPr>
  </w:style>
  <w:style w:type="paragraph" w:customStyle="1" w:styleId="DCEpuceniveau2">
    <w:name w:val="DCE puce niveau 2"/>
    <w:basedOn w:val="Normal"/>
    <w:rsid w:val="00EC7703"/>
    <w:pPr>
      <w:widowControl/>
      <w:numPr>
        <w:numId w:val="22"/>
      </w:numPr>
      <w:overflowPunct w:val="0"/>
      <w:autoSpaceDE w:val="0"/>
      <w:autoSpaceDN w:val="0"/>
      <w:adjustRightInd w:val="0"/>
      <w:jc w:val="both"/>
      <w:textAlignment w:val="baseline"/>
    </w:pPr>
    <w:rPr>
      <w:szCs w:val="20"/>
    </w:rPr>
  </w:style>
  <w:style w:type="paragraph" w:customStyle="1" w:styleId="DCET1SSARTICLE">
    <w:name w:val="DCE T 1 SS ARTICLE"/>
    <w:basedOn w:val="Normal"/>
    <w:rsid w:val="00EC7703"/>
    <w:pPr>
      <w:keepNext/>
      <w:keepLines/>
      <w:widowControl/>
      <w:spacing w:after="240"/>
      <w:jc w:val="center"/>
      <w:outlineLvl w:val="0"/>
    </w:pPr>
    <w:rPr>
      <w:rFonts w:ascii="Times New (W1)" w:hAnsi="Times New (W1)"/>
      <w:b/>
      <w:smallCaps/>
      <w:kern w:val="28"/>
      <w:sz w:val="28"/>
      <w:szCs w:val="28"/>
    </w:rPr>
  </w:style>
  <w:style w:type="paragraph" w:customStyle="1" w:styleId="DCET2SSARTICLE">
    <w:name w:val="DCE T 2 SS ARTICLE"/>
    <w:basedOn w:val="Normal"/>
    <w:rsid w:val="00EC7703"/>
    <w:pPr>
      <w:keepNext/>
      <w:keepLines/>
      <w:widowControl/>
      <w:numPr>
        <w:ilvl w:val="1"/>
        <w:numId w:val="23"/>
      </w:numPr>
      <w:tabs>
        <w:tab w:val="left" w:pos="964"/>
      </w:tabs>
      <w:spacing w:after="240"/>
    </w:pPr>
    <w:rPr>
      <w:b/>
      <w:iCs/>
    </w:rPr>
  </w:style>
  <w:style w:type="paragraph" w:customStyle="1" w:styleId="DCET3SSARTICLE">
    <w:name w:val="DCE T 3 SS ARTICLE"/>
    <w:basedOn w:val="Normal"/>
    <w:next w:val="Normal"/>
    <w:rsid w:val="00EC7703"/>
    <w:pPr>
      <w:keepNext/>
      <w:keepLines/>
      <w:widowControl/>
      <w:numPr>
        <w:ilvl w:val="2"/>
        <w:numId w:val="23"/>
      </w:numPr>
      <w:tabs>
        <w:tab w:val="left" w:pos="1560"/>
      </w:tabs>
      <w:overflowPunct w:val="0"/>
      <w:autoSpaceDE w:val="0"/>
      <w:autoSpaceDN w:val="0"/>
      <w:adjustRightInd w:val="0"/>
      <w:spacing w:after="240"/>
      <w:textAlignment w:val="baseline"/>
    </w:pPr>
    <w:rPr>
      <w:b/>
      <w:bCs/>
      <w:i/>
    </w:rPr>
  </w:style>
  <w:style w:type="character" w:customStyle="1" w:styleId="DCETexteCar">
    <w:name w:val="DCE Texte Car"/>
    <w:link w:val="DCETexte"/>
    <w:rsid w:val="00EC7703"/>
    <w:rPr>
      <w:sz w:val="24"/>
    </w:rPr>
  </w:style>
  <w:style w:type="paragraph" w:customStyle="1" w:styleId="DCETitre1">
    <w:name w:val="DCE Titre 1"/>
    <w:basedOn w:val="Titre1"/>
    <w:next w:val="Normal"/>
    <w:qFormat/>
    <w:rsid w:val="008D4220"/>
    <w:pPr>
      <w:keepNext/>
      <w:keepLines/>
      <w:numPr>
        <w:numId w:val="24"/>
      </w:numPr>
      <w:overflowPunct w:val="0"/>
      <w:autoSpaceDE w:val="0"/>
      <w:autoSpaceDN w:val="0"/>
      <w:adjustRightInd w:val="0"/>
      <w:spacing w:before="240"/>
      <w:jc w:val="left"/>
      <w:textAlignment w:val="baseline"/>
    </w:pPr>
    <w:rPr>
      <w:rFonts w:ascii="Times New Roman Gras" w:hAnsi="Times New Roman Gras"/>
      <w:b/>
      <w:caps w:val="0"/>
      <w:smallCaps/>
      <w:kern w:val="28"/>
    </w:rPr>
  </w:style>
  <w:style w:type="paragraph" w:customStyle="1" w:styleId="DCETitre3">
    <w:name w:val="DCE Titre 3"/>
    <w:basedOn w:val="Titre3"/>
    <w:next w:val="Normal"/>
    <w:qFormat/>
    <w:rsid w:val="00EC7703"/>
    <w:pPr>
      <w:keepNext/>
      <w:keepLines/>
      <w:numPr>
        <w:numId w:val="24"/>
      </w:numPr>
      <w:tabs>
        <w:tab w:val="left" w:pos="1559"/>
      </w:tabs>
      <w:overflowPunct w:val="0"/>
      <w:autoSpaceDE w:val="0"/>
      <w:autoSpaceDN w:val="0"/>
      <w:adjustRightInd w:val="0"/>
      <w:spacing w:after="120" w:line="360" w:lineRule="auto"/>
      <w:jc w:val="left"/>
      <w:textAlignment w:val="baseline"/>
    </w:pPr>
    <w:rPr>
      <w:b/>
      <w:bCs/>
      <w:i/>
      <w:sz w:val="24"/>
      <w:szCs w:val="24"/>
    </w:rPr>
  </w:style>
  <w:style w:type="paragraph" w:customStyle="1" w:styleId="TITREPIECE">
    <w:name w:val="TITRE PIECE"/>
    <w:basedOn w:val="Normal"/>
    <w:next w:val="DCECorpsdetexte"/>
    <w:semiHidden/>
    <w:rsid w:val="00EC7703"/>
    <w:pPr>
      <w:widowControl/>
      <w:pBdr>
        <w:top w:val="single" w:sz="36" w:space="15" w:color="auto"/>
        <w:left w:val="single" w:sz="36" w:space="0" w:color="auto"/>
        <w:bottom w:val="single" w:sz="36" w:space="15" w:color="auto"/>
        <w:right w:val="single" w:sz="36" w:space="0" w:color="auto"/>
      </w:pBdr>
      <w:overflowPunct w:val="0"/>
      <w:autoSpaceDE w:val="0"/>
      <w:autoSpaceDN w:val="0"/>
      <w:adjustRightInd w:val="0"/>
      <w:jc w:val="center"/>
      <w:textAlignment w:val="baseline"/>
    </w:pPr>
    <w:rPr>
      <w:rFonts w:ascii="Arial (W1)" w:hAnsi="Arial (W1)" w:cs="Arial"/>
      <w:b/>
      <w:sz w:val="48"/>
      <w:szCs w:val="48"/>
    </w:rPr>
  </w:style>
  <w:style w:type="character" w:customStyle="1" w:styleId="En-tteCar">
    <w:name w:val="En-tête Car"/>
    <w:link w:val="En-tte"/>
    <w:semiHidden/>
    <w:rsid w:val="00EC7703"/>
    <w:rPr>
      <w:sz w:val="24"/>
      <w:szCs w:val="24"/>
    </w:rPr>
  </w:style>
  <w:style w:type="paragraph" w:customStyle="1" w:styleId="DCETEXTE0">
    <w:name w:val="DCE TEXTE"/>
    <w:basedOn w:val="DCETexte"/>
    <w:link w:val="DCETEXTECar0"/>
    <w:qFormat/>
    <w:rsid w:val="008D4220"/>
    <w:pPr>
      <w:ind w:firstLine="0"/>
    </w:pPr>
  </w:style>
  <w:style w:type="paragraph" w:styleId="En-ttedetabledesmatires">
    <w:name w:val="TOC Heading"/>
    <w:basedOn w:val="Titre1"/>
    <w:next w:val="Normal"/>
    <w:uiPriority w:val="39"/>
    <w:semiHidden/>
    <w:unhideWhenUsed/>
    <w:qFormat/>
    <w:rsid w:val="00526B54"/>
    <w:pPr>
      <w:keepNext/>
      <w:keepLines/>
      <w:numPr>
        <w:numId w:val="0"/>
      </w:numPr>
      <w:spacing w:before="480" w:after="0" w:line="276" w:lineRule="auto"/>
      <w:jc w:val="left"/>
      <w:outlineLvl w:val="9"/>
    </w:pPr>
    <w:rPr>
      <w:rFonts w:asciiTheme="majorHAnsi" w:eastAsiaTheme="majorEastAsia" w:hAnsiTheme="majorHAnsi" w:cstheme="majorBidi"/>
      <w:b/>
      <w:bCs/>
      <w:caps w:val="0"/>
      <w:color w:val="365F91" w:themeColor="accent1" w:themeShade="BF"/>
    </w:rPr>
  </w:style>
  <w:style w:type="character" w:customStyle="1" w:styleId="DCETEXTECar0">
    <w:name w:val="DCE TEXTE Car"/>
    <w:basedOn w:val="DCETexteCar"/>
    <w:link w:val="DCETEXTE0"/>
    <w:rsid w:val="008D4220"/>
    <w:rPr>
      <w:sz w:val="24"/>
    </w:rPr>
  </w:style>
  <w:style w:type="character" w:customStyle="1" w:styleId="NotedebasdepageCar">
    <w:name w:val="Note de bas de page Car"/>
    <w:basedOn w:val="Policepardfaut"/>
    <w:link w:val="Notedebasdepage"/>
    <w:rsid w:val="00EC4DA8"/>
  </w:style>
  <w:style w:type="character" w:customStyle="1" w:styleId="DCEArticleCar">
    <w:name w:val="DCE Article Car"/>
    <w:link w:val="DCEArticle"/>
    <w:rsid w:val="00CD5739"/>
    <w:rPr>
      <w:b/>
      <w:caps/>
      <w:sz w:val="26"/>
      <w:szCs w:val="26"/>
      <w:u w:val="single"/>
    </w:rPr>
  </w:style>
  <w:style w:type="character" w:customStyle="1" w:styleId="DCETexteCarCar">
    <w:name w:val="DCE Texte Car Car"/>
    <w:rsid w:val="00DD14AA"/>
    <w:rPr>
      <w:sz w:val="24"/>
      <w:szCs w:val="24"/>
      <w:lang w:val="fr-FR" w:eastAsia="fr-FR" w:bidi="ar-SA"/>
    </w:rPr>
  </w:style>
  <w:style w:type="character" w:customStyle="1" w:styleId="DCESommaireCar">
    <w:name w:val="DCE Sommaire Car"/>
    <w:link w:val="DCESommaire"/>
    <w:rsid w:val="005633C6"/>
    <w:rPr>
      <w:b/>
      <w:caps/>
      <w:spacing w:val="40"/>
      <w:sz w:val="28"/>
      <w:szCs w:val="28"/>
    </w:rPr>
  </w:style>
  <w:style w:type="paragraph" w:customStyle="1" w:styleId="RapTexte">
    <w:name w:val="RapTexte"/>
    <w:basedOn w:val="Corpsdetexte"/>
    <w:link w:val="RapTexteCar"/>
    <w:rsid w:val="00BD360D"/>
    <w:pPr>
      <w:widowControl/>
      <w:overflowPunct w:val="0"/>
      <w:autoSpaceDE w:val="0"/>
      <w:autoSpaceDN w:val="0"/>
      <w:adjustRightInd w:val="0"/>
      <w:spacing w:after="240"/>
      <w:jc w:val="both"/>
      <w:textAlignment w:val="baseline"/>
    </w:pPr>
  </w:style>
  <w:style w:type="character" w:customStyle="1" w:styleId="RapTexteCar">
    <w:name w:val="RapTexte Car"/>
    <w:link w:val="RapTexte"/>
    <w:rsid w:val="00BD360D"/>
    <w:rPr>
      <w:sz w:val="24"/>
      <w:szCs w:val="24"/>
    </w:rPr>
  </w:style>
  <w:style w:type="character" w:customStyle="1" w:styleId="DCETitre2Car">
    <w:name w:val="DCE Titre 2 Car"/>
    <w:link w:val="DCETitre2"/>
    <w:rsid w:val="0004474D"/>
    <w:rPr>
      <w:b/>
      <w:iCs/>
      <w:sz w:val="24"/>
      <w:szCs w:val="24"/>
    </w:rPr>
  </w:style>
  <w:style w:type="paragraph" w:customStyle="1" w:styleId="DCETitre3Car">
    <w:name w:val="DCE Titre 3 Car"/>
    <w:basedOn w:val="Normal"/>
    <w:next w:val="DCETitre4"/>
    <w:rsid w:val="00761181"/>
    <w:pPr>
      <w:keepNext/>
      <w:keepLines/>
      <w:widowControl/>
      <w:spacing w:before="240" w:after="120"/>
      <w:ind w:firstLine="1134"/>
      <w:outlineLvl w:val="2"/>
    </w:pPr>
    <w:rPr>
      <w:b/>
      <w:i/>
    </w:rPr>
  </w:style>
  <w:style w:type="character" w:styleId="Mentionnonrsolue">
    <w:name w:val="Unresolved Mention"/>
    <w:basedOn w:val="Policepardfaut"/>
    <w:uiPriority w:val="99"/>
    <w:semiHidden/>
    <w:unhideWhenUsed/>
    <w:rsid w:val="00AB2F97"/>
    <w:rPr>
      <w:color w:val="605E5C"/>
      <w:shd w:val="clear" w:color="auto" w:fill="E1DFDD"/>
    </w:rPr>
  </w:style>
  <w:style w:type="paragraph" w:customStyle="1" w:styleId="Style1">
    <w:name w:val="Style1"/>
    <w:basedOn w:val="DCETitre2"/>
    <w:qFormat/>
    <w:rsid w:val="0085236C"/>
    <w:pPr>
      <w:widowControl/>
      <w:numPr>
        <w:ilvl w:val="0"/>
        <w:numId w:val="0"/>
      </w:numPr>
      <w:pBdr>
        <w:top w:val="single" w:sz="12" w:space="1" w:color="D9D9D9"/>
        <w:left w:val="single" w:sz="12" w:space="4" w:color="D9D9D9"/>
        <w:bottom w:val="single" w:sz="12" w:space="1" w:color="D9D9D9"/>
        <w:right w:val="single" w:sz="12" w:space="4" w:color="D9D9D9"/>
      </w:pBdr>
      <w:shd w:val="clear" w:color="auto" w:fill="D9D9D9"/>
      <w:tabs>
        <w:tab w:val="clear" w:pos="851"/>
        <w:tab w:val="num" w:pos="360"/>
      </w:tabs>
      <w:spacing w:before="480" w:line="276" w:lineRule="auto"/>
    </w:pPr>
    <w:rPr>
      <w:iCs w:val="0"/>
      <w:sz w:val="26"/>
      <w:szCs w:val="26"/>
    </w:rPr>
  </w:style>
  <w:style w:type="table" w:customStyle="1" w:styleId="Grilledutableau1">
    <w:name w:val="Grille du tableau1"/>
    <w:basedOn w:val="TableauNormal"/>
    <w:next w:val="Grilledutableau"/>
    <w:rsid w:val="00016F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241168">
      <w:bodyDiv w:val="1"/>
      <w:marLeft w:val="0"/>
      <w:marRight w:val="0"/>
      <w:marTop w:val="0"/>
      <w:marBottom w:val="0"/>
      <w:divBdr>
        <w:top w:val="none" w:sz="0" w:space="0" w:color="auto"/>
        <w:left w:val="none" w:sz="0" w:space="0" w:color="auto"/>
        <w:bottom w:val="none" w:sz="0" w:space="0" w:color="auto"/>
        <w:right w:val="none" w:sz="0" w:space="0" w:color="auto"/>
      </w:divBdr>
    </w:div>
    <w:div w:id="480000340">
      <w:bodyDiv w:val="1"/>
      <w:marLeft w:val="0"/>
      <w:marRight w:val="0"/>
      <w:marTop w:val="0"/>
      <w:marBottom w:val="0"/>
      <w:divBdr>
        <w:top w:val="none" w:sz="0" w:space="0" w:color="auto"/>
        <w:left w:val="none" w:sz="0" w:space="0" w:color="auto"/>
        <w:bottom w:val="none" w:sz="0" w:space="0" w:color="auto"/>
        <w:right w:val="none" w:sz="0" w:space="0" w:color="auto"/>
      </w:divBdr>
    </w:div>
    <w:div w:id="835148947">
      <w:bodyDiv w:val="1"/>
      <w:marLeft w:val="0"/>
      <w:marRight w:val="0"/>
      <w:marTop w:val="0"/>
      <w:marBottom w:val="0"/>
      <w:divBdr>
        <w:top w:val="none" w:sz="0" w:space="0" w:color="auto"/>
        <w:left w:val="none" w:sz="0" w:space="0" w:color="auto"/>
        <w:bottom w:val="none" w:sz="0" w:space="0" w:color="auto"/>
        <w:right w:val="none" w:sz="0" w:space="0" w:color="auto"/>
      </w:divBdr>
    </w:div>
    <w:div w:id="1110122038">
      <w:bodyDiv w:val="1"/>
      <w:marLeft w:val="0"/>
      <w:marRight w:val="0"/>
      <w:marTop w:val="0"/>
      <w:marBottom w:val="0"/>
      <w:divBdr>
        <w:top w:val="none" w:sz="0" w:space="0" w:color="auto"/>
        <w:left w:val="none" w:sz="0" w:space="0" w:color="auto"/>
        <w:bottom w:val="none" w:sz="0" w:space="0" w:color="auto"/>
        <w:right w:val="none" w:sz="0" w:space="0" w:color="auto"/>
      </w:divBdr>
    </w:div>
    <w:div w:id="1350644192">
      <w:bodyDiv w:val="1"/>
      <w:marLeft w:val="0"/>
      <w:marRight w:val="0"/>
      <w:marTop w:val="0"/>
      <w:marBottom w:val="0"/>
      <w:divBdr>
        <w:top w:val="none" w:sz="0" w:space="0" w:color="auto"/>
        <w:left w:val="none" w:sz="0" w:space="0" w:color="auto"/>
        <w:bottom w:val="none" w:sz="0" w:space="0" w:color="auto"/>
        <w:right w:val="none" w:sz="0" w:space="0" w:color="auto"/>
      </w:divBdr>
    </w:div>
    <w:div w:id="153049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ches-dlmg@senat.fr"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nat.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ches-dlmg@senat.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NAT\Application%20Data\Microsoft\Mod&#232;les\DCE%20R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3BFD9-25E7-4CA8-90D1-DD41F0F9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DCE RC</Template>
  <TotalTime>592</TotalTime>
  <Pages>14</Pages>
  <Words>3556</Words>
  <Characters>21505</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Paris, le</vt:lpstr>
    </vt:vector>
  </TitlesOfParts>
  <Company>SENAT</Company>
  <LinksUpToDate>false</LinksUpToDate>
  <CharactersWithSpaces>25011</CharactersWithSpaces>
  <SharedDoc>false</SharedDoc>
  <HLinks>
    <vt:vector size="132" baseType="variant">
      <vt:variant>
        <vt:i4>8257550</vt:i4>
      </vt:variant>
      <vt:variant>
        <vt:i4>126</vt:i4>
      </vt:variant>
      <vt:variant>
        <vt:i4>0</vt:i4>
      </vt:variant>
      <vt:variant>
        <vt:i4>5</vt:i4>
      </vt:variant>
      <vt:variant>
        <vt:lpwstr>mailto:d.clemandot@senat.fr</vt:lpwstr>
      </vt:variant>
      <vt:variant>
        <vt:lpwstr/>
      </vt:variant>
      <vt:variant>
        <vt:i4>8257550</vt:i4>
      </vt:variant>
      <vt:variant>
        <vt:i4>123</vt:i4>
      </vt:variant>
      <vt:variant>
        <vt:i4>0</vt:i4>
      </vt:variant>
      <vt:variant>
        <vt:i4>5</vt:i4>
      </vt:variant>
      <vt:variant>
        <vt:lpwstr>mailto:d.clemandot@senat.fr</vt:lpwstr>
      </vt:variant>
      <vt:variant>
        <vt:lpwstr/>
      </vt:variant>
      <vt:variant>
        <vt:i4>1703998</vt:i4>
      </vt:variant>
      <vt:variant>
        <vt:i4>116</vt:i4>
      </vt:variant>
      <vt:variant>
        <vt:i4>0</vt:i4>
      </vt:variant>
      <vt:variant>
        <vt:i4>5</vt:i4>
      </vt:variant>
      <vt:variant>
        <vt:lpwstr/>
      </vt:variant>
      <vt:variant>
        <vt:lpwstr>_Toc407088559</vt:lpwstr>
      </vt:variant>
      <vt:variant>
        <vt:i4>1703998</vt:i4>
      </vt:variant>
      <vt:variant>
        <vt:i4>110</vt:i4>
      </vt:variant>
      <vt:variant>
        <vt:i4>0</vt:i4>
      </vt:variant>
      <vt:variant>
        <vt:i4>5</vt:i4>
      </vt:variant>
      <vt:variant>
        <vt:lpwstr/>
      </vt:variant>
      <vt:variant>
        <vt:lpwstr>_Toc407088558</vt:lpwstr>
      </vt:variant>
      <vt:variant>
        <vt:i4>1703998</vt:i4>
      </vt:variant>
      <vt:variant>
        <vt:i4>104</vt:i4>
      </vt:variant>
      <vt:variant>
        <vt:i4>0</vt:i4>
      </vt:variant>
      <vt:variant>
        <vt:i4>5</vt:i4>
      </vt:variant>
      <vt:variant>
        <vt:lpwstr/>
      </vt:variant>
      <vt:variant>
        <vt:lpwstr>_Toc407088557</vt:lpwstr>
      </vt:variant>
      <vt:variant>
        <vt:i4>1703998</vt:i4>
      </vt:variant>
      <vt:variant>
        <vt:i4>98</vt:i4>
      </vt:variant>
      <vt:variant>
        <vt:i4>0</vt:i4>
      </vt:variant>
      <vt:variant>
        <vt:i4>5</vt:i4>
      </vt:variant>
      <vt:variant>
        <vt:lpwstr/>
      </vt:variant>
      <vt:variant>
        <vt:lpwstr>_Toc407088556</vt:lpwstr>
      </vt:variant>
      <vt:variant>
        <vt:i4>1703998</vt:i4>
      </vt:variant>
      <vt:variant>
        <vt:i4>92</vt:i4>
      </vt:variant>
      <vt:variant>
        <vt:i4>0</vt:i4>
      </vt:variant>
      <vt:variant>
        <vt:i4>5</vt:i4>
      </vt:variant>
      <vt:variant>
        <vt:lpwstr/>
      </vt:variant>
      <vt:variant>
        <vt:lpwstr>_Toc407088555</vt:lpwstr>
      </vt:variant>
      <vt:variant>
        <vt:i4>1703998</vt:i4>
      </vt:variant>
      <vt:variant>
        <vt:i4>86</vt:i4>
      </vt:variant>
      <vt:variant>
        <vt:i4>0</vt:i4>
      </vt:variant>
      <vt:variant>
        <vt:i4>5</vt:i4>
      </vt:variant>
      <vt:variant>
        <vt:lpwstr/>
      </vt:variant>
      <vt:variant>
        <vt:lpwstr>_Toc407088554</vt:lpwstr>
      </vt:variant>
      <vt:variant>
        <vt:i4>1703998</vt:i4>
      </vt:variant>
      <vt:variant>
        <vt:i4>80</vt:i4>
      </vt:variant>
      <vt:variant>
        <vt:i4>0</vt:i4>
      </vt:variant>
      <vt:variant>
        <vt:i4>5</vt:i4>
      </vt:variant>
      <vt:variant>
        <vt:lpwstr/>
      </vt:variant>
      <vt:variant>
        <vt:lpwstr>_Toc407088553</vt:lpwstr>
      </vt:variant>
      <vt:variant>
        <vt:i4>1703998</vt:i4>
      </vt:variant>
      <vt:variant>
        <vt:i4>74</vt:i4>
      </vt:variant>
      <vt:variant>
        <vt:i4>0</vt:i4>
      </vt:variant>
      <vt:variant>
        <vt:i4>5</vt:i4>
      </vt:variant>
      <vt:variant>
        <vt:lpwstr/>
      </vt:variant>
      <vt:variant>
        <vt:lpwstr>_Toc407088552</vt:lpwstr>
      </vt:variant>
      <vt:variant>
        <vt:i4>1703998</vt:i4>
      </vt:variant>
      <vt:variant>
        <vt:i4>68</vt:i4>
      </vt:variant>
      <vt:variant>
        <vt:i4>0</vt:i4>
      </vt:variant>
      <vt:variant>
        <vt:i4>5</vt:i4>
      </vt:variant>
      <vt:variant>
        <vt:lpwstr/>
      </vt:variant>
      <vt:variant>
        <vt:lpwstr>_Toc407088550</vt:lpwstr>
      </vt:variant>
      <vt:variant>
        <vt:i4>1769534</vt:i4>
      </vt:variant>
      <vt:variant>
        <vt:i4>62</vt:i4>
      </vt:variant>
      <vt:variant>
        <vt:i4>0</vt:i4>
      </vt:variant>
      <vt:variant>
        <vt:i4>5</vt:i4>
      </vt:variant>
      <vt:variant>
        <vt:lpwstr/>
      </vt:variant>
      <vt:variant>
        <vt:lpwstr>_Toc407088549</vt:lpwstr>
      </vt:variant>
      <vt:variant>
        <vt:i4>1769534</vt:i4>
      </vt:variant>
      <vt:variant>
        <vt:i4>56</vt:i4>
      </vt:variant>
      <vt:variant>
        <vt:i4>0</vt:i4>
      </vt:variant>
      <vt:variant>
        <vt:i4>5</vt:i4>
      </vt:variant>
      <vt:variant>
        <vt:lpwstr/>
      </vt:variant>
      <vt:variant>
        <vt:lpwstr>_Toc407088548</vt:lpwstr>
      </vt:variant>
      <vt:variant>
        <vt:i4>1769534</vt:i4>
      </vt:variant>
      <vt:variant>
        <vt:i4>50</vt:i4>
      </vt:variant>
      <vt:variant>
        <vt:i4>0</vt:i4>
      </vt:variant>
      <vt:variant>
        <vt:i4>5</vt:i4>
      </vt:variant>
      <vt:variant>
        <vt:lpwstr/>
      </vt:variant>
      <vt:variant>
        <vt:lpwstr>_Toc407088547</vt:lpwstr>
      </vt:variant>
      <vt:variant>
        <vt:i4>1769534</vt:i4>
      </vt:variant>
      <vt:variant>
        <vt:i4>44</vt:i4>
      </vt:variant>
      <vt:variant>
        <vt:i4>0</vt:i4>
      </vt:variant>
      <vt:variant>
        <vt:i4>5</vt:i4>
      </vt:variant>
      <vt:variant>
        <vt:lpwstr/>
      </vt:variant>
      <vt:variant>
        <vt:lpwstr>_Toc407088546</vt:lpwstr>
      </vt:variant>
      <vt:variant>
        <vt:i4>1769534</vt:i4>
      </vt:variant>
      <vt:variant>
        <vt:i4>38</vt:i4>
      </vt:variant>
      <vt:variant>
        <vt:i4>0</vt:i4>
      </vt:variant>
      <vt:variant>
        <vt:i4>5</vt:i4>
      </vt:variant>
      <vt:variant>
        <vt:lpwstr/>
      </vt:variant>
      <vt:variant>
        <vt:lpwstr>_Toc407088545</vt:lpwstr>
      </vt:variant>
      <vt:variant>
        <vt:i4>1769534</vt:i4>
      </vt:variant>
      <vt:variant>
        <vt:i4>32</vt:i4>
      </vt:variant>
      <vt:variant>
        <vt:i4>0</vt:i4>
      </vt:variant>
      <vt:variant>
        <vt:i4>5</vt:i4>
      </vt:variant>
      <vt:variant>
        <vt:lpwstr/>
      </vt:variant>
      <vt:variant>
        <vt:lpwstr>_Toc407088544</vt:lpwstr>
      </vt:variant>
      <vt:variant>
        <vt:i4>1769534</vt:i4>
      </vt:variant>
      <vt:variant>
        <vt:i4>26</vt:i4>
      </vt:variant>
      <vt:variant>
        <vt:i4>0</vt:i4>
      </vt:variant>
      <vt:variant>
        <vt:i4>5</vt:i4>
      </vt:variant>
      <vt:variant>
        <vt:lpwstr/>
      </vt:variant>
      <vt:variant>
        <vt:lpwstr>_Toc407088543</vt:lpwstr>
      </vt:variant>
      <vt:variant>
        <vt:i4>1769534</vt:i4>
      </vt:variant>
      <vt:variant>
        <vt:i4>20</vt:i4>
      </vt:variant>
      <vt:variant>
        <vt:i4>0</vt:i4>
      </vt:variant>
      <vt:variant>
        <vt:i4>5</vt:i4>
      </vt:variant>
      <vt:variant>
        <vt:lpwstr/>
      </vt:variant>
      <vt:variant>
        <vt:lpwstr>_Toc407088542</vt:lpwstr>
      </vt:variant>
      <vt:variant>
        <vt:i4>1769534</vt:i4>
      </vt:variant>
      <vt:variant>
        <vt:i4>14</vt:i4>
      </vt:variant>
      <vt:variant>
        <vt:i4>0</vt:i4>
      </vt:variant>
      <vt:variant>
        <vt:i4>5</vt:i4>
      </vt:variant>
      <vt:variant>
        <vt:lpwstr/>
      </vt:variant>
      <vt:variant>
        <vt:lpwstr>_Toc407088541</vt:lpwstr>
      </vt:variant>
      <vt:variant>
        <vt:i4>1769534</vt:i4>
      </vt:variant>
      <vt:variant>
        <vt:i4>8</vt:i4>
      </vt:variant>
      <vt:variant>
        <vt:i4>0</vt:i4>
      </vt:variant>
      <vt:variant>
        <vt:i4>5</vt:i4>
      </vt:variant>
      <vt:variant>
        <vt:lpwstr/>
      </vt:variant>
      <vt:variant>
        <vt:lpwstr>_Toc407088540</vt:lpwstr>
      </vt:variant>
      <vt:variant>
        <vt:i4>1835070</vt:i4>
      </vt:variant>
      <vt:variant>
        <vt:i4>2</vt:i4>
      </vt:variant>
      <vt:variant>
        <vt:i4>0</vt:i4>
      </vt:variant>
      <vt:variant>
        <vt:i4>5</vt:i4>
      </vt:variant>
      <vt:variant>
        <vt:lpwstr/>
      </vt:variant>
      <vt:variant>
        <vt:lpwstr>_Toc407088539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le</dc:title>
  <dc:creator>Sénat</dc:creator>
  <cp:lastModifiedBy>Geoffroy LAURIN</cp:lastModifiedBy>
  <cp:revision>34</cp:revision>
  <cp:lastPrinted>2020-10-01T14:14:00Z</cp:lastPrinted>
  <dcterms:created xsi:type="dcterms:W3CDTF">2025-08-27T12:25:00Z</dcterms:created>
  <dcterms:modified xsi:type="dcterms:W3CDTF">2025-09-17T08:37:00Z</dcterms:modified>
</cp:coreProperties>
</file>