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18" w:type="dxa"/>
        <w:jc w:val="center"/>
        <w:tblLayout w:type="fixed"/>
        <w:tblCellMar>
          <w:left w:w="70" w:type="dxa"/>
          <w:right w:w="70" w:type="dxa"/>
        </w:tblCellMar>
        <w:tblLook w:val="0000" w:firstRow="0" w:lastRow="0" w:firstColumn="0" w:lastColumn="0" w:noHBand="0" w:noVBand="0"/>
      </w:tblPr>
      <w:tblGrid>
        <w:gridCol w:w="1702"/>
        <w:gridCol w:w="8916"/>
      </w:tblGrid>
      <w:tr w:rsidR="00833B5A" w:rsidRPr="000501F6" w14:paraId="3CB88AC9" w14:textId="77777777" w:rsidTr="00DD66B7">
        <w:trPr>
          <w:jc w:val="center"/>
        </w:trPr>
        <w:tc>
          <w:tcPr>
            <w:tcW w:w="1702" w:type="dxa"/>
            <w:vAlign w:val="center"/>
          </w:tcPr>
          <w:p w14:paraId="6C823BB8" w14:textId="77777777" w:rsidR="00833B5A" w:rsidRPr="000501F6" w:rsidRDefault="00833B5A" w:rsidP="002E7DD9">
            <w:pPr>
              <w:jc w:val="center"/>
            </w:pPr>
            <w:r>
              <w:rPr>
                <w:noProof/>
              </w:rPr>
              <w:drawing>
                <wp:inline distT="0" distB="0" distL="0" distR="0" wp14:anchorId="225944A8" wp14:editId="55AB9E3F">
                  <wp:extent cx="903605" cy="903605"/>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3605" cy="903605"/>
                          </a:xfrm>
                          <a:prstGeom prst="rect">
                            <a:avLst/>
                          </a:prstGeom>
                          <a:noFill/>
                          <a:ln>
                            <a:noFill/>
                          </a:ln>
                        </pic:spPr>
                      </pic:pic>
                    </a:graphicData>
                  </a:graphic>
                </wp:inline>
              </w:drawing>
            </w:r>
          </w:p>
        </w:tc>
        <w:tc>
          <w:tcPr>
            <w:tcW w:w="8916" w:type="dxa"/>
          </w:tcPr>
          <w:p w14:paraId="5B39E892" w14:textId="77777777" w:rsidR="00833B5A" w:rsidRPr="00DD66B7" w:rsidRDefault="00833B5A" w:rsidP="00DD66B7">
            <w:pPr>
              <w:pStyle w:val="DCETexte"/>
              <w:ind w:right="-108" w:firstLine="0"/>
              <w:jc w:val="center"/>
              <w:rPr>
                <w:rFonts w:ascii="Arial" w:hAnsi="Arial" w:cs="Arial"/>
                <w:b/>
                <w:smallCaps/>
                <w:sz w:val="28"/>
                <w:szCs w:val="26"/>
              </w:rPr>
            </w:pPr>
            <w:r w:rsidRPr="00DD66B7">
              <w:rPr>
                <w:rFonts w:ascii="Arial" w:hAnsi="Arial" w:cs="Arial"/>
                <w:b/>
                <w:smallCaps/>
                <w:sz w:val="40"/>
                <w:szCs w:val="40"/>
              </w:rPr>
              <w:t>D</w:t>
            </w:r>
            <w:r w:rsidRPr="00DD66B7">
              <w:rPr>
                <w:rFonts w:ascii="Arial" w:hAnsi="Arial" w:cs="Arial"/>
                <w:b/>
                <w:smallCaps/>
                <w:sz w:val="36"/>
                <w:szCs w:val="36"/>
              </w:rPr>
              <w:t xml:space="preserve">irection de la </w:t>
            </w:r>
            <w:r w:rsidRPr="00DD66B7">
              <w:rPr>
                <w:rFonts w:ascii="Arial" w:hAnsi="Arial" w:cs="Arial"/>
                <w:b/>
                <w:smallCaps/>
                <w:sz w:val="40"/>
                <w:szCs w:val="40"/>
              </w:rPr>
              <w:t>L</w:t>
            </w:r>
            <w:r w:rsidRPr="00DD66B7">
              <w:rPr>
                <w:rFonts w:ascii="Arial" w:hAnsi="Arial" w:cs="Arial"/>
                <w:b/>
                <w:smallCaps/>
                <w:sz w:val="36"/>
                <w:szCs w:val="36"/>
              </w:rPr>
              <w:t>ogistique et des Moyens généraux</w:t>
            </w:r>
          </w:p>
          <w:p w14:paraId="579C0413" w14:textId="77777777" w:rsidR="00833B5A" w:rsidRPr="00DD66B7" w:rsidRDefault="00833B5A" w:rsidP="002E7DD9">
            <w:pPr>
              <w:pStyle w:val="DCETexte"/>
              <w:ind w:left="25" w:right="-108"/>
              <w:jc w:val="center"/>
              <w:rPr>
                <w:rFonts w:ascii="Arial" w:hAnsi="Arial" w:cs="Arial"/>
                <w:smallCaps/>
                <w:sz w:val="22"/>
              </w:rPr>
            </w:pPr>
            <w:r w:rsidRPr="00DD66B7">
              <w:rPr>
                <w:rFonts w:ascii="Arial" w:hAnsi="Arial" w:cs="Arial"/>
                <w:smallCaps/>
                <w:sz w:val="22"/>
              </w:rPr>
              <w:t>15 rue de Vaugirard  -  75291 PARIS CEDEX 06</w:t>
            </w:r>
          </w:p>
          <w:p w14:paraId="17554158" w14:textId="3884EE12" w:rsidR="00833B5A" w:rsidRPr="000501F6" w:rsidRDefault="00833B5A" w:rsidP="002E7DD9">
            <w:pPr>
              <w:jc w:val="center"/>
              <w:rPr>
                <w:b/>
                <w:sz w:val="32"/>
              </w:rPr>
            </w:pPr>
          </w:p>
        </w:tc>
      </w:tr>
    </w:tbl>
    <w:p w14:paraId="3A88A54B" w14:textId="26B1E879" w:rsidR="006B0F38" w:rsidRPr="003845DC" w:rsidRDefault="003845DC" w:rsidP="006B0F38">
      <w:pPr>
        <w:rPr>
          <w:i/>
          <w:iCs/>
          <w:sz w:val="16"/>
          <w:szCs w:val="16"/>
        </w:rPr>
      </w:pPr>
      <w:r w:rsidRPr="003845DC">
        <w:rPr>
          <w:i/>
          <w:iCs/>
          <w:sz w:val="16"/>
          <w:szCs w:val="16"/>
        </w:rPr>
        <w:t>SENAT-DLMG-2025-07</w:t>
      </w:r>
    </w:p>
    <w:p w14:paraId="057CA44B" w14:textId="37ED8692" w:rsidR="003845DC" w:rsidRPr="00A6420A" w:rsidRDefault="003845DC" w:rsidP="003845DC">
      <w:pPr>
        <w:pBdr>
          <w:top w:val="single" w:sz="12" w:space="20" w:color="auto"/>
          <w:left w:val="single" w:sz="12" w:space="0" w:color="auto"/>
          <w:bottom w:val="single" w:sz="12" w:space="20" w:color="auto"/>
          <w:right w:val="single" w:sz="12" w:space="0" w:color="auto"/>
        </w:pBdr>
        <w:spacing w:before="1560"/>
        <w:jc w:val="center"/>
        <w:rPr>
          <w:rFonts w:ascii="Arial" w:hAnsi="Arial" w:cs="Arial"/>
          <w:b/>
          <w:caps/>
          <w:sz w:val="40"/>
          <w:szCs w:val="40"/>
        </w:rPr>
      </w:pPr>
      <w:bookmarkStart w:id="0" w:name="_Hlk208564717"/>
      <w:r w:rsidRPr="00A6420A">
        <w:rPr>
          <w:rFonts w:ascii="Arial" w:hAnsi="Arial" w:cs="Arial"/>
          <w:b/>
          <w:caps/>
          <w:sz w:val="40"/>
          <w:szCs w:val="40"/>
        </w:rPr>
        <w:t xml:space="preserve">concession </w:t>
      </w:r>
      <w:r w:rsidRPr="00A6420A">
        <w:rPr>
          <w:rFonts w:ascii="Arial" w:hAnsi="Arial" w:cs="Arial"/>
          <w:b/>
          <w:caps/>
          <w:sz w:val="40"/>
          <w:szCs w:val="40"/>
        </w:rPr>
        <w:br/>
        <w:t>de services pour L</w:t>
      </w:r>
      <w:r w:rsidRPr="00A6420A">
        <w:rPr>
          <w:rFonts w:ascii="Arial" w:hAnsi="Arial" w:cs="Arial"/>
          <w:b/>
          <w:sz w:val="40"/>
          <w:szCs w:val="40"/>
        </w:rPr>
        <w:t>’EXPLOITATION</w:t>
      </w:r>
      <w:r w:rsidRPr="00A6420A">
        <w:rPr>
          <w:rFonts w:ascii="Arial" w:hAnsi="Arial" w:cs="Arial"/>
          <w:b/>
          <w:sz w:val="40"/>
          <w:szCs w:val="40"/>
        </w:rPr>
        <w:br/>
        <w:t xml:space="preserve">D’UNE BOUTIQUE DE VENTE </w:t>
      </w:r>
      <w:r w:rsidRPr="00A6420A">
        <w:rPr>
          <w:rFonts w:ascii="Arial" w:hAnsi="Arial" w:cs="Arial"/>
          <w:b/>
          <w:sz w:val="40"/>
          <w:szCs w:val="40"/>
        </w:rPr>
        <w:br/>
        <w:t>DANS LE PALAIS DU LUXEMBOUR</w:t>
      </w:r>
      <w:r w:rsidR="00A6420A" w:rsidRPr="00A6420A">
        <w:rPr>
          <w:rFonts w:ascii="Arial" w:hAnsi="Arial" w:cs="Arial"/>
          <w:b/>
          <w:caps/>
          <w:sz w:val="40"/>
          <w:szCs w:val="40"/>
        </w:rPr>
        <w:t>G et d’une boutique en ligne</w:t>
      </w:r>
    </w:p>
    <w:bookmarkEnd w:id="0"/>
    <w:p w14:paraId="273A09CF" w14:textId="77777777" w:rsidR="006B0F38" w:rsidRPr="00E45FFA" w:rsidRDefault="006B0F38" w:rsidP="006B0F38"/>
    <w:p w14:paraId="789722B0" w14:textId="77777777" w:rsidR="006B0F38" w:rsidRDefault="006B0F38" w:rsidP="006B0F38"/>
    <w:p w14:paraId="591AA7A2" w14:textId="77777777" w:rsidR="006B0F38" w:rsidRDefault="006B0F38" w:rsidP="006B0F38"/>
    <w:p w14:paraId="6E9DC8B1" w14:textId="77777777" w:rsidR="00BB3E16" w:rsidRDefault="00BB3E16" w:rsidP="006B0F38"/>
    <w:p w14:paraId="36291C26" w14:textId="77777777" w:rsidR="00BB3E16" w:rsidRDefault="00BB3E16" w:rsidP="006B0F38"/>
    <w:p w14:paraId="62299C5E" w14:textId="77777777" w:rsidR="006B0F38" w:rsidRDefault="006B0F38" w:rsidP="006B0F38"/>
    <w:p w14:paraId="7160B5AF" w14:textId="77777777" w:rsidR="006B0F38" w:rsidRPr="00E45FFA" w:rsidRDefault="006B0F38" w:rsidP="006B0F38"/>
    <w:p w14:paraId="2626FE3A" w14:textId="06EFFEBF" w:rsidR="007B409B" w:rsidRPr="006B0F38" w:rsidRDefault="00AB2847" w:rsidP="006B0F38">
      <w:pPr>
        <w:pStyle w:val="TITREPIECE"/>
        <w:pBdr>
          <w:top w:val="single" w:sz="12" w:space="15" w:color="auto"/>
          <w:left w:val="single" w:sz="12" w:space="0" w:color="auto"/>
          <w:bottom w:val="single" w:sz="12" w:space="15" w:color="auto"/>
          <w:right w:val="single" w:sz="12" w:space="0" w:color="auto"/>
        </w:pBdr>
        <w:rPr>
          <w:caps/>
          <w:sz w:val="44"/>
          <w:szCs w:val="44"/>
        </w:rPr>
      </w:pPr>
      <w:r>
        <w:rPr>
          <w:caps/>
          <w:sz w:val="44"/>
          <w:szCs w:val="44"/>
        </w:rPr>
        <w:t xml:space="preserve">Projet de </w:t>
      </w:r>
      <w:r w:rsidR="00946836">
        <w:rPr>
          <w:caps/>
          <w:sz w:val="44"/>
          <w:szCs w:val="44"/>
        </w:rPr>
        <w:t>contrat</w:t>
      </w:r>
    </w:p>
    <w:p w14:paraId="40F3B017" w14:textId="77777777" w:rsidR="007B409B" w:rsidRPr="00BC029B" w:rsidRDefault="007B409B" w:rsidP="007B409B"/>
    <w:p w14:paraId="5FB744F6" w14:textId="77777777" w:rsidR="006B0F38" w:rsidRDefault="006B0F38" w:rsidP="006B0F38"/>
    <w:p w14:paraId="14DD6CB5" w14:textId="77777777" w:rsidR="00FD2FD9" w:rsidRDefault="00FD2FD9" w:rsidP="006B0F38"/>
    <w:p w14:paraId="0DA01F58" w14:textId="77777777" w:rsidR="00FD2FD9" w:rsidRDefault="00FD2FD9" w:rsidP="006B0F38"/>
    <w:p w14:paraId="52DF204D" w14:textId="77777777" w:rsidR="00FC1809" w:rsidRDefault="00FC1809" w:rsidP="006B0F38"/>
    <w:p w14:paraId="54E6FFB1" w14:textId="77777777" w:rsidR="00FC1809" w:rsidRDefault="00FC1809" w:rsidP="006B0F38"/>
    <w:p w14:paraId="3CEBFB59" w14:textId="77777777" w:rsidR="00BB3E16" w:rsidRDefault="00BB3E16" w:rsidP="006B0F38"/>
    <w:p w14:paraId="44165B33" w14:textId="77777777" w:rsidR="00BB3E16" w:rsidRDefault="00BB3E16" w:rsidP="006B0F38"/>
    <w:p w14:paraId="28B59383" w14:textId="77777777" w:rsidR="006B0F38" w:rsidRDefault="006B0F38" w:rsidP="006B0F38"/>
    <w:p w14:paraId="58E8D637" w14:textId="05103C4E" w:rsidR="00833B5A" w:rsidRPr="001E0BC7" w:rsidRDefault="003845DC" w:rsidP="00833B5A">
      <w:pPr>
        <w:pStyle w:val="DCECorpsdetexte"/>
        <w:jc w:val="right"/>
        <w:rPr>
          <w:rFonts w:ascii="Arial (W1)" w:hAnsi="Arial (W1)" w:cs="Arial"/>
          <w:caps/>
          <w:sz w:val="36"/>
          <w:szCs w:val="36"/>
        </w:rPr>
        <w:sectPr w:rsidR="00833B5A" w:rsidRPr="001E0BC7" w:rsidSect="002E7DD9">
          <w:headerReference w:type="even" r:id="rId9"/>
          <w:footerReference w:type="even" r:id="rId10"/>
          <w:headerReference w:type="first" r:id="rId11"/>
          <w:footnotePr>
            <w:numRestart w:val="eachPage"/>
          </w:footnotePr>
          <w:pgSz w:w="11880" w:h="16820" w:code="9"/>
          <w:pgMar w:top="1701" w:right="1418" w:bottom="1134" w:left="1418" w:header="851" w:footer="369" w:gutter="0"/>
          <w:pgNumType w:start="1"/>
          <w:cols w:space="720"/>
        </w:sectPr>
      </w:pPr>
      <w:r>
        <w:rPr>
          <w:rFonts w:ascii="Arial (W1)" w:hAnsi="Arial (W1)" w:cs="Arial"/>
          <w:caps/>
          <w:sz w:val="36"/>
          <w:szCs w:val="36"/>
        </w:rPr>
        <w:t>SEPTEM</w:t>
      </w:r>
      <w:r w:rsidR="00125715">
        <w:rPr>
          <w:rFonts w:ascii="Arial (W1)" w:hAnsi="Arial (W1)" w:cs="Arial"/>
          <w:caps/>
          <w:sz w:val="36"/>
          <w:szCs w:val="36"/>
        </w:rPr>
        <w:t>BRE</w:t>
      </w:r>
      <w:r w:rsidR="00833B5A" w:rsidRPr="001E0BC7">
        <w:rPr>
          <w:rFonts w:ascii="Arial (W1)" w:hAnsi="Arial (W1)" w:cs="Arial"/>
          <w:caps/>
          <w:sz w:val="36"/>
          <w:szCs w:val="36"/>
        </w:rPr>
        <w:t xml:space="preserve"> 202</w:t>
      </w:r>
      <w:r>
        <w:rPr>
          <w:rFonts w:ascii="Arial (W1)" w:hAnsi="Arial (W1)" w:cs="Arial"/>
          <w:caps/>
          <w:sz w:val="36"/>
          <w:szCs w:val="36"/>
        </w:rPr>
        <w:t>5</w:t>
      </w:r>
    </w:p>
    <w:p w14:paraId="776EDCB6" w14:textId="77777777" w:rsidR="000817F0" w:rsidRPr="00FD2FD9" w:rsidRDefault="000817F0" w:rsidP="000817F0">
      <w:pPr>
        <w:pStyle w:val="DCESommaire"/>
        <w:spacing w:before="960"/>
      </w:pPr>
      <w:r w:rsidRPr="00FD2FD9">
        <w:lastRenderedPageBreak/>
        <w:t>SOMMAIRE</w:t>
      </w:r>
    </w:p>
    <w:p w14:paraId="73161F0F" w14:textId="77777777" w:rsidR="000817F0" w:rsidRPr="00FD2FD9" w:rsidRDefault="000817F0" w:rsidP="007459D2">
      <w:pPr>
        <w:spacing w:line="360" w:lineRule="auto"/>
        <w:jc w:val="right"/>
        <w:rPr>
          <w:i/>
          <w:sz w:val="22"/>
          <w:szCs w:val="22"/>
        </w:rPr>
      </w:pPr>
      <w:r w:rsidRPr="00FD2FD9">
        <w:rPr>
          <w:i/>
          <w:sz w:val="22"/>
          <w:szCs w:val="22"/>
        </w:rPr>
        <w:t>Page</w:t>
      </w:r>
    </w:p>
    <w:p w14:paraId="45A8C61B" w14:textId="7C242924" w:rsidR="00BE0B80" w:rsidRDefault="002E7DD9">
      <w:pPr>
        <w:pStyle w:val="TM1"/>
        <w:tabs>
          <w:tab w:val="right" w:leader="dot" w:pos="8919"/>
        </w:tabs>
        <w:rPr>
          <w:rFonts w:asciiTheme="minorHAnsi" w:eastAsiaTheme="minorEastAsia" w:hAnsiTheme="minorHAnsi" w:cstheme="minorBidi"/>
          <w:b w:val="0"/>
          <w:bCs w:val="0"/>
          <w:caps w:val="0"/>
          <w:noProof/>
          <w:sz w:val="22"/>
          <w:szCs w:val="22"/>
        </w:rPr>
      </w:pPr>
      <w:r>
        <w:rPr>
          <w:b w:val="0"/>
          <w:bCs w:val="0"/>
          <w:sz w:val="22"/>
          <w:szCs w:val="22"/>
        </w:rPr>
        <w:fldChar w:fldCharType="begin"/>
      </w:r>
      <w:r>
        <w:rPr>
          <w:b w:val="0"/>
          <w:bCs w:val="0"/>
          <w:sz w:val="22"/>
          <w:szCs w:val="22"/>
        </w:rPr>
        <w:instrText xml:space="preserve"> TOC \o "1-4" \u </w:instrText>
      </w:r>
      <w:r>
        <w:rPr>
          <w:b w:val="0"/>
          <w:bCs w:val="0"/>
          <w:sz w:val="22"/>
          <w:szCs w:val="22"/>
        </w:rPr>
        <w:fldChar w:fldCharType="separate"/>
      </w:r>
      <w:r w:rsidR="00BE0B80">
        <w:rPr>
          <w:noProof/>
        </w:rPr>
        <w:t>Préambule</w:t>
      </w:r>
      <w:r w:rsidR="00BE0B80">
        <w:rPr>
          <w:noProof/>
        </w:rPr>
        <w:tab/>
      </w:r>
      <w:r w:rsidR="00BE0B80">
        <w:rPr>
          <w:noProof/>
        </w:rPr>
        <w:fldChar w:fldCharType="begin"/>
      </w:r>
      <w:r w:rsidR="00BE0B80">
        <w:rPr>
          <w:noProof/>
        </w:rPr>
        <w:instrText xml:space="preserve"> PAGEREF _Toc208852151 \h </w:instrText>
      </w:r>
      <w:r w:rsidR="00BE0B80">
        <w:rPr>
          <w:noProof/>
        </w:rPr>
      </w:r>
      <w:r w:rsidR="00BE0B80">
        <w:rPr>
          <w:noProof/>
        </w:rPr>
        <w:fldChar w:fldCharType="separate"/>
      </w:r>
      <w:r w:rsidR="00BE0B80">
        <w:rPr>
          <w:noProof/>
        </w:rPr>
        <w:t>5</w:t>
      </w:r>
      <w:r w:rsidR="00BE0B80">
        <w:rPr>
          <w:noProof/>
        </w:rPr>
        <w:fldChar w:fldCharType="end"/>
      </w:r>
    </w:p>
    <w:p w14:paraId="76C4D8D1" w14:textId="2EBCD1AF"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Pr>
          <w:noProof/>
        </w:rPr>
        <w:t>Chapitre I. – Stipulations générales</w:t>
      </w:r>
      <w:r>
        <w:rPr>
          <w:noProof/>
        </w:rPr>
        <w:tab/>
      </w:r>
      <w:r>
        <w:rPr>
          <w:noProof/>
        </w:rPr>
        <w:fldChar w:fldCharType="begin"/>
      </w:r>
      <w:r>
        <w:rPr>
          <w:noProof/>
        </w:rPr>
        <w:instrText xml:space="preserve"> PAGEREF _Toc208852152 \h </w:instrText>
      </w:r>
      <w:r>
        <w:rPr>
          <w:noProof/>
        </w:rPr>
      </w:r>
      <w:r>
        <w:rPr>
          <w:noProof/>
        </w:rPr>
        <w:fldChar w:fldCharType="separate"/>
      </w:r>
      <w:r>
        <w:rPr>
          <w:noProof/>
        </w:rPr>
        <w:t>5</w:t>
      </w:r>
      <w:r>
        <w:rPr>
          <w:noProof/>
        </w:rPr>
        <w:fldChar w:fldCharType="end"/>
      </w:r>
    </w:p>
    <w:p w14:paraId="78BEB00D" w14:textId="198C11D2"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 –</w:t>
      </w:r>
      <w:r>
        <w:rPr>
          <w:noProof/>
        </w:rPr>
        <w:t xml:space="preserve"> Objet du contrat</w:t>
      </w:r>
      <w:r>
        <w:rPr>
          <w:noProof/>
        </w:rPr>
        <w:tab/>
      </w:r>
      <w:r>
        <w:rPr>
          <w:noProof/>
        </w:rPr>
        <w:fldChar w:fldCharType="begin"/>
      </w:r>
      <w:r>
        <w:rPr>
          <w:noProof/>
        </w:rPr>
        <w:instrText xml:space="preserve"> PAGEREF _Toc208852153 \h </w:instrText>
      </w:r>
      <w:r>
        <w:rPr>
          <w:noProof/>
        </w:rPr>
      </w:r>
      <w:r>
        <w:rPr>
          <w:noProof/>
        </w:rPr>
        <w:fldChar w:fldCharType="separate"/>
      </w:r>
      <w:r>
        <w:rPr>
          <w:noProof/>
        </w:rPr>
        <w:t>5</w:t>
      </w:r>
      <w:r>
        <w:rPr>
          <w:noProof/>
        </w:rPr>
        <w:fldChar w:fldCharType="end"/>
      </w:r>
    </w:p>
    <w:p w14:paraId="4674D2BE" w14:textId="40824C52"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 –</w:t>
      </w:r>
      <w:r>
        <w:rPr>
          <w:noProof/>
        </w:rPr>
        <w:t xml:space="preserve"> Documents contractuels</w:t>
      </w:r>
      <w:r>
        <w:rPr>
          <w:noProof/>
        </w:rPr>
        <w:tab/>
      </w:r>
      <w:r>
        <w:rPr>
          <w:noProof/>
        </w:rPr>
        <w:fldChar w:fldCharType="begin"/>
      </w:r>
      <w:r>
        <w:rPr>
          <w:noProof/>
        </w:rPr>
        <w:instrText xml:space="preserve"> PAGEREF _Toc208852154 \h </w:instrText>
      </w:r>
      <w:r>
        <w:rPr>
          <w:noProof/>
        </w:rPr>
      </w:r>
      <w:r>
        <w:rPr>
          <w:noProof/>
        </w:rPr>
        <w:fldChar w:fldCharType="separate"/>
      </w:r>
      <w:r>
        <w:rPr>
          <w:noProof/>
        </w:rPr>
        <w:t>6</w:t>
      </w:r>
      <w:r>
        <w:rPr>
          <w:noProof/>
        </w:rPr>
        <w:fldChar w:fldCharType="end"/>
      </w:r>
    </w:p>
    <w:p w14:paraId="0AC58BC8" w14:textId="7CCCF1F5"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3. –</w:t>
      </w:r>
      <w:r>
        <w:rPr>
          <w:noProof/>
        </w:rPr>
        <w:t xml:space="preserve"> Sous-concession et exécution du contrat par des tiers</w:t>
      </w:r>
      <w:r>
        <w:rPr>
          <w:noProof/>
        </w:rPr>
        <w:tab/>
      </w:r>
      <w:r>
        <w:rPr>
          <w:noProof/>
        </w:rPr>
        <w:fldChar w:fldCharType="begin"/>
      </w:r>
      <w:r>
        <w:rPr>
          <w:noProof/>
        </w:rPr>
        <w:instrText xml:space="preserve"> PAGEREF _Toc208852155 \h </w:instrText>
      </w:r>
      <w:r>
        <w:rPr>
          <w:noProof/>
        </w:rPr>
      </w:r>
      <w:r>
        <w:rPr>
          <w:noProof/>
        </w:rPr>
        <w:fldChar w:fldCharType="separate"/>
      </w:r>
      <w:r>
        <w:rPr>
          <w:noProof/>
        </w:rPr>
        <w:t>7</w:t>
      </w:r>
      <w:r>
        <w:rPr>
          <w:noProof/>
        </w:rPr>
        <w:fldChar w:fldCharType="end"/>
      </w:r>
    </w:p>
    <w:p w14:paraId="57903971" w14:textId="273BD3E3"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4. –</w:t>
      </w:r>
      <w:r>
        <w:rPr>
          <w:noProof/>
        </w:rPr>
        <w:t xml:space="preserve"> Cession du contrat</w:t>
      </w:r>
      <w:r>
        <w:rPr>
          <w:noProof/>
        </w:rPr>
        <w:tab/>
      </w:r>
      <w:r>
        <w:rPr>
          <w:noProof/>
        </w:rPr>
        <w:fldChar w:fldCharType="begin"/>
      </w:r>
      <w:r>
        <w:rPr>
          <w:noProof/>
        </w:rPr>
        <w:instrText xml:space="preserve"> PAGEREF _Toc208852156 \h </w:instrText>
      </w:r>
      <w:r>
        <w:rPr>
          <w:noProof/>
        </w:rPr>
      </w:r>
      <w:r>
        <w:rPr>
          <w:noProof/>
        </w:rPr>
        <w:fldChar w:fldCharType="separate"/>
      </w:r>
      <w:r>
        <w:rPr>
          <w:noProof/>
        </w:rPr>
        <w:t>7</w:t>
      </w:r>
      <w:r>
        <w:rPr>
          <w:noProof/>
        </w:rPr>
        <w:fldChar w:fldCharType="end"/>
      </w:r>
    </w:p>
    <w:p w14:paraId="52F89052" w14:textId="55A3EDCA"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5. –</w:t>
      </w:r>
      <w:r>
        <w:rPr>
          <w:noProof/>
        </w:rPr>
        <w:t xml:space="preserve"> Droits réels</w:t>
      </w:r>
      <w:r>
        <w:rPr>
          <w:noProof/>
        </w:rPr>
        <w:tab/>
      </w:r>
      <w:r>
        <w:rPr>
          <w:noProof/>
        </w:rPr>
        <w:fldChar w:fldCharType="begin"/>
      </w:r>
      <w:r>
        <w:rPr>
          <w:noProof/>
        </w:rPr>
        <w:instrText xml:space="preserve"> PAGEREF _Toc208852157 \h </w:instrText>
      </w:r>
      <w:r>
        <w:rPr>
          <w:noProof/>
        </w:rPr>
      </w:r>
      <w:r>
        <w:rPr>
          <w:noProof/>
        </w:rPr>
        <w:fldChar w:fldCharType="separate"/>
      </w:r>
      <w:r>
        <w:rPr>
          <w:noProof/>
        </w:rPr>
        <w:t>7</w:t>
      </w:r>
      <w:r>
        <w:rPr>
          <w:noProof/>
        </w:rPr>
        <w:fldChar w:fldCharType="end"/>
      </w:r>
    </w:p>
    <w:p w14:paraId="24C585B0" w14:textId="34B36D05"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Pr>
          <w:noProof/>
        </w:rPr>
        <w:t>Chapitre II. – Conditions générales d’occupation du domaine public</w:t>
      </w:r>
      <w:r>
        <w:rPr>
          <w:noProof/>
        </w:rPr>
        <w:tab/>
      </w:r>
      <w:r>
        <w:rPr>
          <w:noProof/>
        </w:rPr>
        <w:fldChar w:fldCharType="begin"/>
      </w:r>
      <w:r>
        <w:rPr>
          <w:noProof/>
        </w:rPr>
        <w:instrText xml:space="preserve"> PAGEREF _Toc208852158 \h </w:instrText>
      </w:r>
      <w:r>
        <w:rPr>
          <w:noProof/>
        </w:rPr>
      </w:r>
      <w:r>
        <w:rPr>
          <w:noProof/>
        </w:rPr>
        <w:fldChar w:fldCharType="separate"/>
      </w:r>
      <w:r>
        <w:rPr>
          <w:noProof/>
        </w:rPr>
        <w:t>7</w:t>
      </w:r>
      <w:r>
        <w:rPr>
          <w:noProof/>
        </w:rPr>
        <w:fldChar w:fldCharType="end"/>
      </w:r>
    </w:p>
    <w:p w14:paraId="48A679FE" w14:textId="41415178"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6. –</w:t>
      </w:r>
      <w:r>
        <w:rPr>
          <w:noProof/>
        </w:rPr>
        <w:t xml:space="preserve"> Durée de la concession</w:t>
      </w:r>
      <w:r>
        <w:rPr>
          <w:noProof/>
        </w:rPr>
        <w:tab/>
      </w:r>
      <w:r>
        <w:rPr>
          <w:noProof/>
        </w:rPr>
        <w:fldChar w:fldCharType="begin"/>
      </w:r>
      <w:r>
        <w:rPr>
          <w:noProof/>
        </w:rPr>
        <w:instrText xml:space="preserve"> PAGEREF _Toc208852159 \h </w:instrText>
      </w:r>
      <w:r>
        <w:rPr>
          <w:noProof/>
        </w:rPr>
      </w:r>
      <w:r>
        <w:rPr>
          <w:noProof/>
        </w:rPr>
        <w:fldChar w:fldCharType="separate"/>
      </w:r>
      <w:r>
        <w:rPr>
          <w:noProof/>
        </w:rPr>
        <w:t>7</w:t>
      </w:r>
      <w:r>
        <w:rPr>
          <w:noProof/>
        </w:rPr>
        <w:fldChar w:fldCharType="end"/>
      </w:r>
    </w:p>
    <w:p w14:paraId="35A2E2EF" w14:textId="71DB5D6A"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7. –</w:t>
      </w:r>
      <w:r>
        <w:rPr>
          <w:noProof/>
        </w:rPr>
        <w:t xml:space="preserve"> Dénomination commerciale</w:t>
      </w:r>
      <w:r>
        <w:rPr>
          <w:noProof/>
        </w:rPr>
        <w:tab/>
      </w:r>
      <w:r>
        <w:rPr>
          <w:noProof/>
        </w:rPr>
        <w:fldChar w:fldCharType="begin"/>
      </w:r>
      <w:r>
        <w:rPr>
          <w:noProof/>
        </w:rPr>
        <w:instrText xml:space="preserve"> PAGEREF _Toc208852160 \h </w:instrText>
      </w:r>
      <w:r>
        <w:rPr>
          <w:noProof/>
        </w:rPr>
      </w:r>
      <w:r>
        <w:rPr>
          <w:noProof/>
        </w:rPr>
        <w:fldChar w:fldCharType="separate"/>
      </w:r>
      <w:r>
        <w:rPr>
          <w:noProof/>
        </w:rPr>
        <w:t>8</w:t>
      </w:r>
      <w:r>
        <w:rPr>
          <w:noProof/>
        </w:rPr>
        <w:fldChar w:fldCharType="end"/>
      </w:r>
    </w:p>
    <w:p w14:paraId="44E8C69D" w14:textId="330F6BDA"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8. –</w:t>
      </w:r>
      <w:r>
        <w:rPr>
          <w:noProof/>
        </w:rPr>
        <w:t xml:space="preserve"> Stocks</w:t>
      </w:r>
      <w:r>
        <w:rPr>
          <w:noProof/>
        </w:rPr>
        <w:tab/>
      </w:r>
      <w:r>
        <w:rPr>
          <w:noProof/>
        </w:rPr>
        <w:fldChar w:fldCharType="begin"/>
      </w:r>
      <w:r>
        <w:rPr>
          <w:noProof/>
        </w:rPr>
        <w:instrText xml:space="preserve"> PAGEREF _Toc208852161 \h </w:instrText>
      </w:r>
      <w:r>
        <w:rPr>
          <w:noProof/>
        </w:rPr>
      </w:r>
      <w:r>
        <w:rPr>
          <w:noProof/>
        </w:rPr>
        <w:fldChar w:fldCharType="separate"/>
      </w:r>
      <w:r>
        <w:rPr>
          <w:noProof/>
        </w:rPr>
        <w:t>8</w:t>
      </w:r>
      <w:r>
        <w:rPr>
          <w:noProof/>
        </w:rPr>
        <w:fldChar w:fldCharType="end"/>
      </w:r>
    </w:p>
    <w:p w14:paraId="31183C12" w14:textId="1C484425"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9. –</w:t>
      </w:r>
      <w:r>
        <w:rPr>
          <w:noProof/>
        </w:rPr>
        <w:t xml:space="preserve"> Caractéristiques du domaine public physique occupé</w:t>
      </w:r>
      <w:r>
        <w:rPr>
          <w:noProof/>
        </w:rPr>
        <w:tab/>
      </w:r>
      <w:r>
        <w:rPr>
          <w:noProof/>
        </w:rPr>
        <w:fldChar w:fldCharType="begin"/>
      </w:r>
      <w:r>
        <w:rPr>
          <w:noProof/>
        </w:rPr>
        <w:instrText xml:space="preserve"> PAGEREF _Toc208852162 \h </w:instrText>
      </w:r>
      <w:r>
        <w:rPr>
          <w:noProof/>
        </w:rPr>
      </w:r>
      <w:r>
        <w:rPr>
          <w:noProof/>
        </w:rPr>
        <w:fldChar w:fldCharType="separate"/>
      </w:r>
      <w:r>
        <w:rPr>
          <w:noProof/>
        </w:rPr>
        <w:t>8</w:t>
      </w:r>
      <w:r>
        <w:rPr>
          <w:noProof/>
        </w:rPr>
        <w:fldChar w:fldCharType="end"/>
      </w:r>
    </w:p>
    <w:p w14:paraId="09C53983" w14:textId="78E8944F"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9.1.</w:t>
      </w:r>
      <w:r>
        <w:rPr>
          <w:rFonts w:asciiTheme="minorHAnsi" w:eastAsiaTheme="minorEastAsia" w:hAnsiTheme="minorHAnsi" w:cstheme="minorBidi"/>
          <w:b w:val="0"/>
          <w:bCs w:val="0"/>
          <w:i w:val="0"/>
          <w:noProof/>
          <w:szCs w:val="22"/>
        </w:rPr>
        <w:tab/>
      </w:r>
      <w:r>
        <w:rPr>
          <w:noProof/>
        </w:rPr>
        <w:t>Emplacement et description du local</w:t>
      </w:r>
      <w:r>
        <w:rPr>
          <w:noProof/>
        </w:rPr>
        <w:tab/>
      </w:r>
      <w:r>
        <w:rPr>
          <w:noProof/>
        </w:rPr>
        <w:fldChar w:fldCharType="begin"/>
      </w:r>
      <w:r>
        <w:rPr>
          <w:noProof/>
        </w:rPr>
        <w:instrText xml:space="preserve"> PAGEREF _Toc208852163 \h </w:instrText>
      </w:r>
      <w:r>
        <w:rPr>
          <w:noProof/>
        </w:rPr>
      </w:r>
      <w:r>
        <w:rPr>
          <w:noProof/>
        </w:rPr>
        <w:fldChar w:fldCharType="separate"/>
      </w:r>
      <w:r>
        <w:rPr>
          <w:noProof/>
        </w:rPr>
        <w:t>8</w:t>
      </w:r>
      <w:r>
        <w:rPr>
          <w:noProof/>
        </w:rPr>
        <w:fldChar w:fldCharType="end"/>
      </w:r>
    </w:p>
    <w:p w14:paraId="6E3C0831" w14:textId="2338B7AF"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9.2.</w:t>
      </w:r>
      <w:r>
        <w:rPr>
          <w:rFonts w:asciiTheme="minorHAnsi" w:eastAsiaTheme="minorEastAsia" w:hAnsiTheme="minorHAnsi" w:cstheme="minorBidi"/>
          <w:b w:val="0"/>
          <w:bCs w:val="0"/>
          <w:i w:val="0"/>
          <w:noProof/>
          <w:szCs w:val="22"/>
        </w:rPr>
        <w:tab/>
      </w:r>
      <w:r>
        <w:rPr>
          <w:noProof/>
        </w:rPr>
        <w:t>Branchement aux réseaux</w:t>
      </w:r>
      <w:r>
        <w:rPr>
          <w:noProof/>
        </w:rPr>
        <w:tab/>
      </w:r>
      <w:r>
        <w:rPr>
          <w:noProof/>
        </w:rPr>
        <w:fldChar w:fldCharType="begin"/>
      </w:r>
      <w:r>
        <w:rPr>
          <w:noProof/>
        </w:rPr>
        <w:instrText xml:space="preserve"> PAGEREF _Toc208852164 \h </w:instrText>
      </w:r>
      <w:r>
        <w:rPr>
          <w:noProof/>
        </w:rPr>
      </w:r>
      <w:r>
        <w:rPr>
          <w:noProof/>
        </w:rPr>
        <w:fldChar w:fldCharType="separate"/>
      </w:r>
      <w:r>
        <w:rPr>
          <w:noProof/>
        </w:rPr>
        <w:t>9</w:t>
      </w:r>
      <w:r>
        <w:rPr>
          <w:noProof/>
        </w:rPr>
        <w:fldChar w:fldCharType="end"/>
      </w:r>
    </w:p>
    <w:p w14:paraId="10132316" w14:textId="55EF9DDE" w:rsidR="00BE0B80" w:rsidRDefault="00BE0B80">
      <w:pPr>
        <w:pStyle w:val="TM3"/>
        <w:tabs>
          <w:tab w:val="left" w:pos="960"/>
          <w:tab w:val="right" w:leader="dot" w:pos="8919"/>
        </w:tabs>
        <w:rPr>
          <w:rFonts w:asciiTheme="minorHAnsi" w:eastAsiaTheme="minorEastAsia" w:hAnsiTheme="minorHAnsi" w:cstheme="minorBidi"/>
          <w:noProof/>
          <w:szCs w:val="22"/>
        </w:rPr>
      </w:pPr>
      <w:r>
        <w:rPr>
          <w:noProof/>
        </w:rPr>
        <w:t>9.2.1.</w:t>
      </w:r>
      <w:r>
        <w:rPr>
          <w:rFonts w:asciiTheme="minorHAnsi" w:eastAsiaTheme="minorEastAsia" w:hAnsiTheme="minorHAnsi" w:cstheme="minorBidi"/>
          <w:noProof/>
          <w:szCs w:val="22"/>
        </w:rPr>
        <w:tab/>
      </w:r>
      <w:r>
        <w:rPr>
          <w:noProof/>
        </w:rPr>
        <w:t>Eau, électricité, chauffage</w:t>
      </w:r>
      <w:r>
        <w:rPr>
          <w:noProof/>
        </w:rPr>
        <w:tab/>
      </w:r>
      <w:r>
        <w:rPr>
          <w:noProof/>
        </w:rPr>
        <w:fldChar w:fldCharType="begin"/>
      </w:r>
      <w:r>
        <w:rPr>
          <w:noProof/>
        </w:rPr>
        <w:instrText xml:space="preserve"> PAGEREF _Toc208852165 \h </w:instrText>
      </w:r>
      <w:r>
        <w:rPr>
          <w:noProof/>
        </w:rPr>
      </w:r>
      <w:r>
        <w:rPr>
          <w:noProof/>
        </w:rPr>
        <w:fldChar w:fldCharType="separate"/>
      </w:r>
      <w:r>
        <w:rPr>
          <w:noProof/>
        </w:rPr>
        <w:t>9</w:t>
      </w:r>
      <w:r>
        <w:rPr>
          <w:noProof/>
        </w:rPr>
        <w:fldChar w:fldCharType="end"/>
      </w:r>
    </w:p>
    <w:p w14:paraId="4935AA08" w14:textId="5E78CEE0" w:rsidR="00BE0B80" w:rsidRDefault="00BE0B80">
      <w:pPr>
        <w:pStyle w:val="TM3"/>
        <w:tabs>
          <w:tab w:val="left" w:pos="960"/>
          <w:tab w:val="right" w:leader="dot" w:pos="8919"/>
        </w:tabs>
        <w:rPr>
          <w:rFonts w:asciiTheme="minorHAnsi" w:eastAsiaTheme="minorEastAsia" w:hAnsiTheme="minorHAnsi" w:cstheme="minorBidi"/>
          <w:noProof/>
          <w:szCs w:val="22"/>
        </w:rPr>
      </w:pPr>
      <w:r>
        <w:rPr>
          <w:noProof/>
        </w:rPr>
        <w:t>9.2.2.</w:t>
      </w:r>
      <w:r>
        <w:rPr>
          <w:rFonts w:asciiTheme="minorHAnsi" w:eastAsiaTheme="minorEastAsia" w:hAnsiTheme="minorHAnsi" w:cstheme="minorBidi"/>
          <w:noProof/>
          <w:szCs w:val="22"/>
        </w:rPr>
        <w:tab/>
      </w:r>
      <w:r>
        <w:rPr>
          <w:noProof/>
        </w:rPr>
        <w:t>Informatique, Internet, Messagerie, Téléphone</w:t>
      </w:r>
      <w:r>
        <w:rPr>
          <w:noProof/>
        </w:rPr>
        <w:tab/>
      </w:r>
      <w:r>
        <w:rPr>
          <w:noProof/>
        </w:rPr>
        <w:fldChar w:fldCharType="begin"/>
      </w:r>
      <w:r>
        <w:rPr>
          <w:noProof/>
        </w:rPr>
        <w:instrText xml:space="preserve"> PAGEREF _Toc208852166 \h </w:instrText>
      </w:r>
      <w:r>
        <w:rPr>
          <w:noProof/>
        </w:rPr>
      </w:r>
      <w:r>
        <w:rPr>
          <w:noProof/>
        </w:rPr>
        <w:fldChar w:fldCharType="separate"/>
      </w:r>
      <w:r>
        <w:rPr>
          <w:noProof/>
        </w:rPr>
        <w:t>9</w:t>
      </w:r>
      <w:r>
        <w:rPr>
          <w:noProof/>
        </w:rPr>
        <w:fldChar w:fldCharType="end"/>
      </w:r>
    </w:p>
    <w:p w14:paraId="2AC8C0BC" w14:textId="3193DE52"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rFonts w:ascii="Times New Roman Gras" w:hAnsi="Times New Roman Gras"/>
          <w:noProof/>
        </w:rPr>
        <w:t>Article 10. – Boutique en ligne</w:t>
      </w:r>
      <w:r>
        <w:rPr>
          <w:noProof/>
        </w:rPr>
        <w:tab/>
      </w:r>
      <w:r>
        <w:rPr>
          <w:noProof/>
        </w:rPr>
        <w:fldChar w:fldCharType="begin"/>
      </w:r>
      <w:r>
        <w:rPr>
          <w:noProof/>
        </w:rPr>
        <w:instrText xml:space="preserve"> PAGEREF _Toc208852167 \h </w:instrText>
      </w:r>
      <w:r>
        <w:rPr>
          <w:noProof/>
        </w:rPr>
      </w:r>
      <w:r>
        <w:rPr>
          <w:noProof/>
        </w:rPr>
        <w:fldChar w:fldCharType="separate"/>
      </w:r>
      <w:r>
        <w:rPr>
          <w:noProof/>
        </w:rPr>
        <w:t>9</w:t>
      </w:r>
      <w:r>
        <w:rPr>
          <w:noProof/>
        </w:rPr>
        <w:fldChar w:fldCharType="end"/>
      </w:r>
    </w:p>
    <w:p w14:paraId="7296BF3D" w14:textId="368D395E"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Pr>
          <w:noProof/>
        </w:rPr>
        <w:t>Chapitre III. – Conditions générales d’exploitation</w:t>
      </w:r>
      <w:r>
        <w:rPr>
          <w:noProof/>
        </w:rPr>
        <w:tab/>
      </w:r>
      <w:r>
        <w:rPr>
          <w:noProof/>
        </w:rPr>
        <w:fldChar w:fldCharType="begin"/>
      </w:r>
      <w:r>
        <w:rPr>
          <w:noProof/>
        </w:rPr>
        <w:instrText xml:space="preserve"> PAGEREF _Toc208852168 \h </w:instrText>
      </w:r>
      <w:r>
        <w:rPr>
          <w:noProof/>
        </w:rPr>
      </w:r>
      <w:r>
        <w:rPr>
          <w:noProof/>
        </w:rPr>
        <w:fldChar w:fldCharType="separate"/>
      </w:r>
      <w:r>
        <w:rPr>
          <w:noProof/>
        </w:rPr>
        <w:t>10</w:t>
      </w:r>
      <w:r>
        <w:rPr>
          <w:noProof/>
        </w:rPr>
        <w:fldChar w:fldCharType="end"/>
      </w:r>
    </w:p>
    <w:p w14:paraId="1C338A4A" w14:textId="00389BEF"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rFonts w:ascii="Times New Roman Gras" w:hAnsi="Times New Roman Gras"/>
          <w:noProof/>
        </w:rPr>
        <w:t>Article 11. – Autorisations et conformité</w:t>
      </w:r>
      <w:r>
        <w:rPr>
          <w:noProof/>
        </w:rPr>
        <w:tab/>
      </w:r>
      <w:r>
        <w:rPr>
          <w:noProof/>
        </w:rPr>
        <w:fldChar w:fldCharType="begin"/>
      </w:r>
      <w:r>
        <w:rPr>
          <w:noProof/>
        </w:rPr>
        <w:instrText xml:space="preserve"> PAGEREF _Toc208852169 \h </w:instrText>
      </w:r>
      <w:r>
        <w:rPr>
          <w:noProof/>
        </w:rPr>
      </w:r>
      <w:r>
        <w:rPr>
          <w:noProof/>
        </w:rPr>
        <w:fldChar w:fldCharType="separate"/>
      </w:r>
      <w:r>
        <w:rPr>
          <w:noProof/>
        </w:rPr>
        <w:t>10</w:t>
      </w:r>
      <w:r>
        <w:rPr>
          <w:noProof/>
        </w:rPr>
        <w:fldChar w:fldCharType="end"/>
      </w:r>
    </w:p>
    <w:p w14:paraId="004CE791" w14:textId="34263FC3"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12. –</w:t>
      </w:r>
      <w:r w:rsidRPr="009466C0">
        <w:rPr>
          <w:rFonts w:ascii="Times New Roman Gras" w:hAnsi="Times New Roman Gras"/>
          <w:noProof/>
        </w:rPr>
        <w:t xml:space="preserve"> État des lieux et obligations d’entretien</w:t>
      </w:r>
      <w:r>
        <w:rPr>
          <w:noProof/>
        </w:rPr>
        <w:tab/>
      </w:r>
      <w:r>
        <w:rPr>
          <w:noProof/>
        </w:rPr>
        <w:fldChar w:fldCharType="begin"/>
      </w:r>
      <w:r>
        <w:rPr>
          <w:noProof/>
        </w:rPr>
        <w:instrText xml:space="preserve"> PAGEREF _Toc208852170 \h </w:instrText>
      </w:r>
      <w:r>
        <w:rPr>
          <w:noProof/>
        </w:rPr>
      </w:r>
      <w:r>
        <w:rPr>
          <w:noProof/>
        </w:rPr>
        <w:fldChar w:fldCharType="separate"/>
      </w:r>
      <w:r>
        <w:rPr>
          <w:noProof/>
        </w:rPr>
        <w:t>10</w:t>
      </w:r>
      <w:r>
        <w:rPr>
          <w:noProof/>
        </w:rPr>
        <w:fldChar w:fldCharType="end"/>
      </w:r>
    </w:p>
    <w:p w14:paraId="215C5F5F" w14:textId="50983546"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13. –</w:t>
      </w:r>
      <w:r>
        <w:rPr>
          <w:noProof/>
        </w:rPr>
        <w:t xml:space="preserve"> Usage d’une référence au Sénat</w:t>
      </w:r>
      <w:r>
        <w:rPr>
          <w:noProof/>
        </w:rPr>
        <w:tab/>
      </w:r>
      <w:r>
        <w:rPr>
          <w:noProof/>
        </w:rPr>
        <w:fldChar w:fldCharType="begin"/>
      </w:r>
      <w:r>
        <w:rPr>
          <w:noProof/>
        </w:rPr>
        <w:instrText xml:space="preserve"> PAGEREF _Toc208852171 \h </w:instrText>
      </w:r>
      <w:r>
        <w:rPr>
          <w:noProof/>
        </w:rPr>
      </w:r>
      <w:r>
        <w:rPr>
          <w:noProof/>
        </w:rPr>
        <w:fldChar w:fldCharType="separate"/>
      </w:r>
      <w:r>
        <w:rPr>
          <w:noProof/>
        </w:rPr>
        <w:t>10</w:t>
      </w:r>
      <w:r>
        <w:rPr>
          <w:noProof/>
        </w:rPr>
        <w:fldChar w:fldCharType="end"/>
      </w:r>
    </w:p>
    <w:p w14:paraId="6FC3941B" w14:textId="59946EFD"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14. –</w:t>
      </w:r>
      <w:r>
        <w:rPr>
          <w:noProof/>
        </w:rPr>
        <w:t xml:space="preserve"> Obligations à la charge du titulaire</w:t>
      </w:r>
      <w:r>
        <w:rPr>
          <w:noProof/>
        </w:rPr>
        <w:tab/>
      </w:r>
      <w:r>
        <w:rPr>
          <w:noProof/>
        </w:rPr>
        <w:fldChar w:fldCharType="begin"/>
      </w:r>
      <w:r>
        <w:rPr>
          <w:noProof/>
        </w:rPr>
        <w:instrText xml:space="preserve"> PAGEREF _Toc208852172 \h </w:instrText>
      </w:r>
      <w:r>
        <w:rPr>
          <w:noProof/>
        </w:rPr>
      </w:r>
      <w:r>
        <w:rPr>
          <w:noProof/>
        </w:rPr>
        <w:fldChar w:fldCharType="separate"/>
      </w:r>
      <w:r>
        <w:rPr>
          <w:noProof/>
        </w:rPr>
        <w:t>11</w:t>
      </w:r>
      <w:r>
        <w:rPr>
          <w:noProof/>
        </w:rPr>
        <w:fldChar w:fldCharType="end"/>
      </w:r>
    </w:p>
    <w:p w14:paraId="3D15BACF" w14:textId="0015A5B8"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14.1.</w:t>
      </w:r>
      <w:r>
        <w:rPr>
          <w:rFonts w:asciiTheme="minorHAnsi" w:eastAsiaTheme="minorEastAsia" w:hAnsiTheme="minorHAnsi" w:cstheme="minorBidi"/>
          <w:b w:val="0"/>
          <w:bCs w:val="0"/>
          <w:i w:val="0"/>
          <w:noProof/>
          <w:szCs w:val="22"/>
        </w:rPr>
        <w:tab/>
      </w:r>
      <w:r>
        <w:rPr>
          <w:noProof/>
        </w:rPr>
        <w:t>Ouverture et fermeture</w:t>
      </w:r>
      <w:r>
        <w:rPr>
          <w:noProof/>
        </w:rPr>
        <w:tab/>
      </w:r>
      <w:r>
        <w:rPr>
          <w:noProof/>
        </w:rPr>
        <w:fldChar w:fldCharType="begin"/>
      </w:r>
      <w:r>
        <w:rPr>
          <w:noProof/>
        </w:rPr>
        <w:instrText xml:space="preserve"> PAGEREF _Toc208852173 \h </w:instrText>
      </w:r>
      <w:r>
        <w:rPr>
          <w:noProof/>
        </w:rPr>
      </w:r>
      <w:r>
        <w:rPr>
          <w:noProof/>
        </w:rPr>
        <w:fldChar w:fldCharType="separate"/>
      </w:r>
      <w:r>
        <w:rPr>
          <w:noProof/>
        </w:rPr>
        <w:t>11</w:t>
      </w:r>
      <w:r>
        <w:rPr>
          <w:noProof/>
        </w:rPr>
        <w:fldChar w:fldCharType="end"/>
      </w:r>
    </w:p>
    <w:p w14:paraId="05AC595D" w14:textId="3EB7A43B"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14.2.</w:t>
      </w:r>
      <w:r>
        <w:rPr>
          <w:rFonts w:asciiTheme="minorHAnsi" w:eastAsiaTheme="minorEastAsia" w:hAnsiTheme="minorHAnsi" w:cstheme="minorBidi"/>
          <w:b w:val="0"/>
          <w:bCs w:val="0"/>
          <w:i w:val="0"/>
          <w:noProof/>
          <w:szCs w:val="22"/>
        </w:rPr>
        <w:tab/>
      </w:r>
      <w:r>
        <w:rPr>
          <w:noProof/>
        </w:rPr>
        <w:t>Sécurité</w:t>
      </w:r>
      <w:r>
        <w:rPr>
          <w:noProof/>
        </w:rPr>
        <w:tab/>
      </w:r>
      <w:r>
        <w:rPr>
          <w:noProof/>
        </w:rPr>
        <w:fldChar w:fldCharType="begin"/>
      </w:r>
      <w:r>
        <w:rPr>
          <w:noProof/>
        </w:rPr>
        <w:instrText xml:space="preserve"> PAGEREF _Toc208852174 \h </w:instrText>
      </w:r>
      <w:r>
        <w:rPr>
          <w:noProof/>
        </w:rPr>
      </w:r>
      <w:r>
        <w:rPr>
          <w:noProof/>
        </w:rPr>
        <w:fldChar w:fldCharType="separate"/>
      </w:r>
      <w:r>
        <w:rPr>
          <w:noProof/>
        </w:rPr>
        <w:t>11</w:t>
      </w:r>
      <w:r>
        <w:rPr>
          <w:noProof/>
        </w:rPr>
        <w:fldChar w:fldCharType="end"/>
      </w:r>
    </w:p>
    <w:p w14:paraId="3FED072C" w14:textId="4226CC39"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14.3.</w:t>
      </w:r>
      <w:r>
        <w:rPr>
          <w:rFonts w:asciiTheme="minorHAnsi" w:eastAsiaTheme="minorEastAsia" w:hAnsiTheme="minorHAnsi" w:cstheme="minorBidi"/>
          <w:b w:val="0"/>
          <w:bCs w:val="0"/>
          <w:i w:val="0"/>
          <w:noProof/>
          <w:szCs w:val="22"/>
        </w:rPr>
        <w:tab/>
      </w:r>
      <w:r>
        <w:rPr>
          <w:noProof/>
        </w:rPr>
        <w:t>Impôts et taxes</w:t>
      </w:r>
      <w:r>
        <w:rPr>
          <w:noProof/>
        </w:rPr>
        <w:tab/>
      </w:r>
      <w:r>
        <w:rPr>
          <w:noProof/>
        </w:rPr>
        <w:fldChar w:fldCharType="begin"/>
      </w:r>
      <w:r>
        <w:rPr>
          <w:noProof/>
        </w:rPr>
        <w:instrText xml:space="preserve"> PAGEREF _Toc208852175 \h </w:instrText>
      </w:r>
      <w:r>
        <w:rPr>
          <w:noProof/>
        </w:rPr>
      </w:r>
      <w:r>
        <w:rPr>
          <w:noProof/>
        </w:rPr>
        <w:fldChar w:fldCharType="separate"/>
      </w:r>
      <w:r>
        <w:rPr>
          <w:noProof/>
        </w:rPr>
        <w:t>11</w:t>
      </w:r>
      <w:r>
        <w:rPr>
          <w:noProof/>
        </w:rPr>
        <w:fldChar w:fldCharType="end"/>
      </w:r>
    </w:p>
    <w:p w14:paraId="0338FA48" w14:textId="670164B5"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14.4.</w:t>
      </w:r>
      <w:r>
        <w:rPr>
          <w:rFonts w:asciiTheme="minorHAnsi" w:eastAsiaTheme="minorEastAsia" w:hAnsiTheme="minorHAnsi" w:cstheme="minorBidi"/>
          <w:b w:val="0"/>
          <w:bCs w:val="0"/>
          <w:i w:val="0"/>
          <w:noProof/>
          <w:szCs w:val="22"/>
        </w:rPr>
        <w:tab/>
      </w:r>
      <w:r>
        <w:rPr>
          <w:noProof/>
        </w:rPr>
        <w:t>Gestion des déchets et des déchets plastiques</w:t>
      </w:r>
      <w:r>
        <w:rPr>
          <w:noProof/>
        </w:rPr>
        <w:tab/>
      </w:r>
      <w:r>
        <w:rPr>
          <w:noProof/>
        </w:rPr>
        <w:fldChar w:fldCharType="begin"/>
      </w:r>
      <w:r>
        <w:rPr>
          <w:noProof/>
        </w:rPr>
        <w:instrText xml:space="preserve"> PAGEREF _Toc208852176 \h </w:instrText>
      </w:r>
      <w:r>
        <w:rPr>
          <w:noProof/>
        </w:rPr>
      </w:r>
      <w:r>
        <w:rPr>
          <w:noProof/>
        </w:rPr>
        <w:fldChar w:fldCharType="separate"/>
      </w:r>
      <w:r>
        <w:rPr>
          <w:noProof/>
        </w:rPr>
        <w:t>11</w:t>
      </w:r>
      <w:r>
        <w:rPr>
          <w:noProof/>
        </w:rPr>
        <w:fldChar w:fldCharType="end"/>
      </w:r>
    </w:p>
    <w:p w14:paraId="3BE640B9" w14:textId="216391B8"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15. –</w:t>
      </w:r>
      <w:r>
        <w:rPr>
          <w:noProof/>
        </w:rPr>
        <w:t xml:space="preserve"> Personnel</w:t>
      </w:r>
      <w:r>
        <w:rPr>
          <w:noProof/>
        </w:rPr>
        <w:tab/>
      </w:r>
      <w:r>
        <w:rPr>
          <w:noProof/>
        </w:rPr>
        <w:fldChar w:fldCharType="begin"/>
      </w:r>
      <w:r>
        <w:rPr>
          <w:noProof/>
        </w:rPr>
        <w:instrText xml:space="preserve"> PAGEREF _Toc208852177 \h </w:instrText>
      </w:r>
      <w:r>
        <w:rPr>
          <w:noProof/>
        </w:rPr>
      </w:r>
      <w:r>
        <w:rPr>
          <w:noProof/>
        </w:rPr>
        <w:fldChar w:fldCharType="separate"/>
      </w:r>
      <w:r>
        <w:rPr>
          <w:noProof/>
        </w:rPr>
        <w:t>12</w:t>
      </w:r>
      <w:r>
        <w:rPr>
          <w:noProof/>
        </w:rPr>
        <w:fldChar w:fldCharType="end"/>
      </w:r>
    </w:p>
    <w:p w14:paraId="0B4DC544" w14:textId="3F600FA2"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lastRenderedPageBreak/>
        <w:t>15.1.</w:t>
      </w:r>
      <w:r>
        <w:rPr>
          <w:rFonts w:asciiTheme="minorHAnsi" w:eastAsiaTheme="minorEastAsia" w:hAnsiTheme="minorHAnsi" w:cstheme="minorBidi"/>
          <w:b w:val="0"/>
          <w:bCs w:val="0"/>
          <w:i w:val="0"/>
          <w:noProof/>
          <w:szCs w:val="22"/>
        </w:rPr>
        <w:tab/>
      </w:r>
      <w:r>
        <w:rPr>
          <w:noProof/>
        </w:rPr>
        <w:t>Reprise du personnel</w:t>
      </w:r>
      <w:r>
        <w:rPr>
          <w:noProof/>
        </w:rPr>
        <w:tab/>
      </w:r>
      <w:r>
        <w:rPr>
          <w:noProof/>
        </w:rPr>
        <w:fldChar w:fldCharType="begin"/>
      </w:r>
      <w:r>
        <w:rPr>
          <w:noProof/>
        </w:rPr>
        <w:instrText xml:space="preserve"> PAGEREF _Toc208852178 \h </w:instrText>
      </w:r>
      <w:r>
        <w:rPr>
          <w:noProof/>
        </w:rPr>
      </w:r>
      <w:r>
        <w:rPr>
          <w:noProof/>
        </w:rPr>
        <w:fldChar w:fldCharType="separate"/>
      </w:r>
      <w:r>
        <w:rPr>
          <w:noProof/>
        </w:rPr>
        <w:t>12</w:t>
      </w:r>
      <w:r>
        <w:rPr>
          <w:noProof/>
        </w:rPr>
        <w:fldChar w:fldCharType="end"/>
      </w:r>
    </w:p>
    <w:p w14:paraId="419573D5" w14:textId="7A24B5AC"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15.2.</w:t>
      </w:r>
      <w:r>
        <w:rPr>
          <w:rFonts w:asciiTheme="minorHAnsi" w:eastAsiaTheme="minorEastAsia" w:hAnsiTheme="minorHAnsi" w:cstheme="minorBidi"/>
          <w:b w:val="0"/>
          <w:bCs w:val="0"/>
          <w:i w:val="0"/>
          <w:noProof/>
          <w:szCs w:val="22"/>
        </w:rPr>
        <w:tab/>
      </w:r>
      <w:r>
        <w:rPr>
          <w:noProof/>
        </w:rPr>
        <w:t>Communication des informations concernant les personnels</w:t>
      </w:r>
      <w:r>
        <w:rPr>
          <w:noProof/>
        </w:rPr>
        <w:tab/>
      </w:r>
      <w:r>
        <w:rPr>
          <w:noProof/>
        </w:rPr>
        <w:fldChar w:fldCharType="begin"/>
      </w:r>
      <w:r>
        <w:rPr>
          <w:noProof/>
        </w:rPr>
        <w:instrText xml:space="preserve"> PAGEREF _Toc208852179 \h </w:instrText>
      </w:r>
      <w:r>
        <w:rPr>
          <w:noProof/>
        </w:rPr>
      </w:r>
      <w:r>
        <w:rPr>
          <w:noProof/>
        </w:rPr>
        <w:fldChar w:fldCharType="separate"/>
      </w:r>
      <w:r>
        <w:rPr>
          <w:noProof/>
        </w:rPr>
        <w:t>12</w:t>
      </w:r>
      <w:r>
        <w:rPr>
          <w:noProof/>
        </w:rPr>
        <w:fldChar w:fldCharType="end"/>
      </w:r>
    </w:p>
    <w:p w14:paraId="1D8979B7" w14:textId="0DA46617"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15.3.</w:t>
      </w:r>
      <w:r>
        <w:rPr>
          <w:rFonts w:asciiTheme="minorHAnsi" w:eastAsiaTheme="minorEastAsia" w:hAnsiTheme="minorHAnsi" w:cstheme="minorBidi"/>
          <w:b w:val="0"/>
          <w:bCs w:val="0"/>
          <w:i w:val="0"/>
          <w:noProof/>
          <w:szCs w:val="22"/>
        </w:rPr>
        <w:tab/>
      </w:r>
      <w:r>
        <w:rPr>
          <w:noProof/>
        </w:rPr>
        <w:t>Stabilité du personnel et remplacements</w:t>
      </w:r>
      <w:r>
        <w:rPr>
          <w:noProof/>
        </w:rPr>
        <w:tab/>
      </w:r>
      <w:r>
        <w:rPr>
          <w:noProof/>
        </w:rPr>
        <w:fldChar w:fldCharType="begin"/>
      </w:r>
      <w:r>
        <w:rPr>
          <w:noProof/>
        </w:rPr>
        <w:instrText xml:space="preserve"> PAGEREF _Toc208852180 \h </w:instrText>
      </w:r>
      <w:r>
        <w:rPr>
          <w:noProof/>
        </w:rPr>
      </w:r>
      <w:r>
        <w:rPr>
          <w:noProof/>
        </w:rPr>
        <w:fldChar w:fldCharType="separate"/>
      </w:r>
      <w:r>
        <w:rPr>
          <w:noProof/>
        </w:rPr>
        <w:t>12</w:t>
      </w:r>
      <w:r>
        <w:rPr>
          <w:noProof/>
        </w:rPr>
        <w:fldChar w:fldCharType="end"/>
      </w:r>
    </w:p>
    <w:p w14:paraId="3E0F11F6" w14:textId="358BBB77"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15.4.</w:t>
      </w:r>
      <w:r>
        <w:rPr>
          <w:rFonts w:asciiTheme="minorHAnsi" w:eastAsiaTheme="minorEastAsia" w:hAnsiTheme="minorHAnsi" w:cstheme="minorBidi"/>
          <w:b w:val="0"/>
          <w:bCs w:val="0"/>
          <w:i w:val="0"/>
          <w:noProof/>
          <w:szCs w:val="22"/>
        </w:rPr>
        <w:tab/>
      </w:r>
      <w:r>
        <w:rPr>
          <w:noProof/>
        </w:rPr>
        <w:t>Sécurité des personnels</w:t>
      </w:r>
      <w:r>
        <w:rPr>
          <w:noProof/>
        </w:rPr>
        <w:tab/>
      </w:r>
      <w:r>
        <w:rPr>
          <w:noProof/>
        </w:rPr>
        <w:fldChar w:fldCharType="begin"/>
      </w:r>
      <w:r>
        <w:rPr>
          <w:noProof/>
        </w:rPr>
        <w:instrText xml:space="preserve"> PAGEREF _Toc208852181 \h </w:instrText>
      </w:r>
      <w:r>
        <w:rPr>
          <w:noProof/>
        </w:rPr>
      </w:r>
      <w:r>
        <w:rPr>
          <w:noProof/>
        </w:rPr>
        <w:fldChar w:fldCharType="separate"/>
      </w:r>
      <w:r>
        <w:rPr>
          <w:noProof/>
        </w:rPr>
        <w:t>13</w:t>
      </w:r>
      <w:r>
        <w:rPr>
          <w:noProof/>
        </w:rPr>
        <w:fldChar w:fldCharType="end"/>
      </w:r>
    </w:p>
    <w:p w14:paraId="6330D1D9" w14:textId="74571E1B"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15.5.</w:t>
      </w:r>
      <w:r>
        <w:rPr>
          <w:rFonts w:asciiTheme="minorHAnsi" w:eastAsiaTheme="minorEastAsia" w:hAnsiTheme="minorHAnsi" w:cstheme="minorBidi"/>
          <w:b w:val="0"/>
          <w:bCs w:val="0"/>
          <w:i w:val="0"/>
          <w:noProof/>
          <w:szCs w:val="22"/>
        </w:rPr>
        <w:tab/>
      </w:r>
      <w:r>
        <w:rPr>
          <w:noProof/>
        </w:rPr>
        <w:t>Neutralité, discrétion et confidentialité professionnelles</w:t>
      </w:r>
      <w:r>
        <w:rPr>
          <w:noProof/>
        </w:rPr>
        <w:tab/>
      </w:r>
      <w:r>
        <w:rPr>
          <w:noProof/>
        </w:rPr>
        <w:fldChar w:fldCharType="begin"/>
      </w:r>
      <w:r>
        <w:rPr>
          <w:noProof/>
        </w:rPr>
        <w:instrText xml:space="preserve"> PAGEREF _Toc208852182 \h </w:instrText>
      </w:r>
      <w:r>
        <w:rPr>
          <w:noProof/>
        </w:rPr>
      </w:r>
      <w:r>
        <w:rPr>
          <w:noProof/>
        </w:rPr>
        <w:fldChar w:fldCharType="separate"/>
      </w:r>
      <w:r>
        <w:rPr>
          <w:noProof/>
        </w:rPr>
        <w:t>13</w:t>
      </w:r>
      <w:r>
        <w:rPr>
          <w:noProof/>
        </w:rPr>
        <w:fldChar w:fldCharType="end"/>
      </w:r>
    </w:p>
    <w:p w14:paraId="62EF569C" w14:textId="6610F298"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16. –</w:t>
      </w:r>
      <w:r>
        <w:rPr>
          <w:noProof/>
        </w:rPr>
        <w:t xml:space="preserve"> Accès et circulation</w:t>
      </w:r>
      <w:r>
        <w:rPr>
          <w:noProof/>
        </w:rPr>
        <w:tab/>
      </w:r>
      <w:r>
        <w:rPr>
          <w:noProof/>
        </w:rPr>
        <w:fldChar w:fldCharType="begin"/>
      </w:r>
      <w:r>
        <w:rPr>
          <w:noProof/>
        </w:rPr>
        <w:instrText xml:space="preserve"> PAGEREF _Toc208852183 \h </w:instrText>
      </w:r>
      <w:r>
        <w:rPr>
          <w:noProof/>
        </w:rPr>
      </w:r>
      <w:r>
        <w:rPr>
          <w:noProof/>
        </w:rPr>
        <w:fldChar w:fldCharType="separate"/>
      </w:r>
      <w:r>
        <w:rPr>
          <w:noProof/>
        </w:rPr>
        <w:t>13</w:t>
      </w:r>
      <w:r>
        <w:rPr>
          <w:noProof/>
        </w:rPr>
        <w:fldChar w:fldCharType="end"/>
      </w:r>
    </w:p>
    <w:p w14:paraId="12DA8447" w14:textId="7C9C6E6D"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16.1.</w:t>
      </w:r>
      <w:r>
        <w:rPr>
          <w:rFonts w:asciiTheme="minorHAnsi" w:eastAsiaTheme="minorEastAsia" w:hAnsiTheme="minorHAnsi" w:cstheme="minorBidi"/>
          <w:b w:val="0"/>
          <w:bCs w:val="0"/>
          <w:i w:val="0"/>
          <w:noProof/>
          <w:szCs w:val="22"/>
        </w:rPr>
        <w:tab/>
      </w:r>
      <w:r>
        <w:rPr>
          <w:noProof/>
        </w:rPr>
        <w:t>Modalités d’accès</w:t>
      </w:r>
      <w:r>
        <w:rPr>
          <w:noProof/>
        </w:rPr>
        <w:tab/>
      </w:r>
      <w:r>
        <w:rPr>
          <w:noProof/>
        </w:rPr>
        <w:fldChar w:fldCharType="begin"/>
      </w:r>
      <w:r>
        <w:rPr>
          <w:noProof/>
        </w:rPr>
        <w:instrText xml:space="preserve"> PAGEREF _Toc208852184 \h </w:instrText>
      </w:r>
      <w:r>
        <w:rPr>
          <w:noProof/>
        </w:rPr>
      </w:r>
      <w:r>
        <w:rPr>
          <w:noProof/>
        </w:rPr>
        <w:fldChar w:fldCharType="separate"/>
      </w:r>
      <w:r>
        <w:rPr>
          <w:noProof/>
        </w:rPr>
        <w:t>13</w:t>
      </w:r>
      <w:r>
        <w:rPr>
          <w:noProof/>
        </w:rPr>
        <w:fldChar w:fldCharType="end"/>
      </w:r>
    </w:p>
    <w:p w14:paraId="641156F5" w14:textId="29F5FA94"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16.2.</w:t>
      </w:r>
      <w:r>
        <w:rPr>
          <w:rFonts w:asciiTheme="minorHAnsi" w:eastAsiaTheme="minorEastAsia" w:hAnsiTheme="minorHAnsi" w:cstheme="minorBidi"/>
          <w:b w:val="0"/>
          <w:bCs w:val="0"/>
          <w:i w:val="0"/>
          <w:noProof/>
          <w:szCs w:val="22"/>
        </w:rPr>
        <w:tab/>
      </w:r>
      <w:r>
        <w:rPr>
          <w:noProof/>
        </w:rPr>
        <w:t>Circulation</w:t>
      </w:r>
      <w:r>
        <w:rPr>
          <w:noProof/>
        </w:rPr>
        <w:tab/>
      </w:r>
      <w:r>
        <w:rPr>
          <w:noProof/>
        </w:rPr>
        <w:fldChar w:fldCharType="begin"/>
      </w:r>
      <w:r>
        <w:rPr>
          <w:noProof/>
        </w:rPr>
        <w:instrText xml:space="preserve"> PAGEREF _Toc208852185 \h </w:instrText>
      </w:r>
      <w:r>
        <w:rPr>
          <w:noProof/>
        </w:rPr>
      </w:r>
      <w:r>
        <w:rPr>
          <w:noProof/>
        </w:rPr>
        <w:fldChar w:fldCharType="separate"/>
      </w:r>
      <w:r>
        <w:rPr>
          <w:noProof/>
        </w:rPr>
        <w:t>14</w:t>
      </w:r>
      <w:r>
        <w:rPr>
          <w:noProof/>
        </w:rPr>
        <w:fldChar w:fldCharType="end"/>
      </w:r>
    </w:p>
    <w:p w14:paraId="0841D391" w14:textId="0EF26DE9"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16.3.</w:t>
      </w:r>
      <w:r>
        <w:rPr>
          <w:rFonts w:asciiTheme="minorHAnsi" w:eastAsiaTheme="minorEastAsia" w:hAnsiTheme="minorHAnsi" w:cstheme="minorBidi"/>
          <w:b w:val="0"/>
          <w:bCs w:val="0"/>
          <w:i w:val="0"/>
          <w:noProof/>
          <w:szCs w:val="22"/>
        </w:rPr>
        <w:tab/>
      </w:r>
      <w:r>
        <w:rPr>
          <w:noProof/>
        </w:rPr>
        <w:t>Accès des fournisseurs</w:t>
      </w:r>
      <w:r>
        <w:rPr>
          <w:noProof/>
        </w:rPr>
        <w:tab/>
      </w:r>
      <w:r>
        <w:rPr>
          <w:noProof/>
        </w:rPr>
        <w:fldChar w:fldCharType="begin"/>
      </w:r>
      <w:r>
        <w:rPr>
          <w:noProof/>
        </w:rPr>
        <w:instrText xml:space="preserve"> PAGEREF _Toc208852186 \h </w:instrText>
      </w:r>
      <w:r>
        <w:rPr>
          <w:noProof/>
        </w:rPr>
      </w:r>
      <w:r>
        <w:rPr>
          <w:noProof/>
        </w:rPr>
        <w:fldChar w:fldCharType="separate"/>
      </w:r>
      <w:r>
        <w:rPr>
          <w:noProof/>
        </w:rPr>
        <w:t>14</w:t>
      </w:r>
      <w:r>
        <w:rPr>
          <w:noProof/>
        </w:rPr>
        <w:fldChar w:fldCharType="end"/>
      </w:r>
    </w:p>
    <w:p w14:paraId="605E1DFE" w14:textId="5F01E6E4"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17. –</w:t>
      </w:r>
      <w:r>
        <w:rPr>
          <w:noProof/>
        </w:rPr>
        <w:t xml:space="preserve"> Organisation d’événements, prises de vue et tournages</w:t>
      </w:r>
      <w:r>
        <w:rPr>
          <w:noProof/>
        </w:rPr>
        <w:tab/>
      </w:r>
      <w:r>
        <w:rPr>
          <w:noProof/>
        </w:rPr>
        <w:fldChar w:fldCharType="begin"/>
      </w:r>
      <w:r>
        <w:rPr>
          <w:noProof/>
        </w:rPr>
        <w:instrText xml:space="preserve"> PAGEREF _Toc208852187 \h </w:instrText>
      </w:r>
      <w:r>
        <w:rPr>
          <w:noProof/>
        </w:rPr>
      </w:r>
      <w:r>
        <w:rPr>
          <w:noProof/>
        </w:rPr>
        <w:fldChar w:fldCharType="separate"/>
      </w:r>
      <w:r>
        <w:rPr>
          <w:noProof/>
        </w:rPr>
        <w:t>14</w:t>
      </w:r>
      <w:r>
        <w:rPr>
          <w:noProof/>
        </w:rPr>
        <w:fldChar w:fldCharType="end"/>
      </w:r>
    </w:p>
    <w:p w14:paraId="15B17B95" w14:textId="7432FD72"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Pr>
          <w:noProof/>
        </w:rPr>
        <w:t>Chapitre IV. – Stipulations financières et comptables</w:t>
      </w:r>
      <w:r>
        <w:rPr>
          <w:noProof/>
        </w:rPr>
        <w:tab/>
      </w:r>
      <w:r>
        <w:rPr>
          <w:noProof/>
        </w:rPr>
        <w:fldChar w:fldCharType="begin"/>
      </w:r>
      <w:r>
        <w:rPr>
          <w:noProof/>
        </w:rPr>
        <w:instrText xml:space="preserve"> PAGEREF _Toc208852188 \h </w:instrText>
      </w:r>
      <w:r>
        <w:rPr>
          <w:noProof/>
        </w:rPr>
      </w:r>
      <w:r>
        <w:rPr>
          <w:noProof/>
        </w:rPr>
        <w:fldChar w:fldCharType="separate"/>
      </w:r>
      <w:r>
        <w:rPr>
          <w:noProof/>
        </w:rPr>
        <w:t>15</w:t>
      </w:r>
      <w:r>
        <w:rPr>
          <w:noProof/>
        </w:rPr>
        <w:fldChar w:fldCharType="end"/>
      </w:r>
    </w:p>
    <w:p w14:paraId="54DEC298" w14:textId="11CF2E70"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18. –</w:t>
      </w:r>
      <w:r>
        <w:rPr>
          <w:noProof/>
        </w:rPr>
        <w:t xml:space="preserve"> Redevance</w:t>
      </w:r>
      <w:r>
        <w:rPr>
          <w:noProof/>
        </w:rPr>
        <w:tab/>
      </w:r>
      <w:r>
        <w:rPr>
          <w:noProof/>
        </w:rPr>
        <w:fldChar w:fldCharType="begin"/>
      </w:r>
      <w:r>
        <w:rPr>
          <w:noProof/>
        </w:rPr>
        <w:instrText xml:space="preserve"> PAGEREF _Toc208852189 \h </w:instrText>
      </w:r>
      <w:r>
        <w:rPr>
          <w:noProof/>
        </w:rPr>
      </w:r>
      <w:r>
        <w:rPr>
          <w:noProof/>
        </w:rPr>
        <w:fldChar w:fldCharType="separate"/>
      </w:r>
      <w:r>
        <w:rPr>
          <w:noProof/>
        </w:rPr>
        <w:t>15</w:t>
      </w:r>
      <w:r>
        <w:rPr>
          <w:noProof/>
        </w:rPr>
        <w:fldChar w:fldCharType="end"/>
      </w:r>
    </w:p>
    <w:p w14:paraId="00DC154B" w14:textId="49228465"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18.1.</w:t>
      </w:r>
      <w:r>
        <w:rPr>
          <w:rFonts w:asciiTheme="minorHAnsi" w:eastAsiaTheme="minorEastAsia" w:hAnsiTheme="minorHAnsi" w:cstheme="minorBidi"/>
          <w:b w:val="0"/>
          <w:bCs w:val="0"/>
          <w:i w:val="0"/>
          <w:noProof/>
          <w:szCs w:val="22"/>
        </w:rPr>
        <w:tab/>
      </w:r>
      <w:r>
        <w:rPr>
          <w:noProof/>
        </w:rPr>
        <w:t>Part fixe annuelle</w:t>
      </w:r>
      <w:r>
        <w:rPr>
          <w:noProof/>
        </w:rPr>
        <w:tab/>
      </w:r>
      <w:r>
        <w:rPr>
          <w:noProof/>
        </w:rPr>
        <w:fldChar w:fldCharType="begin"/>
      </w:r>
      <w:r>
        <w:rPr>
          <w:noProof/>
        </w:rPr>
        <w:instrText xml:space="preserve"> PAGEREF _Toc208852190 \h </w:instrText>
      </w:r>
      <w:r>
        <w:rPr>
          <w:noProof/>
        </w:rPr>
      </w:r>
      <w:r>
        <w:rPr>
          <w:noProof/>
        </w:rPr>
        <w:fldChar w:fldCharType="separate"/>
      </w:r>
      <w:r>
        <w:rPr>
          <w:noProof/>
        </w:rPr>
        <w:t>15</w:t>
      </w:r>
      <w:r>
        <w:rPr>
          <w:noProof/>
        </w:rPr>
        <w:fldChar w:fldCharType="end"/>
      </w:r>
    </w:p>
    <w:p w14:paraId="16298A15" w14:textId="303A3742"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18.2.</w:t>
      </w:r>
      <w:r>
        <w:rPr>
          <w:rFonts w:asciiTheme="minorHAnsi" w:eastAsiaTheme="minorEastAsia" w:hAnsiTheme="minorHAnsi" w:cstheme="minorBidi"/>
          <w:b w:val="0"/>
          <w:bCs w:val="0"/>
          <w:i w:val="0"/>
          <w:noProof/>
          <w:szCs w:val="22"/>
        </w:rPr>
        <w:tab/>
      </w:r>
      <w:r>
        <w:rPr>
          <w:noProof/>
        </w:rPr>
        <w:t>Part variable annuelle</w:t>
      </w:r>
      <w:r>
        <w:rPr>
          <w:noProof/>
        </w:rPr>
        <w:tab/>
      </w:r>
      <w:r>
        <w:rPr>
          <w:noProof/>
        </w:rPr>
        <w:fldChar w:fldCharType="begin"/>
      </w:r>
      <w:r>
        <w:rPr>
          <w:noProof/>
        </w:rPr>
        <w:instrText xml:space="preserve"> PAGEREF _Toc208852191 \h </w:instrText>
      </w:r>
      <w:r>
        <w:rPr>
          <w:noProof/>
        </w:rPr>
      </w:r>
      <w:r>
        <w:rPr>
          <w:noProof/>
        </w:rPr>
        <w:fldChar w:fldCharType="separate"/>
      </w:r>
      <w:r>
        <w:rPr>
          <w:noProof/>
        </w:rPr>
        <w:t>15</w:t>
      </w:r>
      <w:r>
        <w:rPr>
          <w:noProof/>
        </w:rPr>
        <w:fldChar w:fldCharType="end"/>
      </w:r>
    </w:p>
    <w:p w14:paraId="52A30512" w14:textId="6B776EF9"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19. –</w:t>
      </w:r>
      <w:r>
        <w:rPr>
          <w:noProof/>
        </w:rPr>
        <w:t xml:space="preserve"> Dépôt de garantie, garantie à première demande ou caution</w:t>
      </w:r>
      <w:r>
        <w:rPr>
          <w:noProof/>
        </w:rPr>
        <w:tab/>
      </w:r>
      <w:r>
        <w:rPr>
          <w:noProof/>
        </w:rPr>
        <w:fldChar w:fldCharType="begin"/>
      </w:r>
      <w:r>
        <w:rPr>
          <w:noProof/>
        </w:rPr>
        <w:instrText xml:space="preserve"> PAGEREF _Toc208852192 \h </w:instrText>
      </w:r>
      <w:r>
        <w:rPr>
          <w:noProof/>
        </w:rPr>
      </w:r>
      <w:r>
        <w:rPr>
          <w:noProof/>
        </w:rPr>
        <w:fldChar w:fldCharType="separate"/>
      </w:r>
      <w:r>
        <w:rPr>
          <w:noProof/>
        </w:rPr>
        <w:t>15</w:t>
      </w:r>
      <w:r>
        <w:rPr>
          <w:noProof/>
        </w:rPr>
        <w:fldChar w:fldCharType="end"/>
      </w:r>
    </w:p>
    <w:p w14:paraId="530666C8" w14:textId="68CD4481"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20. –</w:t>
      </w:r>
      <w:r>
        <w:rPr>
          <w:noProof/>
        </w:rPr>
        <w:t xml:space="preserve"> Conditions tarifaires et enregistrement du chiffre d’affaires</w:t>
      </w:r>
      <w:r>
        <w:rPr>
          <w:noProof/>
        </w:rPr>
        <w:tab/>
      </w:r>
      <w:r>
        <w:rPr>
          <w:noProof/>
        </w:rPr>
        <w:fldChar w:fldCharType="begin"/>
      </w:r>
      <w:r>
        <w:rPr>
          <w:noProof/>
        </w:rPr>
        <w:instrText xml:space="preserve"> PAGEREF _Toc208852193 \h </w:instrText>
      </w:r>
      <w:r>
        <w:rPr>
          <w:noProof/>
        </w:rPr>
      </w:r>
      <w:r>
        <w:rPr>
          <w:noProof/>
        </w:rPr>
        <w:fldChar w:fldCharType="separate"/>
      </w:r>
      <w:r>
        <w:rPr>
          <w:noProof/>
        </w:rPr>
        <w:t>16</w:t>
      </w:r>
      <w:r>
        <w:rPr>
          <w:noProof/>
        </w:rPr>
        <w:fldChar w:fldCharType="end"/>
      </w:r>
    </w:p>
    <w:p w14:paraId="37A1E3B8" w14:textId="4577CAED"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21. –</w:t>
      </w:r>
      <w:r>
        <w:rPr>
          <w:noProof/>
        </w:rPr>
        <w:t xml:space="preserve"> Contrôle de l’exploitation</w:t>
      </w:r>
      <w:r>
        <w:rPr>
          <w:noProof/>
        </w:rPr>
        <w:tab/>
      </w:r>
      <w:r>
        <w:rPr>
          <w:noProof/>
        </w:rPr>
        <w:fldChar w:fldCharType="begin"/>
      </w:r>
      <w:r>
        <w:rPr>
          <w:noProof/>
        </w:rPr>
        <w:instrText xml:space="preserve"> PAGEREF _Toc208852194 \h </w:instrText>
      </w:r>
      <w:r>
        <w:rPr>
          <w:noProof/>
        </w:rPr>
      </w:r>
      <w:r>
        <w:rPr>
          <w:noProof/>
        </w:rPr>
        <w:fldChar w:fldCharType="separate"/>
      </w:r>
      <w:r>
        <w:rPr>
          <w:noProof/>
        </w:rPr>
        <w:t>16</w:t>
      </w:r>
      <w:r>
        <w:rPr>
          <w:noProof/>
        </w:rPr>
        <w:fldChar w:fldCharType="end"/>
      </w:r>
    </w:p>
    <w:p w14:paraId="58A9D43F" w14:textId="153450DE"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21.1.</w:t>
      </w:r>
      <w:r>
        <w:rPr>
          <w:rFonts w:asciiTheme="minorHAnsi" w:eastAsiaTheme="minorEastAsia" w:hAnsiTheme="minorHAnsi" w:cstheme="minorBidi"/>
          <w:b w:val="0"/>
          <w:bCs w:val="0"/>
          <w:i w:val="0"/>
          <w:noProof/>
          <w:szCs w:val="22"/>
        </w:rPr>
        <w:tab/>
      </w:r>
      <w:r>
        <w:rPr>
          <w:noProof/>
        </w:rPr>
        <w:t>Transmission des comptes et contrôles comptables</w:t>
      </w:r>
      <w:r>
        <w:rPr>
          <w:noProof/>
        </w:rPr>
        <w:tab/>
      </w:r>
      <w:r>
        <w:rPr>
          <w:noProof/>
        </w:rPr>
        <w:fldChar w:fldCharType="begin"/>
      </w:r>
      <w:r>
        <w:rPr>
          <w:noProof/>
        </w:rPr>
        <w:instrText xml:space="preserve"> PAGEREF _Toc208852195 \h </w:instrText>
      </w:r>
      <w:r>
        <w:rPr>
          <w:noProof/>
        </w:rPr>
      </w:r>
      <w:r>
        <w:rPr>
          <w:noProof/>
        </w:rPr>
        <w:fldChar w:fldCharType="separate"/>
      </w:r>
      <w:r>
        <w:rPr>
          <w:noProof/>
        </w:rPr>
        <w:t>16</w:t>
      </w:r>
      <w:r>
        <w:rPr>
          <w:noProof/>
        </w:rPr>
        <w:fldChar w:fldCharType="end"/>
      </w:r>
    </w:p>
    <w:p w14:paraId="06405CE4" w14:textId="2F340BB0"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21.2.</w:t>
      </w:r>
      <w:r>
        <w:rPr>
          <w:rFonts w:asciiTheme="minorHAnsi" w:eastAsiaTheme="minorEastAsia" w:hAnsiTheme="minorHAnsi" w:cstheme="minorBidi"/>
          <w:b w:val="0"/>
          <w:bCs w:val="0"/>
          <w:i w:val="0"/>
          <w:noProof/>
          <w:szCs w:val="22"/>
        </w:rPr>
        <w:tab/>
      </w:r>
      <w:r>
        <w:rPr>
          <w:noProof/>
        </w:rPr>
        <w:t>Accès aux données essentielles de la concession</w:t>
      </w:r>
      <w:r>
        <w:rPr>
          <w:noProof/>
        </w:rPr>
        <w:tab/>
      </w:r>
      <w:r>
        <w:rPr>
          <w:noProof/>
        </w:rPr>
        <w:fldChar w:fldCharType="begin"/>
      </w:r>
      <w:r>
        <w:rPr>
          <w:noProof/>
        </w:rPr>
        <w:instrText xml:space="preserve"> PAGEREF _Toc208852196 \h </w:instrText>
      </w:r>
      <w:r>
        <w:rPr>
          <w:noProof/>
        </w:rPr>
      </w:r>
      <w:r>
        <w:rPr>
          <w:noProof/>
        </w:rPr>
        <w:fldChar w:fldCharType="separate"/>
      </w:r>
      <w:r>
        <w:rPr>
          <w:noProof/>
        </w:rPr>
        <w:t>16</w:t>
      </w:r>
      <w:r>
        <w:rPr>
          <w:noProof/>
        </w:rPr>
        <w:fldChar w:fldCharType="end"/>
      </w:r>
    </w:p>
    <w:p w14:paraId="6E384ECC" w14:textId="7D386391"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21.3.</w:t>
      </w:r>
      <w:r>
        <w:rPr>
          <w:rFonts w:asciiTheme="minorHAnsi" w:eastAsiaTheme="minorEastAsia" w:hAnsiTheme="minorHAnsi" w:cstheme="minorBidi"/>
          <w:b w:val="0"/>
          <w:bCs w:val="0"/>
          <w:i w:val="0"/>
          <w:noProof/>
          <w:szCs w:val="22"/>
        </w:rPr>
        <w:tab/>
      </w:r>
      <w:r>
        <w:rPr>
          <w:noProof/>
        </w:rPr>
        <w:t>Contrôle et évaluation des prestations du titulaire</w:t>
      </w:r>
      <w:r>
        <w:rPr>
          <w:noProof/>
        </w:rPr>
        <w:tab/>
      </w:r>
      <w:r>
        <w:rPr>
          <w:noProof/>
        </w:rPr>
        <w:fldChar w:fldCharType="begin"/>
      </w:r>
      <w:r>
        <w:rPr>
          <w:noProof/>
        </w:rPr>
        <w:instrText xml:space="preserve"> PAGEREF _Toc208852197 \h </w:instrText>
      </w:r>
      <w:r>
        <w:rPr>
          <w:noProof/>
        </w:rPr>
      </w:r>
      <w:r>
        <w:rPr>
          <w:noProof/>
        </w:rPr>
        <w:fldChar w:fldCharType="separate"/>
      </w:r>
      <w:r>
        <w:rPr>
          <w:noProof/>
        </w:rPr>
        <w:t>17</w:t>
      </w:r>
      <w:r>
        <w:rPr>
          <w:noProof/>
        </w:rPr>
        <w:fldChar w:fldCharType="end"/>
      </w:r>
    </w:p>
    <w:p w14:paraId="0133DC41" w14:textId="4B30CD1A"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21.4.</w:t>
      </w:r>
      <w:r>
        <w:rPr>
          <w:rFonts w:asciiTheme="minorHAnsi" w:eastAsiaTheme="minorEastAsia" w:hAnsiTheme="minorHAnsi" w:cstheme="minorBidi"/>
          <w:b w:val="0"/>
          <w:bCs w:val="0"/>
          <w:i w:val="0"/>
          <w:noProof/>
          <w:szCs w:val="22"/>
        </w:rPr>
        <w:tab/>
      </w:r>
      <w:r>
        <w:rPr>
          <w:noProof/>
        </w:rPr>
        <w:t>Transmission d’indicateurs d’activité</w:t>
      </w:r>
      <w:r>
        <w:rPr>
          <w:noProof/>
        </w:rPr>
        <w:tab/>
      </w:r>
      <w:r>
        <w:rPr>
          <w:noProof/>
        </w:rPr>
        <w:fldChar w:fldCharType="begin"/>
      </w:r>
      <w:r>
        <w:rPr>
          <w:noProof/>
        </w:rPr>
        <w:instrText xml:space="preserve"> PAGEREF _Toc208852198 \h </w:instrText>
      </w:r>
      <w:r>
        <w:rPr>
          <w:noProof/>
        </w:rPr>
      </w:r>
      <w:r>
        <w:rPr>
          <w:noProof/>
        </w:rPr>
        <w:fldChar w:fldCharType="separate"/>
      </w:r>
      <w:r>
        <w:rPr>
          <w:noProof/>
        </w:rPr>
        <w:t>17</w:t>
      </w:r>
      <w:r>
        <w:rPr>
          <w:noProof/>
        </w:rPr>
        <w:fldChar w:fldCharType="end"/>
      </w:r>
    </w:p>
    <w:p w14:paraId="3D954BB5" w14:textId="32AC7001"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22. –</w:t>
      </w:r>
      <w:r>
        <w:rPr>
          <w:noProof/>
        </w:rPr>
        <w:t xml:space="preserve"> Responsabilité et assurances</w:t>
      </w:r>
      <w:r>
        <w:rPr>
          <w:noProof/>
        </w:rPr>
        <w:tab/>
      </w:r>
      <w:r>
        <w:rPr>
          <w:noProof/>
        </w:rPr>
        <w:fldChar w:fldCharType="begin"/>
      </w:r>
      <w:r>
        <w:rPr>
          <w:noProof/>
        </w:rPr>
        <w:instrText xml:space="preserve"> PAGEREF _Toc208852199 \h </w:instrText>
      </w:r>
      <w:r>
        <w:rPr>
          <w:noProof/>
        </w:rPr>
      </w:r>
      <w:r>
        <w:rPr>
          <w:noProof/>
        </w:rPr>
        <w:fldChar w:fldCharType="separate"/>
      </w:r>
      <w:r>
        <w:rPr>
          <w:noProof/>
        </w:rPr>
        <w:t>17</w:t>
      </w:r>
      <w:r>
        <w:rPr>
          <w:noProof/>
        </w:rPr>
        <w:fldChar w:fldCharType="end"/>
      </w:r>
    </w:p>
    <w:p w14:paraId="23862B09" w14:textId="40FB9698"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22.1.</w:t>
      </w:r>
      <w:r>
        <w:rPr>
          <w:rFonts w:asciiTheme="minorHAnsi" w:eastAsiaTheme="minorEastAsia" w:hAnsiTheme="minorHAnsi" w:cstheme="minorBidi"/>
          <w:b w:val="0"/>
          <w:bCs w:val="0"/>
          <w:i w:val="0"/>
          <w:noProof/>
          <w:szCs w:val="22"/>
        </w:rPr>
        <w:tab/>
      </w:r>
      <w:r>
        <w:rPr>
          <w:noProof/>
        </w:rPr>
        <w:t>Dommages</w:t>
      </w:r>
      <w:r>
        <w:rPr>
          <w:noProof/>
        </w:rPr>
        <w:tab/>
      </w:r>
      <w:r>
        <w:rPr>
          <w:noProof/>
        </w:rPr>
        <w:fldChar w:fldCharType="begin"/>
      </w:r>
      <w:r>
        <w:rPr>
          <w:noProof/>
        </w:rPr>
        <w:instrText xml:space="preserve"> PAGEREF _Toc208852200 \h </w:instrText>
      </w:r>
      <w:r>
        <w:rPr>
          <w:noProof/>
        </w:rPr>
      </w:r>
      <w:r>
        <w:rPr>
          <w:noProof/>
        </w:rPr>
        <w:fldChar w:fldCharType="separate"/>
      </w:r>
      <w:r>
        <w:rPr>
          <w:noProof/>
        </w:rPr>
        <w:t>17</w:t>
      </w:r>
      <w:r>
        <w:rPr>
          <w:noProof/>
        </w:rPr>
        <w:fldChar w:fldCharType="end"/>
      </w:r>
    </w:p>
    <w:p w14:paraId="6D2DB3C3" w14:textId="460C5259"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22.2.</w:t>
      </w:r>
      <w:r>
        <w:rPr>
          <w:rFonts w:asciiTheme="minorHAnsi" w:eastAsiaTheme="minorEastAsia" w:hAnsiTheme="minorHAnsi" w:cstheme="minorBidi"/>
          <w:b w:val="0"/>
          <w:bCs w:val="0"/>
          <w:i w:val="0"/>
          <w:noProof/>
          <w:szCs w:val="22"/>
        </w:rPr>
        <w:tab/>
      </w:r>
      <w:r>
        <w:rPr>
          <w:noProof/>
        </w:rPr>
        <w:t>Assurances</w:t>
      </w:r>
      <w:r>
        <w:rPr>
          <w:noProof/>
        </w:rPr>
        <w:tab/>
      </w:r>
      <w:r>
        <w:rPr>
          <w:noProof/>
        </w:rPr>
        <w:fldChar w:fldCharType="begin"/>
      </w:r>
      <w:r>
        <w:rPr>
          <w:noProof/>
        </w:rPr>
        <w:instrText xml:space="preserve"> PAGEREF _Toc208852201 \h </w:instrText>
      </w:r>
      <w:r>
        <w:rPr>
          <w:noProof/>
        </w:rPr>
      </w:r>
      <w:r>
        <w:rPr>
          <w:noProof/>
        </w:rPr>
        <w:fldChar w:fldCharType="separate"/>
      </w:r>
      <w:r>
        <w:rPr>
          <w:noProof/>
        </w:rPr>
        <w:t>18</w:t>
      </w:r>
      <w:r>
        <w:rPr>
          <w:noProof/>
        </w:rPr>
        <w:fldChar w:fldCharType="end"/>
      </w:r>
    </w:p>
    <w:p w14:paraId="0D562239" w14:textId="04D9DE17"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Pr>
          <w:noProof/>
        </w:rPr>
        <w:t>Chapitre V. – Travaux</w:t>
      </w:r>
      <w:r>
        <w:rPr>
          <w:noProof/>
        </w:rPr>
        <w:tab/>
      </w:r>
      <w:r>
        <w:rPr>
          <w:noProof/>
        </w:rPr>
        <w:fldChar w:fldCharType="begin"/>
      </w:r>
      <w:r>
        <w:rPr>
          <w:noProof/>
        </w:rPr>
        <w:instrText xml:space="preserve"> PAGEREF _Toc208852202 \h </w:instrText>
      </w:r>
      <w:r>
        <w:rPr>
          <w:noProof/>
        </w:rPr>
      </w:r>
      <w:r>
        <w:rPr>
          <w:noProof/>
        </w:rPr>
        <w:fldChar w:fldCharType="separate"/>
      </w:r>
      <w:r>
        <w:rPr>
          <w:noProof/>
        </w:rPr>
        <w:t>19</w:t>
      </w:r>
      <w:r>
        <w:rPr>
          <w:noProof/>
        </w:rPr>
        <w:fldChar w:fldCharType="end"/>
      </w:r>
    </w:p>
    <w:p w14:paraId="3C6BAB37" w14:textId="41943659"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23. –</w:t>
      </w:r>
      <w:r>
        <w:rPr>
          <w:noProof/>
        </w:rPr>
        <w:t xml:space="preserve"> Aménagements avant installation</w:t>
      </w:r>
      <w:r>
        <w:rPr>
          <w:noProof/>
        </w:rPr>
        <w:tab/>
      </w:r>
      <w:r>
        <w:rPr>
          <w:noProof/>
        </w:rPr>
        <w:fldChar w:fldCharType="begin"/>
      </w:r>
      <w:r>
        <w:rPr>
          <w:noProof/>
        </w:rPr>
        <w:instrText xml:space="preserve"> PAGEREF _Toc208852203 \h </w:instrText>
      </w:r>
      <w:r>
        <w:rPr>
          <w:noProof/>
        </w:rPr>
      </w:r>
      <w:r>
        <w:rPr>
          <w:noProof/>
        </w:rPr>
        <w:fldChar w:fldCharType="separate"/>
      </w:r>
      <w:r>
        <w:rPr>
          <w:noProof/>
        </w:rPr>
        <w:t>19</w:t>
      </w:r>
      <w:r>
        <w:rPr>
          <w:noProof/>
        </w:rPr>
        <w:fldChar w:fldCharType="end"/>
      </w:r>
    </w:p>
    <w:p w14:paraId="099433E7" w14:textId="7AE0A3B3"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24. –</w:t>
      </w:r>
      <w:r>
        <w:rPr>
          <w:noProof/>
        </w:rPr>
        <w:t xml:space="preserve"> Travaux</w:t>
      </w:r>
      <w:r>
        <w:rPr>
          <w:noProof/>
        </w:rPr>
        <w:tab/>
      </w:r>
      <w:r>
        <w:rPr>
          <w:noProof/>
        </w:rPr>
        <w:fldChar w:fldCharType="begin"/>
      </w:r>
      <w:r>
        <w:rPr>
          <w:noProof/>
        </w:rPr>
        <w:instrText xml:space="preserve"> PAGEREF _Toc208852204 \h </w:instrText>
      </w:r>
      <w:r>
        <w:rPr>
          <w:noProof/>
        </w:rPr>
      </w:r>
      <w:r>
        <w:rPr>
          <w:noProof/>
        </w:rPr>
        <w:fldChar w:fldCharType="separate"/>
      </w:r>
      <w:r>
        <w:rPr>
          <w:noProof/>
        </w:rPr>
        <w:t>19</w:t>
      </w:r>
      <w:r>
        <w:rPr>
          <w:noProof/>
        </w:rPr>
        <w:fldChar w:fldCharType="end"/>
      </w:r>
    </w:p>
    <w:p w14:paraId="1597CD02" w14:textId="11BEC92D"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Pr>
          <w:noProof/>
        </w:rPr>
        <w:t>Chapitre VI. – Sanctions</w:t>
      </w:r>
      <w:r>
        <w:rPr>
          <w:noProof/>
        </w:rPr>
        <w:tab/>
      </w:r>
      <w:r>
        <w:rPr>
          <w:noProof/>
        </w:rPr>
        <w:fldChar w:fldCharType="begin"/>
      </w:r>
      <w:r>
        <w:rPr>
          <w:noProof/>
        </w:rPr>
        <w:instrText xml:space="preserve"> PAGEREF _Toc208852205 \h </w:instrText>
      </w:r>
      <w:r>
        <w:rPr>
          <w:noProof/>
        </w:rPr>
      </w:r>
      <w:r>
        <w:rPr>
          <w:noProof/>
        </w:rPr>
        <w:fldChar w:fldCharType="separate"/>
      </w:r>
      <w:r>
        <w:rPr>
          <w:noProof/>
        </w:rPr>
        <w:t>20</w:t>
      </w:r>
      <w:r>
        <w:rPr>
          <w:noProof/>
        </w:rPr>
        <w:fldChar w:fldCharType="end"/>
      </w:r>
    </w:p>
    <w:p w14:paraId="7BA08004" w14:textId="08E144B6"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25. –</w:t>
      </w:r>
      <w:r>
        <w:rPr>
          <w:noProof/>
        </w:rPr>
        <w:t xml:space="preserve"> Cas de résiliation</w:t>
      </w:r>
      <w:r>
        <w:rPr>
          <w:noProof/>
        </w:rPr>
        <w:tab/>
      </w:r>
      <w:r>
        <w:rPr>
          <w:noProof/>
        </w:rPr>
        <w:fldChar w:fldCharType="begin"/>
      </w:r>
      <w:r>
        <w:rPr>
          <w:noProof/>
        </w:rPr>
        <w:instrText xml:space="preserve"> PAGEREF _Toc208852206 \h </w:instrText>
      </w:r>
      <w:r>
        <w:rPr>
          <w:noProof/>
        </w:rPr>
      </w:r>
      <w:r>
        <w:rPr>
          <w:noProof/>
        </w:rPr>
        <w:fldChar w:fldCharType="separate"/>
      </w:r>
      <w:r>
        <w:rPr>
          <w:noProof/>
        </w:rPr>
        <w:t>20</w:t>
      </w:r>
      <w:r>
        <w:rPr>
          <w:noProof/>
        </w:rPr>
        <w:fldChar w:fldCharType="end"/>
      </w:r>
    </w:p>
    <w:p w14:paraId="575C25CB" w14:textId="12F49DF7"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25.1.</w:t>
      </w:r>
      <w:r>
        <w:rPr>
          <w:rFonts w:asciiTheme="minorHAnsi" w:eastAsiaTheme="minorEastAsia" w:hAnsiTheme="minorHAnsi" w:cstheme="minorBidi"/>
          <w:b w:val="0"/>
          <w:bCs w:val="0"/>
          <w:i w:val="0"/>
          <w:noProof/>
          <w:szCs w:val="22"/>
        </w:rPr>
        <w:tab/>
      </w:r>
      <w:r>
        <w:rPr>
          <w:noProof/>
        </w:rPr>
        <w:t>Résiliation pour faute</w:t>
      </w:r>
      <w:r>
        <w:rPr>
          <w:noProof/>
        </w:rPr>
        <w:tab/>
      </w:r>
      <w:r>
        <w:rPr>
          <w:noProof/>
        </w:rPr>
        <w:fldChar w:fldCharType="begin"/>
      </w:r>
      <w:r>
        <w:rPr>
          <w:noProof/>
        </w:rPr>
        <w:instrText xml:space="preserve"> PAGEREF _Toc208852207 \h </w:instrText>
      </w:r>
      <w:r>
        <w:rPr>
          <w:noProof/>
        </w:rPr>
      </w:r>
      <w:r>
        <w:rPr>
          <w:noProof/>
        </w:rPr>
        <w:fldChar w:fldCharType="separate"/>
      </w:r>
      <w:r>
        <w:rPr>
          <w:noProof/>
        </w:rPr>
        <w:t>20</w:t>
      </w:r>
      <w:r>
        <w:rPr>
          <w:noProof/>
        </w:rPr>
        <w:fldChar w:fldCharType="end"/>
      </w:r>
    </w:p>
    <w:p w14:paraId="0522BED5" w14:textId="277FAA1D" w:rsidR="00BE0B80" w:rsidRDefault="00BE0B80">
      <w:pPr>
        <w:pStyle w:val="TM2"/>
        <w:tabs>
          <w:tab w:val="left" w:pos="720"/>
          <w:tab w:val="right" w:leader="dot" w:pos="8919"/>
        </w:tabs>
        <w:rPr>
          <w:rFonts w:asciiTheme="minorHAnsi" w:eastAsiaTheme="minorEastAsia" w:hAnsiTheme="minorHAnsi" w:cstheme="minorBidi"/>
          <w:b w:val="0"/>
          <w:bCs w:val="0"/>
          <w:i w:val="0"/>
          <w:noProof/>
          <w:szCs w:val="22"/>
        </w:rPr>
      </w:pPr>
      <w:r>
        <w:rPr>
          <w:noProof/>
        </w:rPr>
        <w:t>25.2.</w:t>
      </w:r>
      <w:r>
        <w:rPr>
          <w:rFonts w:asciiTheme="minorHAnsi" w:eastAsiaTheme="minorEastAsia" w:hAnsiTheme="minorHAnsi" w:cstheme="minorBidi"/>
          <w:b w:val="0"/>
          <w:bCs w:val="0"/>
          <w:i w:val="0"/>
          <w:noProof/>
          <w:szCs w:val="22"/>
        </w:rPr>
        <w:tab/>
      </w:r>
      <w:r>
        <w:rPr>
          <w:noProof/>
        </w:rPr>
        <w:t>Résiliation pour motif d’intérêt général</w:t>
      </w:r>
      <w:r>
        <w:rPr>
          <w:noProof/>
        </w:rPr>
        <w:tab/>
      </w:r>
      <w:r>
        <w:rPr>
          <w:noProof/>
        </w:rPr>
        <w:fldChar w:fldCharType="begin"/>
      </w:r>
      <w:r>
        <w:rPr>
          <w:noProof/>
        </w:rPr>
        <w:instrText xml:space="preserve"> PAGEREF _Toc208852208 \h </w:instrText>
      </w:r>
      <w:r>
        <w:rPr>
          <w:noProof/>
        </w:rPr>
      </w:r>
      <w:r>
        <w:rPr>
          <w:noProof/>
        </w:rPr>
        <w:fldChar w:fldCharType="separate"/>
      </w:r>
      <w:r>
        <w:rPr>
          <w:noProof/>
        </w:rPr>
        <w:t>20</w:t>
      </w:r>
      <w:r>
        <w:rPr>
          <w:noProof/>
        </w:rPr>
        <w:fldChar w:fldCharType="end"/>
      </w:r>
    </w:p>
    <w:p w14:paraId="20FF9BF1" w14:textId="5716F635"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lastRenderedPageBreak/>
        <w:t>Article 26. –</w:t>
      </w:r>
      <w:r>
        <w:rPr>
          <w:noProof/>
        </w:rPr>
        <w:t xml:space="preserve"> Pénalités</w:t>
      </w:r>
      <w:r>
        <w:rPr>
          <w:noProof/>
        </w:rPr>
        <w:tab/>
      </w:r>
      <w:r>
        <w:rPr>
          <w:noProof/>
        </w:rPr>
        <w:fldChar w:fldCharType="begin"/>
      </w:r>
      <w:r>
        <w:rPr>
          <w:noProof/>
        </w:rPr>
        <w:instrText xml:space="preserve"> PAGEREF _Toc208852209 \h </w:instrText>
      </w:r>
      <w:r>
        <w:rPr>
          <w:noProof/>
        </w:rPr>
      </w:r>
      <w:r>
        <w:rPr>
          <w:noProof/>
        </w:rPr>
        <w:fldChar w:fldCharType="separate"/>
      </w:r>
      <w:r>
        <w:rPr>
          <w:noProof/>
        </w:rPr>
        <w:t>21</w:t>
      </w:r>
      <w:r>
        <w:rPr>
          <w:noProof/>
        </w:rPr>
        <w:fldChar w:fldCharType="end"/>
      </w:r>
    </w:p>
    <w:p w14:paraId="090E26A0" w14:textId="14AA1585"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sidRPr="009466C0">
        <w:rPr>
          <w:noProof/>
        </w:rPr>
        <w:t>Article 27. –</w:t>
      </w:r>
      <w:r>
        <w:rPr>
          <w:noProof/>
        </w:rPr>
        <w:t xml:space="preserve"> Contentieux</w:t>
      </w:r>
      <w:r>
        <w:rPr>
          <w:noProof/>
        </w:rPr>
        <w:tab/>
      </w:r>
      <w:r>
        <w:rPr>
          <w:noProof/>
        </w:rPr>
        <w:fldChar w:fldCharType="begin"/>
      </w:r>
      <w:r>
        <w:rPr>
          <w:noProof/>
        </w:rPr>
        <w:instrText xml:space="preserve"> PAGEREF _Toc208852210 \h </w:instrText>
      </w:r>
      <w:r>
        <w:rPr>
          <w:noProof/>
        </w:rPr>
      </w:r>
      <w:r>
        <w:rPr>
          <w:noProof/>
        </w:rPr>
        <w:fldChar w:fldCharType="separate"/>
      </w:r>
      <w:r>
        <w:rPr>
          <w:noProof/>
        </w:rPr>
        <w:t>22</w:t>
      </w:r>
      <w:r>
        <w:rPr>
          <w:noProof/>
        </w:rPr>
        <w:fldChar w:fldCharType="end"/>
      </w:r>
    </w:p>
    <w:p w14:paraId="7EEC72D5" w14:textId="6A948031" w:rsidR="00BE0B80" w:rsidRDefault="00BE0B80">
      <w:pPr>
        <w:pStyle w:val="TM1"/>
        <w:tabs>
          <w:tab w:val="right" w:leader="dot" w:pos="8919"/>
        </w:tabs>
        <w:rPr>
          <w:rFonts w:asciiTheme="minorHAnsi" w:eastAsiaTheme="minorEastAsia" w:hAnsiTheme="minorHAnsi" w:cstheme="minorBidi"/>
          <w:b w:val="0"/>
          <w:bCs w:val="0"/>
          <w:caps w:val="0"/>
          <w:noProof/>
          <w:sz w:val="22"/>
          <w:szCs w:val="22"/>
        </w:rPr>
      </w:pPr>
      <w:r>
        <w:rPr>
          <w:noProof/>
        </w:rPr>
        <w:t>ANNEXES</w:t>
      </w:r>
      <w:r>
        <w:rPr>
          <w:noProof/>
        </w:rPr>
        <w:tab/>
      </w:r>
      <w:r>
        <w:rPr>
          <w:noProof/>
        </w:rPr>
        <w:fldChar w:fldCharType="begin"/>
      </w:r>
      <w:r>
        <w:rPr>
          <w:noProof/>
        </w:rPr>
        <w:instrText xml:space="preserve"> PAGEREF _Toc208852211 \h </w:instrText>
      </w:r>
      <w:r>
        <w:rPr>
          <w:noProof/>
        </w:rPr>
      </w:r>
      <w:r>
        <w:rPr>
          <w:noProof/>
        </w:rPr>
        <w:fldChar w:fldCharType="separate"/>
      </w:r>
      <w:r>
        <w:rPr>
          <w:noProof/>
        </w:rPr>
        <w:t>23</w:t>
      </w:r>
      <w:r>
        <w:rPr>
          <w:noProof/>
        </w:rPr>
        <w:fldChar w:fldCharType="end"/>
      </w:r>
    </w:p>
    <w:p w14:paraId="3C6AAA2F" w14:textId="4FFE43BF" w:rsidR="00B66BCA" w:rsidRPr="00FD76C0" w:rsidRDefault="002E7DD9" w:rsidP="00FD76C0">
      <w:pPr>
        <w:pStyle w:val="DCETitre1"/>
        <w:numPr>
          <w:ilvl w:val="0"/>
          <w:numId w:val="0"/>
        </w:numPr>
        <w:jc w:val="center"/>
      </w:pPr>
      <w:r>
        <w:rPr>
          <w:b w:val="0"/>
          <w:bCs/>
          <w:kern w:val="0"/>
          <w:sz w:val="22"/>
          <w:szCs w:val="22"/>
        </w:rPr>
        <w:fldChar w:fldCharType="end"/>
      </w:r>
      <w:r w:rsidR="00B66BCA" w:rsidRPr="00BC029B">
        <w:br w:type="page"/>
      </w:r>
      <w:bookmarkStart w:id="1" w:name="_Toc207429010"/>
      <w:bookmarkStart w:id="2" w:name="_Toc211932925"/>
      <w:bookmarkStart w:id="3" w:name="_Toc212881537"/>
      <w:bookmarkStart w:id="4" w:name="_Toc362431554"/>
      <w:bookmarkStart w:id="5" w:name="_Toc362544286"/>
      <w:bookmarkStart w:id="6" w:name="_Toc412822784"/>
      <w:bookmarkStart w:id="7" w:name="_Toc208852151"/>
      <w:r w:rsidR="00B66BCA" w:rsidRPr="00FD76C0">
        <w:lastRenderedPageBreak/>
        <w:t>Préambule</w:t>
      </w:r>
      <w:bookmarkEnd w:id="1"/>
      <w:bookmarkEnd w:id="2"/>
      <w:bookmarkEnd w:id="3"/>
      <w:bookmarkEnd w:id="4"/>
      <w:bookmarkEnd w:id="5"/>
      <w:bookmarkEnd w:id="6"/>
      <w:bookmarkEnd w:id="7"/>
    </w:p>
    <w:p w14:paraId="630F929B" w14:textId="1EB27AA5" w:rsidR="003D6A21" w:rsidRDefault="00510760" w:rsidP="009C61EE">
      <w:pPr>
        <w:pStyle w:val="DCETEXTE0"/>
        <w:spacing w:before="120" w:after="120"/>
      </w:pPr>
      <w:r w:rsidRPr="00F53AE6">
        <w:t xml:space="preserve">En tant qu’affectataire et gestionnaire du </w:t>
      </w:r>
      <w:r w:rsidR="009C61EE">
        <w:t>Palais</w:t>
      </w:r>
      <w:r w:rsidRPr="00F53AE6">
        <w:t xml:space="preserve"> du Luxembourg, conformément à</w:t>
      </w:r>
      <w:r w:rsidR="007D0FEE">
        <w:t> </w:t>
      </w:r>
      <w:r w:rsidRPr="00F53AE6">
        <w:t>l’article</w:t>
      </w:r>
      <w:r>
        <w:t> </w:t>
      </w:r>
      <w:r w:rsidR="007D0FEE">
        <w:t>2 </w:t>
      </w:r>
      <w:r w:rsidRPr="00F53AE6">
        <w:t>de l’ordonnance n° 58</w:t>
      </w:r>
      <w:r>
        <w:noBreakHyphen/>
      </w:r>
      <w:r w:rsidRPr="00F53AE6">
        <w:t>1100 du 17 novembre 1958 relative au fonctionnement des assemblées parlementaires, le Sénat a pour mission de mettre en valeur</w:t>
      </w:r>
      <w:r w:rsidR="000F76BE">
        <w:t xml:space="preserve"> et de faire connaître</w:t>
      </w:r>
      <w:r w:rsidRPr="00F53AE6">
        <w:t xml:space="preserve"> </w:t>
      </w:r>
      <w:r w:rsidR="00EE5E65">
        <w:t>ce patrimoine</w:t>
      </w:r>
      <w:r w:rsidR="000F76BE">
        <w:t xml:space="preserve"> au grand public</w:t>
      </w:r>
      <w:r w:rsidR="002D6818" w:rsidRPr="00BC029B">
        <w:t xml:space="preserve">. </w:t>
      </w:r>
      <w:r w:rsidR="007D0FEE">
        <w:t>Dans c</w:t>
      </w:r>
      <w:r w:rsidR="007D0FEE" w:rsidRPr="00841010">
        <w:t xml:space="preserve">e cadre, </w:t>
      </w:r>
      <w:r w:rsidR="007D0FEE">
        <w:t>il</w:t>
      </w:r>
      <w:r w:rsidR="007D0FEE" w:rsidRPr="00841010">
        <w:t xml:space="preserve"> peut </w:t>
      </w:r>
      <w:r w:rsidR="007D0FEE">
        <w:t>attribuer des concessions</w:t>
      </w:r>
      <w:r w:rsidR="00B46330">
        <w:t xml:space="preserve"> </w:t>
      </w:r>
      <w:r w:rsidR="003D6A21">
        <w:t xml:space="preserve">selon les dispositions </w:t>
      </w:r>
      <w:r w:rsidR="00B46330">
        <w:t>de l’article L</w:t>
      </w:r>
      <w:r w:rsidR="003D6A21">
        <w:t>.</w:t>
      </w:r>
      <w:r w:rsidR="00191945">
        <w:t xml:space="preserve"> 1121-1 du c</w:t>
      </w:r>
      <w:r w:rsidR="00B46330">
        <w:t>ode de la commande publique (CCP)</w:t>
      </w:r>
      <w:r w:rsidR="00B66BCA" w:rsidRPr="00BC029B">
        <w:t>.</w:t>
      </w:r>
      <w:r w:rsidR="007D0FEE">
        <w:t xml:space="preserve"> </w:t>
      </w:r>
    </w:p>
    <w:p w14:paraId="677833BA" w14:textId="77777777" w:rsidR="00427364" w:rsidRDefault="007D0FEE" w:rsidP="009C61EE">
      <w:pPr>
        <w:pStyle w:val="DCETEXTE0"/>
        <w:spacing w:before="120" w:after="120"/>
      </w:pPr>
      <w:r>
        <w:t>En application de l’article L</w:t>
      </w:r>
      <w:r w:rsidR="003D6A21">
        <w:t>.</w:t>
      </w:r>
      <w:r>
        <w:t> 3132</w:t>
      </w:r>
      <w:r>
        <w:noBreakHyphen/>
        <w:t xml:space="preserve">1 du </w:t>
      </w:r>
      <w:r w:rsidR="003D6A21">
        <w:t>CCP</w:t>
      </w:r>
      <w:r>
        <w:t>, cette attribution vaut autorisation d’occupation du domaine public pour la durée du contrat.</w:t>
      </w:r>
    </w:p>
    <w:p w14:paraId="0965443C" w14:textId="70A9B03A" w:rsidR="00C42404" w:rsidRDefault="00B66BCA" w:rsidP="009C61EE">
      <w:pPr>
        <w:pStyle w:val="DCETEXTE0"/>
        <w:spacing w:before="120" w:after="120"/>
      </w:pPr>
      <w:r w:rsidRPr="00BC029B">
        <w:t xml:space="preserve">Le présent </w:t>
      </w:r>
      <w:r w:rsidR="000847F8">
        <w:t>contrat</w:t>
      </w:r>
      <w:r w:rsidRPr="00BC029B">
        <w:t xml:space="preserve"> </w:t>
      </w:r>
      <w:r w:rsidR="007D0FEE">
        <w:t>définit</w:t>
      </w:r>
      <w:r w:rsidR="00C42404">
        <w:t xml:space="preserve"> les </w:t>
      </w:r>
      <w:r w:rsidR="00087E95">
        <w:t>conditions d’</w:t>
      </w:r>
      <w:r w:rsidR="007D0FEE">
        <w:t>expl</w:t>
      </w:r>
      <w:r w:rsidR="00C42404">
        <w:t xml:space="preserve">oitation </w:t>
      </w:r>
      <w:r w:rsidR="009C61EE">
        <w:t>d’une boutique de vente</w:t>
      </w:r>
      <w:r w:rsidR="0042417E">
        <w:t xml:space="preserve"> </w:t>
      </w:r>
      <w:r w:rsidR="007D0FEE">
        <w:t xml:space="preserve">située </w:t>
      </w:r>
      <w:r w:rsidR="0042417E">
        <w:t xml:space="preserve">dans le </w:t>
      </w:r>
      <w:r w:rsidR="009C61EE">
        <w:t>Palais</w:t>
      </w:r>
      <w:r w:rsidR="0042417E">
        <w:t xml:space="preserve"> du </w:t>
      </w:r>
      <w:r w:rsidR="00280C5E">
        <w:t>Luxembourg ainsi que d’une boutique en ligne,</w:t>
      </w:r>
      <w:r w:rsidR="00F67B1B">
        <w:t xml:space="preserve"> sous forme d’une concession de services</w:t>
      </w:r>
      <w:r w:rsidR="0042417E">
        <w:t>.</w:t>
      </w:r>
    </w:p>
    <w:p w14:paraId="38DA9E0D" w14:textId="007174CB" w:rsidR="00DF02FB" w:rsidRDefault="000F76BE" w:rsidP="00DF02FB">
      <w:pPr>
        <w:pStyle w:val="DCETitre1"/>
        <w:numPr>
          <w:ilvl w:val="0"/>
          <w:numId w:val="0"/>
        </w:numPr>
        <w:jc w:val="center"/>
      </w:pPr>
      <w:bookmarkStart w:id="8" w:name="_Toc208852152"/>
      <w:r>
        <w:t xml:space="preserve">Chapitre I. – </w:t>
      </w:r>
      <w:r w:rsidR="00DF02FB">
        <w:t>Stipulations générales</w:t>
      </w:r>
      <w:bookmarkEnd w:id="8"/>
    </w:p>
    <w:p w14:paraId="0CF76739" w14:textId="77777777" w:rsidR="003A3193" w:rsidRPr="00FD76C0" w:rsidRDefault="003A3193" w:rsidP="00D63AF3">
      <w:pPr>
        <w:pStyle w:val="DCETitre1"/>
        <w:numPr>
          <w:ilvl w:val="0"/>
          <w:numId w:val="4"/>
        </w:numPr>
      </w:pPr>
      <w:bookmarkStart w:id="9" w:name="_Toc208852153"/>
      <w:r>
        <w:t>Objet du contrat</w:t>
      </w:r>
      <w:bookmarkEnd w:id="9"/>
    </w:p>
    <w:p w14:paraId="0A3FBCBE" w14:textId="14B21FEF" w:rsidR="009C61EE" w:rsidRPr="009C61EE" w:rsidRDefault="009C61EE" w:rsidP="009C61EE">
      <w:pPr>
        <w:pStyle w:val="DCETEXTE0"/>
        <w:spacing w:before="120" w:after="120"/>
      </w:pPr>
      <w:r w:rsidRPr="009C61EE">
        <w:t xml:space="preserve">L’objet de cette boutique </w:t>
      </w:r>
      <w:r w:rsidR="00196333">
        <w:t>porte, de manière non limitative, sur</w:t>
      </w:r>
      <w:r w:rsidRPr="009C61EE">
        <w:t xml:space="preserve"> la vente : </w:t>
      </w:r>
    </w:p>
    <w:p w14:paraId="4A387FFE" w14:textId="6A453B79" w:rsidR="00044B1B" w:rsidRDefault="00352A1F" w:rsidP="00D63AF3">
      <w:pPr>
        <w:pStyle w:val="Corpsdetexte"/>
        <w:numPr>
          <w:ilvl w:val="0"/>
          <w:numId w:val="6"/>
        </w:numPr>
        <w:spacing w:after="120"/>
        <w:ind w:left="714" w:hanging="430"/>
        <w:rPr>
          <w:szCs w:val="20"/>
        </w:rPr>
      </w:pPr>
      <w:r>
        <w:rPr>
          <w:szCs w:val="20"/>
        </w:rPr>
        <w:t xml:space="preserve">principalement, </w:t>
      </w:r>
      <w:r w:rsidR="009C61EE">
        <w:rPr>
          <w:szCs w:val="20"/>
        </w:rPr>
        <w:t>d</w:t>
      </w:r>
      <w:r>
        <w:rPr>
          <w:szCs w:val="20"/>
        </w:rPr>
        <w:t>e produits ou d’article</w:t>
      </w:r>
      <w:r w:rsidR="009C61EE" w:rsidRPr="009C61EE">
        <w:rPr>
          <w:szCs w:val="20"/>
        </w:rPr>
        <w:t>s</w:t>
      </w:r>
      <w:r>
        <w:rPr>
          <w:szCs w:val="20"/>
        </w:rPr>
        <w:t>-</w:t>
      </w:r>
      <w:r w:rsidR="003845DC">
        <w:rPr>
          <w:szCs w:val="20"/>
        </w:rPr>
        <w:t xml:space="preserve">cadeaux, </w:t>
      </w:r>
      <w:r>
        <w:rPr>
          <w:szCs w:val="20"/>
        </w:rPr>
        <w:t>commémoratifs</w:t>
      </w:r>
      <w:r w:rsidR="00BB0A97">
        <w:rPr>
          <w:szCs w:val="20"/>
        </w:rPr>
        <w:t>, protocolaires ou de toute nature</w:t>
      </w:r>
      <w:r>
        <w:rPr>
          <w:szCs w:val="20"/>
        </w:rPr>
        <w:t>,</w:t>
      </w:r>
      <w:r w:rsidR="009C61EE" w:rsidRPr="009C61EE">
        <w:rPr>
          <w:szCs w:val="20"/>
        </w:rPr>
        <w:t xml:space="preserve"> portant le logotype </w:t>
      </w:r>
      <w:r>
        <w:rPr>
          <w:szCs w:val="20"/>
        </w:rPr>
        <w:t xml:space="preserve">du Sénat </w:t>
      </w:r>
      <w:r w:rsidR="009C61EE" w:rsidRPr="009C61EE">
        <w:rPr>
          <w:szCs w:val="20"/>
        </w:rPr>
        <w:t xml:space="preserve">ou l’un des symboles </w:t>
      </w:r>
      <w:r>
        <w:rPr>
          <w:szCs w:val="20"/>
        </w:rPr>
        <w:t>de l’institution</w:t>
      </w:r>
      <w:r w:rsidR="009C61EE" w:rsidRPr="009C61EE">
        <w:rPr>
          <w:szCs w:val="20"/>
        </w:rPr>
        <w:t xml:space="preserve"> ;</w:t>
      </w:r>
    </w:p>
    <w:p w14:paraId="44E64C31" w14:textId="28CCD873" w:rsidR="000847F8" w:rsidRDefault="000847F8" w:rsidP="00D63AF3">
      <w:pPr>
        <w:pStyle w:val="Corpsdetexte"/>
        <w:numPr>
          <w:ilvl w:val="0"/>
          <w:numId w:val="6"/>
        </w:numPr>
        <w:spacing w:after="120"/>
        <w:ind w:left="714" w:hanging="430"/>
        <w:rPr>
          <w:szCs w:val="20"/>
        </w:rPr>
      </w:pPr>
      <w:r>
        <w:rPr>
          <w:szCs w:val="20"/>
        </w:rPr>
        <w:t xml:space="preserve">d’articles portant la marque ou l’une des marques du </w:t>
      </w:r>
      <w:r w:rsidR="000F76BE">
        <w:rPr>
          <w:szCs w:val="20"/>
        </w:rPr>
        <w:t>titulaire</w:t>
      </w:r>
      <w:r>
        <w:rPr>
          <w:szCs w:val="20"/>
        </w:rPr>
        <w:t> ;</w:t>
      </w:r>
    </w:p>
    <w:p w14:paraId="26BB0B01" w14:textId="14FD4998" w:rsidR="00352A1F" w:rsidRDefault="00352A1F" w:rsidP="00D63AF3">
      <w:pPr>
        <w:pStyle w:val="Corpsdetexte"/>
        <w:numPr>
          <w:ilvl w:val="0"/>
          <w:numId w:val="6"/>
        </w:numPr>
        <w:spacing w:after="120"/>
        <w:ind w:left="714" w:hanging="430"/>
        <w:rPr>
          <w:szCs w:val="20"/>
        </w:rPr>
      </w:pPr>
      <w:r>
        <w:rPr>
          <w:szCs w:val="20"/>
        </w:rPr>
        <w:t xml:space="preserve">de produits ou d’articles portant la marque « Jardin du Luxembourg », </w:t>
      </w:r>
      <w:r w:rsidR="00AB2847">
        <w:rPr>
          <w:szCs w:val="20"/>
        </w:rPr>
        <w:t xml:space="preserve">déposée par le Sénat, </w:t>
      </w:r>
      <w:r w:rsidR="00196333">
        <w:rPr>
          <w:szCs w:val="20"/>
        </w:rPr>
        <w:t xml:space="preserve">sans exclusivité et </w:t>
      </w:r>
      <w:r>
        <w:rPr>
          <w:szCs w:val="20"/>
        </w:rPr>
        <w:t>en liaison avec l’agent de licence mandaté par le Sénat pour commercialiser cette marque</w:t>
      </w:r>
      <w:r w:rsidR="00BB0A97">
        <w:rPr>
          <w:szCs w:val="20"/>
        </w:rPr>
        <w:t> ;</w:t>
      </w:r>
      <w:r>
        <w:rPr>
          <w:szCs w:val="20"/>
        </w:rPr>
        <w:t xml:space="preserve"> </w:t>
      </w:r>
    </w:p>
    <w:p w14:paraId="74930B3D" w14:textId="049696A8" w:rsidR="009C61EE" w:rsidRDefault="00BB0A97" w:rsidP="00D63AF3">
      <w:pPr>
        <w:pStyle w:val="Corpsdetexte"/>
        <w:numPr>
          <w:ilvl w:val="0"/>
          <w:numId w:val="6"/>
        </w:numPr>
        <w:spacing w:after="120"/>
        <w:ind w:left="714" w:hanging="430"/>
        <w:rPr>
          <w:szCs w:val="20"/>
        </w:rPr>
      </w:pPr>
      <w:r w:rsidRPr="00BB0A97">
        <w:rPr>
          <w:szCs w:val="20"/>
        </w:rPr>
        <w:t xml:space="preserve">de l’ouvrage d’art </w:t>
      </w:r>
      <w:r>
        <w:rPr>
          <w:szCs w:val="20"/>
        </w:rPr>
        <w:t xml:space="preserve">sur le Palais et le Jardin du </w:t>
      </w:r>
      <w:r w:rsidR="00196333">
        <w:rPr>
          <w:szCs w:val="20"/>
        </w:rPr>
        <w:t xml:space="preserve">Luxembourg, </w:t>
      </w:r>
      <w:r w:rsidR="00DF02FB">
        <w:t xml:space="preserve">dont la vente sera effectuée à partir du stock d’ouvrages disponible à la vente mis à la disposition du </w:t>
      </w:r>
      <w:r w:rsidR="000F76BE">
        <w:t>titulaire</w:t>
      </w:r>
      <w:r w:rsidR="00DF02FB">
        <w:t xml:space="preserve"> par le Sénat, sous condition et jusqu’à épuisement du stock, sans obligation pour le Sénat de réapprovisionnement ou de réédition de l’ouvrage. Cette vente par le </w:t>
      </w:r>
      <w:r w:rsidR="000F76BE">
        <w:t>titulaire</w:t>
      </w:r>
      <w:r w:rsidR="00DF02FB">
        <w:t xml:space="preserve"> ne pourra intervenir que dans un des points de vente physiques du Sénat décrits à l’article</w:t>
      </w:r>
      <w:r w:rsidR="00160CBD">
        <w:t> </w:t>
      </w:r>
      <w:r w:rsidR="00AD51AA">
        <w:t>9</w:t>
      </w:r>
      <w:r w:rsidR="00DF02FB">
        <w:t>.1</w:t>
      </w:r>
      <w:r w:rsidR="000847F8">
        <w:rPr>
          <w:szCs w:val="20"/>
        </w:rPr>
        <w:t>.</w:t>
      </w:r>
    </w:p>
    <w:p w14:paraId="4257087D" w14:textId="43FF7DB1" w:rsidR="00B155E3" w:rsidRDefault="000F76BE" w:rsidP="009C61EE">
      <w:pPr>
        <w:pStyle w:val="DCETEXTE0"/>
        <w:spacing w:before="120" w:after="120"/>
      </w:pPr>
      <w:r>
        <w:t>Le titulaire propose aux sénateur</w:t>
      </w:r>
      <w:r w:rsidR="00BE0B80">
        <w:t>s</w:t>
      </w:r>
      <w:r>
        <w:t xml:space="preserve"> u</w:t>
      </w:r>
      <w:r w:rsidR="00B155E3">
        <w:t>n « kit » spécifique composé</w:t>
      </w:r>
      <w:r w:rsidR="000847F8">
        <w:t xml:space="preserve"> de plusieurs articles de souvenir (à titre indicatif : t</w:t>
      </w:r>
      <w:r w:rsidR="00B155E3">
        <w:t>ote-bag, stylo, pin’s</w:t>
      </w:r>
      <w:r w:rsidR="000847F8">
        <w:t xml:space="preserve">, </w:t>
      </w:r>
      <w:r w:rsidR="00B155E3">
        <w:t>carnet</w:t>
      </w:r>
      <w:r w:rsidR="000847F8">
        <w:t>…)</w:t>
      </w:r>
      <w:r w:rsidR="00B155E3">
        <w:t xml:space="preserve"> à l’attention</w:t>
      </w:r>
      <w:r>
        <w:t xml:space="preserve"> de leurs invités et en particulier ceux qui effectuent</w:t>
      </w:r>
      <w:r w:rsidR="00B155E3">
        <w:t xml:space="preserve"> une visite collective du Palais</w:t>
      </w:r>
      <w:r>
        <w:t xml:space="preserve"> du Luxembourg</w:t>
      </w:r>
      <w:r w:rsidR="00B155E3">
        <w:t>.</w:t>
      </w:r>
    </w:p>
    <w:p w14:paraId="1268BFC1" w14:textId="3F7979FC" w:rsidR="0028607B" w:rsidRDefault="0028607B" w:rsidP="009C61EE">
      <w:pPr>
        <w:pStyle w:val="DCETEXTE0"/>
        <w:spacing w:before="120" w:after="120"/>
      </w:pPr>
      <w:r>
        <w:t>Cette activité de vente a lieu</w:t>
      </w:r>
      <w:r w:rsidR="00B155E3">
        <w:t>, pour l’ensemble de ces articles et produits,</w:t>
      </w:r>
      <w:r>
        <w:t xml:space="preserve"> au sein de la boutique physique </w:t>
      </w:r>
      <w:r w:rsidR="00280C5E">
        <w:t xml:space="preserve">décrite à l’article </w:t>
      </w:r>
      <w:r w:rsidR="00AD51AA">
        <w:t>9</w:t>
      </w:r>
      <w:r w:rsidR="001A7582">
        <w:t>.1</w:t>
      </w:r>
      <w:r w:rsidR="00C30194">
        <w:t>,</w:t>
      </w:r>
      <w:r>
        <w:t xml:space="preserve"> ainsi </w:t>
      </w:r>
      <w:r w:rsidR="005B1F61">
        <w:t>que</w:t>
      </w:r>
      <w:r w:rsidR="00B155E3">
        <w:t>, pour une partie de ces articles et produits, par l’intermédiaire</w:t>
      </w:r>
      <w:r w:rsidR="005B1F61">
        <w:t xml:space="preserve"> </w:t>
      </w:r>
      <w:r w:rsidR="001A7582">
        <w:t>de la</w:t>
      </w:r>
      <w:r>
        <w:t xml:space="preserve"> boutique en ligne</w:t>
      </w:r>
      <w:r w:rsidRPr="0028607B">
        <w:t xml:space="preserve">, dans les conditions prévues à l’article </w:t>
      </w:r>
      <w:r w:rsidR="00AD51AA">
        <w:t>10</w:t>
      </w:r>
      <w:r>
        <w:t>.</w:t>
      </w:r>
    </w:p>
    <w:p w14:paraId="7F264365" w14:textId="78DE8BB1" w:rsidR="009C61EE" w:rsidRPr="009C61EE" w:rsidRDefault="009C61EE" w:rsidP="009C61EE">
      <w:pPr>
        <w:pStyle w:val="DCETEXTE0"/>
        <w:spacing w:before="120" w:after="120"/>
      </w:pPr>
      <w:r w:rsidRPr="009C61EE">
        <w:t>La vente de boissons et d’aliments</w:t>
      </w:r>
      <w:r w:rsidR="000847F8">
        <w:t xml:space="preserve"> préparés</w:t>
      </w:r>
      <w:r w:rsidRPr="009C61EE">
        <w:t xml:space="preserve"> chauds ou froids à consommer sur place ou à emporter est interdite.</w:t>
      </w:r>
    </w:p>
    <w:p w14:paraId="30DB900C" w14:textId="6A8B5D08" w:rsidR="009C61EE" w:rsidRPr="009C61EE" w:rsidRDefault="009C61EE" w:rsidP="009C61EE">
      <w:pPr>
        <w:pStyle w:val="DCETEXTE0"/>
        <w:spacing w:before="120" w:after="120"/>
      </w:pPr>
      <w:r w:rsidRPr="009C61EE">
        <w:t>Le titulaire détient le monopole de la vente, dans le Palais</w:t>
      </w:r>
      <w:r w:rsidR="00A6420A">
        <w:t xml:space="preserve"> du Luxembourg</w:t>
      </w:r>
      <w:r w:rsidRPr="009C61EE">
        <w:t xml:space="preserve"> et en ligne, des objets portant le logotype ou l’</w:t>
      </w:r>
      <w:r w:rsidR="005371CF">
        <w:t xml:space="preserve">un des symboles du Sénat, sans pour autant </w:t>
      </w:r>
      <w:r w:rsidRPr="009C61EE">
        <w:t>être en la matière le fournisseur exclusif du Sénat</w:t>
      </w:r>
      <w:r w:rsidR="0028607B">
        <w:t>. Celui-ci conserve</w:t>
      </w:r>
      <w:r w:rsidRPr="009C61EE">
        <w:t xml:space="preserve"> la faculté de s’adresser directement à d’autres fournisseurs</w:t>
      </w:r>
      <w:r w:rsidR="001818B3">
        <w:t xml:space="preserve">, </w:t>
      </w:r>
      <w:r w:rsidR="0028607B">
        <w:t>dans le cadre des règles définies par le</w:t>
      </w:r>
      <w:r w:rsidRPr="009C61EE">
        <w:t xml:space="preserve"> </w:t>
      </w:r>
      <w:r w:rsidR="001818B3">
        <w:t>code de la commande publique</w:t>
      </w:r>
      <w:r w:rsidRPr="009C61EE">
        <w:t>.</w:t>
      </w:r>
    </w:p>
    <w:p w14:paraId="7231F931" w14:textId="13381972" w:rsidR="00AC13B2" w:rsidRDefault="004E7C44" w:rsidP="009C61EE">
      <w:pPr>
        <w:pStyle w:val="DCETEXTE0"/>
        <w:spacing w:before="120" w:after="120"/>
      </w:pPr>
      <w:r>
        <w:t>Les</w:t>
      </w:r>
      <w:r w:rsidR="00125715" w:rsidRPr="009C61EE">
        <w:t xml:space="preserve"> produits et </w:t>
      </w:r>
      <w:r w:rsidR="00C82785">
        <w:t>article</w:t>
      </w:r>
      <w:r w:rsidR="00125715" w:rsidRPr="009C61EE">
        <w:t>s portant le logotype ou l’un des symboles du Sénat</w:t>
      </w:r>
      <w:r>
        <w:t xml:space="preserve"> sont soumis à la validation du</w:t>
      </w:r>
      <w:r w:rsidR="009C61EE" w:rsidRPr="009C61EE">
        <w:t xml:space="preserve"> Sénat </w:t>
      </w:r>
      <w:r w:rsidR="00D360A2">
        <w:t>avant l</w:t>
      </w:r>
      <w:r w:rsidR="005371CF">
        <w:t>eur</w:t>
      </w:r>
      <w:r w:rsidR="00D360A2">
        <w:t xml:space="preserve"> commercialisation</w:t>
      </w:r>
      <w:r>
        <w:t>.</w:t>
      </w:r>
      <w:r w:rsidR="009C61EE" w:rsidRPr="009C61EE">
        <w:t xml:space="preserve"> </w:t>
      </w:r>
      <w:r>
        <w:t>Le Sénat</w:t>
      </w:r>
      <w:r w:rsidR="00D360A2">
        <w:t xml:space="preserve"> peut </w:t>
      </w:r>
      <w:r w:rsidR="00C82785">
        <w:t xml:space="preserve">discrétionnairement </w:t>
      </w:r>
      <w:r w:rsidR="00D360A2">
        <w:lastRenderedPageBreak/>
        <w:t>s’</w:t>
      </w:r>
      <w:r w:rsidR="009C61EE" w:rsidRPr="009C61EE">
        <w:t xml:space="preserve">opposer </w:t>
      </w:r>
      <w:r w:rsidR="00D360A2">
        <w:t xml:space="preserve">à leur mise en vente </w:t>
      </w:r>
      <w:r w:rsidR="009C61EE" w:rsidRPr="009C61EE">
        <w:t xml:space="preserve">s’il </w:t>
      </w:r>
      <w:r w:rsidR="00C82785">
        <w:t xml:space="preserve">considère </w:t>
      </w:r>
      <w:r w:rsidR="009C61EE" w:rsidRPr="009C61EE">
        <w:t xml:space="preserve">que </w:t>
      </w:r>
      <w:r w:rsidR="00C82785">
        <w:t>ceux-ci sont</w:t>
      </w:r>
      <w:r w:rsidR="009C61EE" w:rsidRPr="009C61EE">
        <w:t xml:space="preserve"> susceptible</w:t>
      </w:r>
      <w:r w:rsidR="00C82785">
        <w:t>s</w:t>
      </w:r>
      <w:r w:rsidR="009C61EE" w:rsidRPr="009C61EE">
        <w:t xml:space="preserve"> d</w:t>
      </w:r>
      <w:r w:rsidR="00191945">
        <w:t>e porter atteinte à son image</w:t>
      </w:r>
      <w:r w:rsidR="00C82785">
        <w:t>. L</w:t>
      </w:r>
      <w:r w:rsidR="009C61EE" w:rsidRPr="009C61EE">
        <w:t xml:space="preserve">e </w:t>
      </w:r>
      <w:r w:rsidR="000F76BE">
        <w:t>titulaire</w:t>
      </w:r>
      <w:r w:rsidR="009C61EE" w:rsidRPr="009C61EE">
        <w:t xml:space="preserve"> n’a alors droit à aucune indemnité</w:t>
      </w:r>
      <w:r w:rsidR="00AC13B2">
        <w:t>.</w:t>
      </w:r>
    </w:p>
    <w:p w14:paraId="0231CF08" w14:textId="6633D9A4" w:rsidR="00191945" w:rsidRPr="009C61EE" w:rsidRDefault="00191945" w:rsidP="00191945">
      <w:pPr>
        <w:pStyle w:val="DCETEXTE0"/>
        <w:spacing w:before="120" w:after="120"/>
      </w:pPr>
      <w:r>
        <w:t xml:space="preserve">Le Sénat peut également s’opposer à la mise en vente des autres produits </w:t>
      </w:r>
      <w:r w:rsidR="00C82785">
        <w:t>ou article</w:t>
      </w:r>
      <w:r>
        <w:t xml:space="preserve">s </w:t>
      </w:r>
      <w:r w:rsidR="001818B3">
        <w:t xml:space="preserve">commercialisés par </w:t>
      </w:r>
      <w:r w:rsidR="00C82785">
        <w:t xml:space="preserve">le </w:t>
      </w:r>
      <w:r w:rsidR="000F76BE">
        <w:t>titulaire</w:t>
      </w:r>
      <w:r w:rsidR="00C82785">
        <w:t>,</w:t>
      </w:r>
      <w:r w:rsidR="001818B3">
        <w:t xml:space="preserve"> </w:t>
      </w:r>
      <w:r>
        <w:t xml:space="preserve">s’il </w:t>
      </w:r>
      <w:r w:rsidR="00C82785">
        <w:t>considèr</w:t>
      </w:r>
      <w:r>
        <w:t xml:space="preserve">e que </w:t>
      </w:r>
      <w:r w:rsidR="00C82785">
        <w:t>ceux-ci sont</w:t>
      </w:r>
      <w:r>
        <w:t xml:space="preserve"> susceptible</w:t>
      </w:r>
      <w:r w:rsidR="00C82785">
        <w:t>s</w:t>
      </w:r>
      <w:r>
        <w:t xml:space="preserve"> de porter atteinte à son image</w:t>
      </w:r>
      <w:r w:rsidR="00C82785">
        <w:t>. L</w:t>
      </w:r>
      <w:r w:rsidRPr="009C61EE">
        <w:t xml:space="preserve">e </w:t>
      </w:r>
      <w:r w:rsidR="000F76BE">
        <w:t>titulaire</w:t>
      </w:r>
      <w:r w:rsidRPr="009C61EE">
        <w:t xml:space="preserve"> n’a alors droit à aucune indemnité</w:t>
      </w:r>
      <w:r>
        <w:t>.</w:t>
      </w:r>
    </w:p>
    <w:p w14:paraId="4BE00DB1" w14:textId="47B1E68B" w:rsidR="009C61EE" w:rsidRDefault="009C61EE" w:rsidP="009C61EE">
      <w:pPr>
        <w:pStyle w:val="DCETEXTE0"/>
        <w:spacing w:before="120" w:after="120"/>
      </w:pPr>
      <w:r w:rsidRPr="009C61EE">
        <w:t xml:space="preserve">Les </w:t>
      </w:r>
      <w:r w:rsidR="00990BD7">
        <w:t>articles ou produits</w:t>
      </w:r>
      <w:r w:rsidRPr="009C61EE">
        <w:t xml:space="preserve"> portant le logotype ou l’un des symboles du Sénat ne peuvent être vendus hors de la bo</w:t>
      </w:r>
      <w:r w:rsidR="005371CF">
        <w:t xml:space="preserve">utique du Palais du Luxembourg </w:t>
      </w:r>
      <w:r w:rsidRPr="009C61EE">
        <w:t>ou de la boutique en ligne sans l’autorisation expresse du Sénat.</w:t>
      </w:r>
    </w:p>
    <w:p w14:paraId="6D7A2A73" w14:textId="7D65E37E" w:rsidR="009C61EE" w:rsidRPr="009C61EE" w:rsidRDefault="009C61EE" w:rsidP="00DC705C">
      <w:pPr>
        <w:pStyle w:val="DCETEXTE0"/>
        <w:keepNext/>
        <w:keepLines/>
        <w:spacing w:before="120" w:after="120"/>
      </w:pPr>
      <w:r w:rsidRPr="009C61EE">
        <w:t>La boutique</w:t>
      </w:r>
      <w:r w:rsidR="005B2564">
        <w:t xml:space="preserve"> physique</w:t>
      </w:r>
      <w:r w:rsidRPr="009C61EE">
        <w:t xml:space="preserve"> s’adresse à différents publics, dont elle n’est pas le fournisseur exclusif</w:t>
      </w:r>
      <w:r w:rsidR="00DF02FB">
        <w:t> </w:t>
      </w:r>
      <w:r w:rsidRPr="009C61EE">
        <w:t>:</w:t>
      </w:r>
    </w:p>
    <w:p w14:paraId="02BB64E2" w14:textId="683EBF8A" w:rsidR="009C61EE" w:rsidRPr="009C61EE" w:rsidRDefault="009C61EE" w:rsidP="00D63AF3">
      <w:pPr>
        <w:pStyle w:val="Corpsdetexte"/>
        <w:numPr>
          <w:ilvl w:val="0"/>
          <w:numId w:val="6"/>
        </w:numPr>
        <w:spacing w:after="120"/>
        <w:ind w:left="714" w:hanging="357"/>
        <w:rPr>
          <w:szCs w:val="20"/>
        </w:rPr>
      </w:pPr>
      <w:r>
        <w:rPr>
          <w:szCs w:val="20"/>
        </w:rPr>
        <w:t>l</w:t>
      </w:r>
      <w:r w:rsidRPr="009C61EE">
        <w:rPr>
          <w:szCs w:val="20"/>
        </w:rPr>
        <w:t xml:space="preserve">es </w:t>
      </w:r>
      <w:r w:rsidR="00DF02FB">
        <w:rPr>
          <w:szCs w:val="20"/>
        </w:rPr>
        <w:t>s</w:t>
      </w:r>
      <w:r w:rsidR="00DE6E42">
        <w:rPr>
          <w:szCs w:val="20"/>
        </w:rPr>
        <w:t xml:space="preserve">énatrices </w:t>
      </w:r>
      <w:r w:rsidR="00990BD7">
        <w:rPr>
          <w:szCs w:val="20"/>
        </w:rPr>
        <w:t xml:space="preserve">et les </w:t>
      </w:r>
      <w:r w:rsidR="00DF02FB">
        <w:rPr>
          <w:szCs w:val="20"/>
        </w:rPr>
        <w:t>s</w:t>
      </w:r>
      <w:r w:rsidRPr="009C61EE">
        <w:rPr>
          <w:szCs w:val="20"/>
        </w:rPr>
        <w:t>énateurs ;</w:t>
      </w:r>
    </w:p>
    <w:p w14:paraId="6A19E32D" w14:textId="53946CFC" w:rsidR="009C61EE" w:rsidRPr="009C61EE" w:rsidRDefault="009C61EE" w:rsidP="00D63AF3">
      <w:pPr>
        <w:pStyle w:val="Corpsdetexte"/>
        <w:numPr>
          <w:ilvl w:val="0"/>
          <w:numId w:val="6"/>
        </w:numPr>
        <w:spacing w:after="120"/>
        <w:ind w:left="714" w:hanging="357"/>
        <w:rPr>
          <w:szCs w:val="20"/>
        </w:rPr>
      </w:pPr>
      <w:r>
        <w:rPr>
          <w:szCs w:val="20"/>
        </w:rPr>
        <w:t>l</w:t>
      </w:r>
      <w:r w:rsidRPr="009C61EE">
        <w:rPr>
          <w:szCs w:val="20"/>
        </w:rPr>
        <w:t xml:space="preserve">es </w:t>
      </w:r>
      <w:r w:rsidR="00743A86">
        <w:rPr>
          <w:szCs w:val="20"/>
        </w:rPr>
        <w:t>directions</w:t>
      </w:r>
      <w:r w:rsidRPr="009C61EE">
        <w:rPr>
          <w:szCs w:val="20"/>
        </w:rPr>
        <w:t xml:space="preserve"> du Sénat, notamment pour les missions à l’étranger, l’accueil d’hôtes de marque</w:t>
      </w:r>
      <w:r w:rsidR="00AB2847">
        <w:rPr>
          <w:szCs w:val="20"/>
        </w:rPr>
        <w:t xml:space="preserve"> et</w:t>
      </w:r>
      <w:r w:rsidRPr="009C61EE">
        <w:rPr>
          <w:szCs w:val="20"/>
        </w:rPr>
        <w:t xml:space="preserve"> certaines opérations de communication ;</w:t>
      </w:r>
    </w:p>
    <w:p w14:paraId="7E2D3493" w14:textId="313B6B10" w:rsidR="009C61EE" w:rsidRPr="009C61EE" w:rsidRDefault="009C61EE" w:rsidP="00D63AF3">
      <w:pPr>
        <w:pStyle w:val="Corpsdetexte"/>
        <w:numPr>
          <w:ilvl w:val="0"/>
          <w:numId w:val="6"/>
        </w:numPr>
        <w:spacing w:after="120"/>
        <w:ind w:left="714" w:hanging="357"/>
        <w:rPr>
          <w:szCs w:val="20"/>
        </w:rPr>
      </w:pPr>
      <w:r>
        <w:rPr>
          <w:szCs w:val="20"/>
        </w:rPr>
        <w:t>l</w:t>
      </w:r>
      <w:r w:rsidRPr="009C61EE">
        <w:rPr>
          <w:szCs w:val="20"/>
        </w:rPr>
        <w:t xml:space="preserve">es personnels du Sénat et les collaborateurs des </w:t>
      </w:r>
      <w:r w:rsidR="00990BD7">
        <w:rPr>
          <w:szCs w:val="20"/>
        </w:rPr>
        <w:t xml:space="preserve">sénatrices et des </w:t>
      </w:r>
      <w:r w:rsidR="00743A86">
        <w:rPr>
          <w:szCs w:val="20"/>
        </w:rPr>
        <w:t>s</w:t>
      </w:r>
      <w:r w:rsidRPr="009C61EE">
        <w:rPr>
          <w:szCs w:val="20"/>
        </w:rPr>
        <w:t>énateurs</w:t>
      </w:r>
      <w:r w:rsidR="00990BD7">
        <w:rPr>
          <w:szCs w:val="20"/>
        </w:rPr>
        <w:t xml:space="preserve"> ainsi que</w:t>
      </w:r>
      <w:r w:rsidR="00EE5E65">
        <w:rPr>
          <w:szCs w:val="20"/>
        </w:rPr>
        <w:t xml:space="preserve"> des groupes politiques</w:t>
      </w:r>
      <w:r w:rsidRPr="009C61EE">
        <w:rPr>
          <w:szCs w:val="20"/>
        </w:rPr>
        <w:t xml:space="preserve"> ;</w:t>
      </w:r>
    </w:p>
    <w:p w14:paraId="2746EC95" w14:textId="57D34E38" w:rsidR="009C61EE" w:rsidRPr="009C61EE" w:rsidRDefault="009C61EE" w:rsidP="00D63AF3">
      <w:pPr>
        <w:pStyle w:val="Corpsdetexte"/>
        <w:numPr>
          <w:ilvl w:val="0"/>
          <w:numId w:val="6"/>
        </w:numPr>
        <w:spacing w:after="120"/>
        <w:ind w:left="714" w:hanging="357"/>
        <w:rPr>
          <w:szCs w:val="20"/>
        </w:rPr>
      </w:pPr>
      <w:r>
        <w:rPr>
          <w:szCs w:val="20"/>
        </w:rPr>
        <w:t>l</w:t>
      </w:r>
      <w:r w:rsidRPr="009C61EE">
        <w:rPr>
          <w:szCs w:val="20"/>
        </w:rPr>
        <w:t>es visiteurs du Palais</w:t>
      </w:r>
      <w:r w:rsidR="00A6420A">
        <w:rPr>
          <w:szCs w:val="20"/>
        </w:rPr>
        <w:t xml:space="preserve"> du Luxembourg</w:t>
      </w:r>
      <w:r w:rsidRPr="009C61EE">
        <w:rPr>
          <w:szCs w:val="20"/>
        </w:rPr>
        <w:t>.</w:t>
      </w:r>
    </w:p>
    <w:p w14:paraId="66EEC94C" w14:textId="411A25A8" w:rsidR="009319BD" w:rsidRDefault="009C61EE" w:rsidP="009C61EE">
      <w:pPr>
        <w:pStyle w:val="DCETEXTE0"/>
        <w:spacing w:before="120" w:after="120"/>
      </w:pPr>
      <w:r w:rsidRPr="009C61EE">
        <w:t xml:space="preserve">L’offre proposée </w:t>
      </w:r>
      <w:r w:rsidR="00990BD7">
        <w:t xml:space="preserve">par le </w:t>
      </w:r>
      <w:r w:rsidR="000F76BE">
        <w:t>titulaire</w:t>
      </w:r>
      <w:r w:rsidR="00990BD7">
        <w:t xml:space="preserve"> doit</w:t>
      </w:r>
      <w:r w:rsidRPr="009C61EE">
        <w:t xml:space="preserve"> </w:t>
      </w:r>
      <w:r w:rsidR="00A6420A">
        <w:t>comprendre</w:t>
      </w:r>
      <w:r w:rsidR="00407A9A">
        <w:t xml:space="preserve"> des objets</w:t>
      </w:r>
      <w:r w:rsidRPr="009C61EE">
        <w:t xml:space="preserve"> </w:t>
      </w:r>
      <w:r w:rsidR="00407A9A">
        <w:t xml:space="preserve">de prix modique, accessibles au plus grand nombre, </w:t>
      </w:r>
      <w:r w:rsidR="00A6420A">
        <w:t>et peut également comporter</w:t>
      </w:r>
      <w:r w:rsidR="006D7B75">
        <w:t xml:space="preserve"> </w:t>
      </w:r>
      <w:r w:rsidR="00407A9A">
        <w:t xml:space="preserve">des articles </w:t>
      </w:r>
      <w:r w:rsidRPr="009C61EE">
        <w:t xml:space="preserve">de </w:t>
      </w:r>
      <w:r w:rsidR="00407A9A">
        <w:t xml:space="preserve">gamme supérieure, issus de partenariats avec des marques françaises ou encore </w:t>
      </w:r>
      <w:r w:rsidR="006D7B75">
        <w:t xml:space="preserve">revêtus de la ou des </w:t>
      </w:r>
      <w:r w:rsidR="00407A9A">
        <w:t xml:space="preserve">marques propres au </w:t>
      </w:r>
      <w:r w:rsidR="000F76BE">
        <w:t>titulaire</w:t>
      </w:r>
      <w:r w:rsidR="00407A9A">
        <w:t xml:space="preserve">. </w:t>
      </w:r>
      <w:r w:rsidR="00104971">
        <w:t xml:space="preserve">Dans tous les cas, ces </w:t>
      </w:r>
      <w:r w:rsidR="006D7B75">
        <w:t xml:space="preserve">produits et </w:t>
      </w:r>
      <w:r w:rsidR="00104971">
        <w:t>articles doivent être</w:t>
      </w:r>
      <w:r w:rsidRPr="009C61EE">
        <w:t xml:space="preserve"> adaptés au lieu, </w:t>
      </w:r>
      <w:r w:rsidR="00EE5E65" w:rsidRPr="009C61EE">
        <w:t>symboli</w:t>
      </w:r>
      <w:r w:rsidR="00EE5E65">
        <w:t>s</w:t>
      </w:r>
      <w:r w:rsidR="00104971">
        <w:t>er</w:t>
      </w:r>
      <w:r w:rsidR="00EE5E65" w:rsidRPr="009C61EE">
        <w:t xml:space="preserve"> </w:t>
      </w:r>
      <w:r w:rsidR="00EE5E65">
        <w:t>l</w:t>
      </w:r>
      <w:r w:rsidR="00EE5E65" w:rsidRPr="009C61EE">
        <w:t xml:space="preserve">es </w:t>
      </w:r>
      <w:r w:rsidRPr="009C61EE">
        <w:t>savoir-faire nationaux et régionaux et reflét</w:t>
      </w:r>
      <w:r w:rsidR="00104971">
        <w:t>er</w:t>
      </w:r>
      <w:r w:rsidRPr="009C61EE">
        <w:t xml:space="preserve"> les missions du Sénat, </w:t>
      </w:r>
      <w:r w:rsidR="00DE6E42">
        <w:t>qui assure</w:t>
      </w:r>
      <w:r w:rsidR="00EE5E65">
        <w:t xml:space="preserve"> la représentation</w:t>
      </w:r>
      <w:r w:rsidR="00EE5E65" w:rsidRPr="009C61EE">
        <w:t xml:space="preserve"> </w:t>
      </w:r>
      <w:r w:rsidR="00990BD7">
        <w:t>d</w:t>
      </w:r>
      <w:r w:rsidRPr="009C61EE">
        <w:t>es territoires.</w:t>
      </w:r>
    </w:p>
    <w:p w14:paraId="580E7742" w14:textId="77777777" w:rsidR="00DF02FB" w:rsidRDefault="00DF02FB" w:rsidP="009C61EE">
      <w:pPr>
        <w:pStyle w:val="DCETEXTE0"/>
        <w:spacing w:before="120" w:after="120"/>
      </w:pPr>
    </w:p>
    <w:p w14:paraId="71AD5926" w14:textId="4C8A0476" w:rsidR="009319BD" w:rsidRPr="0088045F" w:rsidRDefault="00A6420A" w:rsidP="00A6420A">
      <w:pPr>
        <w:pBdr>
          <w:top w:val="single" w:sz="4" w:space="6" w:color="auto"/>
          <w:left w:val="single" w:sz="4" w:space="4" w:color="auto"/>
          <w:bottom w:val="single" w:sz="4" w:space="6" w:color="auto"/>
          <w:right w:val="single" w:sz="4" w:space="4" w:color="auto"/>
        </w:pBdr>
        <w:shd w:val="clear" w:color="auto" w:fill="FFFFFF" w:themeFill="background1"/>
        <w:spacing w:before="120" w:after="120"/>
        <w:jc w:val="center"/>
        <w:rPr>
          <w:b/>
          <w:iCs/>
          <w:sz w:val="20"/>
          <w:szCs w:val="20"/>
        </w:rPr>
      </w:pPr>
      <w:r w:rsidRPr="0088045F">
        <w:rPr>
          <w:b/>
          <w:iCs/>
          <w:sz w:val="20"/>
          <w:szCs w:val="20"/>
        </w:rPr>
        <w:t>Note aux soumissionnaires</w:t>
      </w:r>
    </w:p>
    <w:p w14:paraId="22420044" w14:textId="77777777" w:rsidR="009319BD" w:rsidRPr="0088045F" w:rsidRDefault="009319BD" w:rsidP="00A6420A">
      <w:pPr>
        <w:pBdr>
          <w:top w:val="single" w:sz="4" w:space="6" w:color="auto"/>
          <w:left w:val="single" w:sz="4" w:space="4" w:color="auto"/>
          <w:bottom w:val="single" w:sz="4" w:space="6" w:color="auto"/>
          <w:right w:val="single" w:sz="4" w:space="4" w:color="auto"/>
        </w:pBdr>
        <w:shd w:val="clear" w:color="auto" w:fill="FFFFFF" w:themeFill="background1"/>
        <w:spacing w:before="120" w:after="120"/>
        <w:jc w:val="both"/>
        <w:rPr>
          <w:sz w:val="20"/>
          <w:szCs w:val="20"/>
        </w:rPr>
      </w:pPr>
      <w:r w:rsidRPr="0088045F">
        <w:rPr>
          <w:sz w:val="20"/>
          <w:szCs w:val="20"/>
        </w:rPr>
        <w:t xml:space="preserve">Les organes du Sénat effectuent annuellement environ </w:t>
      </w:r>
      <w:r w:rsidR="005B6533" w:rsidRPr="0088045F">
        <w:rPr>
          <w:sz w:val="20"/>
          <w:szCs w:val="20"/>
        </w:rPr>
        <w:t>50</w:t>
      </w:r>
      <w:r w:rsidRPr="0088045F">
        <w:rPr>
          <w:sz w:val="20"/>
          <w:szCs w:val="20"/>
        </w:rPr>
        <w:t xml:space="preserve"> missions à l’étranger ou accueils de délégations étrangères. </w:t>
      </w:r>
      <w:r w:rsidR="005B6533" w:rsidRPr="0088045F">
        <w:rPr>
          <w:sz w:val="20"/>
          <w:szCs w:val="20"/>
        </w:rPr>
        <w:t>Ces événements donnent lieu à l’achat de cadeaux protocolaires, dont une partie est</w:t>
      </w:r>
      <w:r w:rsidRPr="0088045F">
        <w:rPr>
          <w:sz w:val="20"/>
          <w:szCs w:val="20"/>
        </w:rPr>
        <w:t xml:space="preserve"> acquise auprès </w:t>
      </w:r>
      <w:r w:rsidR="005B6533" w:rsidRPr="0088045F">
        <w:rPr>
          <w:sz w:val="20"/>
          <w:szCs w:val="20"/>
        </w:rPr>
        <w:t>du comptoir Médicis</w:t>
      </w:r>
      <w:r w:rsidRPr="0088045F">
        <w:rPr>
          <w:sz w:val="20"/>
          <w:szCs w:val="20"/>
        </w:rPr>
        <w:t>.</w:t>
      </w:r>
    </w:p>
    <w:p w14:paraId="5910F51D" w14:textId="123775A5" w:rsidR="009319BD" w:rsidRPr="0088045F" w:rsidRDefault="00EA62F7" w:rsidP="00A6420A">
      <w:pPr>
        <w:pBdr>
          <w:top w:val="single" w:sz="4" w:space="6" w:color="auto"/>
          <w:left w:val="single" w:sz="4" w:space="4" w:color="auto"/>
          <w:bottom w:val="single" w:sz="4" w:space="6" w:color="auto"/>
          <w:right w:val="single" w:sz="4" w:space="4" w:color="auto"/>
        </w:pBdr>
        <w:shd w:val="clear" w:color="auto" w:fill="FFFFFF" w:themeFill="background1"/>
        <w:spacing w:before="120" w:after="120"/>
        <w:jc w:val="both"/>
        <w:rPr>
          <w:sz w:val="20"/>
          <w:szCs w:val="20"/>
        </w:rPr>
      </w:pPr>
      <w:r w:rsidRPr="0088045F">
        <w:rPr>
          <w:sz w:val="20"/>
          <w:szCs w:val="20"/>
        </w:rPr>
        <w:t>Par ailleurs, l</w:t>
      </w:r>
      <w:r w:rsidR="009319BD" w:rsidRPr="0088045F">
        <w:rPr>
          <w:sz w:val="20"/>
          <w:szCs w:val="20"/>
        </w:rPr>
        <w:t>e Sénat accueille</w:t>
      </w:r>
      <w:r w:rsidR="005B6533" w:rsidRPr="0088045F">
        <w:rPr>
          <w:sz w:val="20"/>
          <w:szCs w:val="20"/>
        </w:rPr>
        <w:t xml:space="preserve"> </w:t>
      </w:r>
      <w:r w:rsidR="00D600D2" w:rsidRPr="0088045F">
        <w:rPr>
          <w:sz w:val="20"/>
          <w:szCs w:val="20"/>
        </w:rPr>
        <w:t xml:space="preserve">chaque année de nombreux visiteurs. Ainsi, 212 000 </w:t>
      </w:r>
      <w:r w:rsidR="00280C5E" w:rsidRPr="0088045F">
        <w:rPr>
          <w:sz w:val="20"/>
          <w:szCs w:val="20"/>
        </w:rPr>
        <w:t>personne</w:t>
      </w:r>
      <w:r w:rsidR="00D600D2" w:rsidRPr="0088045F">
        <w:rPr>
          <w:sz w:val="20"/>
          <w:szCs w:val="20"/>
        </w:rPr>
        <w:t xml:space="preserve">s </w:t>
      </w:r>
      <w:r w:rsidR="00280C5E" w:rsidRPr="0088045F">
        <w:rPr>
          <w:sz w:val="20"/>
          <w:szCs w:val="20"/>
        </w:rPr>
        <w:t>ont visité le</w:t>
      </w:r>
      <w:r w:rsidR="00D600D2" w:rsidRPr="0088045F">
        <w:rPr>
          <w:sz w:val="20"/>
          <w:szCs w:val="20"/>
        </w:rPr>
        <w:t xml:space="preserve"> Sénat en 2024 dont 93 000 dans le cadre de visites collectives ; </w:t>
      </w:r>
      <w:r w:rsidR="0013001C" w:rsidRPr="0088045F">
        <w:rPr>
          <w:sz w:val="20"/>
          <w:szCs w:val="20"/>
        </w:rPr>
        <w:t>environ 1</w:t>
      </w:r>
      <w:r w:rsidR="00851FB1" w:rsidRPr="0088045F">
        <w:rPr>
          <w:sz w:val="20"/>
          <w:szCs w:val="20"/>
        </w:rPr>
        <w:t>6</w:t>
      </w:r>
      <w:r w:rsidR="00DC705C" w:rsidRPr="0088045F">
        <w:rPr>
          <w:sz w:val="20"/>
          <w:szCs w:val="20"/>
        </w:rPr>
        <w:t> </w:t>
      </w:r>
      <w:r w:rsidR="0013001C" w:rsidRPr="0088045F">
        <w:rPr>
          <w:sz w:val="20"/>
          <w:szCs w:val="20"/>
        </w:rPr>
        <w:t>000</w:t>
      </w:r>
      <w:r w:rsidR="00DC705C" w:rsidRPr="0088045F">
        <w:rPr>
          <w:sz w:val="20"/>
          <w:szCs w:val="20"/>
        </w:rPr>
        <w:t> </w:t>
      </w:r>
      <w:r w:rsidR="002C714C" w:rsidRPr="0088045F">
        <w:rPr>
          <w:sz w:val="20"/>
          <w:szCs w:val="20"/>
        </w:rPr>
        <w:t xml:space="preserve">personnes </w:t>
      </w:r>
      <w:r w:rsidR="00D600D2" w:rsidRPr="0088045F">
        <w:rPr>
          <w:sz w:val="20"/>
          <w:szCs w:val="20"/>
        </w:rPr>
        <w:t xml:space="preserve">ont visité </w:t>
      </w:r>
      <w:r w:rsidR="00851FB1" w:rsidRPr="0088045F">
        <w:rPr>
          <w:sz w:val="20"/>
          <w:szCs w:val="20"/>
        </w:rPr>
        <w:t xml:space="preserve">le Palais </w:t>
      </w:r>
      <w:r w:rsidR="002C714C" w:rsidRPr="0088045F">
        <w:rPr>
          <w:sz w:val="20"/>
          <w:szCs w:val="20"/>
        </w:rPr>
        <w:t>lors des J</w:t>
      </w:r>
      <w:r w:rsidR="009319BD" w:rsidRPr="0088045F">
        <w:rPr>
          <w:sz w:val="20"/>
          <w:szCs w:val="20"/>
        </w:rPr>
        <w:t xml:space="preserve">ournées européennes du </w:t>
      </w:r>
      <w:r w:rsidR="002C714C" w:rsidRPr="0088045F">
        <w:rPr>
          <w:sz w:val="20"/>
          <w:szCs w:val="20"/>
        </w:rPr>
        <w:t>P</w:t>
      </w:r>
      <w:r w:rsidR="009319BD" w:rsidRPr="0088045F">
        <w:rPr>
          <w:sz w:val="20"/>
          <w:szCs w:val="20"/>
        </w:rPr>
        <w:t>atrimoine</w:t>
      </w:r>
      <w:r w:rsidR="00D600D2" w:rsidRPr="0088045F">
        <w:rPr>
          <w:sz w:val="20"/>
          <w:szCs w:val="20"/>
        </w:rPr>
        <w:t xml:space="preserve"> et quelque 8 300 maires ont été accueillis au Sénat dans le cadre du Congrès des maires</w:t>
      </w:r>
      <w:r w:rsidR="009319BD" w:rsidRPr="0088045F">
        <w:rPr>
          <w:sz w:val="20"/>
          <w:szCs w:val="20"/>
        </w:rPr>
        <w:t>.</w:t>
      </w:r>
    </w:p>
    <w:p w14:paraId="7A982D27" w14:textId="77777777" w:rsidR="003A3193" w:rsidRDefault="003A3193" w:rsidP="00D63AF3">
      <w:pPr>
        <w:pStyle w:val="DCETitre1"/>
        <w:numPr>
          <w:ilvl w:val="0"/>
          <w:numId w:val="4"/>
        </w:numPr>
      </w:pPr>
      <w:bookmarkStart w:id="10" w:name="_Toc208852154"/>
      <w:r>
        <w:t>Documents contractuels</w:t>
      </w:r>
      <w:bookmarkEnd w:id="10"/>
    </w:p>
    <w:p w14:paraId="3B092648" w14:textId="77777777" w:rsidR="003A3193" w:rsidRPr="003A3193" w:rsidRDefault="003A3193" w:rsidP="003A3193">
      <w:pPr>
        <w:keepNext/>
        <w:keepLines/>
        <w:rPr>
          <w:szCs w:val="20"/>
        </w:rPr>
      </w:pPr>
      <w:r w:rsidRPr="003A3193">
        <w:rPr>
          <w:szCs w:val="20"/>
        </w:rPr>
        <w:t>Les documents contractuels sont :</w:t>
      </w:r>
    </w:p>
    <w:p w14:paraId="690E6E66" w14:textId="77777777" w:rsidR="003A3193" w:rsidRPr="003A3193" w:rsidRDefault="003A3193" w:rsidP="003A3193">
      <w:pPr>
        <w:pStyle w:val="Listepuces"/>
        <w:keepNext/>
        <w:keepLines/>
        <w:rPr>
          <w:rFonts w:ascii="Times New Roman" w:eastAsia="Times New Roman" w:hAnsi="Times New Roman"/>
          <w:sz w:val="24"/>
          <w:lang w:eastAsia="fr-FR"/>
        </w:rPr>
      </w:pPr>
      <w:r w:rsidRPr="003A3193">
        <w:rPr>
          <w:rFonts w:ascii="Times New Roman" w:eastAsia="Times New Roman" w:hAnsi="Times New Roman"/>
          <w:sz w:val="24"/>
          <w:lang w:eastAsia="fr-FR"/>
        </w:rPr>
        <w:t>le contrat de concession</w:t>
      </w:r>
      <w:r w:rsidR="00125715">
        <w:rPr>
          <w:rFonts w:ascii="Times New Roman" w:eastAsia="Times New Roman" w:hAnsi="Times New Roman"/>
          <w:sz w:val="24"/>
          <w:lang w:eastAsia="fr-FR"/>
        </w:rPr>
        <w:t> ;</w:t>
      </w:r>
    </w:p>
    <w:p w14:paraId="69AE1B84" w14:textId="77777777" w:rsidR="003A3193" w:rsidRPr="003A3193" w:rsidRDefault="003A3193" w:rsidP="003A3193">
      <w:pPr>
        <w:pStyle w:val="Listepuces"/>
        <w:keepNext/>
        <w:keepLines/>
        <w:rPr>
          <w:rFonts w:ascii="Times New Roman" w:eastAsia="Times New Roman" w:hAnsi="Times New Roman"/>
          <w:sz w:val="24"/>
          <w:lang w:eastAsia="fr-FR"/>
        </w:rPr>
      </w:pPr>
      <w:r w:rsidRPr="003A3193">
        <w:rPr>
          <w:rFonts w:ascii="Times New Roman" w:eastAsia="Times New Roman" w:hAnsi="Times New Roman"/>
          <w:sz w:val="24"/>
          <w:lang w:eastAsia="fr-FR"/>
        </w:rPr>
        <w:t>les annexes au contrat</w:t>
      </w:r>
      <w:r w:rsidR="00125715">
        <w:rPr>
          <w:rFonts w:ascii="Times New Roman" w:eastAsia="Times New Roman" w:hAnsi="Times New Roman"/>
          <w:sz w:val="24"/>
          <w:lang w:eastAsia="fr-FR"/>
        </w:rPr>
        <w:t>.</w:t>
      </w:r>
      <w:r w:rsidRPr="003A3193">
        <w:rPr>
          <w:rFonts w:ascii="Times New Roman" w:eastAsia="Times New Roman" w:hAnsi="Times New Roman"/>
          <w:sz w:val="24"/>
          <w:lang w:eastAsia="fr-FR"/>
        </w:rPr>
        <w:t> </w:t>
      </w:r>
    </w:p>
    <w:p w14:paraId="57627656" w14:textId="05A9CBF8" w:rsidR="00EE5E65" w:rsidRPr="003A3193" w:rsidRDefault="003A3193" w:rsidP="00B775AE">
      <w:pPr>
        <w:pStyle w:val="DCETEXTE0"/>
        <w:spacing w:before="120" w:after="120"/>
      </w:pPr>
      <w:r w:rsidRPr="003A3193">
        <w:t>En cas de contradiction entre leurs stipulations, le contrat prime ses annexes.</w:t>
      </w:r>
    </w:p>
    <w:p w14:paraId="7762A3D8" w14:textId="77777777" w:rsidR="003A3193" w:rsidRPr="00252768" w:rsidRDefault="003A3193" w:rsidP="00A6420A">
      <w:pPr>
        <w:pStyle w:val="DCETEXTE0"/>
        <w:spacing w:before="120" w:after="120"/>
      </w:pPr>
      <w:r w:rsidRPr="003A3193">
        <w:t>Les documents contractuels doivent être interprétés sur la base des stipulations du contrat, des principes du droit des concessions, des règles générales applicables aux contrats administratifs ainsi que de toute jurisprudence qui interviendrait pendant la durée du contrat</w:t>
      </w:r>
      <w:r w:rsidRPr="00252768">
        <w:t>.</w:t>
      </w:r>
    </w:p>
    <w:p w14:paraId="1E34972C" w14:textId="48DA3416" w:rsidR="003A3193" w:rsidRPr="00A6420A" w:rsidRDefault="003A3193" w:rsidP="00A6420A">
      <w:pPr>
        <w:pStyle w:val="DCETEXTE0"/>
        <w:spacing w:before="120" w:after="120"/>
      </w:pPr>
      <w:bookmarkStart w:id="11" w:name="_Toc49172767"/>
      <w:r w:rsidRPr="0013001C">
        <w:lastRenderedPageBreak/>
        <w:t xml:space="preserve">En cas de doute dans l’interprétation du contrat, </w:t>
      </w:r>
      <w:r w:rsidR="0013001C" w:rsidRPr="0013001C">
        <w:t>un accord sera recherché par les parties</w:t>
      </w:r>
      <w:r w:rsidR="00B775AE">
        <w:t>.</w:t>
      </w:r>
      <w:r w:rsidR="00A6420A">
        <w:t xml:space="preserve"> </w:t>
      </w:r>
      <w:r w:rsidR="00B775AE">
        <w:t>À </w:t>
      </w:r>
      <w:r w:rsidRPr="0013001C">
        <w:t>défaut d’accord, l</w:t>
      </w:r>
      <w:r w:rsidR="0013001C" w:rsidRPr="0013001C">
        <w:t xml:space="preserve">a lecture la plus favorable au </w:t>
      </w:r>
      <w:r w:rsidR="005B2564">
        <w:t>Sénat</w:t>
      </w:r>
      <w:r w:rsidRPr="0013001C">
        <w:t xml:space="preserve"> prévaudra</w:t>
      </w:r>
      <w:r w:rsidR="002A6F5D" w:rsidRPr="0013001C">
        <w:t>.</w:t>
      </w:r>
      <w:bookmarkEnd w:id="11"/>
    </w:p>
    <w:p w14:paraId="629836A5" w14:textId="2DD3C0DC" w:rsidR="002A6F5D" w:rsidRDefault="002A6F5D" w:rsidP="00A6420A">
      <w:pPr>
        <w:pStyle w:val="DCETitre1"/>
        <w:numPr>
          <w:ilvl w:val="0"/>
          <w:numId w:val="4"/>
        </w:numPr>
      </w:pPr>
      <w:bookmarkStart w:id="12" w:name="_Toc208852155"/>
      <w:bookmarkStart w:id="13" w:name="_Toc10727485"/>
      <w:bookmarkStart w:id="14" w:name="_Toc44515738"/>
      <w:r>
        <w:t>Sous-concession et exécution du contrat par des tiers</w:t>
      </w:r>
      <w:bookmarkEnd w:id="12"/>
    </w:p>
    <w:bookmarkEnd w:id="13"/>
    <w:bookmarkEnd w:id="14"/>
    <w:p w14:paraId="0475329C" w14:textId="37EC0E62" w:rsidR="002A6F5D" w:rsidRDefault="002A6F5D" w:rsidP="00B775AE">
      <w:pPr>
        <w:pStyle w:val="DCETEXTE0"/>
        <w:spacing w:before="120" w:after="120"/>
      </w:pPr>
      <w:r w:rsidRPr="0045408A">
        <w:t xml:space="preserve">La </w:t>
      </w:r>
      <w:r>
        <w:t>sous-concession</w:t>
      </w:r>
      <w:r w:rsidRPr="0045408A">
        <w:t xml:space="preserve"> </w:t>
      </w:r>
      <w:r>
        <w:t>et la sous-traitance ne sont pas possibles sans l’autoris</w:t>
      </w:r>
      <w:r w:rsidR="0013001C">
        <w:t xml:space="preserve">ation expresse et préalable du </w:t>
      </w:r>
      <w:r w:rsidR="000F76BE">
        <w:t>Sénat</w:t>
      </w:r>
      <w:r>
        <w:t xml:space="preserve">. Elles doivent </w:t>
      </w:r>
      <w:r w:rsidR="0013001C">
        <w:t>intervenir</w:t>
      </w:r>
      <w:r>
        <w:t xml:space="preserve"> dans le respect des dispositions réglementaires en vigueur</w:t>
      </w:r>
      <w:r w:rsidRPr="0045408A">
        <w:t xml:space="preserve">. </w:t>
      </w:r>
      <w:r>
        <w:t>La sous-concession ou la sous-traitance de l’intégralité des missions est interdite.</w:t>
      </w:r>
    </w:p>
    <w:p w14:paraId="1F2335E8" w14:textId="2AD10758" w:rsidR="002A6F5D" w:rsidRDefault="002A6F5D" w:rsidP="002A6F5D">
      <w:pPr>
        <w:jc w:val="both"/>
        <w:rPr>
          <w:lang w:eastAsia="x-none"/>
        </w:rPr>
      </w:pPr>
      <w:r>
        <w:rPr>
          <w:lang w:eastAsia="x-none"/>
        </w:rPr>
        <w:t xml:space="preserve">L’autorisation est donnée ou refusée en fonction des garanties techniques et financières du sous-traitant proposé et de son aptitude à assurer </w:t>
      </w:r>
      <w:r w:rsidR="00191945">
        <w:rPr>
          <w:lang w:eastAsia="x-none"/>
        </w:rPr>
        <w:t xml:space="preserve">les prestations sous-traitées. À </w:t>
      </w:r>
      <w:r>
        <w:rPr>
          <w:lang w:eastAsia="x-none"/>
        </w:rPr>
        <w:t>l’appui de cha</w:t>
      </w:r>
      <w:r w:rsidR="000C04EE">
        <w:rPr>
          <w:lang w:eastAsia="x-none"/>
        </w:rPr>
        <w:t xml:space="preserve">que demande d’autorisation, le </w:t>
      </w:r>
      <w:r w:rsidR="000F76BE">
        <w:rPr>
          <w:lang w:eastAsia="x-none"/>
        </w:rPr>
        <w:t>titulaire</w:t>
      </w:r>
      <w:r w:rsidR="000C04EE">
        <w:rPr>
          <w:lang w:eastAsia="x-none"/>
        </w:rPr>
        <w:t xml:space="preserve"> se charge de transmettre au </w:t>
      </w:r>
      <w:r w:rsidR="000F76BE">
        <w:rPr>
          <w:lang w:eastAsia="x-none"/>
        </w:rPr>
        <w:t>Sénat</w:t>
      </w:r>
      <w:r>
        <w:rPr>
          <w:lang w:eastAsia="x-none"/>
        </w:rPr>
        <w:t xml:space="preserve"> tout document de nature à permettre à ce dernier d’apprécier les garanties et l’aptitude du sous-traitant.</w:t>
      </w:r>
    </w:p>
    <w:p w14:paraId="24D7D7B4" w14:textId="7A409ADE" w:rsidR="002A6F5D" w:rsidRDefault="000C04EE" w:rsidP="00B775AE">
      <w:pPr>
        <w:pStyle w:val="DCETEXTE0"/>
        <w:spacing w:before="120" w:after="120"/>
      </w:pPr>
      <w:r>
        <w:t xml:space="preserve">Le </w:t>
      </w:r>
      <w:r w:rsidR="000F76BE">
        <w:t>titulaire</w:t>
      </w:r>
      <w:r>
        <w:t xml:space="preserve"> communique au </w:t>
      </w:r>
      <w:r w:rsidR="000F76BE">
        <w:t>Sénat</w:t>
      </w:r>
      <w:r w:rsidR="002A6F5D">
        <w:t>, sous quinze jours après leur signature, les contrats de sous-traitance, qui doivent spécifier notamment la nature détaillée des prestations concernées et le montant détaillé des dépenses correspondantes.</w:t>
      </w:r>
    </w:p>
    <w:p w14:paraId="077AE6BE" w14:textId="0B0EF418" w:rsidR="002A6F5D" w:rsidRDefault="000C04EE" w:rsidP="002A6F5D">
      <w:pPr>
        <w:jc w:val="both"/>
        <w:rPr>
          <w:lang w:eastAsia="x-none"/>
        </w:rPr>
      </w:pPr>
      <w:r>
        <w:rPr>
          <w:lang w:eastAsia="x-none"/>
        </w:rPr>
        <w:t xml:space="preserve">Le </w:t>
      </w:r>
      <w:r w:rsidR="000F76BE">
        <w:rPr>
          <w:lang w:eastAsia="x-none"/>
        </w:rPr>
        <w:t>titulaire</w:t>
      </w:r>
      <w:r w:rsidR="002A6F5D">
        <w:rPr>
          <w:lang w:eastAsia="x-none"/>
        </w:rPr>
        <w:t xml:space="preserve"> demeure personnellement responsable de l’exécution de toutes les obligations du contrat. Il est ainsi seul responsable des relations avec ses prestataires, sous-traitants, fournisseurs et partenaires tiers.</w:t>
      </w:r>
    </w:p>
    <w:p w14:paraId="10F2AC0B" w14:textId="77777777" w:rsidR="002A6F5D" w:rsidRDefault="002A6F5D" w:rsidP="00D63AF3">
      <w:pPr>
        <w:pStyle w:val="DCETitre1"/>
        <w:numPr>
          <w:ilvl w:val="0"/>
          <w:numId w:val="4"/>
        </w:numPr>
      </w:pPr>
      <w:bookmarkStart w:id="15" w:name="_Toc208852156"/>
      <w:r>
        <w:t>Cession du contrat</w:t>
      </w:r>
      <w:bookmarkEnd w:id="15"/>
    </w:p>
    <w:p w14:paraId="48BECB22" w14:textId="6D6DDBB7" w:rsidR="002A6F5D" w:rsidRPr="0045408A" w:rsidRDefault="000C04EE" w:rsidP="00B775AE">
      <w:pPr>
        <w:pStyle w:val="DCETEXTE0"/>
        <w:spacing w:before="120" w:after="120"/>
      </w:pPr>
      <w:r>
        <w:t xml:space="preserve">La cession du contrat par le </w:t>
      </w:r>
      <w:r w:rsidR="000F76BE">
        <w:t>titulaire</w:t>
      </w:r>
      <w:r w:rsidR="002A6F5D" w:rsidRPr="0045408A">
        <w:t xml:space="preserve"> à un tiers est soumise à l’accord préalable </w:t>
      </w:r>
      <w:r w:rsidR="002A6F5D">
        <w:t>exprès</w:t>
      </w:r>
      <w:r w:rsidR="002A6F5D" w:rsidRPr="0045408A">
        <w:t xml:space="preserve"> </w:t>
      </w:r>
      <w:r>
        <w:t xml:space="preserve">du </w:t>
      </w:r>
      <w:r w:rsidR="000F76BE">
        <w:t>Sénat</w:t>
      </w:r>
      <w:r w:rsidR="002A6F5D" w:rsidRPr="0045408A">
        <w:t>.</w:t>
      </w:r>
    </w:p>
    <w:p w14:paraId="6CFDF83C" w14:textId="62BD2688" w:rsidR="00DF02FB" w:rsidRDefault="002A6F5D" w:rsidP="002A6F5D">
      <w:pPr>
        <w:jc w:val="both"/>
        <w:rPr>
          <w:lang w:eastAsia="x-none"/>
        </w:rPr>
      </w:pPr>
      <w:r w:rsidRPr="0045408A">
        <w:rPr>
          <w:lang w:eastAsia="x-none"/>
        </w:rPr>
        <w:t>L</w:t>
      </w:r>
      <w:r>
        <w:rPr>
          <w:lang w:eastAsia="x-none"/>
        </w:rPr>
        <w:t>’</w:t>
      </w:r>
      <w:r w:rsidR="000C04EE">
        <w:rPr>
          <w:lang w:eastAsia="x-none"/>
        </w:rPr>
        <w:t xml:space="preserve">autorisation de cession par le </w:t>
      </w:r>
      <w:r w:rsidR="000F76BE">
        <w:rPr>
          <w:lang w:eastAsia="x-none"/>
        </w:rPr>
        <w:t>Sénat</w:t>
      </w:r>
      <w:r>
        <w:rPr>
          <w:lang w:eastAsia="x-none"/>
        </w:rPr>
        <w:t xml:space="preserve"> </w:t>
      </w:r>
      <w:r w:rsidRPr="0045408A">
        <w:rPr>
          <w:lang w:eastAsia="x-none"/>
        </w:rPr>
        <w:t>est su</w:t>
      </w:r>
      <w:r w:rsidR="000C04EE">
        <w:rPr>
          <w:lang w:eastAsia="x-none"/>
        </w:rPr>
        <w:t xml:space="preserve">ivie de la conclusion entre le </w:t>
      </w:r>
      <w:r w:rsidR="000F76BE">
        <w:rPr>
          <w:lang w:eastAsia="x-none"/>
        </w:rPr>
        <w:t>titulaire</w:t>
      </w:r>
      <w:r w:rsidRPr="0045408A">
        <w:rPr>
          <w:lang w:eastAsia="x-none"/>
        </w:rPr>
        <w:t xml:space="preserve"> et son successeur d’une convention de cession. Les stipulations contractuelles existantes ne </w:t>
      </w:r>
      <w:r w:rsidR="000C04EE">
        <w:rPr>
          <w:lang w:eastAsia="x-none"/>
        </w:rPr>
        <w:t xml:space="preserve">peuvent en aucun cas être modifiées ; le cessionnaire est alors subrogé au </w:t>
      </w:r>
      <w:r w:rsidR="000F76BE">
        <w:rPr>
          <w:lang w:eastAsia="x-none"/>
        </w:rPr>
        <w:t>titulaire</w:t>
      </w:r>
      <w:r w:rsidRPr="0045408A">
        <w:rPr>
          <w:lang w:eastAsia="x-none"/>
        </w:rPr>
        <w:t xml:space="preserve"> dans </w:t>
      </w:r>
      <w:r>
        <w:rPr>
          <w:lang w:eastAsia="x-none"/>
        </w:rPr>
        <w:t>l’ensemble des</w:t>
      </w:r>
      <w:r w:rsidRPr="0045408A">
        <w:rPr>
          <w:lang w:eastAsia="x-none"/>
        </w:rPr>
        <w:t xml:space="preserve"> droits et obligations résultant du contrat</w:t>
      </w:r>
      <w:r w:rsidR="00B96908">
        <w:rPr>
          <w:lang w:eastAsia="x-none"/>
        </w:rPr>
        <w:t>.</w:t>
      </w:r>
    </w:p>
    <w:p w14:paraId="4C9D8507" w14:textId="49F156D5" w:rsidR="00DF02FB" w:rsidRDefault="00DF02FB" w:rsidP="00D63AF3">
      <w:pPr>
        <w:pStyle w:val="DCETitre1"/>
        <w:numPr>
          <w:ilvl w:val="0"/>
          <w:numId w:val="4"/>
        </w:numPr>
      </w:pPr>
      <w:bookmarkStart w:id="16" w:name="_Toc208852157"/>
      <w:r>
        <w:t>Droits réels</w:t>
      </w:r>
      <w:bookmarkEnd w:id="16"/>
    </w:p>
    <w:p w14:paraId="19694059" w14:textId="5DEEACB0" w:rsidR="00DF02FB" w:rsidRDefault="00DF02FB" w:rsidP="00DF02FB">
      <w:pPr>
        <w:pStyle w:val="DCETEXTE0"/>
        <w:spacing w:before="120" w:after="120"/>
      </w:pPr>
      <w:r w:rsidRPr="00BC029B">
        <w:t xml:space="preserve">La gestion </w:t>
      </w:r>
      <w:r>
        <w:t>est</w:t>
      </w:r>
      <w:r w:rsidRPr="00BC029B">
        <w:t xml:space="preserve"> aux risques et périls </w:t>
      </w:r>
      <w:r w:rsidR="00A6420A">
        <w:t>du titulaire</w:t>
      </w:r>
      <w:r w:rsidRPr="00BC029B">
        <w:t>.</w:t>
      </w:r>
    </w:p>
    <w:p w14:paraId="4A9D149A" w14:textId="0D79EC41" w:rsidR="00DF02FB" w:rsidRPr="002A6F5D" w:rsidRDefault="00DF02FB" w:rsidP="00DF02FB">
      <w:pPr>
        <w:pStyle w:val="DCETEXTE0"/>
        <w:spacing w:before="120" w:after="120"/>
      </w:pPr>
      <w:r>
        <w:t>La concession</w:t>
      </w:r>
      <w:r w:rsidRPr="008C6988">
        <w:t xml:space="preserve"> ne confère au titulaire aucun droit réel </w:t>
      </w:r>
      <w:r>
        <w:t>ni aucun droit au régime de la propriété commerciale</w:t>
      </w:r>
      <w:r w:rsidRPr="008C6988">
        <w:t>.</w:t>
      </w:r>
    </w:p>
    <w:p w14:paraId="65832F26" w14:textId="552C8EC1" w:rsidR="008C6988" w:rsidRDefault="00A6420A" w:rsidP="00DF02FB">
      <w:pPr>
        <w:pStyle w:val="DCETitre1"/>
        <w:numPr>
          <w:ilvl w:val="0"/>
          <w:numId w:val="0"/>
        </w:numPr>
        <w:jc w:val="center"/>
      </w:pPr>
      <w:bookmarkStart w:id="17" w:name="_Toc208852158"/>
      <w:r>
        <w:t xml:space="preserve">Chapitre II. – </w:t>
      </w:r>
      <w:r w:rsidR="00DF02FB" w:rsidRPr="00DF02FB">
        <w:t xml:space="preserve">Conditions générales </w:t>
      </w:r>
      <w:r w:rsidR="001A077D">
        <w:t>d’occupation du domaine public</w:t>
      </w:r>
      <w:bookmarkEnd w:id="17"/>
    </w:p>
    <w:p w14:paraId="68A1D46F" w14:textId="6E767860" w:rsidR="00AD51AA" w:rsidRDefault="00AD51AA" w:rsidP="00AD51AA">
      <w:pPr>
        <w:jc w:val="both"/>
      </w:pPr>
      <w:r w:rsidRPr="003D6A21">
        <w:t>Le titulaire doit respecter à tout moment les prescriptions</w:t>
      </w:r>
      <w:r>
        <w:t xml:space="preserve"> s’appliquant au Palais du Luxembourg,</w:t>
      </w:r>
      <w:r w:rsidRPr="003D6A21">
        <w:t xml:space="preserve"> </w:t>
      </w:r>
      <w:r>
        <w:t xml:space="preserve">ainsi que celles du </w:t>
      </w:r>
      <w:r w:rsidR="00A6420A">
        <w:t>présent contrat</w:t>
      </w:r>
      <w:r>
        <w:t xml:space="preserve"> qui fixent les règles relatives</w:t>
      </w:r>
      <w:r w:rsidRPr="00841010">
        <w:t xml:space="preserve"> </w:t>
      </w:r>
      <w:r>
        <w:t>à la mise à disposition des locaux et les conditions d’exploitation.</w:t>
      </w:r>
      <w:r w:rsidRPr="003D6A21">
        <w:t xml:space="preserve"> Tout manquement ou infraction à ces dispositions </w:t>
      </w:r>
      <w:r>
        <w:t>est</w:t>
      </w:r>
      <w:r w:rsidRPr="003D6A21">
        <w:t xml:space="preserve"> sanctionné suivant les dispositions </w:t>
      </w:r>
      <w:r w:rsidRPr="00125715">
        <w:t>des articles </w:t>
      </w:r>
      <w:r>
        <w:t>2</w:t>
      </w:r>
      <w:r w:rsidR="00160CBD">
        <w:t>5</w:t>
      </w:r>
      <w:r w:rsidRPr="00125715">
        <w:t xml:space="preserve"> et </w:t>
      </w:r>
      <w:r>
        <w:t>2</w:t>
      </w:r>
      <w:r w:rsidR="00160CBD">
        <w:t>6</w:t>
      </w:r>
      <w:r w:rsidRPr="00125715">
        <w:t xml:space="preserve"> du </w:t>
      </w:r>
      <w:r>
        <w:t>contrat</w:t>
      </w:r>
      <w:r w:rsidRPr="00125715">
        <w:t>.</w:t>
      </w:r>
    </w:p>
    <w:p w14:paraId="74B4B99D" w14:textId="77777777" w:rsidR="00E60B28" w:rsidRPr="00BC029B" w:rsidRDefault="00493015" w:rsidP="00FD76C0">
      <w:pPr>
        <w:pStyle w:val="DCETitre1"/>
      </w:pPr>
      <w:bookmarkStart w:id="18" w:name="_Toc211932927"/>
      <w:bookmarkStart w:id="19" w:name="_Toc212881539"/>
      <w:bookmarkStart w:id="20" w:name="_Toc362431556"/>
      <w:bookmarkStart w:id="21" w:name="_Toc362544288"/>
      <w:bookmarkStart w:id="22" w:name="_Toc412822786"/>
      <w:bookmarkStart w:id="23" w:name="_Toc208852159"/>
      <w:r w:rsidRPr="00BC029B">
        <w:t xml:space="preserve">Durée </w:t>
      </w:r>
      <w:r w:rsidR="00E60B28" w:rsidRPr="00BC029B">
        <w:t xml:space="preserve">de </w:t>
      </w:r>
      <w:bookmarkEnd w:id="18"/>
      <w:bookmarkEnd w:id="19"/>
      <w:bookmarkEnd w:id="20"/>
      <w:bookmarkEnd w:id="21"/>
      <w:bookmarkEnd w:id="22"/>
      <w:r w:rsidR="00946836">
        <w:t>la concession</w:t>
      </w:r>
      <w:bookmarkEnd w:id="23"/>
    </w:p>
    <w:p w14:paraId="5441C30E" w14:textId="5618C4F1" w:rsidR="00282C2A" w:rsidRDefault="00B11E68" w:rsidP="00282C2A">
      <w:pPr>
        <w:pStyle w:val="DCETEXTE0"/>
      </w:pPr>
      <w:r>
        <w:t>La concession est d’u</w:t>
      </w:r>
      <w:r w:rsidR="00282C2A">
        <w:t xml:space="preserve">ne durée </w:t>
      </w:r>
      <w:r w:rsidR="00282C2A" w:rsidRPr="00D15E3C">
        <w:t xml:space="preserve">de </w:t>
      </w:r>
      <w:r w:rsidR="00282C2A">
        <w:t>cinq ans.</w:t>
      </w:r>
    </w:p>
    <w:p w14:paraId="79E4D636" w14:textId="02126657" w:rsidR="00CE0A81" w:rsidRDefault="006D7A65" w:rsidP="00510760">
      <w:pPr>
        <w:pStyle w:val="DCETEXTE0"/>
      </w:pPr>
      <w:r>
        <w:lastRenderedPageBreak/>
        <w:t>Elle</w:t>
      </w:r>
      <w:r w:rsidR="00282C2A">
        <w:t xml:space="preserve"> débute</w:t>
      </w:r>
      <w:r>
        <w:t>, sous réserve de sa notification,</w:t>
      </w:r>
      <w:r w:rsidR="00282C2A">
        <w:t xml:space="preserve"> le </w:t>
      </w:r>
      <w:r w:rsidR="003C6388">
        <w:t>1</w:t>
      </w:r>
      <w:r w:rsidR="003C6388" w:rsidRPr="003C6388">
        <w:rPr>
          <w:vertAlign w:val="superscript"/>
        </w:rPr>
        <w:t>er</w:t>
      </w:r>
      <w:r w:rsidR="0088793E">
        <w:t xml:space="preserve"> </w:t>
      </w:r>
      <w:r w:rsidR="003C6388">
        <w:t>janvier</w:t>
      </w:r>
      <w:r w:rsidR="00282C2A">
        <w:t xml:space="preserve"> 202</w:t>
      </w:r>
      <w:r w:rsidR="00B11E68">
        <w:t>6</w:t>
      </w:r>
      <w:r w:rsidR="00282C2A">
        <w:t xml:space="preserve">. </w:t>
      </w:r>
    </w:p>
    <w:p w14:paraId="16ECCD1B" w14:textId="1084397A" w:rsidR="00E22DD9" w:rsidRDefault="00E22DD9" w:rsidP="00E22DD9">
      <w:pPr>
        <w:pStyle w:val="DCETitre1"/>
      </w:pPr>
      <w:bookmarkStart w:id="24" w:name="_Toc208852160"/>
      <w:r>
        <w:t>Dénomination commerciale</w:t>
      </w:r>
      <w:bookmarkEnd w:id="24"/>
    </w:p>
    <w:p w14:paraId="3B9DB285" w14:textId="1629E476" w:rsidR="00E22DD9" w:rsidRDefault="00E22DD9" w:rsidP="00E22DD9">
      <w:pPr>
        <w:spacing w:after="240"/>
        <w:jc w:val="both"/>
      </w:pPr>
      <w:r w:rsidRPr="00100487">
        <w:t>Le nom commercial</w:t>
      </w:r>
      <w:r>
        <w:t xml:space="preserve">, </w:t>
      </w:r>
      <w:r w:rsidRPr="00100487">
        <w:t>« Comptoir Médicis »</w:t>
      </w:r>
      <w:r>
        <w:t>,</w:t>
      </w:r>
      <w:r w:rsidRPr="00100487">
        <w:t xml:space="preserve"> est imposé par le Sénat et demeure sa propriété.</w:t>
      </w:r>
    </w:p>
    <w:p w14:paraId="7D671777" w14:textId="77777777" w:rsidR="005355FE" w:rsidRPr="00FD3A53" w:rsidRDefault="005355FE" w:rsidP="005355FE">
      <w:pPr>
        <w:pStyle w:val="DCETitre1"/>
      </w:pPr>
      <w:bookmarkStart w:id="25" w:name="_Toc208852161"/>
      <w:r>
        <w:t>Stocks</w:t>
      </w:r>
      <w:bookmarkEnd w:id="25"/>
    </w:p>
    <w:p w14:paraId="602E34EB" w14:textId="6C65BFA9" w:rsidR="005355FE" w:rsidRPr="007D0647" w:rsidRDefault="005355FE" w:rsidP="002F3CAD">
      <w:pPr>
        <w:jc w:val="both"/>
      </w:pPr>
      <w:r>
        <w:t>L’inventaire du stock subsistant des produits portant le logotype ou l’un des symboles du Sénat de la boutique sera réalisé au 31 décembre 2025</w:t>
      </w:r>
      <w:r w:rsidRPr="005355FE">
        <w:t xml:space="preserve">. Sa valeur est fixée à l’amiable sur la base de l’évaluation fournie par le </w:t>
      </w:r>
      <w:r w:rsidR="000F76BE">
        <w:t>titulaire</w:t>
      </w:r>
      <w:r w:rsidRPr="005355FE">
        <w:t xml:space="preserve"> sortant. En cas de rachat, le stock est payé par le nouveau </w:t>
      </w:r>
      <w:r w:rsidR="000F76BE">
        <w:t>titulaire</w:t>
      </w:r>
      <w:r w:rsidRPr="005355FE">
        <w:t xml:space="preserve"> dans les trois mois de la cession. Tout retard de paiement donnera lieu au versement au </w:t>
      </w:r>
      <w:r w:rsidR="000F76BE">
        <w:t>titulaire</w:t>
      </w:r>
      <w:r w:rsidRPr="005355FE">
        <w:t xml:space="preserve"> sortant d’intérêts moratoires calculés au taux légal en vigueur.</w:t>
      </w:r>
    </w:p>
    <w:p w14:paraId="5AFAC58F" w14:textId="420A16CF" w:rsidR="007E2CEC" w:rsidRPr="007E2CEC" w:rsidRDefault="007E2CEC" w:rsidP="007E2CEC">
      <w:pPr>
        <w:pStyle w:val="DCETitre1"/>
      </w:pPr>
      <w:bookmarkStart w:id="26" w:name="_Toc208852162"/>
      <w:r w:rsidRPr="007E2CEC">
        <w:t xml:space="preserve">Caractéristiques du domaine </w:t>
      </w:r>
      <w:r w:rsidR="00697745">
        <w:t>public</w:t>
      </w:r>
      <w:r w:rsidR="00DF02FB">
        <w:t xml:space="preserve"> physique</w:t>
      </w:r>
      <w:r w:rsidR="00697745">
        <w:t xml:space="preserve"> </w:t>
      </w:r>
      <w:r w:rsidRPr="007E2CEC">
        <w:t>occupé</w:t>
      </w:r>
      <w:bookmarkEnd w:id="26"/>
    </w:p>
    <w:p w14:paraId="6179E72C" w14:textId="2F0A3314" w:rsidR="007E2CEC" w:rsidRPr="00507D40" w:rsidRDefault="005355FE" w:rsidP="005355FE">
      <w:pPr>
        <w:pStyle w:val="DCETitre2"/>
        <w:tabs>
          <w:tab w:val="clear" w:pos="1283"/>
          <w:tab w:val="num" w:pos="792"/>
        </w:tabs>
        <w:ind w:left="792"/>
      </w:pPr>
      <w:bookmarkStart w:id="27" w:name="_Toc221509096"/>
      <w:bookmarkStart w:id="28" w:name="_Toc221528373"/>
      <w:bookmarkStart w:id="29" w:name="_Toc221686338"/>
      <w:bookmarkStart w:id="30" w:name="_Toc221687374"/>
      <w:bookmarkStart w:id="31" w:name="_Toc223775877"/>
      <w:bookmarkStart w:id="32" w:name="_Toc232576619"/>
      <w:bookmarkStart w:id="33" w:name="_Toc232577004"/>
      <w:bookmarkStart w:id="34" w:name="_Toc409517134"/>
      <w:r>
        <w:t xml:space="preserve"> </w:t>
      </w:r>
      <w:bookmarkStart w:id="35" w:name="_Toc208852163"/>
      <w:r w:rsidR="007E2CEC" w:rsidRPr="007E2CEC">
        <w:t>Emplacement</w:t>
      </w:r>
      <w:bookmarkEnd w:id="27"/>
      <w:bookmarkEnd w:id="28"/>
      <w:bookmarkEnd w:id="29"/>
      <w:bookmarkEnd w:id="30"/>
      <w:bookmarkEnd w:id="31"/>
      <w:bookmarkEnd w:id="32"/>
      <w:bookmarkEnd w:id="33"/>
      <w:bookmarkEnd w:id="34"/>
      <w:r w:rsidR="00280C5E">
        <w:t xml:space="preserve"> et description du local</w:t>
      </w:r>
      <w:bookmarkEnd w:id="35"/>
    </w:p>
    <w:p w14:paraId="1CA6763A" w14:textId="45E2ACEE" w:rsidR="008E4474" w:rsidRPr="00100487" w:rsidRDefault="008E4474" w:rsidP="008E4474">
      <w:pPr>
        <w:spacing w:after="240"/>
        <w:jc w:val="both"/>
      </w:pPr>
      <w:r w:rsidRPr="00100487">
        <w:t>La boutique est située au premier étage du Palais du Luxembourg (</w:t>
      </w:r>
      <w:r w:rsidR="006202B4">
        <w:t>une partie de la pièce</w:t>
      </w:r>
      <w:r w:rsidR="006202B4" w:rsidRPr="00100487">
        <w:t xml:space="preserve"> </w:t>
      </w:r>
      <w:r w:rsidRPr="00100487">
        <w:t>A0</w:t>
      </w:r>
      <w:r w:rsidR="006202B4">
        <w:t>0</w:t>
      </w:r>
      <w:r w:rsidRPr="00100487">
        <w:t xml:space="preserve">37 et </w:t>
      </w:r>
      <w:r w:rsidR="006202B4">
        <w:t xml:space="preserve">pièce </w:t>
      </w:r>
      <w:r w:rsidRPr="00100487">
        <w:t>A</w:t>
      </w:r>
      <w:r w:rsidR="006202B4">
        <w:t>0</w:t>
      </w:r>
      <w:r w:rsidRPr="00100487">
        <w:t xml:space="preserve">037a), sur l’itinéraire emprunté usuellement par les </w:t>
      </w:r>
      <w:r w:rsidR="004C5F8F">
        <w:t xml:space="preserve">sénatrices et les </w:t>
      </w:r>
      <w:r w:rsidR="00357E75">
        <w:t>s</w:t>
      </w:r>
      <w:r w:rsidRPr="00100487">
        <w:t>énateurs, le personnel et les visiteurs.</w:t>
      </w:r>
    </w:p>
    <w:p w14:paraId="3912507C" w14:textId="66BD04BB" w:rsidR="008E4474" w:rsidRPr="00100487" w:rsidRDefault="004C5F8F" w:rsidP="008E4474">
      <w:pPr>
        <w:spacing w:after="240"/>
        <w:jc w:val="both"/>
      </w:pPr>
      <w:r>
        <w:t>Un</w:t>
      </w:r>
      <w:r w:rsidR="008E4474" w:rsidRPr="00100487">
        <w:t xml:space="preserve"> local de stockage</w:t>
      </w:r>
      <w:r w:rsidR="00C06694">
        <w:t xml:space="preserve"> (pièce </w:t>
      </w:r>
      <w:r w:rsidR="00C06694" w:rsidRPr="00C06694">
        <w:t>A0523d</w:t>
      </w:r>
      <w:r w:rsidR="00C06694">
        <w:t>)</w:t>
      </w:r>
      <w:r w:rsidR="008E4474" w:rsidRPr="00100487">
        <w:t xml:space="preserve"> situé au premier sous-sol du Palais</w:t>
      </w:r>
      <w:r w:rsidR="00AB2847">
        <w:t xml:space="preserve"> et limité aux seuls usages liés à l’exploitation de la présente concession</w:t>
      </w:r>
      <w:r>
        <w:t xml:space="preserve"> est mis à disposition du </w:t>
      </w:r>
      <w:r w:rsidR="000F76BE">
        <w:t>titulaire</w:t>
      </w:r>
      <w:r w:rsidR="008E4474" w:rsidRPr="00100487">
        <w:t>.</w:t>
      </w:r>
    </w:p>
    <w:p w14:paraId="0EA66E7B" w14:textId="77777777" w:rsidR="008E4474" w:rsidRPr="00100487" w:rsidRDefault="008E4474" w:rsidP="008E4474">
      <w:pPr>
        <w:spacing w:after="240"/>
        <w:jc w:val="both"/>
      </w:pPr>
      <w:r w:rsidRPr="00100487">
        <w:t>Le Sénat peut demander au titulaire d’exercer son activité :</w:t>
      </w:r>
    </w:p>
    <w:p w14:paraId="21E91876" w14:textId="03C418F9" w:rsidR="008E4474" w:rsidRPr="00100487" w:rsidRDefault="00357E75" w:rsidP="00D63AF3">
      <w:pPr>
        <w:pStyle w:val="Paragraphedeliste"/>
        <w:numPr>
          <w:ilvl w:val="0"/>
          <w:numId w:val="7"/>
        </w:numPr>
        <w:spacing w:after="240"/>
        <w:contextualSpacing w:val="0"/>
        <w:jc w:val="both"/>
      </w:pPr>
      <w:r>
        <w:t>d</w:t>
      </w:r>
      <w:r w:rsidR="008E4474" w:rsidRPr="00100487">
        <w:t>ans une autre partie du Sénat</w:t>
      </w:r>
      <w:r w:rsidR="00F53126">
        <w:t xml:space="preserve"> en cas de travaux, de tout événement rendant son emplacement habituel indisponible ou</w:t>
      </w:r>
      <w:r w:rsidR="008E4474" w:rsidRPr="00100487">
        <w:t xml:space="preserve"> à l’occasion d’une manifestation part</w:t>
      </w:r>
      <w:r w:rsidR="00191945">
        <w:t>iculière, par exemple lors des Journées européennes du P</w:t>
      </w:r>
      <w:r w:rsidR="008E4474" w:rsidRPr="00100487">
        <w:t>atrimoine ;</w:t>
      </w:r>
    </w:p>
    <w:p w14:paraId="065C2E0E" w14:textId="257FC79E" w:rsidR="007E2CEC" w:rsidRDefault="00357E75" w:rsidP="00D63AF3">
      <w:pPr>
        <w:pStyle w:val="DCETEXTE0"/>
        <w:numPr>
          <w:ilvl w:val="0"/>
          <w:numId w:val="7"/>
        </w:numPr>
      </w:pPr>
      <w:r>
        <w:t>d</w:t>
      </w:r>
      <w:r w:rsidR="008E4474" w:rsidRPr="00100487">
        <w:t>ans le vestibule de l’étage principal du château de Versailles, lorsque le Parlement siège en Congrès</w:t>
      </w:r>
      <w:r w:rsidR="007E2CEC" w:rsidRPr="007E2CEC">
        <w:t>.</w:t>
      </w:r>
    </w:p>
    <w:p w14:paraId="3219CC2B" w14:textId="2B64D97E" w:rsidR="00D410BF" w:rsidRPr="007E2CEC" w:rsidRDefault="00D410BF" w:rsidP="00D410BF">
      <w:pPr>
        <w:pStyle w:val="DCETEXTE0"/>
      </w:pPr>
      <w:r>
        <w:t>Ces demandes sont impératives.</w:t>
      </w:r>
    </w:p>
    <w:p w14:paraId="7D96FD35" w14:textId="1AB85552" w:rsidR="00357E75" w:rsidRDefault="00357E75" w:rsidP="00357E75">
      <w:pPr>
        <w:pStyle w:val="DCETEXTE0"/>
      </w:pPr>
      <w:r>
        <w:t>L’espace du comptoir et du rangement associé constituant la boutique présente une superficie au sol de 18,40 m</w:t>
      </w:r>
      <w:r w:rsidRPr="00125715">
        <w:rPr>
          <w:vertAlign w:val="superscript"/>
        </w:rPr>
        <w:t>2</w:t>
      </w:r>
      <w:r>
        <w:t xml:space="preserve"> environ (</w:t>
      </w:r>
      <w:r w:rsidR="00697745">
        <w:t>a</w:t>
      </w:r>
      <w:r>
        <w:t xml:space="preserve">nnexe 1). </w:t>
      </w:r>
      <w:r w:rsidR="00A47534">
        <w:t>Le titulaire a la possibilité d’installer des dispositifs mobiliers d’exposition le long des glaces de la façade Ouest, après avoir reçu la validation du Sénat.</w:t>
      </w:r>
    </w:p>
    <w:p w14:paraId="247CE4A6" w14:textId="77777777" w:rsidR="00357E75" w:rsidRDefault="00357E75" w:rsidP="00357E75">
      <w:pPr>
        <w:pStyle w:val="DCETEXTE0"/>
      </w:pPr>
      <w:r>
        <w:t>Le local de stockage est d’une superficie de 12,70 m² environ (</w:t>
      </w:r>
      <w:r w:rsidR="00697745">
        <w:t>a</w:t>
      </w:r>
      <w:r>
        <w:t>nnexe 2).</w:t>
      </w:r>
    </w:p>
    <w:p w14:paraId="665C7AA9" w14:textId="731BEEA4" w:rsidR="00357E75" w:rsidRDefault="00357E75" w:rsidP="00A7247F">
      <w:pPr>
        <w:pStyle w:val="NormalWeb"/>
      </w:pPr>
      <w:r>
        <w:t xml:space="preserve">La boutique est mise à </w:t>
      </w:r>
      <w:r w:rsidR="007D713C">
        <w:t xml:space="preserve">la </w:t>
      </w:r>
      <w:r>
        <w:t>disposition du titulaire avec un aménagement spécifique déterminé par le Sénat.</w:t>
      </w:r>
      <w:r w:rsidR="00A7247F">
        <w:t xml:space="preserve"> </w:t>
      </w:r>
    </w:p>
    <w:p w14:paraId="3006759B" w14:textId="10E25B38" w:rsidR="006A67E1" w:rsidRPr="006A67E1" w:rsidRDefault="005355FE" w:rsidP="005355FE">
      <w:pPr>
        <w:pStyle w:val="DCETitre2"/>
        <w:tabs>
          <w:tab w:val="clear" w:pos="1283"/>
          <w:tab w:val="num" w:pos="792"/>
        </w:tabs>
        <w:ind w:left="792"/>
      </w:pPr>
      <w:bookmarkStart w:id="36" w:name="_Toc211932932"/>
      <w:bookmarkStart w:id="37" w:name="_Toc212881547"/>
      <w:bookmarkStart w:id="38" w:name="_Toc362431564"/>
      <w:bookmarkStart w:id="39" w:name="_Toc362544296"/>
      <w:bookmarkStart w:id="40" w:name="_Toc412822790"/>
      <w:bookmarkStart w:id="41" w:name="_Toc432598845"/>
      <w:r>
        <w:lastRenderedPageBreak/>
        <w:t xml:space="preserve"> </w:t>
      </w:r>
      <w:bookmarkStart w:id="42" w:name="_Toc208852164"/>
      <w:r w:rsidR="006A67E1" w:rsidRPr="006A67E1">
        <w:t>Branchement aux réseaux</w:t>
      </w:r>
      <w:bookmarkEnd w:id="36"/>
      <w:bookmarkEnd w:id="37"/>
      <w:bookmarkEnd w:id="38"/>
      <w:bookmarkEnd w:id="39"/>
      <w:bookmarkEnd w:id="40"/>
      <w:bookmarkEnd w:id="41"/>
      <w:bookmarkEnd w:id="42"/>
    </w:p>
    <w:p w14:paraId="02DA81F8" w14:textId="77777777" w:rsidR="006A67E1" w:rsidRPr="00100487" w:rsidRDefault="006A67E1" w:rsidP="006A67E1">
      <w:pPr>
        <w:spacing w:after="240"/>
        <w:jc w:val="both"/>
      </w:pPr>
      <w:r w:rsidRPr="00100487">
        <w:t>La boutique étant située à l’intérieur même du Palais du Luxembourg, tous les travaux de raccordement aux réseaux (eau, électricité, chauffage, téléphone, Wi-Fi) sont de la compétence du Sénat. Les travaux demandés par le titulaire lui sont facturés.</w:t>
      </w:r>
    </w:p>
    <w:p w14:paraId="13B8C596" w14:textId="77777777" w:rsidR="006A67E1" w:rsidRPr="00100487" w:rsidRDefault="006A67E1" w:rsidP="00F04245">
      <w:pPr>
        <w:pStyle w:val="DCETitre3"/>
        <w:numPr>
          <w:ilvl w:val="2"/>
          <w:numId w:val="1"/>
        </w:numPr>
        <w:spacing w:before="0" w:after="120" w:line="360" w:lineRule="auto"/>
      </w:pPr>
      <w:bookmarkStart w:id="43" w:name="_Toc432598846"/>
      <w:bookmarkStart w:id="44" w:name="_Toc208852165"/>
      <w:r w:rsidRPr="00100487">
        <w:t>Eau, électricité, chauffage</w:t>
      </w:r>
      <w:bookmarkEnd w:id="43"/>
      <w:bookmarkEnd w:id="44"/>
    </w:p>
    <w:p w14:paraId="3280D1B4" w14:textId="77777777" w:rsidR="006A67E1" w:rsidRPr="00100487" w:rsidRDefault="006A67E1" w:rsidP="006A67E1">
      <w:pPr>
        <w:spacing w:after="240"/>
        <w:jc w:val="both"/>
      </w:pPr>
      <w:r w:rsidRPr="00100487">
        <w:t xml:space="preserve">La fourniture d’eau, d’électricité et de chauffage est assurée par le Sénat et est incluse à titre forfaitaire dans la part fixe de la redevance due annuellement par le titulaire. </w:t>
      </w:r>
    </w:p>
    <w:p w14:paraId="12F9B871" w14:textId="77777777" w:rsidR="006A67E1" w:rsidRPr="00100487" w:rsidRDefault="006A67E1" w:rsidP="00F04245">
      <w:pPr>
        <w:pStyle w:val="DCETitre3"/>
        <w:numPr>
          <w:ilvl w:val="2"/>
          <w:numId w:val="1"/>
        </w:numPr>
        <w:spacing w:before="0" w:after="120" w:line="360" w:lineRule="auto"/>
      </w:pPr>
      <w:bookmarkStart w:id="45" w:name="_Toc432598847"/>
      <w:bookmarkStart w:id="46" w:name="_Toc208852166"/>
      <w:r w:rsidRPr="00100487">
        <w:t>Informatique, Internet, Messagerie, Téléphone</w:t>
      </w:r>
      <w:bookmarkEnd w:id="45"/>
      <w:bookmarkEnd w:id="46"/>
    </w:p>
    <w:p w14:paraId="1125768F" w14:textId="52EB79F3" w:rsidR="006A67E1" w:rsidRPr="00100487" w:rsidRDefault="006A67E1" w:rsidP="006A67E1">
      <w:pPr>
        <w:spacing w:after="240"/>
        <w:jc w:val="both"/>
      </w:pPr>
      <w:r w:rsidRPr="00100487">
        <w:t xml:space="preserve">Trois lignes téléphoniques </w:t>
      </w:r>
      <w:r w:rsidR="007D713C">
        <w:t>fixes</w:t>
      </w:r>
      <w:r w:rsidRPr="00100487">
        <w:t xml:space="preserve"> sont mises à la disposition du titulaire. Leur usage lui est facturé par le </w:t>
      </w:r>
      <w:r w:rsidRPr="00A6420A">
        <w:t>Sénat</w:t>
      </w:r>
      <w:r w:rsidR="00DF02FB" w:rsidRPr="00A6420A">
        <w:t xml:space="preserve"> et inclus dans la part fixe de la redevance due annuellement par le titulaire</w:t>
      </w:r>
      <w:r w:rsidRPr="00100487">
        <w:t>.</w:t>
      </w:r>
    </w:p>
    <w:p w14:paraId="65420591" w14:textId="77777777" w:rsidR="006A67E1" w:rsidRPr="00100487" w:rsidRDefault="006A67E1" w:rsidP="006A67E1">
      <w:pPr>
        <w:spacing w:after="240"/>
        <w:jc w:val="both"/>
      </w:pPr>
      <w:r w:rsidRPr="00100487">
        <w:t>Aucun matériel informatique n’est fourni au titulaire. Des identifiants de connexion lui sont attribués pour se connecter au réseau Wi-Fi du Sénat.</w:t>
      </w:r>
      <w:r w:rsidRPr="00235552">
        <w:t xml:space="preserve"> </w:t>
      </w:r>
      <w:r>
        <w:t>Le service fourni concerne uniquement la navigation web (protocole http) et web sécurisé (protocole https).</w:t>
      </w:r>
    </w:p>
    <w:p w14:paraId="30DC7FAB" w14:textId="740B6112" w:rsidR="006A67E1" w:rsidRDefault="00D410BF" w:rsidP="006A67E1">
      <w:pPr>
        <w:pStyle w:val="DCETEXTE0"/>
      </w:pPr>
      <w:r>
        <w:t>Pour l’exploitation de la boutique physique, l</w:t>
      </w:r>
      <w:r w:rsidR="006A67E1" w:rsidRPr="00100487">
        <w:t>e titulaire n’est pas autorisé à disposer d’une adresse électronique en « @senat.fr »</w:t>
      </w:r>
      <w:r w:rsidR="006A67E1">
        <w:t>.</w:t>
      </w:r>
    </w:p>
    <w:p w14:paraId="161A7D7E" w14:textId="6D203F0F" w:rsidR="00C32F72" w:rsidRPr="00125715" w:rsidRDefault="00DF02FB" w:rsidP="00F04245">
      <w:pPr>
        <w:pStyle w:val="DCETitre1"/>
        <w:numPr>
          <w:ilvl w:val="0"/>
          <w:numId w:val="1"/>
        </w:numPr>
        <w:rPr>
          <w:rFonts w:ascii="Times New Roman Gras" w:hAnsi="Times New Roman Gras"/>
        </w:rPr>
      </w:pPr>
      <w:bookmarkStart w:id="47" w:name="_Toc432598848"/>
      <w:bookmarkStart w:id="48" w:name="_Toc208852167"/>
      <w:r>
        <w:rPr>
          <w:rFonts w:ascii="Times New Roman Gras" w:hAnsi="Times New Roman Gras"/>
        </w:rPr>
        <w:t>B</w:t>
      </w:r>
      <w:r w:rsidR="00C32F72" w:rsidRPr="00125715">
        <w:rPr>
          <w:rFonts w:ascii="Times New Roman Gras" w:hAnsi="Times New Roman Gras"/>
        </w:rPr>
        <w:t>outique en ligne</w:t>
      </w:r>
      <w:bookmarkEnd w:id="47"/>
      <w:bookmarkEnd w:id="48"/>
    </w:p>
    <w:p w14:paraId="58F08EEA" w14:textId="24EF18EC" w:rsidR="009E1A88" w:rsidRDefault="00C32F72" w:rsidP="00C32F72">
      <w:pPr>
        <w:spacing w:after="240"/>
        <w:jc w:val="both"/>
      </w:pPr>
      <w:r w:rsidRPr="00100487">
        <w:t xml:space="preserve">Le titulaire </w:t>
      </w:r>
      <w:r w:rsidR="00946836">
        <w:t>exploite</w:t>
      </w:r>
      <w:r w:rsidR="00946836" w:rsidRPr="00100487">
        <w:t xml:space="preserve"> </w:t>
      </w:r>
      <w:r w:rsidRPr="00100487">
        <w:t xml:space="preserve">une boutique en ligne accessible directement sur Internet ou </w:t>
      </w:r>
      <w:r w:rsidR="009C15DF">
        <w:t>depuis</w:t>
      </w:r>
      <w:r w:rsidR="004812FE" w:rsidRPr="00100487">
        <w:t xml:space="preserve"> </w:t>
      </w:r>
      <w:r w:rsidRPr="00100487">
        <w:t xml:space="preserve">le site Internet du Sénat, pour y vendre </w:t>
      </w:r>
      <w:r w:rsidR="009E1A88">
        <w:t xml:space="preserve">exclusivement </w:t>
      </w:r>
      <w:r w:rsidR="00AC3DBC">
        <w:t xml:space="preserve">les articles et produits </w:t>
      </w:r>
      <w:r w:rsidR="0099637A">
        <w:t>portant le logotype du Sénat ou permettant d’identifier l’institution</w:t>
      </w:r>
      <w:r w:rsidR="004812FE">
        <w:t xml:space="preserve"> sénatoriale</w:t>
      </w:r>
      <w:r w:rsidR="00AC3DBC">
        <w:t>.</w:t>
      </w:r>
      <w:r w:rsidR="004812FE">
        <w:t xml:space="preserve"> </w:t>
      </w:r>
    </w:p>
    <w:p w14:paraId="114D115C" w14:textId="15EF0C2C" w:rsidR="00C32F72" w:rsidRDefault="004812FE" w:rsidP="00C32F72">
      <w:pPr>
        <w:spacing w:after="240"/>
        <w:jc w:val="both"/>
      </w:pPr>
      <w:r>
        <w:t xml:space="preserve">Les articles portant la marque </w:t>
      </w:r>
      <w:r w:rsidR="00A6420A">
        <w:t>du titulaire</w:t>
      </w:r>
      <w:r>
        <w:t xml:space="preserve"> ou </w:t>
      </w:r>
      <w:r w:rsidR="00283BF9">
        <w:t>celle d’un de ses</w:t>
      </w:r>
      <w:r>
        <w:t xml:space="preserve"> partenaire</w:t>
      </w:r>
      <w:r w:rsidR="00283BF9">
        <w:t>s commerciaux</w:t>
      </w:r>
      <w:r w:rsidR="00DE6E42">
        <w:t xml:space="preserve"> et</w:t>
      </w:r>
      <w:r>
        <w:t xml:space="preserve"> sans lien avec le Sénat </w:t>
      </w:r>
      <w:r w:rsidR="00283BF9">
        <w:t xml:space="preserve">ne sont pas autorisés à la vente sur ce site, sauf dérogation </w:t>
      </w:r>
      <w:r w:rsidR="00A877D6">
        <w:t xml:space="preserve">exceptionnelle, </w:t>
      </w:r>
      <w:r w:rsidR="00283BF9">
        <w:t>expresse et préalable accordée par le Sénat.</w:t>
      </w:r>
      <w:r>
        <w:t xml:space="preserve"> </w:t>
      </w:r>
      <w:r w:rsidR="009E1A88">
        <w:t>Le cas échéant</w:t>
      </w:r>
      <w:r w:rsidR="009C15DF">
        <w:t xml:space="preserve"> et à la demande du Sénat</w:t>
      </w:r>
      <w:r w:rsidR="009E1A88">
        <w:t>, le site de la boutique en ligne comprend un lien de redirection vers tout site animé par l’agent de licence chargé de l’exploitation de la marque « Jardin du Luxembourg ».</w:t>
      </w:r>
    </w:p>
    <w:p w14:paraId="549FADF1" w14:textId="2A3B48DD" w:rsidR="00946836" w:rsidRDefault="00946836" w:rsidP="00C32F72">
      <w:pPr>
        <w:spacing w:after="240"/>
        <w:jc w:val="both"/>
      </w:pPr>
      <w:r>
        <w:t>Son adresse est</w:t>
      </w:r>
      <w:r w:rsidR="00162BC0">
        <w:t> :</w:t>
      </w:r>
      <w:r>
        <w:t xml:space="preserve"> </w:t>
      </w:r>
      <w:hyperlink r:id="rId12" w:history="1">
        <w:r w:rsidR="00B4638A" w:rsidRPr="000248AB">
          <w:rPr>
            <w:rStyle w:val="Lienhypertexte"/>
          </w:rPr>
          <w:t>https://www.boutique.senat.fr/</w:t>
        </w:r>
      </w:hyperlink>
      <w:r w:rsidR="000B0D52">
        <w:t>.</w:t>
      </w:r>
    </w:p>
    <w:p w14:paraId="3F671449" w14:textId="77777777" w:rsidR="00B4638A" w:rsidRDefault="00B4638A" w:rsidP="00B4638A">
      <w:pPr>
        <w:pStyle w:val="DCETEXTE0"/>
      </w:pPr>
      <w:r>
        <w:t>Le Sénat est</w:t>
      </w:r>
      <w:r w:rsidRPr="00100487">
        <w:t xml:space="preserve"> propriétaire du nom de domaine et du site Internet</w:t>
      </w:r>
      <w:r>
        <w:t xml:space="preserve"> et le reste</w:t>
      </w:r>
      <w:r w:rsidRPr="00100487">
        <w:t xml:space="preserve"> à la fin de la concession</w:t>
      </w:r>
      <w:r>
        <w:t>.</w:t>
      </w:r>
    </w:p>
    <w:p w14:paraId="3D050012" w14:textId="456BE952" w:rsidR="0099637A" w:rsidRDefault="001762AB" w:rsidP="00DF02FB">
      <w:pPr>
        <w:spacing w:after="240"/>
        <w:jc w:val="both"/>
      </w:pPr>
      <w:r>
        <w:t>C</w:t>
      </w:r>
      <w:r w:rsidR="007D6519">
        <w:t xml:space="preserve">e site de vente en ligne et les modalités de </w:t>
      </w:r>
      <w:r>
        <w:t xml:space="preserve">sa </w:t>
      </w:r>
      <w:r w:rsidR="007D6519">
        <w:t xml:space="preserve">mise en œuvre </w:t>
      </w:r>
      <w:r>
        <w:t xml:space="preserve">sont conformes </w:t>
      </w:r>
      <w:r w:rsidR="007D6519">
        <w:t xml:space="preserve">à la maquette </w:t>
      </w:r>
      <w:r>
        <w:t xml:space="preserve">et </w:t>
      </w:r>
      <w:r w:rsidR="006A54F6">
        <w:t xml:space="preserve">à </w:t>
      </w:r>
      <w:r>
        <w:t xml:space="preserve">la stratégie de développement présentés par le </w:t>
      </w:r>
      <w:r w:rsidR="000F76BE">
        <w:t>titulaire</w:t>
      </w:r>
      <w:r>
        <w:t xml:space="preserve"> </w:t>
      </w:r>
      <w:r w:rsidR="007D6519">
        <w:t xml:space="preserve">dans </w:t>
      </w:r>
      <w:r>
        <w:t xml:space="preserve">son </w:t>
      </w:r>
      <w:r w:rsidR="007D6519">
        <w:t>offre</w:t>
      </w:r>
      <w:r w:rsidR="0099637A">
        <w:t xml:space="preserve"> et validés par le Sénat</w:t>
      </w:r>
      <w:r>
        <w:t>.</w:t>
      </w:r>
    </w:p>
    <w:p w14:paraId="084D515C" w14:textId="02BDE97E" w:rsidR="00B9270E" w:rsidRDefault="00283BF9" w:rsidP="00DF02FB">
      <w:pPr>
        <w:spacing w:after="240"/>
        <w:jc w:val="both"/>
      </w:pPr>
      <w:r>
        <w:t>Le site, qui contribue</w:t>
      </w:r>
      <w:r w:rsidR="009C15DF">
        <w:t>,</w:t>
      </w:r>
      <w:r>
        <w:t xml:space="preserve"> au même titre que la boutique physique dans le Palais, à l’image du Sénat dont il est la vitrine commerciale, ne peut être utilisé par le </w:t>
      </w:r>
      <w:r w:rsidR="000F76BE">
        <w:t>titulaire</w:t>
      </w:r>
      <w:r>
        <w:t xml:space="preserve"> à d’autres fins que </w:t>
      </w:r>
      <w:r w:rsidR="009C15DF">
        <w:t>celles définies au présent article</w:t>
      </w:r>
      <w:r>
        <w:t xml:space="preserve">. </w:t>
      </w:r>
    </w:p>
    <w:p w14:paraId="2B14168F" w14:textId="106C7D14" w:rsidR="00C32F72" w:rsidRDefault="00AC3DBC" w:rsidP="00DF02FB">
      <w:pPr>
        <w:spacing w:after="240"/>
        <w:jc w:val="both"/>
      </w:pPr>
      <w:r>
        <w:t>T</w:t>
      </w:r>
      <w:r w:rsidR="00C32F72" w:rsidRPr="00100487">
        <w:t xml:space="preserve">oute modification </w:t>
      </w:r>
      <w:r>
        <w:t xml:space="preserve">de ce site envisagée par le </w:t>
      </w:r>
      <w:r w:rsidR="000F76BE">
        <w:t>titulaire</w:t>
      </w:r>
      <w:r>
        <w:t xml:space="preserve"> </w:t>
      </w:r>
      <w:r w:rsidR="00C32F72" w:rsidRPr="00100487">
        <w:t>doit faire l’objet d’un accord exprès</w:t>
      </w:r>
      <w:r w:rsidR="00162BC0">
        <w:t xml:space="preserve"> </w:t>
      </w:r>
      <w:r>
        <w:t xml:space="preserve">et </w:t>
      </w:r>
      <w:r w:rsidR="00162BC0">
        <w:t>préalable</w:t>
      </w:r>
      <w:r w:rsidR="00C32F72" w:rsidRPr="00100487">
        <w:t xml:space="preserve"> du Sénat</w:t>
      </w:r>
      <w:r w:rsidR="00C32F72" w:rsidRPr="00125715">
        <w:t xml:space="preserve">. Celui-ci conserve un droit d’opposition à la vente </w:t>
      </w:r>
      <w:r w:rsidR="00F060A8">
        <w:t xml:space="preserve">en ligne </w:t>
      </w:r>
      <w:r w:rsidR="00C32F72" w:rsidRPr="00125715">
        <w:t xml:space="preserve">de tout objet, </w:t>
      </w:r>
      <w:r w:rsidR="00C32F72" w:rsidRPr="00125715">
        <w:lastRenderedPageBreak/>
        <w:t xml:space="preserve">comme pour ceux proposés dans le Palais du </w:t>
      </w:r>
      <w:r w:rsidR="00946836">
        <w:t>Luxembourg, dans les conditions fixées à l’article 1</w:t>
      </w:r>
      <w:r w:rsidR="00946836" w:rsidRPr="000B0D52">
        <w:rPr>
          <w:vertAlign w:val="superscript"/>
        </w:rPr>
        <w:t>er</w:t>
      </w:r>
      <w:r w:rsidR="00946836">
        <w:t>.</w:t>
      </w:r>
    </w:p>
    <w:p w14:paraId="2D071586" w14:textId="2BEC19D6" w:rsidR="001A077D" w:rsidRDefault="001A077D" w:rsidP="001A077D">
      <w:pPr>
        <w:pStyle w:val="DCETitre1"/>
        <w:numPr>
          <w:ilvl w:val="0"/>
          <w:numId w:val="0"/>
        </w:numPr>
        <w:jc w:val="center"/>
      </w:pPr>
      <w:bookmarkStart w:id="49" w:name="_Toc208852168"/>
      <w:r>
        <w:t xml:space="preserve">Chapitre III. – </w:t>
      </w:r>
      <w:r w:rsidRPr="00DF02FB">
        <w:t xml:space="preserve">Conditions générales </w:t>
      </w:r>
      <w:r>
        <w:t>d’exploitation</w:t>
      </w:r>
      <w:bookmarkEnd w:id="49"/>
    </w:p>
    <w:p w14:paraId="76099914" w14:textId="5DA98813" w:rsidR="00D42EEB" w:rsidRPr="00D42EEB" w:rsidRDefault="00D42EEB" w:rsidP="00D42EEB">
      <w:r>
        <w:t>Tout manquement aux conditions générales d’exploitation énoncées au présent chapitre est passible des sanctions énoncées aux articles 25 et 26.</w:t>
      </w:r>
    </w:p>
    <w:p w14:paraId="3D4F8399" w14:textId="77777777" w:rsidR="005A76A0" w:rsidRPr="005A76A0" w:rsidRDefault="005A76A0" w:rsidP="005A76A0">
      <w:pPr>
        <w:pStyle w:val="DCETitre1"/>
        <w:numPr>
          <w:ilvl w:val="0"/>
          <w:numId w:val="1"/>
        </w:numPr>
        <w:rPr>
          <w:rFonts w:ascii="Times New Roman Gras" w:hAnsi="Times New Roman Gras"/>
        </w:rPr>
      </w:pPr>
      <w:bookmarkStart w:id="50" w:name="_Toc432598855"/>
      <w:bookmarkStart w:id="51" w:name="_Toc208852169"/>
      <w:r w:rsidRPr="005A76A0">
        <w:rPr>
          <w:rFonts w:ascii="Times New Roman Gras" w:hAnsi="Times New Roman Gras"/>
        </w:rPr>
        <w:t>Autorisations et conformité</w:t>
      </w:r>
      <w:bookmarkEnd w:id="50"/>
      <w:bookmarkEnd w:id="51"/>
    </w:p>
    <w:p w14:paraId="798E5485" w14:textId="4EF1D49B" w:rsidR="005A76A0" w:rsidRPr="00100487" w:rsidRDefault="005A76A0" w:rsidP="00DF02FB">
      <w:pPr>
        <w:spacing w:after="240"/>
        <w:jc w:val="both"/>
      </w:pPr>
      <w:r w:rsidRPr="00100487">
        <w:t>Le titulaire fait son affaire des autorisations administratives éventuelles nécessaires à l’exploitation</w:t>
      </w:r>
      <w:r>
        <w:t xml:space="preserve"> de son commerce </w:t>
      </w:r>
      <w:r w:rsidRPr="00100487">
        <w:t xml:space="preserve">(affiliation au registre du commerce, </w:t>
      </w:r>
      <w:r>
        <w:t xml:space="preserve">documents attestant du </w:t>
      </w:r>
      <w:r w:rsidRPr="00100487">
        <w:t>respect de la ré</w:t>
      </w:r>
      <w:r>
        <w:t xml:space="preserve">glementation fiscale et sociale, </w:t>
      </w:r>
      <w:r w:rsidRPr="00F060A8">
        <w:rPr>
          <w:i/>
        </w:rPr>
        <w:t>etc</w:t>
      </w:r>
      <w:r>
        <w:t>.</w:t>
      </w:r>
      <w:r w:rsidRPr="00100487">
        <w:t>)</w:t>
      </w:r>
      <w:r>
        <w:t xml:space="preserve">. Il adresse sans délai </w:t>
      </w:r>
      <w:r w:rsidRPr="00100487">
        <w:t>lesdites autorisations à l’administration du Sénat.</w:t>
      </w:r>
    </w:p>
    <w:p w14:paraId="19B6FB66" w14:textId="34A0ED24" w:rsidR="00AD0005" w:rsidRPr="00100487" w:rsidRDefault="00AD0005" w:rsidP="00F04245">
      <w:pPr>
        <w:pStyle w:val="DCETitre1"/>
        <w:numPr>
          <w:ilvl w:val="0"/>
          <w:numId w:val="1"/>
        </w:numPr>
      </w:pPr>
      <w:bookmarkStart w:id="52" w:name="_Toc412822795"/>
      <w:bookmarkStart w:id="53" w:name="_Toc212881564"/>
      <w:bookmarkStart w:id="54" w:name="_Toc362431581"/>
      <w:bookmarkStart w:id="55" w:name="_Toc362544313"/>
      <w:bookmarkStart w:id="56" w:name="_Toc432598865"/>
      <w:bookmarkStart w:id="57" w:name="_Toc208852170"/>
      <w:r w:rsidRPr="00AD0005">
        <w:rPr>
          <w:rFonts w:ascii="Times New Roman Gras" w:hAnsi="Times New Roman Gras"/>
        </w:rPr>
        <w:t>É</w:t>
      </w:r>
      <w:r>
        <w:rPr>
          <w:rFonts w:ascii="Times New Roman Gras" w:hAnsi="Times New Roman Gras"/>
        </w:rPr>
        <w:t>tat des lieux</w:t>
      </w:r>
      <w:r w:rsidR="00B705EE">
        <w:rPr>
          <w:rFonts w:ascii="Times New Roman Gras" w:hAnsi="Times New Roman Gras"/>
        </w:rPr>
        <w:t xml:space="preserve"> et</w:t>
      </w:r>
      <w:r w:rsidRPr="00AD0005">
        <w:rPr>
          <w:rFonts w:ascii="Times New Roman Gras" w:hAnsi="Times New Roman Gras"/>
        </w:rPr>
        <w:t xml:space="preserve"> </w:t>
      </w:r>
      <w:r>
        <w:rPr>
          <w:rFonts w:ascii="Times New Roman Gras" w:hAnsi="Times New Roman Gras"/>
        </w:rPr>
        <w:t>obligations d’entretien</w:t>
      </w:r>
      <w:bookmarkEnd w:id="52"/>
      <w:bookmarkEnd w:id="53"/>
      <w:bookmarkEnd w:id="54"/>
      <w:bookmarkEnd w:id="55"/>
      <w:bookmarkEnd w:id="56"/>
      <w:bookmarkEnd w:id="57"/>
    </w:p>
    <w:p w14:paraId="1BD743E2" w14:textId="32F61B9E" w:rsidR="00AD0005" w:rsidRPr="00100487" w:rsidRDefault="00AD0005" w:rsidP="00AD0005">
      <w:pPr>
        <w:spacing w:after="240"/>
        <w:jc w:val="both"/>
      </w:pPr>
      <w:r w:rsidRPr="00100487">
        <w:t>Il est procédé</w:t>
      </w:r>
      <w:r w:rsidR="00B705EE">
        <w:t xml:space="preserve"> </w:t>
      </w:r>
      <w:r w:rsidRPr="00100487">
        <w:t xml:space="preserve">à un constat écrit d’entrée et de sortie établi </w:t>
      </w:r>
      <w:r w:rsidR="00E94F39">
        <w:t>contradictoirement entre le Sénat et le titulaire</w:t>
      </w:r>
      <w:r w:rsidRPr="00100487">
        <w:t xml:space="preserve">, en double exemplaire au début et à la fin de la période d’occupation. </w:t>
      </w:r>
    </w:p>
    <w:p w14:paraId="2C54080C" w14:textId="77777777" w:rsidR="00AD0005" w:rsidRPr="00100487" w:rsidRDefault="00AD0005" w:rsidP="00AD0005">
      <w:pPr>
        <w:spacing w:after="240"/>
        <w:jc w:val="both"/>
      </w:pPr>
      <w:r w:rsidRPr="00100487">
        <w:t xml:space="preserve">Tout au long de la journée, le titulaire veille à présenter les lieux de l’exploitation dans un parfait état de propreté. Son aménagement extérieur doit être soumis au Sénat. La diffusion d’un fond musical est interdite. </w:t>
      </w:r>
    </w:p>
    <w:p w14:paraId="2EC5911F" w14:textId="77777777" w:rsidR="00AD0005" w:rsidRPr="00100487" w:rsidRDefault="00AD0005" w:rsidP="00AD0005">
      <w:pPr>
        <w:spacing w:after="240"/>
        <w:jc w:val="both"/>
      </w:pPr>
      <w:r w:rsidRPr="00100487">
        <w:t>Le dépôt</w:t>
      </w:r>
      <w:r w:rsidR="00F060A8">
        <w:t xml:space="preserve"> </w:t>
      </w:r>
      <w:r w:rsidR="00F060A8" w:rsidRPr="00100487">
        <w:t>même momentané</w:t>
      </w:r>
      <w:r w:rsidR="00F060A8">
        <w:t xml:space="preserve"> hors de l’exploitation</w:t>
      </w:r>
      <w:r w:rsidRPr="00100487">
        <w:t xml:space="preserve"> de tout objet, notamment de sacs poubelles ou d’emballages vides</w:t>
      </w:r>
      <w:r w:rsidR="00F060A8">
        <w:t>,</w:t>
      </w:r>
      <w:r w:rsidRPr="00100487">
        <w:t xml:space="preserve"> n’est pas autorisé. </w:t>
      </w:r>
      <w:r w:rsidRPr="00AE69A3">
        <w:t>Les modalités d’enlèvement des déchets sont fixées par le Sénat.</w:t>
      </w:r>
    </w:p>
    <w:p w14:paraId="6C5D2727" w14:textId="77777777" w:rsidR="00AD0005" w:rsidRPr="00100487" w:rsidRDefault="00AD0005" w:rsidP="00AD0005">
      <w:pPr>
        <w:spacing w:after="240"/>
        <w:jc w:val="both"/>
      </w:pPr>
      <w:r w:rsidRPr="00100487">
        <w:t xml:space="preserve">À la fin de la période d’occupation, le titulaire est tenu de rétablir les lieux dans leur état </w:t>
      </w:r>
      <w:r w:rsidR="00791487">
        <w:t>initial</w:t>
      </w:r>
      <w:r w:rsidRPr="00100487">
        <w:t xml:space="preserve"> et de faire disparaître toute trace de son occupation, sauf décision contraire du Sénat.</w:t>
      </w:r>
    </w:p>
    <w:p w14:paraId="4CB3FBA7" w14:textId="6EACEF4B" w:rsidR="00AD0005" w:rsidRPr="00100487" w:rsidRDefault="00AD0005" w:rsidP="00AD0005">
      <w:pPr>
        <w:spacing w:after="240"/>
        <w:jc w:val="both"/>
      </w:pPr>
      <w:r w:rsidRPr="00100487">
        <w:t xml:space="preserve">Le ménage quotidien </w:t>
      </w:r>
      <w:r w:rsidR="00DB638C">
        <w:t>de la zone publique de la pièce A0037</w:t>
      </w:r>
      <w:r w:rsidRPr="00100487">
        <w:t xml:space="preserve"> est assur</w:t>
      </w:r>
      <w:r w:rsidR="00F060A8">
        <w:t>é par le prestataire du Sénat. C</w:t>
      </w:r>
      <w:r w:rsidRPr="00100487">
        <w:t>elui</w:t>
      </w:r>
      <w:r w:rsidR="00DB638C">
        <w:t xml:space="preserve"> des espaces situés derrière le comptoir, du mobilier du titulaire,</w:t>
      </w:r>
      <w:r w:rsidRPr="00100487">
        <w:t xml:space="preserve"> des réserves et lieux de stockage fermés </w:t>
      </w:r>
      <w:r w:rsidR="00F060A8">
        <w:t>est</w:t>
      </w:r>
      <w:r w:rsidRPr="00100487">
        <w:t xml:space="preserve"> de la responsabilité du titulaire.</w:t>
      </w:r>
    </w:p>
    <w:p w14:paraId="7634BAB9" w14:textId="5B51486B" w:rsidR="00AD0005" w:rsidRPr="00100487" w:rsidRDefault="00AD0005" w:rsidP="00B705EE">
      <w:pPr>
        <w:pStyle w:val="DCETEXTE0"/>
      </w:pPr>
      <w:r w:rsidRPr="00100487">
        <w:t xml:space="preserve">Le titulaire ne peut apporter aucune modification aux locaux et installations sans l’accord </w:t>
      </w:r>
      <w:r>
        <w:t xml:space="preserve">écrit </w:t>
      </w:r>
      <w:r w:rsidRPr="00100487">
        <w:t>préalable du Sénat.</w:t>
      </w:r>
      <w:r w:rsidR="00B705EE">
        <w:t xml:space="preserve"> Les aménagements accessoires restent à la charge du titulaire, sous le contrôle et après approbation du Sénat, et </w:t>
      </w:r>
      <w:r w:rsidR="00AD51AA">
        <w:t>conformément aux</w:t>
      </w:r>
      <w:r w:rsidR="00B705EE">
        <w:t xml:space="preserve"> </w:t>
      </w:r>
      <w:r w:rsidR="00AD51AA">
        <w:t>articles 2</w:t>
      </w:r>
      <w:r w:rsidR="00160CBD">
        <w:t>3</w:t>
      </w:r>
      <w:r w:rsidR="00AD51AA">
        <w:t xml:space="preserve"> et 2</w:t>
      </w:r>
      <w:r w:rsidR="00160CBD">
        <w:t>4</w:t>
      </w:r>
      <w:r w:rsidR="00B705EE">
        <w:t>.</w:t>
      </w:r>
    </w:p>
    <w:p w14:paraId="5FEC3F92" w14:textId="46C9BB3A" w:rsidR="000E49C5" w:rsidRDefault="00AD0005" w:rsidP="00AD0005">
      <w:pPr>
        <w:pStyle w:val="DCETEXTE0"/>
      </w:pPr>
      <w:r w:rsidRPr="00100487">
        <w:t>Le titulaire supporte les dépenses de petit matériel et de maintenance courante</w:t>
      </w:r>
      <w:r w:rsidR="00F466E4">
        <w:t>.</w:t>
      </w:r>
    </w:p>
    <w:p w14:paraId="41ABD27F" w14:textId="77777777" w:rsidR="00417121" w:rsidRPr="00100487" w:rsidRDefault="00417121" w:rsidP="00417121">
      <w:pPr>
        <w:pStyle w:val="DCETitre1"/>
      </w:pPr>
      <w:bookmarkStart w:id="58" w:name="_Toc432598852"/>
      <w:bookmarkStart w:id="59" w:name="_Toc208852171"/>
      <w:r w:rsidRPr="00100487">
        <w:t>Usage d’une référence au Sénat</w:t>
      </w:r>
      <w:bookmarkEnd w:id="58"/>
      <w:bookmarkEnd w:id="59"/>
    </w:p>
    <w:p w14:paraId="77B72EF8" w14:textId="77777777" w:rsidR="00417121" w:rsidRPr="00100487" w:rsidRDefault="00417121" w:rsidP="00417121">
      <w:pPr>
        <w:spacing w:after="240"/>
        <w:jc w:val="both"/>
      </w:pPr>
      <w:r w:rsidRPr="00100487">
        <w:t xml:space="preserve">En dehors des objets vendus dans le Palais du Luxembourg ou sur la boutique en ligne, le </w:t>
      </w:r>
      <w:r>
        <w:t>titulaire</w:t>
      </w:r>
      <w:r w:rsidRPr="00100487">
        <w:t xml:space="preserve"> ne peut utiliser l</w:t>
      </w:r>
      <w:r>
        <w:t>e logotype ou l’un des symboles du Sénat que s’il y</w:t>
      </w:r>
      <w:r w:rsidRPr="00100487">
        <w:t xml:space="preserve"> a été préalablement autorisé, de manière expresse, par le Sénat.</w:t>
      </w:r>
    </w:p>
    <w:p w14:paraId="4991E252" w14:textId="5AE50FD4" w:rsidR="00417121" w:rsidRDefault="00417121" w:rsidP="00417121">
      <w:pPr>
        <w:spacing w:after="240"/>
        <w:jc w:val="both"/>
      </w:pPr>
      <w:r w:rsidRPr="00100487">
        <w:t xml:space="preserve">Le </w:t>
      </w:r>
      <w:r>
        <w:t>titulaire</w:t>
      </w:r>
      <w:r w:rsidRPr="00100487">
        <w:t xml:space="preserve"> ne peut, à défaut d’accord </w:t>
      </w:r>
      <w:r>
        <w:t xml:space="preserve">préalable et </w:t>
      </w:r>
      <w:r w:rsidRPr="00100487">
        <w:t>exprès du Sénat, mentionner que son exploitation a reçu l’aval ou une quelconque garantie ou caution donnée par le Sénat.</w:t>
      </w:r>
    </w:p>
    <w:p w14:paraId="44207304" w14:textId="7C929EA3" w:rsidR="00417121" w:rsidRDefault="00417121" w:rsidP="00D42EEB">
      <w:pPr>
        <w:spacing w:after="240"/>
        <w:jc w:val="both"/>
      </w:pPr>
      <w:r>
        <w:lastRenderedPageBreak/>
        <w:t xml:space="preserve">Toute action de communication impliquant ou mentionnant le nom du Sénat ou le nom du Comptoir Médicis fait l’objet d’une autorisation préalable et expresse du Sénat. </w:t>
      </w:r>
    </w:p>
    <w:p w14:paraId="054FA154" w14:textId="77777777" w:rsidR="008D7728" w:rsidRPr="00DF2650" w:rsidRDefault="00493015" w:rsidP="008D7728">
      <w:pPr>
        <w:pStyle w:val="DCETitre1"/>
      </w:pPr>
      <w:bookmarkStart w:id="60" w:name="_Toc208852172"/>
      <w:r w:rsidRPr="00DF2650">
        <w:t xml:space="preserve">Obligations </w:t>
      </w:r>
      <w:r w:rsidR="008D7728" w:rsidRPr="00DF2650">
        <w:t>à la charge du titulaire</w:t>
      </w:r>
      <w:bookmarkEnd w:id="60"/>
    </w:p>
    <w:p w14:paraId="5AECCC76" w14:textId="77777777" w:rsidR="00DF2650" w:rsidRPr="00B81517" w:rsidRDefault="00F060A8" w:rsidP="00F04245">
      <w:pPr>
        <w:pStyle w:val="DCETitre2"/>
        <w:tabs>
          <w:tab w:val="clear" w:pos="1283"/>
          <w:tab w:val="num" w:pos="792"/>
        </w:tabs>
        <w:ind w:left="792"/>
      </w:pPr>
      <w:bookmarkStart w:id="61" w:name="_Toc432598850"/>
      <w:bookmarkStart w:id="62" w:name="_Toc221509115"/>
      <w:bookmarkStart w:id="63" w:name="_Toc221528392"/>
      <w:bookmarkStart w:id="64" w:name="_Toc221686356"/>
      <w:bookmarkStart w:id="65" w:name="_Toc221687392"/>
      <w:bookmarkStart w:id="66" w:name="_Toc223775895"/>
      <w:bookmarkStart w:id="67" w:name="_Toc232576634"/>
      <w:bookmarkStart w:id="68" w:name="_Toc232577019"/>
      <w:bookmarkStart w:id="69" w:name="_Toc409517149"/>
      <w:r>
        <w:t xml:space="preserve"> </w:t>
      </w:r>
      <w:bookmarkStart w:id="70" w:name="_Toc208852173"/>
      <w:r w:rsidR="00DF2650" w:rsidRPr="00B81517">
        <w:t>Ouverture et fermeture</w:t>
      </w:r>
      <w:bookmarkEnd w:id="61"/>
      <w:bookmarkEnd w:id="70"/>
    </w:p>
    <w:p w14:paraId="73FEF706" w14:textId="77777777" w:rsidR="00B705EE" w:rsidRDefault="003E3D98" w:rsidP="00DF2650">
      <w:pPr>
        <w:spacing w:after="240"/>
        <w:jc w:val="both"/>
      </w:pPr>
      <w:r w:rsidRPr="003E3D98">
        <w:t>La boutique est ouverte du lundi au vendredi</w:t>
      </w:r>
      <w:r w:rsidR="00B705EE">
        <w:t>.</w:t>
      </w:r>
    </w:p>
    <w:p w14:paraId="44A51079" w14:textId="77777777" w:rsidR="00B705EE" w:rsidRDefault="00B705EE" w:rsidP="00DF2650">
      <w:pPr>
        <w:spacing w:after="240"/>
        <w:jc w:val="both"/>
      </w:pPr>
      <w:r>
        <w:t>Elle peut être ouverte</w:t>
      </w:r>
      <w:r w:rsidR="00565AAC">
        <w:t xml:space="preserve"> le samedi et le dimanche,</w:t>
      </w:r>
      <w:r>
        <w:t xml:space="preserve"> soit </w:t>
      </w:r>
      <w:r w:rsidR="003E3D98">
        <w:t>à la demande du titulaire</w:t>
      </w:r>
      <w:r w:rsidR="00565AAC">
        <w:t>,</w:t>
      </w:r>
      <w:r>
        <w:t xml:space="preserve"> soit à la demande du Sénat</w:t>
      </w:r>
      <w:r w:rsidR="003E3D98" w:rsidRPr="003E3D98">
        <w:t xml:space="preserve"> lors d</w:t>
      </w:r>
      <w:r w:rsidR="00565AAC">
        <w:t>’évènements</w:t>
      </w:r>
      <w:r w:rsidR="002C714C">
        <w:t xml:space="preserve"> exceptionnels (Journées européennes du P</w:t>
      </w:r>
      <w:r w:rsidR="003E3D98" w:rsidRPr="003E3D98">
        <w:t>atrimoine...)</w:t>
      </w:r>
      <w:r w:rsidR="003E3D98">
        <w:t>.</w:t>
      </w:r>
      <w:r w:rsidR="00DF2650" w:rsidRPr="00100487">
        <w:t xml:space="preserve"> </w:t>
      </w:r>
    </w:p>
    <w:p w14:paraId="496CA681" w14:textId="79E7F85F" w:rsidR="00DF2650" w:rsidRPr="00100487" w:rsidRDefault="00DF2650" w:rsidP="00DF2650">
      <w:pPr>
        <w:spacing w:after="240"/>
        <w:jc w:val="both"/>
      </w:pPr>
      <w:r w:rsidRPr="00100487">
        <w:t>Le</w:t>
      </w:r>
      <w:r w:rsidR="00AC3DBC">
        <w:t>s</w:t>
      </w:r>
      <w:r w:rsidRPr="00100487">
        <w:t xml:space="preserve"> </w:t>
      </w:r>
      <w:r w:rsidR="00AC3DBC">
        <w:t>horaires</w:t>
      </w:r>
      <w:r w:rsidR="00F060A8">
        <w:t xml:space="preserve"> d’ouverture de la boutique </w:t>
      </w:r>
      <w:r w:rsidRPr="00100487">
        <w:t>ainsi que ses</w:t>
      </w:r>
      <w:r w:rsidR="005E45D6">
        <w:t xml:space="preserve"> dates de fermeture</w:t>
      </w:r>
      <w:r w:rsidR="00AC3DBC">
        <w:t xml:space="preserve"> sont ceux indiqués par le </w:t>
      </w:r>
      <w:r w:rsidR="00B705EE">
        <w:t>titulaire</w:t>
      </w:r>
      <w:r w:rsidR="00AC3DBC">
        <w:t xml:space="preserve"> dans son offre. Ces fermeture</w:t>
      </w:r>
      <w:r w:rsidR="009C15DF">
        <w:t>s</w:t>
      </w:r>
      <w:r w:rsidRPr="00100487">
        <w:t xml:space="preserve"> ont lieu lors des périodes de suspension des travaux parlementaires</w:t>
      </w:r>
      <w:r w:rsidR="009C15DF">
        <w:t>, sauf autorisation préalable et expresse du Sénat</w:t>
      </w:r>
      <w:r w:rsidRPr="00100487">
        <w:t>.</w:t>
      </w:r>
    </w:p>
    <w:p w14:paraId="683C8252" w14:textId="4E40CFC8" w:rsidR="00DF2650" w:rsidRPr="0088045F" w:rsidRDefault="009C15DF" w:rsidP="009C15DF">
      <w:pPr>
        <w:keepNext/>
        <w:pBdr>
          <w:top w:val="single" w:sz="4" w:space="6" w:color="auto"/>
          <w:left w:val="single" w:sz="4" w:space="1" w:color="auto"/>
          <w:bottom w:val="single" w:sz="4" w:space="6" w:color="auto"/>
          <w:right w:val="single" w:sz="4" w:space="1" w:color="auto"/>
        </w:pBdr>
        <w:spacing w:before="120" w:after="120"/>
        <w:jc w:val="center"/>
        <w:rPr>
          <w:b/>
          <w:iCs/>
          <w:sz w:val="20"/>
          <w:szCs w:val="20"/>
        </w:rPr>
      </w:pPr>
      <w:r w:rsidRPr="0088045F">
        <w:rPr>
          <w:b/>
          <w:iCs/>
          <w:sz w:val="20"/>
          <w:szCs w:val="20"/>
        </w:rPr>
        <w:t>Note aux soumissionnaires</w:t>
      </w:r>
    </w:p>
    <w:p w14:paraId="74606D5C" w14:textId="364B9219" w:rsidR="00DF2650" w:rsidRPr="0088045F" w:rsidRDefault="00DF2650" w:rsidP="009C15DF">
      <w:pPr>
        <w:keepNext/>
        <w:pBdr>
          <w:top w:val="single" w:sz="4" w:space="6" w:color="auto"/>
          <w:left w:val="single" w:sz="4" w:space="1" w:color="auto"/>
          <w:bottom w:val="single" w:sz="4" w:space="6" w:color="auto"/>
          <w:right w:val="single" w:sz="4" w:space="1" w:color="auto"/>
        </w:pBdr>
        <w:spacing w:before="120" w:after="120"/>
        <w:jc w:val="both"/>
        <w:rPr>
          <w:sz w:val="20"/>
          <w:szCs w:val="20"/>
        </w:rPr>
      </w:pPr>
      <w:r w:rsidRPr="0088045F">
        <w:rPr>
          <w:sz w:val="20"/>
          <w:szCs w:val="20"/>
        </w:rPr>
        <w:t xml:space="preserve">Les jours de présence habituelle des </w:t>
      </w:r>
      <w:r w:rsidR="00512D71" w:rsidRPr="0088045F">
        <w:rPr>
          <w:sz w:val="20"/>
          <w:szCs w:val="20"/>
        </w:rPr>
        <w:t>s</w:t>
      </w:r>
      <w:r w:rsidRPr="0088045F">
        <w:rPr>
          <w:sz w:val="20"/>
          <w:szCs w:val="20"/>
        </w:rPr>
        <w:t>énateurs sont les mardi</w:t>
      </w:r>
      <w:r w:rsidR="00162BC0" w:rsidRPr="0088045F">
        <w:rPr>
          <w:sz w:val="20"/>
          <w:szCs w:val="20"/>
        </w:rPr>
        <w:t>s</w:t>
      </w:r>
      <w:r w:rsidRPr="0088045F">
        <w:rPr>
          <w:sz w:val="20"/>
          <w:szCs w:val="20"/>
        </w:rPr>
        <w:t>, mercredi</w:t>
      </w:r>
      <w:r w:rsidR="00162BC0" w:rsidRPr="0088045F">
        <w:rPr>
          <w:sz w:val="20"/>
          <w:szCs w:val="20"/>
        </w:rPr>
        <w:t>s</w:t>
      </w:r>
      <w:r w:rsidRPr="0088045F">
        <w:rPr>
          <w:sz w:val="20"/>
          <w:szCs w:val="20"/>
        </w:rPr>
        <w:t xml:space="preserve"> et jeudi</w:t>
      </w:r>
      <w:r w:rsidR="00162BC0" w:rsidRPr="0088045F">
        <w:rPr>
          <w:sz w:val="20"/>
          <w:szCs w:val="20"/>
        </w:rPr>
        <w:t>s</w:t>
      </w:r>
      <w:r w:rsidR="008F0752" w:rsidRPr="0088045F">
        <w:rPr>
          <w:sz w:val="20"/>
          <w:szCs w:val="20"/>
        </w:rPr>
        <w:t xml:space="preserve"> de chaque semaine</w:t>
      </w:r>
      <w:r w:rsidRPr="0088045F">
        <w:rPr>
          <w:sz w:val="20"/>
          <w:szCs w:val="20"/>
        </w:rPr>
        <w:t xml:space="preserve"> lorsque le Sénat siège. Il est toutefois fréquent que le Sénat siège les lundi</w:t>
      </w:r>
      <w:r w:rsidR="000B0D52" w:rsidRPr="0088045F">
        <w:rPr>
          <w:sz w:val="20"/>
          <w:szCs w:val="20"/>
        </w:rPr>
        <w:t>s</w:t>
      </w:r>
      <w:r w:rsidRPr="0088045F">
        <w:rPr>
          <w:sz w:val="20"/>
          <w:szCs w:val="20"/>
        </w:rPr>
        <w:t xml:space="preserve"> et vendredi</w:t>
      </w:r>
      <w:r w:rsidR="000B0D52" w:rsidRPr="0088045F">
        <w:rPr>
          <w:sz w:val="20"/>
          <w:szCs w:val="20"/>
        </w:rPr>
        <w:t>s</w:t>
      </w:r>
      <w:r w:rsidRPr="0088045F">
        <w:rPr>
          <w:sz w:val="20"/>
          <w:szCs w:val="20"/>
        </w:rPr>
        <w:t xml:space="preserve"> au cours des semaines </w:t>
      </w:r>
      <w:r w:rsidR="00B705EE" w:rsidRPr="0088045F">
        <w:rPr>
          <w:sz w:val="20"/>
          <w:szCs w:val="20"/>
        </w:rPr>
        <w:t>réservées à l’ordre du jour du</w:t>
      </w:r>
      <w:r w:rsidRPr="0088045F">
        <w:rPr>
          <w:sz w:val="20"/>
          <w:szCs w:val="20"/>
        </w:rPr>
        <w:t xml:space="preserve"> Gouvernement </w:t>
      </w:r>
      <w:r w:rsidR="00162BC0" w:rsidRPr="0088045F">
        <w:rPr>
          <w:sz w:val="20"/>
          <w:szCs w:val="20"/>
        </w:rPr>
        <w:t>à l</w:t>
      </w:r>
      <w:r w:rsidRPr="0088045F">
        <w:rPr>
          <w:sz w:val="20"/>
          <w:szCs w:val="20"/>
        </w:rPr>
        <w:t xml:space="preserve">’automne lors de l’examen </w:t>
      </w:r>
      <w:r w:rsidR="00512D71" w:rsidRPr="0088045F">
        <w:rPr>
          <w:sz w:val="20"/>
          <w:szCs w:val="20"/>
        </w:rPr>
        <w:t xml:space="preserve">des </w:t>
      </w:r>
      <w:r w:rsidR="00B705EE" w:rsidRPr="0088045F">
        <w:rPr>
          <w:sz w:val="20"/>
          <w:szCs w:val="20"/>
        </w:rPr>
        <w:t>textes budgétaires</w:t>
      </w:r>
      <w:r w:rsidRPr="0088045F">
        <w:rPr>
          <w:sz w:val="20"/>
          <w:szCs w:val="20"/>
        </w:rPr>
        <w:t>.</w:t>
      </w:r>
    </w:p>
    <w:p w14:paraId="32506001" w14:textId="003BBB57" w:rsidR="00DF2650" w:rsidRPr="0088045F" w:rsidRDefault="00DF2650" w:rsidP="009C15DF">
      <w:pPr>
        <w:pBdr>
          <w:top w:val="single" w:sz="4" w:space="6" w:color="auto"/>
          <w:left w:val="single" w:sz="4" w:space="1" w:color="auto"/>
          <w:bottom w:val="single" w:sz="4" w:space="6" w:color="auto"/>
          <w:right w:val="single" w:sz="4" w:space="1" w:color="auto"/>
        </w:pBdr>
        <w:spacing w:before="120" w:after="120"/>
        <w:jc w:val="both"/>
        <w:rPr>
          <w:sz w:val="20"/>
          <w:szCs w:val="20"/>
        </w:rPr>
      </w:pPr>
      <w:r w:rsidRPr="0088045F">
        <w:rPr>
          <w:sz w:val="20"/>
          <w:szCs w:val="20"/>
        </w:rPr>
        <w:t xml:space="preserve">À titre d’information, le calendrier de la session </w:t>
      </w:r>
      <w:r w:rsidR="00AC3DBC" w:rsidRPr="0088045F">
        <w:rPr>
          <w:sz w:val="20"/>
          <w:szCs w:val="20"/>
        </w:rPr>
        <w:t>2025-2026</w:t>
      </w:r>
      <w:r w:rsidRPr="0088045F">
        <w:rPr>
          <w:sz w:val="20"/>
          <w:szCs w:val="20"/>
        </w:rPr>
        <w:t xml:space="preserve"> est joint en annexe</w:t>
      </w:r>
      <w:r w:rsidR="005F17C7" w:rsidRPr="0088045F">
        <w:rPr>
          <w:sz w:val="20"/>
          <w:szCs w:val="20"/>
        </w:rPr>
        <w:t xml:space="preserve"> au </w:t>
      </w:r>
      <w:r w:rsidR="00B705EE" w:rsidRPr="0088045F">
        <w:rPr>
          <w:sz w:val="20"/>
          <w:szCs w:val="20"/>
        </w:rPr>
        <w:t>présent contrat</w:t>
      </w:r>
      <w:r w:rsidR="00DB2D16">
        <w:rPr>
          <w:sz w:val="20"/>
          <w:szCs w:val="20"/>
        </w:rPr>
        <w:t xml:space="preserve"> (annexe 3)</w:t>
      </w:r>
      <w:r w:rsidRPr="0088045F">
        <w:rPr>
          <w:sz w:val="20"/>
          <w:szCs w:val="20"/>
        </w:rPr>
        <w:t>.</w:t>
      </w:r>
    </w:p>
    <w:p w14:paraId="507FCA53" w14:textId="0A8FE1A1" w:rsidR="00DF2650" w:rsidRPr="00100487" w:rsidRDefault="00DF2650" w:rsidP="00DF2650">
      <w:pPr>
        <w:spacing w:after="240"/>
        <w:jc w:val="both"/>
      </w:pPr>
      <w:r w:rsidRPr="00100487">
        <w:t xml:space="preserve">Le titulaire se soumet à toute demande de fermeture exceptionnelle formulée par le Sénat, </w:t>
      </w:r>
      <w:r w:rsidR="006202B4">
        <w:t xml:space="preserve">de façon anticipée ou sans délai, le cas échéant, </w:t>
      </w:r>
      <w:r w:rsidRPr="00100487">
        <w:t xml:space="preserve">sans pouvoir prétendre à une indemnisation de quelque nature que ce soit. </w:t>
      </w:r>
      <w:r w:rsidR="00E22DD9">
        <w:t>À titre indicatif, c</w:t>
      </w:r>
      <w:r w:rsidRPr="00100487">
        <w:t xml:space="preserve">es fermetures ont pour motifs l’organisation de cérémonies officielles, les impératifs de sécurité </w:t>
      </w:r>
      <w:r w:rsidR="005F17C7">
        <w:t xml:space="preserve">ou encore </w:t>
      </w:r>
      <w:r w:rsidRPr="00100487">
        <w:t>la réalisation de travaux.</w:t>
      </w:r>
    </w:p>
    <w:p w14:paraId="75D30038" w14:textId="026BA9FE" w:rsidR="00DF2650" w:rsidRPr="00100487" w:rsidRDefault="00244F08" w:rsidP="00F04245">
      <w:pPr>
        <w:pStyle w:val="DCETitre2"/>
        <w:tabs>
          <w:tab w:val="clear" w:pos="1283"/>
          <w:tab w:val="num" w:pos="792"/>
        </w:tabs>
        <w:ind w:left="792"/>
      </w:pPr>
      <w:bookmarkStart w:id="71" w:name="_Toc432598853"/>
      <w:r>
        <w:t xml:space="preserve"> </w:t>
      </w:r>
      <w:bookmarkStart w:id="72" w:name="_Toc208852174"/>
      <w:r w:rsidR="00DF2650" w:rsidRPr="00100487">
        <w:t>Sécurité</w:t>
      </w:r>
      <w:bookmarkEnd w:id="71"/>
      <w:bookmarkEnd w:id="72"/>
    </w:p>
    <w:p w14:paraId="1D7F0AC2" w14:textId="77777777" w:rsidR="00D83628" w:rsidRDefault="00DF2650" w:rsidP="00DF2650">
      <w:pPr>
        <w:spacing w:after="240"/>
        <w:jc w:val="both"/>
      </w:pPr>
      <w:r w:rsidRPr="00100487">
        <w:t xml:space="preserve">Les locaux mis à disposition bénéficient du système de sécurité incendie du Sénat. </w:t>
      </w:r>
      <w:r w:rsidR="00A6420A">
        <w:t>Le titulaire</w:t>
      </w:r>
      <w:r w:rsidRPr="00100487">
        <w:t xml:space="preserve"> se conforme aux instructions du Sénat en matière de sûreté et de sécurité incendie.</w:t>
      </w:r>
      <w:r w:rsidR="00BC1632">
        <w:t xml:space="preserve"> </w:t>
      </w:r>
    </w:p>
    <w:p w14:paraId="6E6BA693" w14:textId="33153FEE" w:rsidR="00DB638C" w:rsidRPr="00100487" w:rsidRDefault="00DF2650" w:rsidP="00DF2650">
      <w:pPr>
        <w:spacing w:after="240"/>
        <w:jc w:val="both"/>
      </w:pPr>
      <w:r w:rsidRPr="00100487">
        <w:t xml:space="preserve">Le </w:t>
      </w:r>
      <w:r w:rsidR="00D83628">
        <w:t xml:space="preserve">service de sécurité du </w:t>
      </w:r>
      <w:r w:rsidRPr="00100487">
        <w:t xml:space="preserve">Sénat </w:t>
      </w:r>
      <w:r w:rsidR="00D83628">
        <w:t xml:space="preserve">accède librement </w:t>
      </w:r>
      <w:r w:rsidR="006202B4">
        <w:t>à l’ensemble des</w:t>
      </w:r>
      <w:r w:rsidRPr="00100487">
        <w:t xml:space="preserve"> locaux mis à disposition</w:t>
      </w:r>
      <w:r w:rsidR="006202B4">
        <w:t xml:space="preserve"> du titulaire</w:t>
      </w:r>
      <w:r w:rsidRPr="00100487">
        <w:t>.</w:t>
      </w:r>
    </w:p>
    <w:p w14:paraId="4B326F22" w14:textId="2E76197F" w:rsidR="00DF2650" w:rsidRPr="00100487" w:rsidRDefault="005A76A0" w:rsidP="00F04245">
      <w:pPr>
        <w:pStyle w:val="DCETitre2"/>
        <w:tabs>
          <w:tab w:val="clear" w:pos="1283"/>
          <w:tab w:val="num" w:pos="792"/>
        </w:tabs>
        <w:ind w:left="792"/>
      </w:pPr>
      <w:bookmarkStart w:id="73" w:name="_Toc432598856"/>
      <w:r>
        <w:t xml:space="preserve"> </w:t>
      </w:r>
      <w:bookmarkStart w:id="74" w:name="_Toc208852175"/>
      <w:r w:rsidR="00DF2650" w:rsidRPr="00100487">
        <w:t>Impôts et taxes</w:t>
      </w:r>
      <w:bookmarkEnd w:id="73"/>
      <w:bookmarkEnd w:id="74"/>
    </w:p>
    <w:p w14:paraId="68DE50CD" w14:textId="11F3AEF5" w:rsidR="00DF2650" w:rsidRDefault="00DF2650" w:rsidP="008F0752">
      <w:pPr>
        <w:spacing w:after="240"/>
        <w:jc w:val="both"/>
      </w:pPr>
      <w:r w:rsidRPr="00100487">
        <w:t xml:space="preserve">Le titulaire est redevable des impôts et taxes résultant de la mise à disposition pour son exploitation des locaux situés dans le Palais du </w:t>
      </w:r>
      <w:r w:rsidR="008F0752">
        <w:t>Luxembourg.</w:t>
      </w:r>
    </w:p>
    <w:p w14:paraId="60AF5F6F" w14:textId="68E96C78" w:rsidR="005A76A0" w:rsidRPr="00465C04" w:rsidRDefault="005A76A0" w:rsidP="00D63AF3">
      <w:pPr>
        <w:pStyle w:val="DCETitre2"/>
        <w:tabs>
          <w:tab w:val="clear" w:pos="1283"/>
          <w:tab w:val="num" w:pos="792"/>
        </w:tabs>
        <w:ind w:left="792"/>
      </w:pPr>
      <w:bookmarkStart w:id="75" w:name="_Toc212881562"/>
      <w:bookmarkStart w:id="76" w:name="_Toc221509121"/>
      <w:bookmarkStart w:id="77" w:name="_Toc221528398"/>
      <w:bookmarkStart w:id="78" w:name="_Toc221686362"/>
      <w:bookmarkStart w:id="79" w:name="_Toc221687398"/>
      <w:bookmarkStart w:id="80" w:name="_Toc223775901"/>
      <w:bookmarkStart w:id="81" w:name="_Toc232576640"/>
      <w:bookmarkStart w:id="82" w:name="_Toc232577025"/>
      <w:bookmarkStart w:id="83" w:name="_Toc409517155"/>
      <w:r>
        <w:t xml:space="preserve"> </w:t>
      </w:r>
      <w:bookmarkStart w:id="84" w:name="_Toc208852176"/>
      <w:r>
        <w:t xml:space="preserve">Gestion des déchets et </w:t>
      </w:r>
      <w:r w:rsidRPr="00465C04">
        <w:t>des déchets</w:t>
      </w:r>
      <w:bookmarkEnd w:id="75"/>
      <w:bookmarkEnd w:id="76"/>
      <w:bookmarkEnd w:id="77"/>
      <w:bookmarkEnd w:id="78"/>
      <w:bookmarkEnd w:id="79"/>
      <w:bookmarkEnd w:id="80"/>
      <w:bookmarkEnd w:id="81"/>
      <w:bookmarkEnd w:id="82"/>
      <w:bookmarkEnd w:id="83"/>
      <w:r>
        <w:t xml:space="preserve"> plastiques</w:t>
      </w:r>
      <w:bookmarkEnd w:id="84"/>
    </w:p>
    <w:p w14:paraId="42ED08AE" w14:textId="77777777" w:rsidR="005A76A0" w:rsidRDefault="005A76A0" w:rsidP="005A76A0">
      <w:pPr>
        <w:spacing w:after="240"/>
        <w:jc w:val="both"/>
      </w:pPr>
      <w:r w:rsidRPr="00465C04">
        <w:t xml:space="preserve">Le titulaire est responsable </w:t>
      </w:r>
      <w:r>
        <w:t xml:space="preserve">du tri et de </w:t>
      </w:r>
      <w:r w:rsidRPr="00465C04">
        <w:t xml:space="preserve">l’évacuation de tous les déchets liés à son exploitation. Les déchets sont évacués quotidiennement au lieu-dit </w:t>
      </w:r>
      <w:r>
        <w:t>terrasse des Boulingrins (côté est du Palais)</w:t>
      </w:r>
      <w:r w:rsidRPr="00465C04">
        <w:t>.</w:t>
      </w:r>
    </w:p>
    <w:p w14:paraId="4C8BB576" w14:textId="47F0232F" w:rsidR="005A76A0" w:rsidRDefault="005A76A0" w:rsidP="008F0752">
      <w:pPr>
        <w:spacing w:after="240"/>
        <w:jc w:val="both"/>
      </w:pPr>
      <w:r>
        <w:t>La production de tout déchet plastique est interdite à horizon 2030. La gestion des déchets est mise en œuvre dans les conditions mentionnées par le titulaire dans son offre et visant à satisfaire à cette obligation.</w:t>
      </w:r>
    </w:p>
    <w:p w14:paraId="33CEC66E" w14:textId="73C3D907" w:rsidR="008D7728" w:rsidRPr="00465C04" w:rsidRDefault="008D7728" w:rsidP="00E22DD9">
      <w:pPr>
        <w:pStyle w:val="DCETitre1"/>
      </w:pPr>
      <w:bookmarkStart w:id="85" w:name="_Toc208852177"/>
      <w:r w:rsidRPr="00465C04">
        <w:lastRenderedPageBreak/>
        <w:t>Personnel</w:t>
      </w:r>
      <w:bookmarkEnd w:id="62"/>
      <w:bookmarkEnd w:id="63"/>
      <w:bookmarkEnd w:id="64"/>
      <w:bookmarkEnd w:id="65"/>
      <w:bookmarkEnd w:id="66"/>
      <w:bookmarkEnd w:id="67"/>
      <w:bookmarkEnd w:id="68"/>
      <w:bookmarkEnd w:id="69"/>
      <w:bookmarkEnd w:id="85"/>
    </w:p>
    <w:p w14:paraId="05A3E8E6" w14:textId="5644D97E" w:rsidR="00C30EDF" w:rsidRPr="00465C04" w:rsidRDefault="008A5D4D" w:rsidP="00D63AF3">
      <w:pPr>
        <w:pStyle w:val="DCETitre2"/>
        <w:tabs>
          <w:tab w:val="clear" w:pos="1283"/>
          <w:tab w:val="num" w:pos="792"/>
        </w:tabs>
        <w:ind w:left="792"/>
      </w:pPr>
      <w:r>
        <w:t xml:space="preserve"> </w:t>
      </w:r>
      <w:bookmarkStart w:id="86" w:name="_Toc208852178"/>
      <w:r w:rsidR="00C30EDF" w:rsidRPr="00465C04">
        <w:t>Reprise du personnel</w:t>
      </w:r>
      <w:bookmarkEnd w:id="86"/>
    </w:p>
    <w:p w14:paraId="7C2A81DD" w14:textId="118C60F7" w:rsidR="00C30EDF" w:rsidRPr="00465C04" w:rsidRDefault="00C30EDF" w:rsidP="00C30EDF">
      <w:pPr>
        <w:pStyle w:val="DCETEXTE0"/>
      </w:pPr>
      <w:r w:rsidRPr="00465C04">
        <w:t>Le titulaire fait son affaire des obligations susceptibles de résulter d’une éventuelle application de l’article L. 1224</w:t>
      </w:r>
      <w:r w:rsidRPr="00465C04">
        <w:noBreakHyphen/>
        <w:t>1 du code du travail.</w:t>
      </w:r>
      <w:r w:rsidR="00AB2847">
        <w:t xml:space="preserve"> Il indique, le cas échéant, ses intentions en la matière dans son offre.</w:t>
      </w:r>
    </w:p>
    <w:p w14:paraId="05C4F1FA" w14:textId="723F9C14" w:rsidR="00C30EDF" w:rsidRDefault="00C30EDF" w:rsidP="00C30EDF">
      <w:pPr>
        <w:pStyle w:val="Corpsdetexte"/>
      </w:pPr>
      <w:r w:rsidRPr="00465C04">
        <w:t>Un tableau de la situation des personnels de l’actu</w:t>
      </w:r>
      <w:r w:rsidR="00F060A8">
        <w:t xml:space="preserve">el </w:t>
      </w:r>
      <w:r w:rsidR="00A6420A">
        <w:t>titulaire</w:t>
      </w:r>
      <w:r w:rsidR="00F060A8">
        <w:t xml:space="preserve"> pour </w:t>
      </w:r>
      <w:r w:rsidR="00F060A8" w:rsidRPr="00B9270E">
        <w:t>l’année 202</w:t>
      </w:r>
      <w:r w:rsidR="002C2B36" w:rsidRPr="00B9270E">
        <w:t>5</w:t>
      </w:r>
      <w:r w:rsidRPr="00B9270E">
        <w:t xml:space="preserve"> est annexé au présent cahier des charges</w:t>
      </w:r>
      <w:r w:rsidR="00F060A8" w:rsidRPr="00B9270E">
        <w:t>.</w:t>
      </w:r>
    </w:p>
    <w:p w14:paraId="169DF6FC" w14:textId="2A58952F" w:rsidR="005A76A0" w:rsidRPr="00100487" w:rsidRDefault="008A5D4D" w:rsidP="005A76A0">
      <w:pPr>
        <w:pStyle w:val="DCETitre2"/>
        <w:tabs>
          <w:tab w:val="clear" w:pos="1283"/>
          <w:tab w:val="num" w:pos="792"/>
        </w:tabs>
        <w:ind w:left="792"/>
      </w:pPr>
      <w:bookmarkStart w:id="87" w:name="_Toc361663967"/>
      <w:bookmarkStart w:id="88" w:name="_Toc432598860"/>
      <w:r>
        <w:t xml:space="preserve"> </w:t>
      </w:r>
      <w:bookmarkStart w:id="89" w:name="_Toc208852179"/>
      <w:r w:rsidR="005A76A0" w:rsidRPr="00100487">
        <w:t>Communication des informations concernant les personnels</w:t>
      </w:r>
      <w:bookmarkEnd w:id="87"/>
      <w:bookmarkEnd w:id="88"/>
      <w:bookmarkEnd w:id="89"/>
    </w:p>
    <w:p w14:paraId="4518D5FF" w14:textId="77777777" w:rsidR="005A76A0" w:rsidRPr="00100487" w:rsidRDefault="005A76A0" w:rsidP="005A76A0">
      <w:pPr>
        <w:tabs>
          <w:tab w:val="left" w:pos="5103"/>
        </w:tabs>
        <w:spacing w:before="120" w:after="120"/>
        <w:jc w:val="both"/>
      </w:pPr>
      <w:r>
        <w:t>Au plus tard vingt</w:t>
      </w:r>
      <w:r w:rsidRPr="00100487">
        <w:t xml:space="preserve"> jours après la notification de </w:t>
      </w:r>
      <w:r>
        <w:t>la concession</w:t>
      </w:r>
      <w:r w:rsidRPr="00100487">
        <w:t xml:space="preserve">, le titulaire communique la liste des personnels devant intervenir sur le site en précisant leurs nom, prénom, sexe, qualification, nature et durée du contrat, nombre d’heures et d’éventuelles précisions complémentaires (remplacement, </w:t>
      </w:r>
      <w:r w:rsidRPr="002D4130">
        <w:t>etc</w:t>
      </w:r>
      <w:r w:rsidRPr="00100487">
        <w:t>.).</w:t>
      </w:r>
    </w:p>
    <w:p w14:paraId="64D6772B" w14:textId="655F87AD" w:rsidR="005A76A0" w:rsidRPr="00100487" w:rsidRDefault="005A76A0" w:rsidP="005A76A0">
      <w:pPr>
        <w:tabs>
          <w:tab w:val="left" w:pos="5103"/>
        </w:tabs>
        <w:spacing w:before="120" w:after="120"/>
        <w:jc w:val="both"/>
      </w:pPr>
      <w:r w:rsidRPr="00100487">
        <w:t xml:space="preserve">Cette liste est communiquée à chaque modification des éléments y figurant, notamment à chaque affectation de personnel, </w:t>
      </w:r>
      <w:r w:rsidR="00AB2847">
        <w:t>sept jours avant la prise d’effet au plus tard</w:t>
      </w:r>
      <w:r w:rsidRPr="00100487">
        <w:t>.</w:t>
      </w:r>
    </w:p>
    <w:p w14:paraId="12A69D2B" w14:textId="77777777" w:rsidR="005A76A0" w:rsidRPr="00100487" w:rsidRDefault="005A76A0" w:rsidP="005A76A0">
      <w:pPr>
        <w:tabs>
          <w:tab w:val="left" w:pos="5103"/>
        </w:tabs>
        <w:spacing w:before="120" w:after="120"/>
        <w:jc w:val="both"/>
      </w:pPr>
      <w:r>
        <w:t>Au plus tard vingt</w:t>
      </w:r>
      <w:r w:rsidRPr="00100487">
        <w:t xml:space="preserve"> jours après la notification de </w:t>
      </w:r>
      <w:r>
        <w:t>la concession</w:t>
      </w:r>
      <w:r w:rsidRPr="00100487">
        <w:t>, le titulaire fournit l’organigramme des responsables</w:t>
      </w:r>
      <w:r>
        <w:t xml:space="preserve"> de l’exploitation</w:t>
      </w:r>
      <w:r w:rsidRPr="00100487">
        <w:t xml:space="preserve">, sur le site et hors site, </w:t>
      </w:r>
      <w:r>
        <w:t xml:space="preserve">en </w:t>
      </w:r>
      <w:r w:rsidRPr="00100487">
        <w:t xml:space="preserve">incluant leurs coordonnées complètes (téléphone, </w:t>
      </w:r>
      <w:r>
        <w:t>courriel, adresse</w:t>
      </w:r>
      <w:r w:rsidRPr="00100487">
        <w:t>).</w:t>
      </w:r>
    </w:p>
    <w:p w14:paraId="1CE8275B" w14:textId="005CA3C5" w:rsidR="005A76A0" w:rsidRDefault="005A76A0" w:rsidP="005A76A0">
      <w:pPr>
        <w:tabs>
          <w:tab w:val="left" w:pos="5103"/>
        </w:tabs>
        <w:spacing w:before="120" w:after="120"/>
        <w:jc w:val="both"/>
      </w:pPr>
      <w:r w:rsidRPr="00100487">
        <w:t>Cet organigramme est communiqué à chaque modification des éléments y figurant.</w:t>
      </w:r>
    </w:p>
    <w:p w14:paraId="7D037057" w14:textId="4F0F19F8" w:rsidR="005A76A0" w:rsidRPr="00100487" w:rsidRDefault="005A76A0" w:rsidP="005A76A0">
      <w:pPr>
        <w:pStyle w:val="DCETEXTE0"/>
      </w:pPr>
      <w:r w:rsidRPr="00465C04">
        <w:t>Le t</w:t>
      </w:r>
      <w:r>
        <w:t xml:space="preserve">itulaire fournit par ailleurs chaque année </w:t>
      </w:r>
      <w:r w:rsidRPr="00465C04">
        <w:t>ses certificats fiscaux et sociaux ainsi que les pièces mentionnées à l’article D.</w:t>
      </w:r>
      <w:r>
        <w:t> </w:t>
      </w:r>
      <w:r w:rsidRPr="00465C04">
        <w:t>8222-5 du code du travail.</w:t>
      </w:r>
    </w:p>
    <w:p w14:paraId="113A9265" w14:textId="77777777" w:rsidR="005A76A0" w:rsidRPr="00100487" w:rsidRDefault="005A76A0" w:rsidP="00160CBD">
      <w:pPr>
        <w:tabs>
          <w:tab w:val="left" w:pos="5103"/>
        </w:tabs>
        <w:spacing w:after="120"/>
        <w:jc w:val="both"/>
      </w:pPr>
      <w:r w:rsidRPr="00100487">
        <w:t xml:space="preserve">Six mois avant l’achèvement de </w:t>
      </w:r>
      <w:r>
        <w:t>la concession et au plus tard dix</w:t>
      </w:r>
      <w:r w:rsidRPr="00100487">
        <w:t xml:space="preserve"> jours après la demande du Sénat, le titulaire communique les éléments</w:t>
      </w:r>
      <w:r>
        <w:t xml:space="preserve"> anonymes</w:t>
      </w:r>
      <w:r w:rsidRPr="00100487">
        <w:t xml:space="preserve"> nécessaires à l’exécution de l’obligation de reprise des personnels, notamment :</w:t>
      </w:r>
    </w:p>
    <w:p w14:paraId="0F0EF959" w14:textId="77777777" w:rsidR="005A76A0" w:rsidRPr="00100487" w:rsidRDefault="005A76A0" w:rsidP="00160CBD">
      <w:pPr>
        <w:pStyle w:val="Paragraphedeliste"/>
        <w:numPr>
          <w:ilvl w:val="1"/>
          <w:numId w:val="8"/>
        </w:numPr>
        <w:spacing w:after="120"/>
        <w:ind w:left="1491" w:hanging="357"/>
        <w:contextualSpacing w:val="0"/>
        <w:jc w:val="both"/>
      </w:pPr>
      <w:r w:rsidRPr="00100487">
        <w:t>le nombre de salariés à reprendre ;</w:t>
      </w:r>
    </w:p>
    <w:p w14:paraId="4C8077D7" w14:textId="77777777" w:rsidR="005A76A0" w:rsidRPr="00100487" w:rsidRDefault="005A76A0" w:rsidP="00160CBD">
      <w:pPr>
        <w:pStyle w:val="Paragraphedeliste"/>
        <w:numPr>
          <w:ilvl w:val="1"/>
          <w:numId w:val="8"/>
        </w:numPr>
        <w:spacing w:after="120"/>
        <w:ind w:left="1491" w:hanging="357"/>
        <w:contextualSpacing w:val="0"/>
        <w:jc w:val="both"/>
      </w:pPr>
      <w:r w:rsidRPr="00100487">
        <w:t>la nature des contrats ;</w:t>
      </w:r>
    </w:p>
    <w:p w14:paraId="778248E5" w14:textId="77777777" w:rsidR="005A76A0" w:rsidRPr="00100487" w:rsidRDefault="005A76A0" w:rsidP="00160CBD">
      <w:pPr>
        <w:pStyle w:val="Paragraphedeliste"/>
        <w:numPr>
          <w:ilvl w:val="1"/>
          <w:numId w:val="8"/>
        </w:numPr>
        <w:spacing w:after="120"/>
        <w:ind w:left="1491" w:hanging="357"/>
        <w:contextualSpacing w:val="0"/>
        <w:jc w:val="both"/>
      </w:pPr>
      <w:r w:rsidRPr="00100487">
        <w:t>les avantages dont disposent les personnels ;</w:t>
      </w:r>
    </w:p>
    <w:p w14:paraId="5C337891" w14:textId="77777777" w:rsidR="005A76A0" w:rsidRPr="00100487" w:rsidRDefault="005A76A0" w:rsidP="00160CBD">
      <w:pPr>
        <w:pStyle w:val="Paragraphedeliste"/>
        <w:numPr>
          <w:ilvl w:val="1"/>
          <w:numId w:val="8"/>
        </w:numPr>
        <w:spacing w:after="120"/>
        <w:ind w:left="1491" w:hanging="357"/>
        <w:contextualSpacing w:val="0"/>
        <w:jc w:val="both"/>
      </w:pPr>
      <w:r w:rsidRPr="00100487">
        <w:t>leur expérience, ancienneté et qualification ;</w:t>
      </w:r>
    </w:p>
    <w:p w14:paraId="3DA54AC9" w14:textId="77777777" w:rsidR="005A76A0" w:rsidRPr="00100487" w:rsidRDefault="005A76A0" w:rsidP="00160CBD">
      <w:pPr>
        <w:pStyle w:val="Paragraphedeliste"/>
        <w:numPr>
          <w:ilvl w:val="1"/>
          <w:numId w:val="8"/>
        </w:numPr>
        <w:spacing w:after="120"/>
        <w:ind w:left="1491" w:hanging="357"/>
        <w:contextualSpacing w:val="0"/>
        <w:jc w:val="both"/>
      </w:pPr>
      <w:r w:rsidRPr="00100487">
        <w:t>le montant de la masse salariale.</w:t>
      </w:r>
    </w:p>
    <w:p w14:paraId="0932E162" w14:textId="77777777" w:rsidR="005A76A0" w:rsidRPr="00100487" w:rsidRDefault="005A76A0" w:rsidP="005A76A0">
      <w:pPr>
        <w:pStyle w:val="DCETitre2"/>
        <w:tabs>
          <w:tab w:val="clear" w:pos="1283"/>
          <w:tab w:val="num" w:pos="792"/>
        </w:tabs>
        <w:ind w:left="792"/>
      </w:pPr>
      <w:bookmarkStart w:id="90" w:name="_Toc359084895"/>
      <w:bookmarkStart w:id="91" w:name="_Toc361663968"/>
      <w:bookmarkStart w:id="92" w:name="_Toc432598861"/>
      <w:r>
        <w:t xml:space="preserve"> </w:t>
      </w:r>
      <w:bookmarkStart w:id="93" w:name="_Toc208852180"/>
      <w:r w:rsidRPr="00100487">
        <w:t>Stabilité du personnel</w:t>
      </w:r>
      <w:bookmarkEnd w:id="90"/>
      <w:r w:rsidRPr="00100487">
        <w:t xml:space="preserve"> et remplacements</w:t>
      </w:r>
      <w:bookmarkEnd w:id="91"/>
      <w:bookmarkEnd w:id="92"/>
      <w:bookmarkEnd w:id="93"/>
    </w:p>
    <w:p w14:paraId="7FFD1057" w14:textId="77777777" w:rsidR="005A76A0" w:rsidRPr="00100487" w:rsidRDefault="005A76A0" w:rsidP="005A76A0">
      <w:pPr>
        <w:tabs>
          <w:tab w:val="left" w:pos="5103"/>
        </w:tabs>
        <w:spacing w:before="120" w:after="120"/>
        <w:jc w:val="both"/>
      </w:pPr>
      <w:r w:rsidRPr="00100487">
        <w:t xml:space="preserve">En application des mesures de sécurité en vigueur dans les locaux du Palais du Luxembourg et </w:t>
      </w:r>
      <w:r>
        <w:t xml:space="preserve">de </w:t>
      </w:r>
      <w:r w:rsidRPr="00100487">
        <w:t xml:space="preserve">ses dépendances, mais aussi de la spécificité de la clientèle, le titulaire veille à assurer </w:t>
      </w:r>
      <w:r>
        <w:t>la</w:t>
      </w:r>
      <w:r w:rsidRPr="00100487">
        <w:t xml:space="preserve"> stabilité des personnels qu’il affecte à la boutique.</w:t>
      </w:r>
    </w:p>
    <w:p w14:paraId="2A68CC19" w14:textId="4210482B" w:rsidR="005A76A0" w:rsidRPr="00100487" w:rsidRDefault="008A5D4D" w:rsidP="005A76A0">
      <w:pPr>
        <w:tabs>
          <w:tab w:val="left" w:pos="5103"/>
        </w:tabs>
        <w:spacing w:before="120" w:after="120"/>
        <w:jc w:val="both"/>
      </w:pPr>
      <w:r>
        <w:t xml:space="preserve">La constatation par le Sénat de défaillances du personnel dans l’exécution de ses tâches donne lieu à son remplacement immédiat par le titulaire. </w:t>
      </w:r>
    </w:p>
    <w:p w14:paraId="116AA38A" w14:textId="34EBD486" w:rsidR="005A76A0" w:rsidRDefault="008A5D4D" w:rsidP="005A76A0">
      <w:pPr>
        <w:tabs>
          <w:tab w:val="left" w:pos="5103"/>
        </w:tabs>
        <w:spacing w:before="120" w:after="120"/>
        <w:jc w:val="both"/>
      </w:pPr>
      <w:r>
        <w:t>L</w:t>
      </w:r>
      <w:r w:rsidR="005A76A0" w:rsidRPr="00100487">
        <w:t>e titulaire est</w:t>
      </w:r>
      <w:r>
        <w:t xml:space="preserve"> par ailleurs</w:t>
      </w:r>
      <w:r w:rsidR="005A76A0" w:rsidRPr="00100487">
        <w:t xml:space="preserve"> tenu de pallier toute carence en personnel et d’assurer l’ouverture de la boutique conformément à ses engagements.</w:t>
      </w:r>
      <w:bookmarkStart w:id="94" w:name="_Toc361663969"/>
    </w:p>
    <w:p w14:paraId="4310B169" w14:textId="77777777" w:rsidR="005A76A0" w:rsidRPr="00100487" w:rsidRDefault="005A76A0" w:rsidP="005A76A0">
      <w:pPr>
        <w:pStyle w:val="DCETitre2"/>
        <w:tabs>
          <w:tab w:val="clear" w:pos="1283"/>
          <w:tab w:val="num" w:pos="792"/>
        </w:tabs>
        <w:ind w:left="792"/>
      </w:pPr>
      <w:bookmarkStart w:id="95" w:name="_Toc432598862"/>
      <w:r>
        <w:lastRenderedPageBreak/>
        <w:t xml:space="preserve"> </w:t>
      </w:r>
      <w:bookmarkStart w:id="96" w:name="_Toc208852181"/>
      <w:r w:rsidRPr="00100487">
        <w:t>Sécurité des personnels</w:t>
      </w:r>
      <w:bookmarkEnd w:id="94"/>
      <w:bookmarkEnd w:id="95"/>
      <w:bookmarkEnd w:id="96"/>
      <w:r w:rsidRPr="00100487">
        <w:t xml:space="preserve"> </w:t>
      </w:r>
    </w:p>
    <w:p w14:paraId="7272DF89" w14:textId="77777777" w:rsidR="005A76A0" w:rsidRPr="00100487" w:rsidRDefault="005A76A0" w:rsidP="005A76A0">
      <w:pPr>
        <w:tabs>
          <w:tab w:val="left" w:pos="5103"/>
        </w:tabs>
        <w:spacing w:before="120" w:after="120"/>
        <w:jc w:val="both"/>
      </w:pPr>
      <w:r w:rsidRPr="00100487">
        <w:t>Le titulaire est soumis aux obligations résultant</w:t>
      </w:r>
      <w:r>
        <w:t xml:space="preserve"> des lois et règlements relatif</w:t>
      </w:r>
      <w:r w:rsidRPr="00100487">
        <w:t>s à la protection de la main d’œuvre et aux conditions de travail. </w:t>
      </w:r>
    </w:p>
    <w:p w14:paraId="3BF6752B" w14:textId="77777777" w:rsidR="005A76A0" w:rsidRPr="00100487" w:rsidRDefault="005A76A0" w:rsidP="005A76A0">
      <w:pPr>
        <w:tabs>
          <w:tab w:val="left" w:pos="5103"/>
        </w:tabs>
        <w:spacing w:before="120" w:after="120"/>
        <w:jc w:val="both"/>
      </w:pPr>
      <w:r w:rsidRPr="00100487">
        <w:t>Le titulaire doit être en mesure de produire, sur simple demande du Sénat, les habilitations que son personnel, aux termes de la législation, de la réglementation, de toute autre norme et des règles de l’art, doit détenir pour la bonne exécution de ses tâches. </w:t>
      </w:r>
    </w:p>
    <w:p w14:paraId="78F9C9C2" w14:textId="77777777" w:rsidR="005A76A0" w:rsidRPr="00100487" w:rsidRDefault="005A76A0" w:rsidP="005A76A0">
      <w:pPr>
        <w:pStyle w:val="DCETitre2"/>
        <w:tabs>
          <w:tab w:val="clear" w:pos="1283"/>
          <w:tab w:val="num" w:pos="792"/>
        </w:tabs>
        <w:ind w:left="792"/>
      </w:pPr>
      <w:bookmarkStart w:id="97" w:name="_Toc359084897"/>
      <w:bookmarkStart w:id="98" w:name="_Toc361663970"/>
      <w:bookmarkStart w:id="99" w:name="_Toc432598863"/>
      <w:r>
        <w:t xml:space="preserve"> </w:t>
      </w:r>
      <w:bookmarkStart w:id="100" w:name="_Toc208852182"/>
      <w:r>
        <w:t>Neutralité, discrétion et c</w:t>
      </w:r>
      <w:r w:rsidRPr="00100487">
        <w:t>onfidentialité</w:t>
      </w:r>
      <w:bookmarkEnd w:id="97"/>
      <w:r w:rsidRPr="00100487">
        <w:t xml:space="preserve"> professionnelle</w:t>
      </w:r>
      <w:bookmarkEnd w:id="98"/>
      <w:bookmarkEnd w:id="99"/>
      <w:r>
        <w:t>s</w:t>
      </w:r>
      <w:bookmarkEnd w:id="100"/>
    </w:p>
    <w:p w14:paraId="21BE2132" w14:textId="77777777" w:rsidR="005A76A0" w:rsidRPr="00100487" w:rsidRDefault="005A76A0" w:rsidP="005A76A0">
      <w:pPr>
        <w:tabs>
          <w:tab w:val="left" w:pos="5103"/>
        </w:tabs>
        <w:spacing w:before="120" w:after="120"/>
        <w:jc w:val="both"/>
      </w:pPr>
      <w:r w:rsidRPr="00100487">
        <w:t xml:space="preserve">Les personnels du titulaire sont liés par </w:t>
      </w:r>
      <w:r>
        <w:t>une obligation générale de neutralité, politique et religieuse, et de discrétion dans la tenue et le comportement, ainsi que par une obligation</w:t>
      </w:r>
      <w:r w:rsidRPr="00100487">
        <w:t xml:space="preserve"> de </w:t>
      </w:r>
      <w:r>
        <w:t xml:space="preserve">confidentialité </w:t>
      </w:r>
      <w:r w:rsidRPr="00100487">
        <w:t xml:space="preserve">professionnelle pour tout ce qui concerne les faits et informations dont ils peuvent avoir connaissance dans l’exercice de leurs fonctions. Cette obligation perdure après le terme de </w:t>
      </w:r>
      <w:r>
        <w:t>la concession</w:t>
      </w:r>
      <w:r w:rsidRPr="00100487">
        <w:t>.</w:t>
      </w:r>
    </w:p>
    <w:p w14:paraId="160C4F9C" w14:textId="437AD922" w:rsidR="005A76A0" w:rsidRPr="00100487" w:rsidRDefault="005A76A0" w:rsidP="005A76A0">
      <w:pPr>
        <w:tabs>
          <w:tab w:val="left" w:pos="5103"/>
        </w:tabs>
        <w:spacing w:before="120" w:after="120"/>
        <w:jc w:val="both"/>
      </w:pPr>
      <w:r w:rsidRPr="00100487">
        <w:t>Il leur est interdit de fournir directement ou indirectement à un tiers tout renseignement ou document, ou de relater les faits qui peuvent se dérouler dans l</w:t>
      </w:r>
      <w:r w:rsidR="00244F08">
        <w:t>’</w:t>
      </w:r>
      <w:r w:rsidRPr="00100487">
        <w:t>enceinte du Palais et de ses dépendances.</w:t>
      </w:r>
    </w:p>
    <w:p w14:paraId="7156E258" w14:textId="77777777" w:rsidR="005A76A0" w:rsidRPr="00100487" w:rsidRDefault="005A76A0" w:rsidP="005A76A0">
      <w:pPr>
        <w:tabs>
          <w:tab w:val="left" w:pos="5103"/>
        </w:tabs>
        <w:spacing w:before="120" w:after="120"/>
        <w:jc w:val="both"/>
      </w:pPr>
      <w:r w:rsidRPr="00100487">
        <w:t>Le titulaire s’engage donc à obtenir de l’ensemble de ses personnels qu’ils respectent strictement ces obligations de discrétion professionnelle renforcée.</w:t>
      </w:r>
    </w:p>
    <w:p w14:paraId="2D363F88" w14:textId="77777777" w:rsidR="005A76A0" w:rsidRPr="00100487" w:rsidRDefault="005A76A0" w:rsidP="005A76A0">
      <w:pPr>
        <w:tabs>
          <w:tab w:val="left" w:pos="5103"/>
        </w:tabs>
        <w:spacing w:before="120" w:after="120"/>
        <w:jc w:val="both"/>
      </w:pPr>
      <w:r w:rsidRPr="00100487">
        <w:t xml:space="preserve">Aucune photographie ou vidéo ne peut être prise dans </w:t>
      </w:r>
      <w:r>
        <w:t>le Palais</w:t>
      </w:r>
      <w:r w:rsidRPr="00100487">
        <w:t xml:space="preserve"> sans l’autorisation du Sénat.</w:t>
      </w:r>
    </w:p>
    <w:p w14:paraId="15301E19" w14:textId="77777777" w:rsidR="005A76A0" w:rsidRPr="00100487" w:rsidRDefault="005A76A0" w:rsidP="005A76A0">
      <w:pPr>
        <w:tabs>
          <w:tab w:val="left" w:pos="5103"/>
        </w:tabs>
        <w:spacing w:before="120" w:after="120"/>
        <w:jc w:val="both"/>
      </w:pPr>
      <w:r w:rsidRPr="00100487">
        <w:t>De même, toute paruti</w:t>
      </w:r>
      <w:r>
        <w:t>on portant sur les prestations faisant l’</w:t>
      </w:r>
      <w:r w:rsidRPr="00100487">
        <w:t xml:space="preserve">objet de </w:t>
      </w:r>
      <w:r>
        <w:t>la concession</w:t>
      </w:r>
      <w:r w:rsidRPr="00100487">
        <w:t xml:space="preserve"> (article de presse, plaquette publicitaire, photographies, </w:t>
      </w:r>
      <w:r w:rsidRPr="002D4130">
        <w:t>etc</w:t>
      </w:r>
      <w:r w:rsidRPr="00100487">
        <w:t>.) devra faire l’objet d’une autorisation préalable du Sénat.</w:t>
      </w:r>
    </w:p>
    <w:p w14:paraId="58AB0370" w14:textId="4469DE33" w:rsidR="002D4130" w:rsidRPr="00100487" w:rsidRDefault="002D4130" w:rsidP="00F04245">
      <w:pPr>
        <w:pStyle w:val="DCETitre1"/>
        <w:numPr>
          <w:ilvl w:val="0"/>
          <w:numId w:val="1"/>
        </w:numPr>
        <w:ind w:left="1843" w:hanging="1843"/>
        <w:jc w:val="both"/>
      </w:pPr>
      <w:bookmarkStart w:id="101" w:name="_Toc361663963"/>
      <w:bookmarkStart w:id="102" w:name="_Toc432598857"/>
      <w:bookmarkStart w:id="103" w:name="_Toc208852183"/>
      <w:r w:rsidRPr="00100487">
        <w:t>A</w:t>
      </w:r>
      <w:r>
        <w:t>ccès</w:t>
      </w:r>
      <w:bookmarkEnd w:id="101"/>
      <w:bookmarkEnd w:id="102"/>
      <w:r w:rsidR="005A76A0">
        <w:t xml:space="preserve"> et circulation</w:t>
      </w:r>
      <w:bookmarkEnd w:id="103"/>
    </w:p>
    <w:p w14:paraId="33AFD2A1" w14:textId="040AAD56" w:rsidR="002D4130" w:rsidRPr="00100487" w:rsidRDefault="008A5D4D" w:rsidP="00F04245">
      <w:pPr>
        <w:pStyle w:val="DCETitre2"/>
        <w:tabs>
          <w:tab w:val="clear" w:pos="1283"/>
          <w:tab w:val="num" w:pos="792"/>
        </w:tabs>
        <w:ind w:left="792"/>
      </w:pPr>
      <w:bookmarkStart w:id="104" w:name="_Toc361663964"/>
      <w:bookmarkStart w:id="105" w:name="_Toc432598858"/>
      <w:r>
        <w:t xml:space="preserve"> </w:t>
      </w:r>
      <w:bookmarkStart w:id="106" w:name="_Toc208852184"/>
      <w:bookmarkEnd w:id="104"/>
      <w:bookmarkEnd w:id="105"/>
      <w:r w:rsidR="004420F6">
        <w:t>Modalités d’accès</w:t>
      </w:r>
      <w:bookmarkEnd w:id="106"/>
    </w:p>
    <w:p w14:paraId="03A3743F" w14:textId="77777777" w:rsidR="002D4130" w:rsidRPr="00100487" w:rsidRDefault="00671D20" w:rsidP="002D4130">
      <w:pPr>
        <w:tabs>
          <w:tab w:val="left" w:pos="5103"/>
        </w:tabs>
        <w:spacing w:before="120" w:after="120"/>
        <w:jc w:val="both"/>
      </w:pPr>
      <w:r>
        <w:t>Le</w:t>
      </w:r>
      <w:r w:rsidR="002D4130" w:rsidRPr="00100487">
        <w:t xml:space="preserve"> titulaire et ses personnels désignés se voient délivrer</w:t>
      </w:r>
      <w:r w:rsidR="002D4130">
        <w:t xml:space="preserve"> </w:t>
      </w:r>
      <w:r w:rsidR="002D4130" w:rsidRPr="00100487">
        <w:t>un titre d’accès au Sénat.</w:t>
      </w:r>
    </w:p>
    <w:p w14:paraId="30AF472A" w14:textId="77777777" w:rsidR="002D4130" w:rsidRPr="00100487" w:rsidRDefault="002D4130" w:rsidP="002D4130">
      <w:pPr>
        <w:tabs>
          <w:tab w:val="left" w:pos="5103"/>
        </w:tabs>
        <w:spacing w:before="120" w:after="120"/>
        <w:jc w:val="both"/>
      </w:pPr>
      <w:r w:rsidRPr="00100487">
        <w:t>Le Sénat doit être saisi dans les meilleurs délais</w:t>
      </w:r>
      <w:r w:rsidR="00F060A8">
        <w:t>,</w:t>
      </w:r>
      <w:r w:rsidRPr="00100487">
        <w:t xml:space="preserve"> et au plus tard </w:t>
      </w:r>
      <w:r>
        <w:t>72 heures à l’avance</w:t>
      </w:r>
      <w:r w:rsidR="00F060A8">
        <w:t>,</w:t>
      </w:r>
      <w:r w:rsidRPr="00100487">
        <w:t xml:space="preserve"> d’une demande d’autorisation d’accès d’un personnel affecté au Sénat, ou dont l’affectation est prolongée, ou d’un interlocuteur administratif ou commercial ayant nécessité de venir sur le site, en vue de l’établissement d’un</w:t>
      </w:r>
      <w:r w:rsidR="000F5EB8">
        <w:t>e</w:t>
      </w:r>
      <w:r w:rsidRPr="00100487">
        <w:t xml:space="preserve"> </w:t>
      </w:r>
      <w:r w:rsidR="000F5EB8">
        <w:t>autorisation</w:t>
      </w:r>
      <w:r w:rsidRPr="00100487">
        <w:t xml:space="preserve"> d’accès.</w:t>
      </w:r>
    </w:p>
    <w:p w14:paraId="4F49EB87" w14:textId="77777777" w:rsidR="002D4130" w:rsidRPr="00100487" w:rsidRDefault="002D4130" w:rsidP="002D4130">
      <w:pPr>
        <w:tabs>
          <w:tab w:val="left" w:pos="5103"/>
        </w:tabs>
        <w:spacing w:before="120" w:after="120"/>
        <w:jc w:val="both"/>
      </w:pPr>
      <w:r w:rsidRPr="00100487">
        <w:t>Pour ce faire, le titulaire doit communiquer</w:t>
      </w:r>
      <w:r w:rsidR="00F060A8">
        <w:t xml:space="preserve"> (accueils@senat.fr</w:t>
      </w:r>
      <w:r w:rsidR="00A1753C">
        <w:t>)</w:t>
      </w:r>
      <w:r w:rsidR="00DC7D51">
        <w:t xml:space="preserve"> les nom et prénom, </w:t>
      </w:r>
      <w:r w:rsidR="001E0ECB">
        <w:t xml:space="preserve">une </w:t>
      </w:r>
      <w:r w:rsidRPr="00100487">
        <w:t xml:space="preserve">copie </w:t>
      </w:r>
      <w:r w:rsidR="00DC7D51">
        <w:t>lisible de la pièce d’identité ou du</w:t>
      </w:r>
      <w:r w:rsidRPr="00100487">
        <w:t xml:space="preserve"> titre de séjour </w:t>
      </w:r>
      <w:r w:rsidR="00DC7D51" w:rsidRPr="00100487">
        <w:t>ainsi qu’une photo d’identité (l’ensemble de préférence numérisé)</w:t>
      </w:r>
      <w:r w:rsidR="00DC7D51">
        <w:t xml:space="preserve"> </w:t>
      </w:r>
      <w:r w:rsidR="00F060A8">
        <w:t>de ces personnes</w:t>
      </w:r>
      <w:r w:rsidRPr="00100487">
        <w:t>, en précisant les</w:t>
      </w:r>
      <w:r w:rsidR="00DC7D51">
        <w:t xml:space="preserve"> raisons de cette affectation ainsi que</w:t>
      </w:r>
      <w:r w:rsidRPr="00100487">
        <w:t xml:space="preserve"> sa durée. </w:t>
      </w:r>
    </w:p>
    <w:p w14:paraId="61DD68A4" w14:textId="0344DB63" w:rsidR="002D4130" w:rsidRPr="00100487" w:rsidRDefault="002D4130" w:rsidP="002D4130">
      <w:pPr>
        <w:tabs>
          <w:tab w:val="left" w:pos="5103"/>
        </w:tabs>
        <w:spacing w:before="120" w:after="120"/>
        <w:jc w:val="both"/>
      </w:pPr>
      <w:r w:rsidRPr="00100487">
        <w:t xml:space="preserve">Le personnel demandeur du titre d’accès se présente au Sénat avec </w:t>
      </w:r>
      <w:r w:rsidR="008A5D4D">
        <w:t>le</w:t>
      </w:r>
      <w:r w:rsidRPr="00100487">
        <w:t xml:space="preserve"> badge de la société et ses papiers d’identité.</w:t>
      </w:r>
    </w:p>
    <w:p w14:paraId="4F4E8D16" w14:textId="77777777" w:rsidR="00A570FB" w:rsidRPr="00100487" w:rsidRDefault="002D4130" w:rsidP="00A570FB">
      <w:pPr>
        <w:tabs>
          <w:tab w:val="left" w:pos="5103"/>
        </w:tabs>
        <w:spacing w:before="120" w:after="120"/>
        <w:jc w:val="both"/>
      </w:pPr>
      <w:r w:rsidRPr="00100487">
        <w:t xml:space="preserve">Un personnel dont la demande de titre d’accès n’aurait pas été transmise ou aurait été refusée se voit interdire l’accès au Sénat. </w:t>
      </w:r>
      <w:r w:rsidR="00A570FB">
        <w:t xml:space="preserve">Le Sénat se réserve le droit de retirer l’accès à tout personnel du titulaire, en tout temps, sans motivation. </w:t>
      </w:r>
    </w:p>
    <w:p w14:paraId="06044A2D" w14:textId="778FBA22" w:rsidR="002D4130" w:rsidRDefault="00A570FB" w:rsidP="002D4130">
      <w:pPr>
        <w:tabs>
          <w:tab w:val="left" w:pos="5103"/>
        </w:tabs>
        <w:spacing w:before="120" w:after="120"/>
        <w:jc w:val="both"/>
      </w:pPr>
      <w:r>
        <w:t>Dans ces cas, le</w:t>
      </w:r>
      <w:r w:rsidRPr="00100487">
        <w:t xml:space="preserve"> </w:t>
      </w:r>
      <w:r w:rsidR="002D4130" w:rsidRPr="00100487">
        <w:t>titulaire est alors pleinement responsable des conséquences sur le fonctionnement de la boutique qui pourraient en résulter.</w:t>
      </w:r>
    </w:p>
    <w:p w14:paraId="6D9E57B8" w14:textId="6754F3BB" w:rsidR="002D4130" w:rsidRPr="00100487" w:rsidRDefault="002D4130" w:rsidP="002D4130">
      <w:pPr>
        <w:tabs>
          <w:tab w:val="left" w:pos="5103"/>
        </w:tabs>
        <w:spacing w:before="120" w:after="120"/>
        <w:jc w:val="both"/>
      </w:pPr>
      <w:r w:rsidRPr="00100487">
        <w:lastRenderedPageBreak/>
        <w:t xml:space="preserve">Le titulaire est responsable de la bonne gestion des titres d’accès mis à sa disposition. </w:t>
      </w:r>
      <w:r w:rsidR="00A16919" w:rsidRPr="00226F98">
        <w:t xml:space="preserve">Toute perte devra être immédiatement déclarée à la Direction de </w:t>
      </w:r>
      <w:r w:rsidR="00A16919">
        <w:t xml:space="preserve">la Logistique et des Moyens généraux </w:t>
      </w:r>
      <w:r w:rsidR="00A570FB">
        <w:t>et</w:t>
      </w:r>
      <w:r w:rsidR="00A570FB" w:rsidRPr="00226F98">
        <w:t xml:space="preserve"> </w:t>
      </w:r>
      <w:r w:rsidR="00A16919" w:rsidRPr="00226F98">
        <w:t>au Poste Central (PC) Sécurité (01 42 34 21 04)</w:t>
      </w:r>
      <w:r w:rsidR="00A570FB">
        <w:t>.</w:t>
      </w:r>
    </w:p>
    <w:p w14:paraId="6E981099" w14:textId="2729C564" w:rsidR="002D4130" w:rsidRPr="00100487" w:rsidRDefault="002D4130" w:rsidP="00EF03B6">
      <w:pPr>
        <w:tabs>
          <w:tab w:val="left" w:pos="5103"/>
        </w:tabs>
        <w:spacing w:before="120" w:after="120"/>
        <w:jc w:val="both"/>
      </w:pPr>
      <w:r w:rsidRPr="00100487">
        <w:t xml:space="preserve">À </w:t>
      </w:r>
      <w:r w:rsidR="00C3149D">
        <w:t>chaque cessation de fonction, ainsi qu’à l’échéance de la concession</w:t>
      </w:r>
      <w:r w:rsidRPr="00100487">
        <w:t xml:space="preserve">, le titulaire </w:t>
      </w:r>
      <w:r w:rsidR="00DC7D51">
        <w:t>est</w:t>
      </w:r>
      <w:r w:rsidRPr="00100487">
        <w:t xml:space="preserve"> tenu de rendre</w:t>
      </w:r>
      <w:r w:rsidR="00A16919">
        <w:t xml:space="preserve"> </w:t>
      </w:r>
      <w:r w:rsidR="00A16919" w:rsidRPr="00226F98">
        <w:t xml:space="preserve">à la Direction de </w:t>
      </w:r>
      <w:r w:rsidR="00A16919">
        <w:t>la Logistique et des Moyens généraux,</w:t>
      </w:r>
      <w:r w:rsidRPr="00100487">
        <w:t xml:space="preserve"> </w:t>
      </w:r>
      <w:r w:rsidR="00A16919">
        <w:t xml:space="preserve">par lettre recommandée avec demande d’avis de réception ou par </w:t>
      </w:r>
      <w:r w:rsidR="00DE6E42">
        <w:t>r</w:t>
      </w:r>
      <w:r w:rsidR="00A16919">
        <w:t xml:space="preserve">emise en main propres contre décharge, </w:t>
      </w:r>
      <w:r w:rsidRPr="00100487">
        <w:t>les titres d’accès confiés.</w:t>
      </w:r>
    </w:p>
    <w:p w14:paraId="5AC1A701" w14:textId="13E21B12" w:rsidR="002D4130" w:rsidRDefault="00DC7D51" w:rsidP="002D4130">
      <w:pPr>
        <w:tabs>
          <w:tab w:val="left" w:pos="5103"/>
        </w:tabs>
        <w:spacing w:before="120" w:after="120"/>
        <w:jc w:val="both"/>
      </w:pPr>
      <w:r>
        <w:t xml:space="preserve">Le personnel de la boutique </w:t>
      </w:r>
      <w:r w:rsidR="002D4130" w:rsidRPr="00100487">
        <w:t xml:space="preserve">titulaire d’un titre d’accès au </w:t>
      </w:r>
      <w:r w:rsidR="002D4130">
        <w:t>Sénat</w:t>
      </w:r>
      <w:r>
        <w:t xml:space="preserve"> </w:t>
      </w:r>
      <w:r w:rsidR="002D4130" w:rsidRPr="00100487">
        <w:t xml:space="preserve">et </w:t>
      </w:r>
      <w:r w:rsidR="002D4130">
        <w:t xml:space="preserve">y </w:t>
      </w:r>
      <w:r w:rsidR="002D4130" w:rsidRPr="00100487">
        <w:t>exerçant s</w:t>
      </w:r>
      <w:r>
        <w:t>es fonctions de façon régulière</w:t>
      </w:r>
      <w:r w:rsidR="002D4130" w:rsidRPr="00100487">
        <w:t xml:space="preserve"> a accès au restauran</w:t>
      </w:r>
      <w:r w:rsidR="00C3149D">
        <w:t>t</w:t>
      </w:r>
      <w:r w:rsidR="002D4130" w:rsidRPr="00100487">
        <w:t xml:space="preserve"> </w:t>
      </w:r>
      <w:r w:rsidR="00191B08">
        <w:t>en self-service sis 36 rue Vaugirard</w:t>
      </w:r>
      <w:r w:rsidR="002D4130" w:rsidRPr="00100487">
        <w:t xml:space="preserve"> </w:t>
      </w:r>
      <w:r w:rsidR="00191B08">
        <w:t xml:space="preserve">75006 Paris </w:t>
      </w:r>
      <w:r w:rsidR="002D4130" w:rsidRPr="00100487">
        <w:t>au tarif extérieur.</w:t>
      </w:r>
    </w:p>
    <w:p w14:paraId="5230C115" w14:textId="03A113A6" w:rsidR="002D4130" w:rsidRPr="00100487" w:rsidRDefault="00DC7D51" w:rsidP="00F04245">
      <w:pPr>
        <w:pStyle w:val="DCETitre2"/>
        <w:tabs>
          <w:tab w:val="clear" w:pos="1283"/>
          <w:tab w:val="num" w:pos="792"/>
        </w:tabs>
        <w:ind w:left="792"/>
      </w:pPr>
      <w:bookmarkStart w:id="107" w:name="_Toc361663966"/>
      <w:bookmarkStart w:id="108" w:name="_Toc432598859"/>
      <w:r>
        <w:t xml:space="preserve"> </w:t>
      </w:r>
      <w:bookmarkStart w:id="109" w:name="_Toc208852185"/>
      <w:r w:rsidR="002D4130" w:rsidRPr="00100487">
        <w:t>Circulation</w:t>
      </w:r>
      <w:bookmarkEnd w:id="107"/>
      <w:bookmarkEnd w:id="109"/>
      <w:r w:rsidR="002D4130" w:rsidRPr="00100487">
        <w:t xml:space="preserve"> </w:t>
      </w:r>
      <w:bookmarkEnd w:id="108"/>
    </w:p>
    <w:p w14:paraId="336C15CD" w14:textId="41172A25" w:rsidR="002D4130" w:rsidRPr="00100487" w:rsidRDefault="002D4130" w:rsidP="002D4130">
      <w:pPr>
        <w:tabs>
          <w:tab w:val="left" w:pos="5103"/>
        </w:tabs>
        <w:spacing w:before="120" w:after="120"/>
        <w:jc w:val="both"/>
      </w:pPr>
      <w:r w:rsidRPr="00100487">
        <w:t xml:space="preserve">Le titulaire et ses personnels devront respecter les règles de circulation et de sécurité propres au Palais du Luxembourg et </w:t>
      </w:r>
      <w:r w:rsidR="00DC7D51">
        <w:t xml:space="preserve">à </w:t>
      </w:r>
      <w:r w:rsidRPr="00100487">
        <w:t>ses dépendances</w:t>
      </w:r>
      <w:r w:rsidR="00C3149D">
        <w:t xml:space="preserve"> et porter </w:t>
      </w:r>
      <w:r w:rsidR="00A570FB">
        <w:t xml:space="preserve">leur </w:t>
      </w:r>
      <w:r w:rsidR="00C3149D">
        <w:t xml:space="preserve">badge </w:t>
      </w:r>
      <w:r w:rsidR="00A570FB">
        <w:t xml:space="preserve">d’accès </w:t>
      </w:r>
      <w:r w:rsidR="00C3149D">
        <w:t>de manière apparente lors de tous leurs déplacements dans les locaux du Sénat</w:t>
      </w:r>
      <w:r w:rsidRPr="00100487">
        <w:t>. En particulier, le personnel employé se soumet à tous les contrôles de sécurité jugés nécessaires par le Sénat.</w:t>
      </w:r>
    </w:p>
    <w:p w14:paraId="479846C6" w14:textId="24ECE228" w:rsidR="002D4130" w:rsidRPr="00100487" w:rsidRDefault="00606742" w:rsidP="00F04245">
      <w:pPr>
        <w:pStyle w:val="DCETitre2"/>
        <w:tabs>
          <w:tab w:val="clear" w:pos="1283"/>
          <w:tab w:val="num" w:pos="792"/>
        </w:tabs>
        <w:ind w:left="792"/>
      </w:pPr>
      <w:bookmarkStart w:id="110" w:name="_Toc432598864"/>
      <w:r>
        <w:t xml:space="preserve"> </w:t>
      </w:r>
      <w:bookmarkStart w:id="111" w:name="_Toc208852186"/>
      <w:r w:rsidR="002D4130" w:rsidRPr="00100487">
        <w:t>Accès des fournisseurs</w:t>
      </w:r>
      <w:bookmarkEnd w:id="110"/>
      <w:bookmarkEnd w:id="111"/>
    </w:p>
    <w:p w14:paraId="37DFF711" w14:textId="1C30BD8E" w:rsidR="002D4130" w:rsidRPr="00100487" w:rsidRDefault="002D4130" w:rsidP="002D4130">
      <w:pPr>
        <w:tabs>
          <w:tab w:val="left" w:pos="5103"/>
        </w:tabs>
        <w:spacing w:before="120" w:after="120"/>
        <w:jc w:val="both"/>
      </w:pPr>
      <w:r w:rsidRPr="00100487">
        <w:t xml:space="preserve">Le titulaire </w:t>
      </w:r>
      <w:r w:rsidR="00DC7D51">
        <w:t>sollicite</w:t>
      </w:r>
      <w:r w:rsidRPr="00100487">
        <w:t xml:space="preserve"> une autorisation d’accès pour ses fournisseurs pour chaque livraison en transmettant au Sénat les informations appropriées (société, identité du conducteur, </w:t>
      </w:r>
      <w:r>
        <w:t xml:space="preserve">marque et </w:t>
      </w:r>
      <w:r w:rsidRPr="00100487">
        <w:t>numéro d’immatriculation du véhicule)</w:t>
      </w:r>
      <w:r w:rsidR="00A570FB">
        <w:t>, au moins trois jours ouvrés avant la date de livraison</w:t>
      </w:r>
      <w:r w:rsidRPr="00100487">
        <w:t>.</w:t>
      </w:r>
      <w:r w:rsidR="00A570FB">
        <w:t xml:space="preserve"> Le Sénat se réserve le droit de refuser l’accès de tout livreur. </w:t>
      </w:r>
    </w:p>
    <w:p w14:paraId="2616188D" w14:textId="77777777" w:rsidR="002D4130" w:rsidRPr="00100487" w:rsidRDefault="002D4130" w:rsidP="002D4130">
      <w:pPr>
        <w:tabs>
          <w:tab w:val="left" w:pos="5103"/>
        </w:tabs>
        <w:spacing w:before="120" w:after="120"/>
        <w:jc w:val="both"/>
      </w:pPr>
      <w:r w:rsidRPr="00100487">
        <w:t>Les livraisons doivent être faites en présence du titulaire, qui a la charge de les acheminer jusqu’au point d’exploitation ou de stockage.</w:t>
      </w:r>
    </w:p>
    <w:p w14:paraId="38B896BD" w14:textId="4C1404B6" w:rsidR="002D4130" w:rsidRDefault="002D4130" w:rsidP="002D4130">
      <w:pPr>
        <w:tabs>
          <w:tab w:val="left" w:pos="5103"/>
        </w:tabs>
        <w:spacing w:before="120" w:after="120"/>
        <w:jc w:val="both"/>
      </w:pPr>
      <w:r w:rsidRPr="00100487">
        <w:t xml:space="preserve">Les livraisons doivent avoir lieu </w:t>
      </w:r>
      <w:r w:rsidR="00DC7D51">
        <w:t xml:space="preserve">au plus tard trente </w:t>
      </w:r>
      <w:r w:rsidRPr="00100487">
        <w:t>minutes</w:t>
      </w:r>
      <w:r w:rsidR="00DC7D51">
        <w:t xml:space="preserve"> </w:t>
      </w:r>
      <w:r w:rsidRPr="00100487">
        <w:t>avant l’o</w:t>
      </w:r>
      <w:r w:rsidR="00DC7D51">
        <w:t xml:space="preserve">uverture de la séance publique les jours où le Sénat siège et, </w:t>
      </w:r>
      <w:r w:rsidRPr="00100487">
        <w:t xml:space="preserve">de manière générale, de préférence avant </w:t>
      </w:r>
      <w:r w:rsidR="00DC7D51">
        <w:t>9 heures.</w:t>
      </w:r>
      <w:r w:rsidR="00191B08">
        <w:t xml:space="preserve"> Les créneaux de livraison peuvent être à tout moment refusés par le Sénat.</w:t>
      </w:r>
    </w:p>
    <w:p w14:paraId="5FC93277" w14:textId="77777777" w:rsidR="00244F08" w:rsidRDefault="00244F08" w:rsidP="00244F08">
      <w:pPr>
        <w:pStyle w:val="DCETitre1"/>
      </w:pPr>
      <w:bookmarkStart w:id="112" w:name="_Toc161931239"/>
      <w:bookmarkStart w:id="113" w:name="_Toc169019170"/>
      <w:bookmarkStart w:id="114" w:name="_Toc183427558"/>
      <w:bookmarkStart w:id="115" w:name="_Toc208852187"/>
      <w:r>
        <w:t>Organisation d’événements</w:t>
      </w:r>
      <w:bookmarkEnd w:id="112"/>
      <w:r>
        <w:t>, prises de vue et tournage</w:t>
      </w:r>
      <w:bookmarkEnd w:id="113"/>
      <w:r>
        <w:t>s</w:t>
      </w:r>
      <w:bookmarkEnd w:id="114"/>
      <w:bookmarkEnd w:id="115"/>
    </w:p>
    <w:p w14:paraId="44A1D7CC" w14:textId="1D9E1568" w:rsidR="00244F08" w:rsidRDefault="00244F08" w:rsidP="00244F08">
      <w:pPr>
        <w:spacing w:after="240"/>
        <w:jc w:val="both"/>
      </w:pPr>
      <w:r>
        <w:t xml:space="preserve">Toute demande relative à l’organisation d’un événement sortant du cadre mentionné à </w:t>
      </w:r>
      <w:r w:rsidRPr="00410C95">
        <w:t>l’article</w:t>
      </w:r>
      <w:r>
        <w:t> 9</w:t>
      </w:r>
      <w:r w:rsidRPr="00410C95">
        <w:t>.1,</w:t>
      </w:r>
      <w:r>
        <w:t xml:space="preserve"> à une prise de vue ou à un tournage, émise directement par le concessionnaire ou sur sollicitation d’un tiers, fait l’objet d’une autorisation préalable et expresse du Sénat. </w:t>
      </w:r>
    </w:p>
    <w:p w14:paraId="0FE07B6A" w14:textId="47FFE42D" w:rsidR="00244F08" w:rsidRDefault="00244F08" w:rsidP="00244F08">
      <w:pPr>
        <w:spacing w:after="240"/>
        <w:jc w:val="both"/>
      </w:pPr>
      <w:r>
        <w:t xml:space="preserve">Elle donne lieu au paiement au Sénat par le bénéficiaire de l’autorisation mentionnée au premier alinéa d’une redevance </w:t>
      </w:r>
      <w:r w:rsidRPr="0065288C">
        <w:t xml:space="preserve">dont le barème figure </w:t>
      </w:r>
      <w:r>
        <w:t>en annexe du présent contrat</w:t>
      </w:r>
      <w:r w:rsidR="00DB2D16">
        <w:t xml:space="preserve"> (annexe 4)</w:t>
      </w:r>
      <w:r w:rsidRPr="0065288C">
        <w:t>.</w:t>
      </w:r>
      <w:r>
        <w:t xml:space="preserve"> </w:t>
      </w:r>
    </w:p>
    <w:p w14:paraId="31EB3DDE" w14:textId="77777777" w:rsidR="00244F08" w:rsidRDefault="00244F08" w:rsidP="00244F08">
      <w:pPr>
        <w:spacing w:after="240"/>
        <w:jc w:val="both"/>
      </w:pPr>
      <w:r>
        <w:t>Par ailleurs, la rémunération éventuellement perçue par le concessionnaire auprès du bénéficiaire fait l’objet d’un contrat distinct, communiqué pour information au Sénat.</w:t>
      </w:r>
    </w:p>
    <w:p w14:paraId="48758702" w14:textId="23223518" w:rsidR="00244F08" w:rsidRDefault="00244F08" w:rsidP="00244F08">
      <w:pPr>
        <w:spacing w:after="240"/>
        <w:jc w:val="both"/>
      </w:pPr>
      <w:r>
        <w:t>Lorsque la demande est directement émise par le Sénat au titre de ses besoins propres, elle ne donne lieu à aucune rémunération ou indemnisation du concessionnaire. Dans ce cas, les parties se rencontrent pour échanger sur les modalités de sa mise en œuvre, étant précisé que le concessionnaire ne pourra opposer son refus, pour quelque motif que ce soit.</w:t>
      </w:r>
    </w:p>
    <w:p w14:paraId="7B566C67" w14:textId="27E5E380" w:rsidR="00B705EE" w:rsidRDefault="00244F08" w:rsidP="00B705EE">
      <w:pPr>
        <w:pStyle w:val="DCETitre1"/>
        <w:numPr>
          <w:ilvl w:val="0"/>
          <w:numId w:val="0"/>
        </w:numPr>
        <w:jc w:val="center"/>
      </w:pPr>
      <w:bookmarkStart w:id="116" w:name="_Toc208852188"/>
      <w:r>
        <w:lastRenderedPageBreak/>
        <w:t>Chapitre I</w:t>
      </w:r>
      <w:r w:rsidR="001A077D">
        <w:t>V</w:t>
      </w:r>
      <w:r>
        <w:t xml:space="preserve">. – </w:t>
      </w:r>
      <w:r w:rsidR="00B705EE">
        <w:t>Stipulations financières et comptables</w:t>
      </w:r>
      <w:bookmarkEnd w:id="116"/>
      <w:r w:rsidR="00B705EE">
        <w:t xml:space="preserve"> </w:t>
      </w:r>
    </w:p>
    <w:p w14:paraId="500399C4" w14:textId="3672F3FE" w:rsidR="00682BA4" w:rsidRPr="00682BA4" w:rsidRDefault="00CD7442" w:rsidP="00EB4EBF">
      <w:pPr>
        <w:pStyle w:val="DCETitre1"/>
      </w:pPr>
      <w:bookmarkStart w:id="117" w:name="_Toc432598867"/>
      <w:bookmarkStart w:id="118" w:name="_Toc208852189"/>
      <w:r w:rsidRPr="00100487">
        <w:t>Redevance</w:t>
      </w:r>
      <w:bookmarkEnd w:id="117"/>
      <w:bookmarkEnd w:id="118"/>
    </w:p>
    <w:p w14:paraId="61BAB02E" w14:textId="7C35007F" w:rsidR="00CD7442" w:rsidRPr="00100487" w:rsidRDefault="006C3EA5" w:rsidP="00991C82">
      <w:pPr>
        <w:spacing w:after="240"/>
        <w:jc w:val="both"/>
      </w:pPr>
      <w:r>
        <w:t>La concession</w:t>
      </w:r>
      <w:r w:rsidR="00CD7442" w:rsidRPr="00100487">
        <w:t xml:space="preserve"> est </w:t>
      </w:r>
      <w:r>
        <w:t>attribuée</w:t>
      </w:r>
      <w:r w:rsidRPr="00100487">
        <w:t xml:space="preserve"> </w:t>
      </w:r>
      <w:r w:rsidR="00CD7442" w:rsidRPr="00100487">
        <w:t xml:space="preserve">moyennant le paiement par le titulaire d’une redevance annuelle. Cette redevance </w:t>
      </w:r>
      <w:r w:rsidR="00523359">
        <w:t>est composée</w:t>
      </w:r>
      <w:r w:rsidR="00DE6E42">
        <w:t xml:space="preserve"> </w:t>
      </w:r>
      <w:r w:rsidR="001E4A70">
        <w:t>d’une</w:t>
      </w:r>
      <w:r w:rsidR="00191945">
        <w:t xml:space="preserve"> </w:t>
      </w:r>
      <w:r w:rsidR="00CD7442" w:rsidRPr="00100487">
        <w:t>part fixe</w:t>
      </w:r>
      <w:r w:rsidR="00991C82">
        <w:t xml:space="preserve"> et </w:t>
      </w:r>
      <w:r w:rsidR="00523359">
        <w:t>d’</w:t>
      </w:r>
      <w:r w:rsidR="00191945">
        <w:t>une part variable</w:t>
      </w:r>
      <w:r w:rsidR="00CD7442" w:rsidRPr="00100487">
        <w:t>.</w:t>
      </w:r>
    </w:p>
    <w:p w14:paraId="5205CA6C" w14:textId="020644EC" w:rsidR="00682BA4" w:rsidRPr="00682BA4" w:rsidRDefault="00EB4EBF" w:rsidP="00D63AF3">
      <w:pPr>
        <w:pStyle w:val="DCETitre2"/>
        <w:tabs>
          <w:tab w:val="clear" w:pos="1283"/>
          <w:tab w:val="num" w:pos="792"/>
        </w:tabs>
        <w:ind w:left="792"/>
      </w:pPr>
      <w:r>
        <w:t xml:space="preserve"> </w:t>
      </w:r>
      <w:bookmarkStart w:id="119" w:name="_Toc208852190"/>
      <w:r w:rsidR="00682BA4">
        <w:t>Part fixe</w:t>
      </w:r>
      <w:r w:rsidR="00996DC1">
        <w:t xml:space="preserve"> annuelle</w:t>
      </w:r>
      <w:bookmarkEnd w:id="119"/>
    </w:p>
    <w:p w14:paraId="433378C9" w14:textId="1861038C" w:rsidR="005E45D6" w:rsidRDefault="00991C82" w:rsidP="00CD7442">
      <w:pPr>
        <w:spacing w:after="240"/>
        <w:jc w:val="both"/>
      </w:pPr>
      <w:r>
        <w:t xml:space="preserve">La </w:t>
      </w:r>
      <w:r w:rsidR="005E45D6">
        <w:t>part fixe</w:t>
      </w:r>
      <w:r>
        <w:t xml:space="preserve"> de la redevance est</w:t>
      </w:r>
      <w:r w:rsidR="005E45D6">
        <w:t xml:space="preserve"> déterminée par le Sénat. </w:t>
      </w:r>
    </w:p>
    <w:p w14:paraId="28AD91E9" w14:textId="6D87154F" w:rsidR="00CD7442" w:rsidRDefault="00991C82" w:rsidP="00CD7442">
      <w:pPr>
        <w:spacing w:after="240"/>
        <w:jc w:val="both"/>
      </w:pPr>
      <w:r>
        <w:t>Elle</w:t>
      </w:r>
      <w:r w:rsidR="00CD7442" w:rsidRPr="00100487">
        <w:t xml:space="preserve"> </w:t>
      </w:r>
      <w:r w:rsidR="00DC7D51">
        <w:t>couvre</w:t>
      </w:r>
      <w:r>
        <w:t xml:space="preserve"> </w:t>
      </w:r>
      <w:r w:rsidR="00CD7442" w:rsidRPr="00100487">
        <w:t xml:space="preserve">les prestations et les moyens mis à </w:t>
      </w:r>
      <w:r>
        <w:t xml:space="preserve">la </w:t>
      </w:r>
      <w:r w:rsidR="00CD7442" w:rsidRPr="00100487">
        <w:t xml:space="preserve">disposition </w:t>
      </w:r>
      <w:r>
        <w:t xml:space="preserve">du </w:t>
      </w:r>
      <w:r w:rsidR="000F76BE">
        <w:t>titulaire</w:t>
      </w:r>
      <w:r>
        <w:t xml:space="preserve"> </w:t>
      </w:r>
      <w:r w:rsidR="00CD7442" w:rsidRPr="00100487">
        <w:t>par le Sénat (locaux, fluides et services associés). Elle est payable annuellement, en une seule fois. Elle n</w:t>
      </w:r>
      <w:r w:rsidR="00523359">
        <w:t>’est pas négociable</w:t>
      </w:r>
      <w:r w:rsidR="00996DC1">
        <w:t>.</w:t>
      </w:r>
    </w:p>
    <w:p w14:paraId="520B8014" w14:textId="329260E0" w:rsidR="00CD7442" w:rsidRPr="00100487" w:rsidRDefault="00991C82" w:rsidP="00CD7442">
      <w:pPr>
        <w:spacing w:after="240"/>
        <w:jc w:val="both"/>
      </w:pPr>
      <w:r>
        <w:t xml:space="preserve">Son </w:t>
      </w:r>
      <w:r w:rsidR="00CD7442" w:rsidRPr="00100487">
        <w:t xml:space="preserve">montant </w:t>
      </w:r>
      <w:r w:rsidR="00F1625A">
        <w:t xml:space="preserve">annuel </w:t>
      </w:r>
      <w:r>
        <w:t>s’élève à 25 000 euros pour l’année 2026. Il sera réévalué chaque année d’un montant de 2 % (deux pour</w:t>
      </w:r>
      <w:r w:rsidR="007333DD">
        <w:t xml:space="preserve"> </w:t>
      </w:r>
      <w:r>
        <w:t>cent).</w:t>
      </w:r>
    </w:p>
    <w:p w14:paraId="5E5E2B5F" w14:textId="106F8ECB" w:rsidR="00CD7442" w:rsidRDefault="0099444C" w:rsidP="00682BA4">
      <w:pPr>
        <w:tabs>
          <w:tab w:val="left" w:pos="284"/>
        </w:tabs>
        <w:overflowPunct w:val="0"/>
        <w:autoSpaceDE w:val="0"/>
        <w:autoSpaceDN w:val="0"/>
        <w:adjustRightInd w:val="0"/>
        <w:spacing w:before="120" w:after="120"/>
        <w:jc w:val="both"/>
        <w:textAlignment w:val="baseline"/>
      </w:pPr>
      <w:r>
        <w:t>Elle est</w:t>
      </w:r>
      <w:r w:rsidR="00CD7442" w:rsidRPr="0067188F">
        <w:t xml:space="preserve"> payable au 1</w:t>
      </w:r>
      <w:r w:rsidR="00CD7442" w:rsidRPr="0067188F">
        <w:rPr>
          <w:vertAlign w:val="superscript"/>
        </w:rPr>
        <w:t>er</w:t>
      </w:r>
      <w:r w:rsidR="00CD7442" w:rsidRPr="0067188F">
        <w:t xml:space="preserve"> </w:t>
      </w:r>
      <w:r w:rsidR="00CA7860" w:rsidRPr="0067188F">
        <w:t>avril</w:t>
      </w:r>
      <w:r w:rsidR="00CD7442" w:rsidRPr="0067188F">
        <w:t xml:space="preserve"> de chaque année.</w:t>
      </w:r>
    </w:p>
    <w:p w14:paraId="5DB2BE31" w14:textId="34F36BE8" w:rsidR="00682BA4" w:rsidRPr="00682BA4" w:rsidRDefault="00244F08" w:rsidP="00EB4EBF">
      <w:pPr>
        <w:pStyle w:val="DCETitre2"/>
        <w:tabs>
          <w:tab w:val="clear" w:pos="1283"/>
          <w:tab w:val="num" w:pos="792"/>
        </w:tabs>
        <w:ind w:left="792"/>
      </w:pPr>
      <w:r>
        <w:t xml:space="preserve"> </w:t>
      </w:r>
      <w:bookmarkStart w:id="120" w:name="_Toc208852191"/>
      <w:r w:rsidR="00682BA4">
        <w:t>Part variable</w:t>
      </w:r>
      <w:r w:rsidR="00996DC1">
        <w:t xml:space="preserve"> annuelle</w:t>
      </w:r>
      <w:bookmarkEnd w:id="120"/>
    </w:p>
    <w:p w14:paraId="2D37401C" w14:textId="1931C53D" w:rsidR="00CD7442" w:rsidRDefault="0067188F" w:rsidP="00682BA4">
      <w:pPr>
        <w:tabs>
          <w:tab w:val="left" w:pos="284"/>
        </w:tabs>
        <w:overflowPunct w:val="0"/>
        <w:autoSpaceDE w:val="0"/>
        <w:autoSpaceDN w:val="0"/>
        <w:adjustRightInd w:val="0"/>
        <w:spacing w:before="120" w:after="120"/>
        <w:jc w:val="both"/>
        <w:textAlignment w:val="baseline"/>
      </w:pPr>
      <w:r>
        <w:t>La part variable de la redevance</w:t>
      </w:r>
      <w:r w:rsidR="00CD7442" w:rsidRPr="00D67645">
        <w:t xml:space="preserve"> vient en </w:t>
      </w:r>
      <w:r w:rsidR="00855DF9" w:rsidRPr="00D67645">
        <w:t>complément</w:t>
      </w:r>
      <w:r w:rsidR="00CD7442" w:rsidRPr="00D67645">
        <w:t xml:space="preserve"> de</w:t>
      </w:r>
      <w:r>
        <w:t xml:space="preserve"> </w:t>
      </w:r>
      <w:r w:rsidR="0099444C">
        <w:t xml:space="preserve">la </w:t>
      </w:r>
      <w:r w:rsidR="00CD7442" w:rsidRPr="00D67645">
        <w:t>part fixe</w:t>
      </w:r>
      <w:r>
        <w:t xml:space="preserve">. </w:t>
      </w:r>
      <w:r w:rsidR="0099444C">
        <w:t xml:space="preserve">Son recouvrement </w:t>
      </w:r>
      <w:r>
        <w:t>est effectué</w:t>
      </w:r>
      <w:r w:rsidR="00CD7442" w:rsidRPr="00D67645">
        <w:t xml:space="preserve"> </w:t>
      </w:r>
      <w:r w:rsidR="00CD7442" w:rsidRPr="0067188F">
        <w:t>au plus tard deux mois après la communication des comptes de l’exercice au 1</w:t>
      </w:r>
      <w:r w:rsidR="00CD7442" w:rsidRPr="0067188F">
        <w:rPr>
          <w:vertAlign w:val="superscript"/>
        </w:rPr>
        <w:t>er</w:t>
      </w:r>
      <w:r>
        <w:t xml:space="preserve"> avril de l’année suivante, soit au 1</w:t>
      </w:r>
      <w:r w:rsidRPr="0067188F">
        <w:rPr>
          <w:vertAlign w:val="superscript"/>
        </w:rPr>
        <w:t>er</w:t>
      </w:r>
      <w:r>
        <w:t xml:space="preserve"> juin de chaque année.</w:t>
      </w:r>
    </w:p>
    <w:p w14:paraId="1026EA99" w14:textId="619C0491" w:rsidR="0099444C" w:rsidRDefault="0099444C" w:rsidP="00682BA4">
      <w:pPr>
        <w:tabs>
          <w:tab w:val="left" w:pos="284"/>
        </w:tabs>
        <w:overflowPunct w:val="0"/>
        <w:autoSpaceDE w:val="0"/>
        <w:autoSpaceDN w:val="0"/>
        <w:adjustRightInd w:val="0"/>
        <w:spacing w:before="120" w:after="120"/>
        <w:jc w:val="both"/>
        <w:textAlignment w:val="baseline"/>
      </w:pPr>
      <w:r>
        <w:t>Cette part variable est constituée de deux éléments :</w:t>
      </w:r>
    </w:p>
    <w:p w14:paraId="093D8DF3" w14:textId="331D6BB0" w:rsidR="00C3149D" w:rsidRDefault="00C3149D" w:rsidP="0099444C">
      <w:pPr>
        <w:tabs>
          <w:tab w:val="left" w:pos="284"/>
        </w:tabs>
        <w:overflowPunct w:val="0"/>
        <w:autoSpaceDE w:val="0"/>
        <w:autoSpaceDN w:val="0"/>
        <w:adjustRightInd w:val="0"/>
        <w:spacing w:before="120" w:after="120"/>
        <w:jc w:val="both"/>
        <w:textAlignment w:val="baseline"/>
      </w:pPr>
      <w:r>
        <w:t>1°</w:t>
      </w:r>
      <w:r w:rsidR="0099444C" w:rsidRPr="00560871">
        <w:t xml:space="preserve"> </w:t>
      </w:r>
      <w:r>
        <w:t>Un ou des pourcentages du chiffre d’affaires hors taxes, hormis celui généré par la vente de l’ouvrage d’art mentionné au 2° du présent article, réalisé par le titulaire au titre de son activité objet du présent contrat. Ce ou ces pourcentages sont fixés par le titulaire dans son offre. Le montant de ce ou de ces pourcentages est au minimum égal à 8 % (huit pour cent) dudit chiffre d’affaires ;</w:t>
      </w:r>
    </w:p>
    <w:p w14:paraId="765E7949" w14:textId="04142480" w:rsidR="00E56378" w:rsidRPr="00560871" w:rsidRDefault="00C3149D" w:rsidP="0099444C">
      <w:pPr>
        <w:tabs>
          <w:tab w:val="left" w:pos="284"/>
        </w:tabs>
        <w:overflowPunct w:val="0"/>
        <w:autoSpaceDE w:val="0"/>
        <w:autoSpaceDN w:val="0"/>
        <w:adjustRightInd w:val="0"/>
        <w:spacing w:before="120" w:after="120"/>
        <w:jc w:val="both"/>
        <w:textAlignment w:val="baseline"/>
      </w:pPr>
      <w:r>
        <w:t>2° U</w:t>
      </w:r>
      <w:r w:rsidR="0099444C" w:rsidRPr="00560871">
        <w:t>n pourcentage</w:t>
      </w:r>
      <w:r w:rsidR="004618F3">
        <w:t>, non négociable,</w:t>
      </w:r>
      <w:r w:rsidR="0099444C" w:rsidRPr="00560871">
        <w:t xml:space="preserve"> de 55 % </w:t>
      </w:r>
      <w:r w:rsidR="00560871" w:rsidRPr="00560871">
        <w:t>(cinquante-cinq pour</w:t>
      </w:r>
      <w:r w:rsidR="007333DD">
        <w:t xml:space="preserve"> </w:t>
      </w:r>
      <w:r w:rsidR="00560871" w:rsidRPr="00560871">
        <w:t xml:space="preserve">cent) </w:t>
      </w:r>
      <w:r w:rsidR="0099444C" w:rsidRPr="00560871">
        <w:t>du chiffre d’affaires hors taxes réalisé sur la vente de</w:t>
      </w:r>
      <w:r w:rsidR="00560871" w:rsidRPr="00560871">
        <w:t xml:space="preserve"> l’</w:t>
      </w:r>
      <w:r w:rsidR="0099444C" w:rsidRPr="00560871">
        <w:t>ouvrage d’art</w:t>
      </w:r>
      <w:r w:rsidR="00560871" w:rsidRPr="00560871">
        <w:t xml:space="preserve"> portant sur le Palais et le Jardin du Luxembourg, versions française et anglaise, édité aux éditions Flammarion</w:t>
      </w:r>
      <w:r w:rsidR="00560871">
        <w:t xml:space="preserve"> (dernière édition 2024)</w:t>
      </w:r>
      <w:r w:rsidR="00EB4EBF">
        <w:t>, mentionné au cinquième alinéa de l’article 1</w:t>
      </w:r>
      <w:r w:rsidR="00EB4EBF" w:rsidRPr="00EB4EBF">
        <w:rPr>
          <w:vertAlign w:val="superscript"/>
        </w:rPr>
        <w:t>er</w:t>
      </w:r>
      <w:r>
        <w:t>.</w:t>
      </w:r>
      <w:r w:rsidR="00605BF9">
        <w:t xml:space="preserve"> </w:t>
      </w:r>
    </w:p>
    <w:p w14:paraId="7EB40E48" w14:textId="29E9A42E" w:rsidR="00D67645" w:rsidRPr="008468A2" w:rsidRDefault="00457BF2" w:rsidP="00EB4EBF">
      <w:pPr>
        <w:pStyle w:val="DCETitre1"/>
      </w:pPr>
      <w:bookmarkStart w:id="121" w:name="_Toc208852192"/>
      <w:r>
        <w:t>Dépôt de garantie, g</w:t>
      </w:r>
      <w:r w:rsidR="004618F3">
        <w:t xml:space="preserve">arantie </w:t>
      </w:r>
      <w:r>
        <w:t xml:space="preserve">à première demande </w:t>
      </w:r>
      <w:r w:rsidR="004618F3">
        <w:t>ou caution</w:t>
      </w:r>
      <w:bookmarkEnd w:id="121"/>
      <w:r w:rsidR="004618F3">
        <w:t xml:space="preserve"> </w:t>
      </w:r>
    </w:p>
    <w:p w14:paraId="5C94D8B7" w14:textId="6AD19EFF" w:rsidR="00CD7442" w:rsidRDefault="00D26F5A" w:rsidP="00C3149D">
      <w:pPr>
        <w:spacing w:after="120"/>
        <w:jc w:val="both"/>
        <w:rPr>
          <w:highlight w:val="yellow"/>
        </w:rPr>
      </w:pPr>
      <w:r w:rsidRPr="00A1545A">
        <w:t>L</w:t>
      </w:r>
      <w:r w:rsidR="00CD7442" w:rsidRPr="00A1545A">
        <w:t>e titulaire fournit</w:t>
      </w:r>
      <w:r w:rsidRPr="00A1545A">
        <w:t xml:space="preserve"> au Sénat</w:t>
      </w:r>
      <w:r w:rsidR="00CD7442" w:rsidRPr="00A1545A">
        <w:t xml:space="preserve">, </w:t>
      </w:r>
      <w:r w:rsidR="004618F3">
        <w:t>au plus tard dans les trente jours du début de la concession</w:t>
      </w:r>
      <w:r w:rsidR="00CD7442" w:rsidRPr="00A1545A">
        <w:t xml:space="preserve">, </w:t>
      </w:r>
      <w:r w:rsidR="00457BF2">
        <w:t xml:space="preserve">un dépôt de garantie, </w:t>
      </w:r>
      <w:r w:rsidR="00CD7442" w:rsidRPr="00A1545A">
        <w:t xml:space="preserve">une </w:t>
      </w:r>
      <w:r w:rsidRPr="00A1545A">
        <w:t>garantie bancaire à première demande</w:t>
      </w:r>
      <w:r w:rsidR="00CD7442" w:rsidRPr="00A1545A">
        <w:t xml:space="preserve"> </w:t>
      </w:r>
      <w:r w:rsidR="00C07BCF" w:rsidRPr="00A1545A">
        <w:t xml:space="preserve">ou une caution personnelle et solidaire </w:t>
      </w:r>
      <w:r w:rsidR="00CD7442" w:rsidRPr="00A1545A">
        <w:t>égale au montant</w:t>
      </w:r>
      <w:r w:rsidR="001B1790" w:rsidRPr="00A1545A">
        <w:t xml:space="preserve"> </w:t>
      </w:r>
      <w:r w:rsidR="004618F3">
        <w:t>de la</w:t>
      </w:r>
      <w:r w:rsidR="00CD7442" w:rsidRPr="00A1545A">
        <w:t xml:space="preserve"> part fixe de la redevance d’exploitation fixé pour </w:t>
      </w:r>
      <w:r w:rsidR="004618F3">
        <w:t>la première année</w:t>
      </w:r>
      <w:r w:rsidR="00CD7442" w:rsidRPr="00A1545A">
        <w:t xml:space="preserve">, soit </w:t>
      </w:r>
      <w:r w:rsidR="004618F3">
        <w:t>25 000 euros (</w:t>
      </w:r>
      <w:r w:rsidR="00CD7442" w:rsidRPr="00A1545A">
        <w:t>vingt</w:t>
      </w:r>
      <w:r w:rsidR="004618F3">
        <w:t>-cinq</w:t>
      </w:r>
      <w:r w:rsidR="00CD7442" w:rsidRPr="00A1545A">
        <w:t xml:space="preserve"> mille euros)</w:t>
      </w:r>
      <w:r w:rsidRPr="00A1545A">
        <w:rPr>
          <w:lang w:eastAsia="x-none"/>
        </w:rPr>
        <w:t xml:space="preserve"> lui</w:t>
      </w:r>
      <w:r>
        <w:rPr>
          <w:lang w:eastAsia="x-none"/>
        </w:rPr>
        <w:t xml:space="preserve"> permettant de recouvrer :</w:t>
      </w:r>
      <w:r w:rsidR="00CD7442" w:rsidRPr="00855DF9">
        <w:rPr>
          <w:highlight w:val="yellow"/>
        </w:rPr>
        <w:t xml:space="preserve"> </w:t>
      </w:r>
    </w:p>
    <w:p w14:paraId="554AC85C" w14:textId="77777777" w:rsidR="00D26F5A" w:rsidRPr="00D26F5A" w:rsidRDefault="00D26F5A" w:rsidP="00C3149D">
      <w:pPr>
        <w:pStyle w:val="Listepuces"/>
        <w:numPr>
          <w:ilvl w:val="0"/>
          <w:numId w:val="10"/>
        </w:numPr>
        <w:spacing w:before="0"/>
        <w:rPr>
          <w:rFonts w:ascii="Times New Roman" w:eastAsia="Times New Roman" w:hAnsi="Times New Roman"/>
          <w:sz w:val="24"/>
          <w:szCs w:val="24"/>
          <w:lang w:eastAsia="fr-FR"/>
        </w:rPr>
      </w:pPr>
      <w:r>
        <w:rPr>
          <w:rFonts w:ascii="Times New Roman" w:eastAsia="Times New Roman" w:hAnsi="Times New Roman"/>
          <w:sz w:val="24"/>
          <w:szCs w:val="24"/>
          <w:lang w:eastAsia="fr-FR"/>
        </w:rPr>
        <w:t>l</w:t>
      </w:r>
      <w:r w:rsidRPr="00D26F5A">
        <w:rPr>
          <w:rFonts w:ascii="Times New Roman" w:eastAsia="Times New Roman" w:hAnsi="Times New Roman"/>
          <w:sz w:val="24"/>
          <w:szCs w:val="24"/>
          <w:lang w:eastAsia="fr-FR"/>
        </w:rPr>
        <w:t xml:space="preserve">e paiement des pénalités dues par le </w:t>
      </w:r>
      <w:r>
        <w:rPr>
          <w:rFonts w:ascii="Times New Roman" w:eastAsia="Times New Roman" w:hAnsi="Times New Roman"/>
          <w:sz w:val="24"/>
          <w:szCs w:val="24"/>
          <w:lang w:eastAsia="fr-FR"/>
        </w:rPr>
        <w:t>titulaire</w:t>
      </w:r>
      <w:r w:rsidRPr="00D26F5A">
        <w:rPr>
          <w:rFonts w:ascii="Times New Roman" w:eastAsia="Times New Roman" w:hAnsi="Times New Roman"/>
          <w:sz w:val="24"/>
          <w:szCs w:val="24"/>
          <w:lang w:eastAsia="fr-FR"/>
        </w:rPr>
        <w:t xml:space="preserve"> en cas de non versement des sommes dues à quelque titre que ce soit dans les conditions prévues au présent contrat ;</w:t>
      </w:r>
    </w:p>
    <w:p w14:paraId="30F55022" w14:textId="77777777" w:rsidR="00CD7442" w:rsidRPr="00CD5E2C" w:rsidRDefault="00D26F5A" w:rsidP="00C3149D">
      <w:pPr>
        <w:pStyle w:val="Listepuces"/>
        <w:numPr>
          <w:ilvl w:val="0"/>
          <w:numId w:val="10"/>
        </w:numPr>
        <w:spacing w:before="0"/>
        <w:rPr>
          <w:rFonts w:ascii="Times New Roman" w:eastAsia="Times New Roman" w:hAnsi="Times New Roman"/>
          <w:sz w:val="24"/>
          <w:szCs w:val="24"/>
          <w:lang w:eastAsia="fr-FR"/>
        </w:rPr>
      </w:pPr>
      <w:r>
        <w:rPr>
          <w:rFonts w:ascii="Times New Roman" w:eastAsia="Times New Roman" w:hAnsi="Times New Roman"/>
          <w:sz w:val="24"/>
          <w:szCs w:val="24"/>
          <w:lang w:eastAsia="fr-FR"/>
        </w:rPr>
        <w:lastRenderedPageBreak/>
        <w:t>l</w:t>
      </w:r>
      <w:r w:rsidRPr="00D26F5A">
        <w:rPr>
          <w:rFonts w:ascii="Times New Roman" w:eastAsia="Times New Roman" w:hAnsi="Times New Roman"/>
          <w:sz w:val="24"/>
          <w:szCs w:val="24"/>
          <w:lang w:eastAsia="fr-FR"/>
        </w:rPr>
        <w:t xml:space="preserve">e paiement de toutes les sommes dues par le </w:t>
      </w:r>
      <w:r>
        <w:rPr>
          <w:rFonts w:ascii="Times New Roman" w:eastAsia="Times New Roman" w:hAnsi="Times New Roman"/>
          <w:sz w:val="24"/>
          <w:szCs w:val="24"/>
          <w:lang w:eastAsia="fr-FR"/>
        </w:rPr>
        <w:t>titulai</w:t>
      </w:r>
      <w:r w:rsidRPr="00D26F5A">
        <w:rPr>
          <w:rFonts w:ascii="Times New Roman" w:eastAsia="Times New Roman" w:hAnsi="Times New Roman"/>
          <w:sz w:val="24"/>
          <w:szCs w:val="24"/>
          <w:lang w:eastAsia="fr-FR"/>
        </w:rPr>
        <w:t>re en cours d’exécution ou à l’expiration du présent contrat.</w:t>
      </w:r>
    </w:p>
    <w:p w14:paraId="4E0FF29B" w14:textId="77777777" w:rsidR="00CD7442" w:rsidRPr="00100487" w:rsidRDefault="0067188F" w:rsidP="00D63AF3">
      <w:pPr>
        <w:pStyle w:val="DCETitre1"/>
      </w:pPr>
      <w:bookmarkStart w:id="122" w:name="_Toc211932947"/>
      <w:bookmarkStart w:id="123" w:name="_Toc212881568"/>
      <w:bookmarkStart w:id="124" w:name="_Toc362431585"/>
      <w:bookmarkStart w:id="125" w:name="_Toc362544317"/>
      <w:bookmarkStart w:id="126" w:name="_Toc412822798"/>
      <w:bookmarkStart w:id="127" w:name="_Toc432598868"/>
      <w:r>
        <w:t xml:space="preserve"> </w:t>
      </w:r>
      <w:bookmarkStart w:id="128" w:name="_Toc208852193"/>
      <w:r w:rsidR="00CD7442" w:rsidRPr="00100487">
        <w:t>Conditions tarifaires et enregistrement du chiffre d’affaires</w:t>
      </w:r>
      <w:bookmarkEnd w:id="122"/>
      <w:bookmarkEnd w:id="123"/>
      <w:bookmarkEnd w:id="124"/>
      <w:bookmarkEnd w:id="125"/>
      <w:bookmarkEnd w:id="126"/>
      <w:bookmarkEnd w:id="127"/>
      <w:bookmarkEnd w:id="128"/>
    </w:p>
    <w:p w14:paraId="54DAFE5F" w14:textId="381D1940" w:rsidR="00CD7442" w:rsidRPr="00100487" w:rsidRDefault="004618F3" w:rsidP="00CD7442">
      <w:pPr>
        <w:spacing w:after="240"/>
        <w:jc w:val="both"/>
      </w:pPr>
      <w:r>
        <w:t>L</w:t>
      </w:r>
      <w:r w:rsidR="00CD7442" w:rsidRPr="00100487">
        <w:t xml:space="preserve">e </w:t>
      </w:r>
      <w:r w:rsidR="00CD7442">
        <w:t>titulaire</w:t>
      </w:r>
      <w:r w:rsidR="00CD7442" w:rsidRPr="00100487">
        <w:t xml:space="preserve"> </w:t>
      </w:r>
      <w:r w:rsidR="0067188F">
        <w:t>respecte les dispositions du c</w:t>
      </w:r>
      <w:r w:rsidR="00CD7442" w:rsidRPr="00100487">
        <w:t xml:space="preserve">ode </w:t>
      </w:r>
      <w:r w:rsidR="006C3EA5">
        <w:t>de</w:t>
      </w:r>
      <w:r w:rsidR="006C3EA5" w:rsidRPr="00100487">
        <w:t xml:space="preserve"> </w:t>
      </w:r>
      <w:r w:rsidR="00CD7442" w:rsidRPr="00100487">
        <w:t>commerce et du plan comptable général relatives à l’enregistrement et à la comptabilisation des recettes issues de ses ventes.</w:t>
      </w:r>
    </w:p>
    <w:p w14:paraId="705D6916" w14:textId="1DAF90B9" w:rsidR="00565AAC" w:rsidRDefault="00CD7442" w:rsidP="00565AAC">
      <w:pPr>
        <w:spacing w:after="240"/>
        <w:jc w:val="both"/>
      </w:pPr>
      <w:r w:rsidRPr="00100487">
        <w:t xml:space="preserve">Les tarifs initiaux </w:t>
      </w:r>
      <w:r>
        <w:t>hors taxes</w:t>
      </w:r>
      <w:r w:rsidRPr="00100487">
        <w:t xml:space="preserve"> pratiqués constituent un élément de l’offre remise par le </w:t>
      </w:r>
      <w:r w:rsidR="00C3149D">
        <w:t>titulaire</w:t>
      </w:r>
      <w:r w:rsidRPr="00100487">
        <w:t xml:space="preserve">. </w:t>
      </w:r>
      <w:r w:rsidRPr="00A1545A">
        <w:t>Le </w:t>
      </w:r>
      <w:r w:rsidR="00C3149D">
        <w:t>titulaire</w:t>
      </w:r>
      <w:r w:rsidRPr="00A1545A">
        <w:t xml:space="preserve"> s’engage à maintenir les tarifs initiaux hors taxes jusqu’au </w:t>
      </w:r>
      <w:r w:rsidR="00EB7A4F">
        <w:t>31 </w:t>
      </w:r>
      <w:r w:rsidR="00A1545A" w:rsidRPr="00A1545A">
        <w:t xml:space="preserve">décembre </w:t>
      </w:r>
      <w:r w:rsidR="007333DD" w:rsidRPr="00A1545A">
        <w:t>202</w:t>
      </w:r>
      <w:r w:rsidR="007333DD">
        <w:t>6</w:t>
      </w:r>
      <w:r w:rsidRPr="00A1545A">
        <w:t>.</w:t>
      </w:r>
      <w:r w:rsidR="00A1545A" w:rsidRPr="00A1545A">
        <w:t xml:space="preserve"> </w:t>
      </w:r>
      <w:r w:rsidR="0067188F">
        <w:t>Les</w:t>
      </w:r>
      <w:r w:rsidR="00A1545A" w:rsidRPr="00A1545A">
        <w:t xml:space="preserve"> tarifs </w:t>
      </w:r>
      <w:r w:rsidR="00C3149D">
        <w:t>sont</w:t>
      </w:r>
      <w:r w:rsidR="00A1545A" w:rsidRPr="00A1545A">
        <w:t xml:space="preserve"> </w:t>
      </w:r>
      <w:r w:rsidR="0067188F">
        <w:t xml:space="preserve">ensuite </w:t>
      </w:r>
      <w:r w:rsidR="00A1545A" w:rsidRPr="00A1545A">
        <w:t xml:space="preserve">être </w:t>
      </w:r>
      <w:r w:rsidR="0067188F" w:rsidRPr="00A1545A">
        <w:t xml:space="preserve">annuellement </w:t>
      </w:r>
      <w:r w:rsidR="00A1545A" w:rsidRPr="00A1545A">
        <w:t>révisés au 1</w:t>
      </w:r>
      <w:r w:rsidR="00A1545A" w:rsidRPr="00A1545A">
        <w:rPr>
          <w:vertAlign w:val="superscript"/>
        </w:rPr>
        <w:t>er</w:t>
      </w:r>
      <w:r w:rsidR="00A1545A" w:rsidRPr="00A1545A">
        <w:t xml:space="preserve"> janvier</w:t>
      </w:r>
      <w:r w:rsidR="00A1545A">
        <w:t xml:space="preserve"> de chaque année </w:t>
      </w:r>
    </w:p>
    <w:p w14:paraId="4A956462" w14:textId="664CD427" w:rsidR="006B4AFC" w:rsidRDefault="006B4AFC" w:rsidP="00565AAC">
      <w:pPr>
        <w:spacing w:after="240"/>
        <w:jc w:val="both"/>
        <w:rPr>
          <w:bCs/>
        </w:rPr>
      </w:pPr>
      <w:r w:rsidRPr="00E43A72">
        <w:t>La révision des prix es</w:t>
      </w:r>
      <w:r w:rsidR="0067188F">
        <w:t xml:space="preserve">t </w:t>
      </w:r>
      <w:r w:rsidR="00191B08">
        <w:t>celle figurant au sein de l’offre</w:t>
      </w:r>
      <w:r w:rsidR="0067188F">
        <w:t xml:space="preserve"> du titulaire. </w:t>
      </w:r>
      <w:r w:rsidR="00191B08">
        <w:t>Toute</w:t>
      </w:r>
      <w:r w:rsidRPr="00E43A72">
        <w:t xml:space="preserve"> proposition</w:t>
      </w:r>
      <w:r w:rsidR="00191B08">
        <w:t xml:space="preserve"> s’en écartant en cours de concession fait l’objet d’une autorisation préalable et expresse du Sénat</w:t>
      </w:r>
      <w:r>
        <w:rPr>
          <w:bCs/>
        </w:rPr>
        <w:t>.</w:t>
      </w:r>
    </w:p>
    <w:p w14:paraId="4A1C60D5" w14:textId="7C97813C" w:rsidR="00D63AF3" w:rsidRPr="00D63AF3" w:rsidRDefault="00D63AF3" w:rsidP="00D63AF3">
      <w:pPr>
        <w:pStyle w:val="DCETitre1"/>
      </w:pPr>
      <w:bookmarkStart w:id="129" w:name="_Toc208852194"/>
      <w:r w:rsidRPr="00D63AF3">
        <w:t>Contrôle de l’exploitation</w:t>
      </w:r>
      <w:bookmarkEnd w:id="129"/>
    </w:p>
    <w:p w14:paraId="6038D2F3" w14:textId="77777777" w:rsidR="00CD7442" w:rsidRPr="00100487" w:rsidRDefault="0067188F" w:rsidP="00F04245">
      <w:pPr>
        <w:pStyle w:val="DCETitre2"/>
        <w:keepNext w:val="0"/>
        <w:keepLines w:val="0"/>
        <w:widowControl w:val="0"/>
        <w:numPr>
          <w:ilvl w:val="1"/>
          <w:numId w:val="1"/>
        </w:numPr>
        <w:tabs>
          <w:tab w:val="clear" w:pos="1283"/>
          <w:tab w:val="num" w:pos="792"/>
        </w:tabs>
        <w:ind w:left="792"/>
      </w:pPr>
      <w:bookmarkStart w:id="130" w:name="_Toc211932948"/>
      <w:bookmarkStart w:id="131" w:name="_Toc212881569"/>
      <w:bookmarkStart w:id="132" w:name="_Toc362431586"/>
      <w:bookmarkStart w:id="133" w:name="_Toc362544318"/>
      <w:bookmarkStart w:id="134" w:name="_Toc412822799"/>
      <w:bookmarkStart w:id="135" w:name="_Toc432598869"/>
      <w:r>
        <w:t xml:space="preserve"> </w:t>
      </w:r>
      <w:bookmarkStart w:id="136" w:name="_Toc208852195"/>
      <w:r w:rsidR="00CD7442" w:rsidRPr="00100487">
        <w:t>Transmission des comptes et contrôles comptables</w:t>
      </w:r>
      <w:bookmarkEnd w:id="130"/>
      <w:bookmarkEnd w:id="131"/>
      <w:bookmarkEnd w:id="132"/>
      <w:bookmarkEnd w:id="133"/>
      <w:bookmarkEnd w:id="134"/>
      <w:bookmarkEnd w:id="135"/>
      <w:bookmarkEnd w:id="136"/>
    </w:p>
    <w:p w14:paraId="7F019BD3" w14:textId="042DE0D1" w:rsidR="00CD7442" w:rsidRPr="00100487" w:rsidRDefault="00CD7442" w:rsidP="00CD7442">
      <w:pPr>
        <w:tabs>
          <w:tab w:val="left" w:pos="284"/>
        </w:tabs>
        <w:overflowPunct w:val="0"/>
        <w:autoSpaceDE w:val="0"/>
        <w:autoSpaceDN w:val="0"/>
        <w:adjustRightInd w:val="0"/>
        <w:spacing w:after="240"/>
        <w:jc w:val="both"/>
        <w:textAlignment w:val="baseline"/>
      </w:pPr>
      <w:r w:rsidRPr="00100487">
        <w:t xml:space="preserve">Le titulaire communique </w:t>
      </w:r>
      <w:r w:rsidR="0067188F" w:rsidRPr="00100487">
        <w:t xml:space="preserve">chaque année </w:t>
      </w:r>
      <w:r w:rsidR="0067188F">
        <w:t>au Sénat</w:t>
      </w:r>
      <w:r w:rsidRPr="00100487">
        <w:t>, après la clôture de l’exercice écoulé et au plus tard le 1</w:t>
      </w:r>
      <w:r w:rsidRPr="00100487">
        <w:rPr>
          <w:vertAlign w:val="superscript"/>
        </w:rPr>
        <w:t>er</w:t>
      </w:r>
      <w:r w:rsidRPr="00100487">
        <w:t xml:space="preserve"> avril de l’année suivante, son bilan et son compte de résultat accompagné</w:t>
      </w:r>
      <w:r>
        <w:t>s</w:t>
      </w:r>
      <w:r w:rsidRPr="00100487">
        <w:t xml:space="preserve"> du rapport général du commissaire aux comptes et/ou d’une attestation de son expert</w:t>
      </w:r>
      <w:r w:rsidRPr="00100487">
        <w:noBreakHyphen/>
        <w:t>comptable.</w:t>
      </w:r>
      <w:r w:rsidR="00240CEE">
        <w:t xml:space="preserve"> Le </w:t>
      </w:r>
      <w:r w:rsidR="000F76BE">
        <w:t>titulaire</w:t>
      </w:r>
      <w:r w:rsidR="00240CEE">
        <w:t xml:space="preserve"> </w:t>
      </w:r>
      <w:r w:rsidR="00C3149D">
        <w:t>fournit</w:t>
      </w:r>
      <w:r w:rsidR="00240CEE">
        <w:t xml:space="preserve"> en outre une comptabilité analytique permettant de distinguer, d’une part, le produit des ventes d’objets portant le logotype du Sénat de celui de la vente d</w:t>
      </w:r>
      <w:r w:rsidR="006D6814">
        <w:t xml:space="preserve">es </w:t>
      </w:r>
      <w:r w:rsidR="00695DBE">
        <w:t>autres objets</w:t>
      </w:r>
      <w:r w:rsidR="00240CEE">
        <w:t xml:space="preserve"> </w:t>
      </w:r>
      <w:r w:rsidR="006D6814">
        <w:t>et articles</w:t>
      </w:r>
      <w:r w:rsidR="00240CEE">
        <w:t xml:space="preserve">, d’autre part, le produit des ventes physiques </w:t>
      </w:r>
      <w:r w:rsidR="00044B1B">
        <w:t>de</w:t>
      </w:r>
      <w:r w:rsidR="00240CEE">
        <w:t xml:space="preserve"> celui des ventes en ligne.</w:t>
      </w:r>
    </w:p>
    <w:p w14:paraId="7BC3EEE6" w14:textId="77777777" w:rsidR="00CD7442" w:rsidRPr="00100487" w:rsidRDefault="00CD7442" w:rsidP="00CD7442">
      <w:pPr>
        <w:tabs>
          <w:tab w:val="left" w:pos="284"/>
        </w:tabs>
        <w:overflowPunct w:val="0"/>
        <w:autoSpaceDE w:val="0"/>
        <w:autoSpaceDN w:val="0"/>
        <w:adjustRightInd w:val="0"/>
        <w:spacing w:after="240"/>
        <w:jc w:val="both"/>
        <w:textAlignment w:val="baseline"/>
      </w:pPr>
      <w:r w:rsidRPr="00100487">
        <w:t xml:space="preserve">Il autorise, après avoir été </w:t>
      </w:r>
      <w:r w:rsidR="0067188F" w:rsidRPr="00100487">
        <w:t xml:space="preserve">préalablement </w:t>
      </w:r>
      <w:r w:rsidRPr="00100487">
        <w:t>sollicité, le Sénat à se rapprocher de son cabinet d’expert</w:t>
      </w:r>
      <w:r w:rsidRPr="00100487">
        <w:noBreakHyphen/>
        <w:t>comptable pour répondre à toutes demandes relatives aux éléments comptab</w:t>
      </w:r>
      <w:r w:rsidR="0067188F">
        <w:t>les permettant de calculer la part variable</w:t>
      </w:r>
      <w:r w:rsidRPr="00100487">
        <w:t xml:space="preserve"> de la redevance.</w:t>
      </w:r>
    </w:p>
    <w:p w14:paraId="26B0FA7F" w14:textId="285B0E8C" w:rsidR="00CD7442" w:rsidRDefault="00CD7442" w:rsidP="00CD7442">
      <w:pPr>
        <w:spacing w:after="240"/>
        <w:jc w:val="both"/>
      </w:pPr>
      <w:r w:rsidRPr="00100487">
        <w:t>Le Sénat peut exercer, par l’intermédiaire notamment d’un commissaire aux comptes ou de ses services, tout contrôle sur pièce ou sur place pour s’assurer de l’exactitude et l’exhaustivité du chiffre d’affaires</w:t>
      </w:r>
      <w:r w:rsidR="00820D1C">
        <w:t xml:space="preserve"> et des informations sur l’activité de la concession communiquées</w:t>
      </w:r>
      <w:r w:rsidRPr="00100487">
        <w:t xml:space="preserve">. </w:t>
      </w:r>
    </w:p>
    <w:p w14:paraId="6E86A73C" w14:textId="5FB5D70F" w:rsidR="004626EE" w:rsidRPr="004626EE" w:rsidRDefault="000D793B" w:rsidP="000D793B">
      <w:pPr>
        <w:pStyle w:val="DCETitre2"/>
        <w:keepNext w:val="0"/>
        <w:keepLines w:val="0"/>
        <w:widowControl w:val="0"/>
        <w:numPr>
          <w:ilvl w:val="1"/>
          <w:numId w:val="1"/>
        </w:numPr>
        <w:tabs>
          <w:tab w:val="clear" w:pos="1283"/>
          <w:tab w:val="num" w:pos="792"/>
        </w:tabs>
        <w:ind w:left="792"/>
      </w:pPr>
      <w:bookmarkStart w:id="137" w:name="_Toc12978232"/>
      <w:r>
        <w:t> </w:t>
      </w:r>
      <w:bookmarkStart w:id="138" w:name="_Toc208852196"/>
      <w:r w:rsidR="004626EE" w:rsidRPr="004626EE">
        <w:t>Accès aux données essentielles de la concession</w:t>
      </w:r>
      <w:bookmarkEnd w:id="137"/>
      <w:bookmarkEnd w:id="138"/>
      <w:r w:rsidR="004626EE" w:rsidRPr="004626EE">
        <w:t xml:space="preserve"> </w:t>
      </w:r>
    </w:p>
    <w:p w14:paraId="19526388" w14:textId="77777777" w:rsidR="0047259C" w:rsidRDefault="0047259C" w:rsidP="0047259C">
      <w:pPr>
        <w:spacing w:after="240"/>
        <w:jc w:val="both"/>
      </w:pPr>
      <w:r>
        <w:t>En application de l’article R. 3131</w:t>
      </w:r>
      <w:r>
        <w:noBreakHyphen/>
        <w:t xml:space="preserve">1 du code de la commande publique, le Sénat est tenu de publier sur son profil d’acheteur (plateforme PLACE), avant le début de la concession puis chaque année au plus tard à la date-anniversaire du contrat, les données essentielles de la concession. </w:t>
      </w:r>
    </w:p>
    <w:p w14:paraId="08C104EB" w14:textId="77777777" w:rsidR="0047259C" w:rsidRDefault="0047259C" w:rsidP="0047259C">
      <w:pPr>
        <w:spacing w:after="240"/>
        <w:jc w:val="both"/>
      </w:pPr>
      <w:r>
        <w:t xml:space="preserve">À cette fin, le titulaire communique au Sénat tous les ans au plus tard 15 jours avant la date-anniversaire du contrat ses dépenses d’investissement ainsi que les montants des principaux tarifs à la charge des usagers. </w:t>
      </w:r>
    </w:p>
    <w:p w14:paraId="7F3B1CBF" w14:textId="67924A14" w:rsidR="004626EE" w:rsidRDefault="0047259C" w:rsidP="0047259C">
      <w:pPr>
        <w:spacing w:after="240"/>
        <w:jc w:val="both"/>
      </w:pPr>
      <w:r>
        <w:t>Les éventuels avenants donnent également lieu à une publication par le Sénat des modifications du contrat dans un délai de deux mois</w:t>
      </w:r>
      <w:r w:rsidR="004626EE" w:rsidRPr="004626EE">
        <w:t>.</w:t>
      </w:r>
    </w:p>
    <w:p w14:paraId="6B8FB108" w14:textId="3B9E88E1" w:rsidR="00D63AF3" w:rsidRDefault="005355FE" w:rsidP="00D63AF3">
      <w:pPr>
        <w:pStyle w:val="DCETitre2"/>
        <w:keepNext w:val="0"/>
        <w:keepLines w:val="0"/>
        <w:widowControl w:val="0"/>
        <w:numPr>
          <w:ilvl w:val="1"/>
          <w:numId w:val="1"/>
        </w:numPr>
        <w:tabs>
          <w:tab w:val="clear" w:pos="1283"/>
          <w:tab w:val="num" w:pos="792"/>
        </w:tabs>
        <w:ind w:left="792"/>
      </w:pPr>
      <w:r>
        <w:lastRenderedPageBreak/>
        <w:t xml:space="preserve"> </w:t>
      </w:r>
      <w:bookmarkStart w:id="139" w:name="_Toc208852197"/>
      <w:r w:rsidR="00D63AF3">
        <w:t xml:space="preserve">Contrôle et évaluation des prestations du </w:t>
      </w:r>
      <w:r w:rsidR="000F76BE">
        <w:t>titulaire</w:t>
      </w:r>
      <w:bookmarkEnd w:id="139"/>
    </w:p>
    <w:p w14:paraId="3C3CB121" w14:textId="77777777" w:rsidR="00D63AF3" w:rsidRDefault="00D63AF3" w:rsidP="00D63AF3">
      <w:pPr>
        <w:spacing w:after="240"/>
        <w:jc w:val="both"/>
      </w:pPr>
      <w:r w:rsidRPr="00100487">
        <w:t xml:space="preserve">Le Sénat se réserve le droit de faire visiter, contrôler ou inspecter, à tout moment, par ses représentants ou des personnes habilitées par lui-même, les locaux attribués au titulaire. </w:t>
      </w:r>
    </w:p>
    <w:p w14:paraId="7F6404AB" w14:textId="77777777" w:rsidR="00D63AF3" w:rsidRPr="00F53AE6" w:rsidRDefault="00D63AF3" w:rsidP="005355FE">
      <w:pPr>
        <w:spacing w:after="240"/>
        <w:jc w:val="both"/>
      </w:pPr>
      <w:r w:rsidRPr="00F53AE6">
        <w:t xml:space="preserve">Le Sénat s’assure du respect de la qualité </w:t>
      </w:r>
      <w:r>
        <w:t xml:space="preserve">des prestations réalisées par le titulaire </w:t>
      </w:r>
      <w:r w:rsidRPr="00F53AE6">
        <w:t>par des visites inopinées effectuées par ses agents ou toute personne dûment mandatée par ses soins.</w:t>
      </w:r>
    </w:p>
    <w:p w14:paraId="3B14117A" w14:textId="1C45453F" w:rsidR="00D63AF3" w:rsidRDefault="00D63AF3" w:rsidP="005355FE">
      <w:pPr>
        <w:spacing w:after="240"/>
        <w:jc w:val="both"/>
      </w:pPr>
      <w:r w:rsidRPr="00F53AE6">
        <w:t>Le Sénat se réserve le droit éventuel de faire évaluer</w:t>
      </w:r>
      <w:r>
        <w:t>,</w:t>
      </w:r>
      <w:r w:rsidRPr="00F53AE6">
        <w:t xml:space="preserve"> par les moyens qu’il jugera adaptés</w:t>
      </w:r>
      <w:r>
        <w:t>,</w:t>
      </w:r>
      <w:r w:rsidRPr="00F53AE6">
        <w:t xml:space="preserve"> les prestations fournies par </w:t>
      </w:r>
      <w:r>
        <w:t>le titulaire.</w:t>
      </w:r>
      <w:r w:rsidR="00D42EEB">
        <w:t xml:space="preserve"> Le Sénat se réserve également la possibilité de demander au titulaire une réorientation de ses orientations, lorsque les résultats obtenus le justifient.</w:t>
      </w:r>
    </w:p>
    <w:p w14:paraId="57D240E2" w14:textId="38639637" w:rsidR="00D63AF3" w:rsidRDefault="005355FE" w:rsidP="00244F08">
      <w:pPr>
        <w:pStyle w:val="DCETitre2"/>
        <w:keepLines w:val="0"/>
        <w:numPr>
          <w:ilvl w:val="1"/>
          <w:numId w:val="1"/>
        </w:numPr>
        <w:tabs>
          <w:tab w:val="clear" w:pos="1283"/>
          <w:tab w:val="num" w:pos="792"/>
        </w:tabs>
        <w:ind w:left="792"/>
      </w:pPr>
      <w:r>
        <w:t xml:space="preserve"> </w:t>
      </w:r>
      <w:bookmarkStart w:id="140" w:name="_Toc208852198"/>
      <w:r w:rsidR="00D63AF3">
        <w:t>Transmission d’indicateurs d’activité</w:t>
      </w:r>
      <w:bookmarkEnd w:id="140"/>
    </w:p>
    <w:p w14:paraId="381003B5" w14:textId="3374F6F8" w:rsidR="00D63AF3" w:rsidRDefault="00D63AF3" w:rsidP="00D96183">
      <w:pPr>
        <w:pStyle w:val="DCETexte"/>
        <w:keepNext/>
        <w:spacing w:after="120"/>
        <w:ind w:firstLine="0"/>
        <w:rPr>
          <w:b/>
          <w:iCs/>
        </w:rPr>
      </w:pPr>
      <w:r>
        <w:t xml:space="preserve">Dans le cadre du </w:t>
      </w:r>
      <w:r w:rsidRPr="009C596D">
        <w:t>suivi d</w:t>
      </w:r>
      <w:r>
        <w:t>e l</w:t>
      </w:r>
      <w:r w:rsidRPr="009C596D">
        <w:t>’activité de l’exploitation</w:t>
      </w:r>
      <w:r>
        <w:t xml:space="preserve"> objet du présent contrat, le </w:t>
      </w:r>
      <w:r w:rsidR="000F76BE">
        <w:t>titulaire</w:t>
      </w:r>
      <w:r>
        <w:t xml:space="preserve"> communique au Sénat, à chaque trimestre, l’ensemble </w:t>
      </w:r>
      <w:r w:rsidRPr="009C596D">
        <w:t xml:space="preserve">des données </w:t>
      </w:r>
      <w:r>
        <w:t>et indicateurs relatifs à son activité. À ce titre, il lui communique notamment :</w:t>
      </w:r>
    </w:p>
    <w:p w14:paraId="596AF5EB" w14:textId="5D896468" w:rsidR="00D63AF3" w:rsidRPr="005355FE" w:rsidRDefault="00D63AF3" w:rsidP="00D96183">
      <w:pPr>
        <w:pStyle w:val="Listepuces"/>
        <w:numPr>
          <w:ilvl w:val="0"/>
          <w:numId w:val="10"/>
        </w:numPr>
        <w:spacing w:before="0"/>
        <w:rPr>
          <w:rFonts w:ascii="Times New Roman" w:eastAsia="Times New Roman" w:hAnsi="Times New Roman"/>
          <w:sz w:val="24"/>
          <w:szCs w:val="24"/>
          <w:lang w:eastAsia="fr-FR"/>
        </w:rPr>
      </w:pPr>
      <w:r w:rsidRPr="005355FE">
        <w:rPr>
          <w:rFonts w:ascii="Times New Roman" w:eastAsia="Times New Roman" w:hAnsi="Times New Roman"/>
          <w:sz w:val="24"/>
          <w:szCs w:val="24"/>
          <w:lang w:eastAsia="fr-FR"/>
        </w:rPr>
        <w:t xml:space="preserve">le nombre et la typologie de ses clients (sénateurs, personnel du Sénat, collaborateurs de Sénateurs, public extérieur, etc.), </w:t>
      </w:r>
    </w:p>
    <w:p w14:paraId="776916ED" w14:textId="2A24CB3C" w:rsidR="00D63AF3" w:rsidRPr="005355FE" w:rsidRDefault="00D63AF3" w:rsidP="00D96183">
      <w:pPr>
        <w:pStyle w:val="Listepuces"/>
        <w:numPr>
          <w:ilvl w:val="0"/>
          <w:numId w:val="10"/>
        </w:numPr>
        <w:spacing w:before="0"/>
        <w:rPr>
          <w:rFonts w:ascii="Times New Roman" w:eastAsia="Times New Roman" w:hAnsi="Times New Roman"/>
          <w:sz w:val="24"/>
          <w:szCs w:val="24"/>
          <w:lang w:eastAsia="fr-FR"/>
        </w:rPr>
      </w:pPr>
      <w:r w:rsidRPr="005355FE">
        <w:rPr>
          <w:rFonts w:ascii="Times New Roman" w:eastAsia="Times New Roman" w:hAnsi="Times New Roman"/>
          <w:sz w:val="24"/>
          <w:szCs w:val="24"/>
          <w:lang w:eastAsia="fr-FR"/>
        </w:rPr>
        <w:t xml:space="preserve">la liste des cinq produits les plus et les moins vendus, </w:t>
      </w:r>
    </w:p>
    <w:p w14:paraId="15A18B25" w14:textId="640BD08B" w:rsidR="00D63AF3" w:rsidRPr="005355FE" w:rsidRDefault="00D63AF3" w:rsidP="00D96183">
      <w:pPr>
        <w:pStyle w:val="Listepuces"/>
        <w:numPr>
          <w:ilvl w:val="0"/>
          <w:numId w:val="10"/>
        </w:numPr>
        <w:spacing w:before="0"/>
        <w:rPr>
          <w:rFonts w:ascii="Times New Roman" w:eastAsia="Times New Roman" w:hAnsi="Times New Roman"/>
          <w:sz w:val="24"/>
          <w:szCs w:val="24"/>
          <w:lang w:eastAsia="fr-FR"/>
        </w:rPr>
      </w:pPr>
      <w:r w:rsidRPr="005355FE">
        <w:rPr>
          <w:rFonts w:ascii="Times New Roman" w:eastAsia="Times New Roman" w:hAnsi="Times New Roman"/>
          <w:sz w:val="24"/>
          <w:szCs w:val="24"/>
          <w:lang w:eastAsia="fr-FR"/>
        </w:rPr>
        <w:t>la valeur du panier moyen de produits vendus,</w:t>
      </w:r>
    </w:p>
    <w:p w14:paraId="7163C675" w14:textId="6DD1E5F6" w:rsidR="00D63AF3" w:rsidRPr="005355FE" w:rsidRDefault="00D63AF3" w:rsidP="00D96183">
      <w:pPr>
        <w:pStyle w:val="Listepuces"/>
        <w:numPr>
          <w:ilvl w:val="0"/>
          <w:numId w:val="10"/>
        </w:numPr>
        <w:spacing w:before="0"/>
        <w:rPr>
          <w:rFonts w:ascii="Times New Roman" w:eastAsia="Times New Roman" w:hAnsi="Times New Roman"/>
          <w:sz w:val="24"/>
          <w:szCs w:val="24"/>
          <w:lang w:eastAsia="fr-FR"/>
        </w:rPr>
      </w:pPr>
      <w:r w:rsidRPr="005355FE">
        <w:rPr>
          <w:rFonts w:ascii="Times New Roman" w:eastAsia="Times New Roman" w:hAnsi="Times New Roman"/>
          <w:sz w:val="24"/>
          <w:szCs w:val="24"/>
          <w:lang w:eastAsia="fr-FR"/>
        </w:rPr>
        <w:t xml:space="preserve">l’origine géographique de ces produits, </w:t>
      </w:r>
    </w:p>
    <w:p w14:paraId="1C6AE855" w14:textId="77777777" w:rsidR="005355FE" w:rsidRDefault="00D63AF3" w:rsidP="00D96183">
      <w:pPr>
        <w:pStyle w:val="Listepuces"/>
        <w:numPr>
          <w:ilvl w:val="0"/>
          <w:numId w:val="10"/>
        </w:numPr>
        <w:spacing w:before="0"/>
        <w:rPr>
          <w:rFonts w:ascii="Times New Roman" w:eastAsia="Times New Roman" w:hAnsi="Times New Roman"/>
          <w:sz w:val="24"/>
          <w:szCs w:val="24"/>
          <w:lang w:eastAsia="fr-FR"/>
        </w:rPr>
      </w:pPr>
      <w:r w:rsidRPr="005355FE">
        <w:rPr>
          <w:rFonts w:ascii="Times New Roman" w:eastAsia="Times New Roman" w:hAnsi="Times New Roman"/>
          <w:sz w:val="24"/>
          <w:szCs w:val="24"/>
          <w:lang w:eastAsia="fr-FR"/>
        </w:rPr>
        <w:t xml:space="preserve">l’évolution (ajouts et retraits) du catalogue, </w:t>
      </w:r>
    </w:p>
    <w:p w14:paraId="650B50EB" w14:textId="315B155A" w:rsidR="00D63AF3" w:rsidRPr="005355FE" w:rsidRDefault="00D63AF3" w:rsidP="00D96183">
      <w:pPr>
        <w:pStyle w:val="Listepuces"/>
        <w:numPr>
          <w:ilvl w:val="0"/>
          <w:numId w:val="10"/>
        </w:numPr>
        <w:spacing w:before="0"/>
        <w:rPr>
          <w:rFonts w:ascii="Times New Roman" w:eastAsia="Times New Roman" w:hAnsi="Times New Roman"/>
          <w:sz w:val="24"/>
          <w:szCs w:val="24"/>
          <w:lang w:eastAsia="fr-FR"/>
        </w:rPr>
      </w:pPr>
      <w:r w:rsidRPr="005355FE">
        <w:rPr>
          <w:rFonts w:ascii="Times New Roman" w:eastAsia="Times New Roman" w:hAnsi="Times New Roman"/>
          <w:sz w:val="24"/>
          <w:szCs w:val="24"/>
          <w:lang w:eastAsia="fr-FR"/>
        </w:rPr>
        <w:t xml:space="preserve">le chiffre d’affaires réalisé par segment de produits (produits portant le logotype du Sénat, produits de la marque « Jardin du Luxembourg », produits de la marque du </w:t>
      </w:r>
      <w:r w:rsidR="000F76BE">
        <w:rPr>
          <w:rFonts w:ascii="Times New Roman" w:eastAsia="Times New Roman" w:hAnsi="Times New Roman"/>
          <w:sz w:val="24"/>
          <w:szCs w:val="24"/>
          <w:lang w:eastAsia="fr-FR"/>
        </w:rPr>
        <w:t>titulaire</w:t>
      </w:r>
      <w:r w:rsidRPr="005355FE">
        <w:rPr>
          <w:rFonts w:ascii="Times New Roman" w:eastAsia="Times New Roman" w:hAnsi="Times New Roman"/>
          <w:sz w:val="24"/>
          <w:szCs w:val="24"/>
          <w:lang w:eastAsia="fr-FR"/>
        </w:rPr>
        <w:t>, produits de marques partenaires, etc.)</w:t>
      </w:r>
    </w:p>
    <w:p w14:paraId="7E2C404D" w14:textId="370585FB" w:rsidR="00D63AF3" w:rsidRPr="005355FE" w:rsidRDefault="00D63AF3" w:rsidP="00D96183">
      <w:pPr>
        <w:pStyle w:val="Listepuces"/>
        <w:numPr>
          <w:ilvl w:val="0"/>
          <w:numId w:val="10"/>
        </w:numPr>
        <w:spacing w:before="0"/>
        <w:rPr>
          <w:rFonts w:ascii="Times New Roman" w:eastAsia="Times New Roman" w:hAnsi="Times New Roman"/>
          <w:sz w:val="24"/>
          <w:szCs w:val="24"/>
          <w:lang w:eastAsia="fr-FR"/>
        </w:rPr>
      </w:pPr>
      <w:r w:rsidRPr="005355FE">
        <w:rPr>
          <w:rFonts w:ascii="Times New Roman" w:eastAsia="Times New Roman" w:hAnsi="Times New Roman"/>
          <w:sz w:val="24"/>
          <w:szCs w:val="24"/>
          <w:lang w:eastAsia="fr-FR"/>
        </w:rPr>
        <w:t>l’indice de fréquentation du site internet de la boutique en ligne et le chiffre d’affaires réalisé par celle-ci…</w:t>
      </w:r>
    </w:p>
    <w:p w14:paraId="02ABD09F" w14:textId="074CEB01" w:rsidR="00D63AF3" w:rsidRPr="00A44398" w:rsidRDefault="00D63AF3" w:rsidP="00D96183">
      <w:pPr>
        <w:spacing w:after="120"/>
      </w:pPr>
      <w:r>
        <w:t xml:space="preserve">Cette liste n’est pas exhaustive et pourra être actualisée à l’initiative du </w:t>
      </w:r>
      <w:r w:rsidR="000F76BE">
        <w:t>titulaire</w:t>
      </w:r>
      <w:r>
        <w:t xml:space="preserve"> ou sur demande du Sénat.</w:t>
      </w:r>
    </w:p>
    <w:p w14:paraId="1427CF39" w14:textId="77777777" w:rsidR="00272F53" w:rsidRPr="00BC029B" w:rsidRDefault="00493015" w:rsidP="00272F53">
      <w:pPr>
        <w:pStyle w:val="DCETitre1"/>
      </w:pPr>
      <w:bookmarkStart w:id="141" w:name="_Toc208852199"/>
      <w:r>
        <w:t xml:space="preserve">Responsabilité </w:t>
      </w:r>
      <w:r w:rsidR="00272F53">
        <w:t>et assurances</w:t>
      </w:r>
      <w:bookmarkEnd w:id="141"/>
    </w:p>
    <w:p w14:paraId="56457D18" w14:textId="77777777" w:rsidR="00272F53" w:rsidRPr="0060563E" w:rsidRDefault="0067188F" w:rsidP="00F04245">
      <w:pPr>
        <w:pStyle w:val="DCETitre2"/>
        <w:keepNext w:val="0"/>
        <w:keepLines w:val="0"/>
        <w:widowControl w:val="0"/>
        <w:numPr>
          <w:ilvl w:val="1"/>
          <w:numId w:val="1"/>
        </w:numPr>
        <w:tabs>
          <w:tab w:val="clear" w:pos="1283"/>
          <w:tab w:val="num" w:pos="792"/>
        </w:tabs>
        <w:ind w:left="792"/>
      </w:pPr>
      <w:bookmarkStart w:id="142" w:name="_Toc221509138"/>
      <w:bookmarkStart w:id="143" w:name="_Toc221528414"/>
      <w:bookmarkStart w:id="144" w:name="_Toc221686378"/>
      <w:bookmarkStart w:id="145" w:name="_Toc221687414"/>
      <w:bookmarkStart w:id="146" w:name="_Toc223775917"/>
      <w:bookmarkStart w:id="147" w:name="_Toc232576646"/>
      <w:bookmarkStart w:id="148" w:name="_Toc232577031"/>
      <w:bookmarkStart w:id="149" w:name="_Toc409517161"/>
      <w:r>
        <w:t xml:space="preserve"> </w:t>
      </w:r>
      <w:bookmarkStart w:id="150" w:name="_Toc208852200"/>
      <w:r w:rsidR="00272F53" w:rsidRPr="0060563E">
        <w:t>Dommages</w:t>
      </w:r>
      <w:bookmarkEnd w:id="142"/>
      <w:bookmarkEnd w:id="143"/>
      <w:bookmarkEnd w:id="144"/>
      <w:bookmarkEnd w:id="145"/>
      <w:bookmarkEnd w:id="146"/>
      <w:bookmarkEnd w:id="147"/>
      <w:bookmarkEnd w:id="148"/>
      <w:bookmarkEnd w:id="149"/>
      <w:bookmarkEnd w:id="150"/>
    </w:p>
    <w:p w14:paraId="42DCF52F" w14:textId="77777777" w:rsidR="00272F53" w:rsidRDefault="00272F53" w:rsidP="00493015">
      <w:pPr>
        <w:pStyle w:val="DCETEXTE0"/>
      </w:pPr>
      <w:r>
        <w:t>Le Sénat décline</w:t>
      </w:r>
      <w:r w:rsidRPr="00F53AE6">
        <w:t xml:space="preserve"> toute responsabilité quant aux dommages ainsi que plus généralement pour les accidents pouvant survenir à l’occasion de l’activité </w:t>
      </w:r>
      <w:r>
        <w:t xml:space="preserve">du titulaire </w:t>
      </w:r>
      <w:r w:rsidRPr="00F53AE6">
        <w:t>ou en cas de perte et/ou vol du matériel à usage professionnel ou d</w:t>
      </w:r>
      <w:r>
        <w:t>’objets et valeurs personnels.</w:t>
      </w:r>
    </w:p>
    <w:p w14:paraId="31B6E265" w14:textId="45B4DBA0" w:rsidR="00272F53" w:rsidRPr="00F53AE6" w:rsidRDefault="00272F53" w:rsidP="00493015">
      <w:pPr>
        <w:pStyle w:val="DCETEXTE0"/>
      </w:pPr>
      <w:r w:rsidRPr="00F53AE6">
        <w:t>L</w:t>
      </w:r>
      <w:r w:rsidR="0067188F">
        <w:t xml:space="preserve">e titulaire doit immédiatement </w:t>
      </w:r>
      <w:r w:rsidRPr="00F53AE6">
        <w:t xml:space="preserve">informer le Sénat de tout sinistre ou dégradation qui surviendrait à l’occasion de l’exploitation </w:t>
      </w:r>
      <w:r>
        <w:t xml:space="preserve">de la </w:t>
      </w:r>
      <w:r w:rsidR="00CD7442">
        <w:t>boutique de vente</w:t>
      </w:r>
      <w:r w:rsidRPr="00F53AE6">
        <w:t>.</w:t>
      </w:r>
    </w:p>
    <w:p w14:paraId="5017F9C2" w14:textId="77777777" w:rsidR="00272F53" w:rsidRPr="00F53AE6" w:rsidRDefault="00272F53" w:rsidP="00493015">
      <w:pPr>
        <w:pStyle w:val="DCETEXTE0"/>
      </w:pPr>
      <w:r>
        <w:t>Le titulaire</w:t>
      </w:r>
      <w:r w:rsidRPr="00F53AE6">
        <w:t xml:space="preserve"> est responsable des dégâts qui pourraient se produire dans l’emplacement autorisé, sauf s’il est avéré que le dommage ne lui est pas imputable. </w:t>
      </w:r>
      <w:r w:rsidR="0067188F">
        <w:t>Il</w:t>
      </w:r>
      <w:r w:rsidRPr="00F53AE6">
        <w:t xml:space="preserve"> est </w:t>
      </w:r>
      <w:r w:rsidR="0067188F">
        <w:t xml:space="preserve">en particulier </w:t>
      </w:r>
      <w:r w:rsidRPr="00F53AE6">
        <w:t>responsable des dégâts que pourrait occasionner le service de la livraison des marchandises.</w:t>
      </w:r>
    </w:p>
    <w:p w14:paraId="42D562BD" w14:textId="77777777" w:rsidR="00272F53" w:rsidRPr="00F53AE6" w:rsidRDefault="00272F53" w:rsidP="00493015">
      <w:pPr>
        <w:pStyle w:val="DCETEXTE0"/>
      </w:pPr>
      <w:r>
        <w:lastRenderedPageBreak/>
        <w:t>Le titulaire</w:t>
      </w:r>
      <w:r w:rsidRPr="00F53AE6">
        <w:t xml:space="preserve"> est responsable de tout accident </w:t>
      </w:r>
      <w:r>
        <w:t xml:space="preserve">ou dommage </w:t>
      </w:r>
      <w:r w:rsidR="0067188F">
        <w:t>matériel</w:t>
      </w:r>
      <w:r w:rsidR="00E565AD">
        <w:t xml:space="preserve"> ou c</w:t>
      </w:r>
      <w:r w:rsidR="0067188F">
        <w:t>orporel</w:t>
      </w:r>
      <w:r w:rsidR="00E565AD">
        <w:t xml:space="preserve"> </w:t>
      </w:r>
      <w:r w:rsidRPr="00F53AE6">
        <w:t xml:space="preserve">pouvant survenir dans le cadre de l’exploitation de son activité, sans que le Sénat </w:t>
      </w:r>
      <w:r>
        <w:t xml:space="preserve">ne </w:t>
      </w:r>
      <w:r w:rsidRPr="00F53AE6">
        <w:t>puisse être mis en cause, sauf faute ou négligence du Sénat. Le Sénat est de même entièrement dégagé de toute responsabilité en cas de disparition de matériel ou de marchandise.</w:t>
      </w:r>
    </w:p>
    <w:p w14:paraId="0F39CFA5" w14:textId="77777777" w:rsidR="00272F53" w:rsidRDefault="0067188F" w:rsidP="00F04245">
      <w:pPr>
        <w:pStyle w:val="DCETitre2"/>
        <w:keepNext w:val="0"/>
        <w:keepLines w:val="0"/>
        <w:widowControl w:val="0"/>
        <w:numPr>
          <w:ilvl w:val="1"/>
          <w:numId w:val="1"/>
        </w:numPr>
        <w:tabs>
          <w:tab w:val="clear" w:pos="1283"/>
          <w:tab w:val="num" w:pos="792"/>
        </w:tabs>
        <w:ind w:left="792"/>
      </w:pPr>
      <w:bookmarkStart w:id="151" w:name="_Toc221509139"/>
      <w:bookmarkStart w:id="152" w:name="_Toc221528415"/>
      <w:bookmarkStart w:id="153" w:name="_Toc221686379"/>
      <w:bookmarkStart w:id="154" w:name="_Toc221687415"/>
      <w:bookmarkStart w:id="155" w:name="_Toc223775918"/>
      <w:bookmarkStart w:id="156" w:name="_Toc232576647"/>
      <w:bookmarkStart w:id="157" w:name="_Toc232577032"/>
      <w:bookmarkStart w:id="158" w:name="_Toc409517162"/>
      <w:r>
        <w:t xml:space="preserve"> </w:t>
      </w:r>
      <w:bookmarkStart w:id="159" w:name="_Toc208852201"/>
      <w:r w:rsidR="00272F53" w:rsidRPr="0060563E">
        <w:t>Assurances</w:t>
      </w:r>
      <w:bookmarkEnd w:id="151"/>
      <w:bookmarkEnd w:id="152"/>
      <w:bookmarkEnd w:id="153"/>
      <w:bookmarkEnd w:id="154"/>
      <w:bookmarkEnd w:id="155"/>
      <w:bookmarkEnd w:id="156"/>
      <w:bookmarkEnd w:id="157"/>
      <w:bookmarkEnd w:id="158"/>
      <w:bookmarkEnd w:id="159"/>
    </w:p>
    <w:p w14:paraId="37DF9E65" w14:textId="77777777" w:rsidR="00C32525" w:rsidRPr="00C32525" w:rsidRDefault="00C32525" w:rsidP="00C32525">
      <w:pPr>
        <w:pStyle w:val="DCETEXTE0"/>
      </w:pPr>
      <w:r w:rsidRPr="00C32525">
        <w:t>Le titulaire est responsable tant v</w:t>
      </w:r>
      <w:r w:rsidR="0067188F">
        <w:t>is-à-vis du Sénat que des tiers</w:t>
      </w:r>
      <w:r w:rsidRPr="00C32525">
        <w:t xml:space="preserve"> des accidents de toute nature qui peuvent résulter de son activité ou de ses installations.</w:t>
      </w:r>
    </w:p>
    <w:p w14:paraId="18CC5E0A" w14:textId="77777777" w:rsidR="00272F53" w:rsidRDefault="00272F53" w:rsidP="00967AEC">
      <w:pPr>
        <w:pStyle w:val="DCETEXTE0"/>
      </w:pPr>
      <w:r w:rsidRPr="00967AEC">
        <w:t xml:space="preserve">Le titulaire, agissant en qualité </w:t>
      </w:r>
      <w:r w:rsidR="00125894">
        <w:t>d’occupant</w:t>
      </w:r>
      <w:r w:rsidRPr="00967AEC">
        <w:t>, assure dès la mise à disposition des locaux et pendant toute leur durée d’occupation, auprès d'une compagnie notoirement solvable, et pour des sommes suffisantes</w:t>
      </w:r>
      <w:r w:rsidR="00825E72">
        <w:t xml:space="preserve"> (la valeur de reconstruction de la </w:t>
      </w:r>
      <w:r w:rsidR="0067188F">
        <w:t>boutique de vente étant</w:t>
      </w:r>
      <w:r w:rsidR="00EA6559">
        <w:t xml:space="preserve"> estimée à 25</w:t>
      </w:r>
      <w:r w:rsidR="00A40671">
        <w:t>0 000 </w:t>
      </w:r>
      <w:r w:rsidR="00825E72">
        <w:t>euros)</w:t>
      </w:r>
      <w:r w:rsidR="0067188F">
        <w:t xml:space="preserve"> </w:t>
      </w:r>
      <w:r w:rsidRPr="00967AEC">
        <w:t>ses risques locatifs, les agencements et embellissements, même immeuble par nature ou destination, l'ensemble de ses propres biens contre les risques d'incendie, explosion, foudre, dommages électriques, chute ou choc d'appareils de navigation aérienne, choc de véhicule, ouragans, tempêtes, grêle, neige sur toitures, grèves, émeutes, mouvements populaires, vandalisme, malveillance, sabotage, dégâts des eaux, bris de glaces, vol y compris détériorations à la suite de vol ou tentative de vol, le recours des voisins et des tiers ainsi que les honoraires d'experts.</w:t>
      </w:r>
    </w:p>
    <w:p w14:paraId="734054D6" w14:textId="77777777" w:rsidR="00C32525" w:rsidRPr="00C32525" w:rsidRDefault="00C32525" w:rsidP="00C32525">
      <w:pPr>
        <w:pStyle w:val="DCETEXTE0"/>
      </w:pPr>
      <w:r w:rsidRPr="00C32525">
        <w:t xml:space="preserve">Le titulaire renonce à tout recours contre le Sénat et ses assureurs du fait de la destruction ou </w:t>
      </w:r>
      <w:r w:rsidR="0067188F">
        <w:t xml:space="preserve">de la </w:t>
      </w:r>
      <w:r w:rsidRPr="00C32525">
        <w:t>détérioration totale ou partielle de tous les biens assurés et consécutivement de tous dommages de quelque nature que ce soit</w:t>
      </w:r>
      <w:r w:rsidR="0067188F">
        <w:t>,</w:t>
      </w:r>
      <w:r w:rsidRPr="00C32525">
        <w:t xml:space="preserve"> tels que privation ou trouble de jouissance du bâtiment mis à disposition, frais supplémentaire ou perte d’exploitation y compris les éléments incorporels attachés à l’exploitation.</w:t>
      </w:r>
    </w:p>
    <w:p w14:paraId="06038038" w14:textId="77777777" w:rsidR="00C32525" w:rsidRPr="00C32525" w:rsidRDefault="00C32525" w:rsidP="00C32525">
      <w:pPr>
        <w:pStyle w:val="DCETEXTE0"/>
      </w:pPr>
      <w:r w:rsidRPr="00C32525">
        <w:t>Cette renonciation à recours</w:t>
      </w:r>
      <w:r w:rsidR="00C07BCF">
        <w:t xml:space="preserve"> et</w:t>
      </w:r>
      <w:r w:rsidRPr="00C32525">
        <w:t xml:space="preserve"> la valeur de reconstruction devront être portés à la connaissance des assureurs de l’occupant. </w:t>
      </w:r>
    </w:p>
    <w:p w14:paraId="4F5A9C2A" w14:textId="77777777" w:rsidR="00C32525" w:rsidRPr="00C32525" w:rsidRDefault="00C32525" w:rsidP="00C32525">
      <w:pPr>
        <w:pStyle w:val="DCETEXTE0"/>
      </w:pPr>
      <w:r w:rsidRPr="00C32525">
        <w:t>Le titulaire ne pourra en aucune circonstance invoquer le manquement ou la défaillance de la compagnie d’assurances et/ou de son courtier pour justifier</w:t>
      </w:r>
      <w:r w:rsidR="00A40671">
        <w:t xml:space="preserve"> de la carence de ceux</w:t>
      </w:r>
      <w:r w:rsidR="00A40671">
        <w:noBreakHyphen/>
        <w:t>ci vis</w:t>
      </w:r>
      <w:r w:rsidR="00A40671">
        <w:noBreakHyphen/>
        <w:t>à</w:t>
      </w:r>
      <w:r w:rsidR="00A40671">
        <w:noBreakHyphen/>
      </w:r>
      <w:r w:rsidRPr="00C32525">
        <w:t>vis du Sénat et/ou des tiers.</w:t>
      </w:r>
    </w:p>
    <w:p w14:paraId="6225DD75" w14:textId="77777777" w:rsidR="00C32525" w:rsidRPr="00C32525" w:rsidRDefault="00C32525" w:rsidP="00C32525">
      <w:pPr>
        <w:pStyle w:val="DCETEXTE0"/>
      </w:pPr>
      <w:r w:rsidRPr="00C32525">
        <w:t>Il est expressément convenu que les franchises de toutes sortes resteront à la charge du titulaire et de lui seul.</w:t>
      </w:r>
    </w:p>
    <w:p w14:paraId="61ADC86A" w14:textId="77777777" w:rsidR="00C32525" w:rsidRPr="00C32525" w:rsidRDefault="00C32525" w:rsidP="00C32525">
      <w:pPr>
        <w:pStyle w:val="DCETEXTE0"/>
      </w:pPr>
      <w:r w:rsidRPr="00C32525">
        <w:t>Il est précisé que tout dommage qui ne serait pas pris en charge par l’assureur du titulaire en application des clauses et conditions du contrat d’assurance concerné, soit que le risque réalisé n’est pas garanti, soit que le montant de la garantie est insuffisant, demeurera à la charge exclusive du titulaire.</w:t>
      </w:r>
    </w:p>
    <w:p w14:paraId="62EE6E76" w14:textId="77777777" w:rsidR="00C32525" w:rsidRPr="00967AEC" w:rsidRDefault="00C32525" w:rsidP="00C32525">
      <w:pPr>
        <w:pStyle w:val="DCETEXTE0"/>
      </w:pPr>
      <w:r w:rsidRPr="00C32525">
        <w:t>Ainsi, en ce qui concerne les risques qui n’entreraient pas dans les garanties énumérées dans le présent cahier des charges, l’attention du titulaire est attirée sur la nécessité de souscrire, s’il le souhaite, les divers contrats d’assurance s’y rapportant.</w:t>
      </w:r>
    </w:p>
    <w:p w14:paraId="70108A8B" w14:textId="77777777" w:rsidR="00272F53" w:rsidRDefault="00272F53" w:rsidP="00493015">
      <w:pPr>
        <w:pStyle w:val="DCETEXTE0"/>
      </w:pPr>
      <w:r w:rsidRPr="00230322">
        <w:t>Il souscrit également</w:t>
      </w:r>
      <w:r w:rsidR="0067188F">
        <w:t>,</w:t>
      </w:r>
      <w:r w:rsidRPr="00230322">
        <w:t xml:space="preserve"> auprès d'une compagnie notoirement solvable, une assurance responsabilité civile couvrant pour un montant suffisant les dommages corporels et garantissant les conséquences de la dite responsabilité qu'elle peut encourir à raison des dommages matériels</w:t>
      </w:r>
      <w:r w:rsidR="006D6814">
        <w:t>,</w:t>
      </w:r>
      <w:r w:rsidRPr="00230322">
        <w:t xml:space="preserve">  immatériels </w:t>
      </w:r>
      <w:r w:rsidR="006D6814">
        <w:t xml:space="preserve">et corporels </w:t>
      </w:r>
      <w:r w:rsidRPr="00230322">
        <w:t>causés aux tiers dans le cadre de ses activités.</w:t>
      </w:r>
    </w:p>
    <w:p w14:paraId="459FE2FE" w14:textId="77777777" w:rsidR="00272F53" w:rsidRDefault="0067188F" w:rsidP="00493015">
      <w:pPr>
        <w:pStyle w:val="DCETEXTE0"/>
      </w:pPr>
      <w:r>
        <w:lastRenderedPageBreak/>
        <w:t>Le</w:t>
      </w:r>
      <w:r w:rsidR="00272F53" w:rsidRPr="00230322">
        <w:t xml:space="preserve"> titulaire fournit</w:t>
      </w:r>
      <w:r>
        <w:t xml:space="preserve"> chaque année</w:t>
      </w:r>
      <w:r w:rsidR="00272F53" w:rsidRPr="00230322">
        <w:t xml:space="preserve"> </w:t>
      </w:r>
      <w:r w:rsidR="00F44A2B">
        <w:t>un justificatif</w:t>
      </w:r>
      <w:r w:rsidR="00272F53" w:rsidRPr="00230322">
        <w:t xml:space="preserve"> d’assurance </w:t>
      </w:r>
      <w:r w:rsidR="00F44A2B">
        <w:t>attest</w:t>
      </w:r>
      <w:r w:rsidR="00272F53" w:rsidRPr="00230322">
        <w:t xml:space="preserve">ant </w:t>
      </w:r>
      <w:r w:rsidR="00F44A2B">
        <w:t>des activités assurées, d</w:t>
      </w:r>
      <w:r w:rsidR="00272F53" w:rsidRPr="00230322">
        <w:t xml:space="preserve">es garanties </w:t>
      </w:r>
      <w:r w:rsidR="00F44A2B">
        <w:t>souscrites</w:t>
      </w:r>
      <w:r w:rsidR="00272F53" w:rsidRPr="00230322">
        <w:t xml:space="preserve"> et </w:t>
      </w:r>
      <w:r w:rsidR="00F44A2B">
        <w:t xml:space="preserve">des </w:t>
      </w:r>
      <w:r w:rsidR="00272F53" w:rsidRPr="00230322">
        <w:t xml:space="preserve">montants de garanties couverts, </w:t>
      </w:r>
      <w:r w:rsidR="00F44A2B">
        <w:t>d</w:t>
      </w:r>
      <w:r w:rsidR="00272F53" w:rsidRPr="00230322">
        <w:t xml:space="preserve">es franchises éventuelles et </w:t>
      </w:r>
      <w:r w:rsidR="00F44A2B">
        <w:t>du paiement d</w:t>
      </w:r>
      <w:r w:rsidR="00272F53" w:rsidRPr="00230322">
        <w:t>es primes</w:t>
      </w:r>
      <w:r w:rsidR="00272F53">
        <w:t>.</w:t>
      </w:r>
    </w:p>
    <w:p w14:paraId="4630110D" w14:textId="39557453" w:rsidR="00B705EE" w:rsidRDefault="00244F08" w:rsidP="00B705EE">
      <w:pPr>
        <w:pStyle w:val="DCETitre1"/>
        <w:numPr>
          <w:ilvl w:val="0"/>
          <w:numId w:val="0"/>
        </w:numPr>
        <w:jc w:val="center"/>
      </w:pPr>
      <w:bookmarkStart w:id="160" w:name="_Toc208852202"/>
      <w:r>
        <w:t xml:space="preserve">Chapitre V. – </w:t>
      </w:r>
      <w:r w:rsidR="00B705EE">
        <w:t>Travaux</w:t>
      </w:r>
      <w:bookmarkEnd w:id="160"/>
    </w:p>
    <w:p w14:paraId="45AC7052" w14:textId="77777777" w:rsidR="00C66831" w:rsidRPr="00DE47FF" w:rsidRDefault="00C66831" w:rsidP="00C66831">
      <w:pPr>
        <w:pStyle w:val="DCETitre1"/>
      </w:pPr>
      <w:bookmarkStart w:id="161" w:name="_Toc208852203"/>
      <w:r w:rsidRPr="009E3C73">
        <w:t>Aménagements avant installation</w:t>
      </w:r>
      <w:bookmarkEnd w:id="161"/>
    </w:p>
    <w:p w14:paraId="035DD25C" w14:textId="77777777" w:rsidR="00C66831" w:rsidRDefault="00C66831" w:rsidP="00C66831">
      <w:pPr>
        <w:pStyle w:val="DCETEXTE0"/>
      </w:pPr>
      <w:r>
        <w:t>Avant d’ouvrir son établissement, le titulaire effectue tous les travaux autorisés nécessaires d’aménagement et de rénovation de la boutique de vente en les prenant en charge techniquement et financièrement.</w:t>
      </w:r>
    </w:p>
    <w:p w14:paraId="7CD179C9" w14:textId="77777777" w:rsidR="0042409A" w:rsidRPr="00FD3A53" w:rsidRDefault="002D2E30" w:rsidP="00FD76C0">
      <w:pPr>
        <w:pStyle w:val="DCETitre1"/>
      </w:pPr>
      <w:bookmarkStart w:id="162" w:name="_Toc208852204"/>
      <w:r w:rsidRPr="00FD3A53">
        <w:t>T</w:t>
      </w:r>
      <w:r w:rsidR="0042409A" w:rsidRPr="00FD3A53">
        <w:t>ravaux</w:t>
      </w:r>
      <w:bookmarkEnd w:id="162"/>
    </w:p>
    <w:p w14:paraId="0B3A1055" w14:textId="77777777" w:rsidR="00FD3A53" w:rsidRDefault="00FD3A53" w:rsidP="00FD3A53">
      <w:pPr>
        <w:pStyle w:val="DCETEXTE0"/>
      </w:pPr>
      <w:bookmarkStart w:id="163" w:name="_Toc211932933"/>
      <w:bookmarkStart w:id="164" w:name="_Toc212881552"/>
      <w:bookmarkStart w:id="165" w:name="_Toc362431569"/>
      <w:bookmarkStart w:id="166" w:name="_Toc362544301"/>
      <w:bookmarkStart w:id="167" w:name="_Toc412822794"/>
      <w:r w:rsidRPr="00287CFA">
        <w:t>Le Sénat assure le financement et la conduite des travaux liés au</w:t>
      </w:r>
      <w:r>
        <w:t xml:space="preserve"> maintien du clos et du couvert</w:t>
      </w:r>
      <w:r w:rsidRPr="00287CFA">
        <w:t xml:space="preserve"> incombant au propriétaire selo</w:t>
      </w:r>
      <w:r>
        <w:t>n les dispositions de l’article </w:t>
      </w:r>
      <w:r w:rsidRPr="00287CFA">
        <w:t>606 du code civil</w:t>
      </w:r>
      <w:r w:rsidR="00191945">
        <w:t>.</w:t>
      </w:r>
    </w:p>
    <w:p w14:paraId="4D9132B8" w14:textId="77777777" w:rsidR="00FD3A53" w:rsidRPr="00287CFA" w:rsidRDefault="00FD3A53" w:rsidP="00FD3A53">
      <w:pPr>
        <w:pStyle w:val="DCETEXTE0"/>
      </w:pPr>
      <w:r>
        <w:t>Le Sénat ou les personnes qu’il désigne procèdent à autant de visites globales ou partielles que nécessaire afin de déterminer un programme de grosses réparations des équipements.</w:t>
      </w:r>
    </w:p>
    <w:p w14:paraId="56538C44" w14:textId="22C929B3" w:rsidR="00FD3A53" w:rsidRDefault="00FD3A53" w:rsidP="00FD3A53">
      <w:pPr>
        <w:pStyle w:val="DCETEXTE0"/>
      </w:pPr>
      <w:r w:rsidRPr="00287CFA">
        <w:t>Le titulaire</w:t>
      </w:r>
      <w:r>
        <w:t>, quant à lui,</w:t>
      </w:r>
      <w:r w:rsidRPr="00287CFA">
        <w:t xml:space="preserve"> assure le financement et la conduite des aménagements</w:t>
      </w:r>
      <w:r w:rsidR="00087527">
        <w:t xml:space="preserve"> accessoires</w:t>
      </w:r>
      <w:r w:rsidRPr="00287CFA">
        <w:t xml:space="preserve"> nécessités par son activité</w:t>
      </w:r>
      <w:r w:rsidR="00087527">
        <w:t xml:space="preserve"> mentionné</w:t>
      </w:r>
      <w:r w:rsidR="00AD51AA">
        <w:t>e</w:t>
      </w:r>
      <w:r w:rsidR="00087527">
        <w:t xml:space="preserve"> à l’article </w:t>
      </w:r>
      <w:r w:rsidR="00AD51AA">
        <w:t>9.1</w:t>
      </w:r>
      <w:r w:rsidRPr="00287CFA">
        <w:t xml:space="preserve">, à l’exception des travaux définis </w:t>
      </w:r>
      <w:r w:rsidR="006C3EA5">
        <w:t>aux</w:t>
      </w:r>
      <w:r w:rsidR="006C3EA5" w:rsidRPr="00287CFA">
        <w:t xml:space="preserve"> </w:t>
      </w:r>
      <w:r w:rsidRPr="00287CFA">
        <w:t>alinéa</w:t>
      </w:r>
      <w:r w:rsidR="006C3EA5">
        <w:t>s</w:t>
      </w:r>
      <w:r w:rsidRPr="00287CFA">
        <w:t xml:space="preserve"> précédent</w:t>
      </w:r>
      <w:r w:rsidR="006C3EA5">
        <w:t>s</w:t>
      </w:r>
      <w:r w:rsidRPr="00287CFA">
        <w:t>. Ces aménagements sont exécutés avec l’accord et sous le contrôle du Sénat.</w:t>
      </w:r>
      <w:r w:rsidRPr="00E95914">
        <w:t xml:space="preserve"> </w:t>
      </w:r>
    </w:p>
    <w:p w14:paraId="5E38FB39" w14:textId="77777777" w:rsidR="00FD3A53" w:rsidRDefault="00FD3A53" w:rsidP="00FD3A53">
      <w:pPr>
        <w:pStyle w:val="DCETEXTE0"/>
      </w:pPr>
      <w:r w:rsidRPr="009F78B6">
        <w:t xml:space="preserve">Les </w:t>
      </w:r>
      <w:r w:rsidR="00087527">
        <w:t>aménagements</w:t>
      </w:r>
      <w:r w:rsidR="00087527" w:rsidRPr="009F78B6">
        <w:t xml:space="preserve"> </w:t>
      </w:r>
      <w:r w:rsidRPr="009F78B6">
        <w:t>autorisés sont exécutés sous la responsabilité du titulaire et sous le contrôle du Sénat</w:t>
      </w:r>
      <w:r w:rsidR="0067188F">
        <w:t>,</w:t>
      </w:r>
      <w:r w:rsidRPr="009F78B6">
        <w:t xml:space="preserve"> qui agrée les bureaux d’études et de contr</w:t>
      </w:r>
      <w:r>
        <w:t xml:space="preserve">ôle choisis par le titulaire, qui en assume </w:t>
      </w:r>
      <w:r w:rsidRPr="009F78B6">
        <w:t>les honoraires.</w:t>
      </w:r>
    </w:p>
    <w:p w14:paraId="4B0A9079" w14:textId="77777777" w:rsidR="00FD3A53" w:rsidRPr="00287CFA" w:rsidRDefault="00FD3A53" w:rsidP="00FD3A53">
      <w:pPr>
        <w:pStyle w:val="DCETEXTE0"/>
      </w:pPr>
      <w:r w:rsidRPr="009F78B6">
        <w:t xml:space="preserve">Toute installation temporaire hors de l’espace mis à disposition </w:t>
      </w:r>
      <w:r w:rsidR="00F67B1B">
        <w:t>dans le cadre de la concession</w:t>
      </w:r>
      <w:r w:rsidR="00164864">
        <w:t xml:space="preserve"> </w:t>
      </w:r>
      <w:r w:rsidRPr="009F78B6">
        <w:t xml:space="preserve">doit </w:t>
      </w:r>
      <w:r w:rsidR="0067188F">
        <w:t>recevoir</w:t>
      </w:r>
      <w:r w:rsidRPr="009F78B6">
        <w:t xml:space="preserve"> l’autorisation préalable et écrite du Sénat.</w:t>
      </w:r>
    </w:p>
    <w:p w14:paraId="6F5558D5" w14:textId="31C8F814" w:rsidR="00FD3A53" w:rsidRPr="00287CFA" w:rsidRDefault="00FD3A53" w:rsidP="00FD3A53">
      <w:pPr>
        <w:pStyle w:val="DCETEXTE0"/>
      </w:pPr>
      <w:r w:rsidRPr="00287CFA">
        <w:t xml:space="preserve">En cas de travaux réalisés à l’initiative du Sénat affectant les locaux mis à disposition du titulaire, celui-ci se conforme aux instructions du Sénat. Il apporte, si nécessaire, sa collaboration à l’exécution de ces travaux. L’interruption des activités du </w:t>
      </w:r>
      <w:r w:rsidR="000F76BE">
        <w:t>titulaire</w:t>
      </w:r>
      <w:r w:rsidR="00087527" w:rsidRPr="00287CFA">
        <w:t xml:space="preserve"> </w:t>
      </w:r>
      <w:r w:rsidRPr="00287CFA">
        <w:t>en raison de ces travaux ne donne lieu à aucune indemnité de la part du Sénat.</w:t>
      </w:r>
    </w:p>
    <w:p w14:paraId="383DCC48" w14:textId="4786CF02" w:rsidR="00FD3A53" w:rsidRPr="00287CFA" w:rsidRDefault="00FD3A53" w:rsidP="00FD3A53">
      <w:pPr>
        <w:pStyle w:val="DCETEXTE0"/>
      </w:pPr>
      <w:r w:rsidRPr="00287CFA">
        <w:t xml:space="preserve">Le </w:t>
      </w:r>
      <w:r w:rsidR="000F76BE">
        <w:t>titulaire</w:t>
      </w:r>
      <w:r w:rsidR="00087527" w:rsidRPr="00287CFA">
        <w:t xml:space="preserve"> </w:t>
      </w:r>
      <w:r w:rsidRPr="00287CFA">
        <w:t xml:space="preserve">avise sans délai le Sénat de toute dégradation ou détérioration affectant le </w:t>
      </w:r>
      <w:r>
        <w:t>local confié</w:t>
      </w:r>
      <w:r w:rsidR="00791487">
        <w:t>,</w:t>
      </w:r>
      <w:r w:rsidRPr="00287CFA">
        <w:t xml:space="preserve"> sous peine d’être personnellement responsable des aggravations résultant de son silence ou de son retard.</w:t>
      </w:r>
    </w:p>
    <w:p w14:paraId="35D2A506" w14:textId="77777777" w:rsidR="00493015" w:rsidRDefault="00FD3A53" w:rsidP="00FD3A53">
      <w:pPr>
        <w:pStyle w:val="DCETEXTE0"/>
      </w:pPr>
      <w:r w:rsidRPr="00287CFA">
        <w:t xml:space="preserve">À la fin de la </w:t>
      </w:r>
      <w:r w:rsidR="006C3EA5">
        <w:t>concession</w:t>
      </w:r>
      <w:r w:rsidRPr="00287CFA">
        <w:t>, le titulaire est tenu de rétablir les lieux dans leur état initial et de faire disparaître toute trace de son occupation, sauf décision contraire du Sénat.</w:t>
      </w:r>
    </w:p>
    <w:p w14:paraId="515FDE5B" w14:textId="1E5C714A" w:rsidR="00B705EE" w:rsidRDefault="00244F08" w:rsidP="00B705EE">
      <w:pPr>
        <w:pStyle w:val="DCETitre1"/>
        <w:numPr>
          <w:ilvl w:val="0"/>
          <w:numId w:val="0"/>
        </w:numPr>
        <w:jc w:val="center"/>
      </w:pPr>
      <w:bookmarkStart w:id="168" w:name="_Toc208852205"/>
      <w:bookmarkStart w:id="169" w:name="_Toc211932943"/>
      <w:bookmarkEnd w:id="163"/>
      <w:bookmarkEnd w:id="164"/>
      <w:bookmarkEnd w:id="165"/>
      <w:bookmarkEnd w:id="166"/>
      <w:bookmarkEnd w:id="167"/>
      <w:r>
        <w:lastRenderedPageBreak/>
        <w:t>Chapitre V</w:t>
      </w:r>
      <w:r w:rsidR="001A077D">
        <w:t>I</w:t>
      </w:r>
      <w:r>
        <w:t xml:space="preserve">. – </w:t>
      </w:r>
      <w:r w:rsidR="00B705EE">
        <w:t>Sanctions</w:t>
      </w:r>
      <w:bookmarkEnd w:id="168"/>
    </w:p>
    <w:p w14:paraId="1C922940" w14:textId="77777777" w:rsidR="003544D9" w:rsidRPr="00FD3A53" w:rsidRDefault="003544D9" w:rsidP="003544D9">
      <w:pPr>
        <w:pStyle w:val="DCETitre1"/>
      </w:pPr>
      <w:bookmarkStart w:id="170" w:name="_Toc208852206"/>
      <w:r>
        <w:t>Cas de résiliation</w:t>
      </w:r>
      <w:bookmarkEnd w:id="170"/>
    </w:p>
    <w:p w14:paraId="2E453160" w14:textId="77777777" w:rsidR="003544D9" w:rsidRDefault="00791487" w:rsidP="003544D9">
      <w:pPr>
        <w:pStyle w:val="DCETitre2"/>
        <w:keepNext w:val="0"/>
        <w:keepLines w:val="0"/>
        <w:widowControl w:val="0"/>
        <w:numPr>
          <w:ilvl w:val="1"/>
          <w:numId w:val="1"/>
        </w:numPr>
        <w:tabs>
          <w:tab w:val="clear" w:pos="1283"/>
          <w:tab w:val="num" w:pos="792"/>
        </w:tabs>
        <w:ind w:left="792"/>
      </w:pPr>
      <w:bookmarkStart w:id="171" w:name="_Toc44515815"/>
      <w:r>
        <w:t xml:space="preserve"> </w:t>
      </w:r>
      <w:bookmarkStart w:id="172" w:name="_Toc208852207"/>
      <w:r w:rsidR="003544D9">
        <w:t>Résiliation pour faute</w:t>
      </w:r>
      <w:bookmarkEnd w:id="171"/>
      <w:bookmarkEnd w:id="172"/>
      <w:r w:rsidR="003544D9">
        <w:t xml:space="preserve"> </w:t>
      </w:r>
    </w:p>
    <w:p w14:paraId="2F840166" w14:textId="77777777" w:rsidR="003544D9" w:rsidRPr="00AF1DCF" w:rsidRDefault="003544D9" w:rsidP="003544D9">
      <w:pPr>
        <w:pStyle w:val="DCETEXTE0"/>
      </w:pPr>
      <w:r>
        <w:t>La résiliation pour faute</w:t>
      </w:r>
      <w:r w:rsidRPr="00AF1DCF">
        <w:t xml:space="preserve"> du contrat</w:t>
      </w:r>
      <w:r>
        <w:t xml:space="preserve"> peut être prononcée dans les cas suivants :</w:t>
      </w:r>
    </w:p>
    <w:p w14:paraId="76367181" w14:textId="6B981AC1" w:rsidR="003544D9" w:rsidRPr="003544D9" w:rsidRDefault="003544D9" w:rsidP="003544D9">
      <w:pPr>
        <w:pStyle w:val="Listepuces"/>
        <w:rPr>
          <w:rFonts w:ascii="Times New Roman" w:eastAsia="Times New Roman" w:hAnsi="Times New Roman"/>
          <w:sz w:val="24"/>
          <w:lang w:eastAsia="fr-FR"/>
        </w:rPr>
      </w:pPr>
      <w:r w:rsidRPr="003544D9">
        <w:rPr>
          <w:rFonts w:ascii="Times New Roman" w:eastAsia="Times New Roman" w:hAnsi="Times New Roman"/>
          <w:sz w:val="24"/>
          <w:lang w:eastAsia="fr-FR"/>
        </w:rPr>
        <w:t>en cas de fraude ou</w:t>
      </w:r>
      <w:r w:rsidR="00791487">
        <w:rPr>
          <w:rFonts w:ascii="Times New Roman" w:eastAsia="Times New Roman" w:hAnsi="Times New Roman"/>
          <w:sz w:val="24"/>
          <w:lang w:eastAsia="fr-FR"/>
        </w:rPr>
        <w:t xml:space="preserve"> de malversation de la part du </w:t>
      </w:r>
      <w:r w:rsidR="000F76BE">
        <w:rPr>
          <w:rFonts w:ascii="Times New Roman" w:eastAsia="Times New Roman" w:hAnsi="Times New Roman"/>
          <w:sz w:val="24"/>
          <w:lang w:eastAsia="fr-FR"/>
        </w:rPr>
        <w:t>titulaire</w:t>
      </w:r>
      <w:r w:rsidRPr="003544D9">
        <w:rPr>
          <w:rFonts w:ascii="Times New Roman" w:eastAsia="Times New Roman" w:hAnsi="Times New Roman"/>
          <w:sz w:val="24"/>
          <w:lang w:eastAsia="fr-FR"/>
        </w:rPr>
        <w:t>, éventuellement constatée à l’occasion des différ</w:t>
      </w:r>
      <w:r w:rsidR="00791487">
        <w:rPr>
          <w:rFonts w:ascii="Times New Roman" w:eastAsia="Times New Roman" w:hAnsi="Times New Roman"/>
          <w:sz w:val="24"/>
          <w:lang w:eastAsia="fr-FR"/>
        </w:rPr>
        <w:t xml:space="preserve">ents contrôles réalisés par le </w:t>
      </w:r>
      <w:r w:rsidR="000F76BE">
        <w:rPr>
          <w:rFonts w:ascii="Times New Roman" w:eastAsia="Times New Roman" w:hAnsi="Times New Roman"/>
          <w:sz w:val="24"/>
          <w:lang w:eastAsia="fr-FR"/>
        </w:rPr>
        <w:t>Sénat</w:t>
      </w:r>
      <w:r w:rsidRPr="003544D9">
        <w:rPr>
          <w:rFonts w:ascii="Times New Roman" w:eastAsia="Times New Roman" w:hAnsi="Times New Roman"/>
          <w:sz w:val="24"/>
          <w:lang w:eastAsia="fr-FR"/>
        </w:rPr>
        <w:t> ;</w:t>
      </w:r>
    </w:p>
    <w:p w14:paraId="21AD5EB2" w14:textId="5050E9D3" w:rsidR="003544D9" w:rsidRPr="003544D9" w:rsidRDefault="003544D9" w:rsidP="003544D9">
      <w:pPr>
        <w:pStyle w:val="Listepuces"/>
        <w:rPr>
          <w:rFonts w:ascii="Times New Roman" w:eastAsia="Times New Roman" w:hAnsi="Times New Roman"/>
          <w:sz w:val="24"/>
          <w:lang w:eastAsia="fr-FR"/>
        </w:rPr>
      </w:pPr>
      <w:r w:rsidRPr="003544D9">
        <w:rPr>
          <w:rFonts w:ascii="Times New Roman" w:eastAsia="Times New Roman" w:hAnsi="Times New Roman"/>
          <w:sz w:val="24"/>
          <w:lang w:eastAsia="fr-FR"/>
        </w:rPr>
        <w:t>en cas d'inobservations graves ou de violations répétées des clauses du contrat</w:t>
      </w:r>
      <w:r w:rsidR="00D42EEB">
        <w:rPr>
          <w:rFonts w:ascii="Times New Roman" w:eastAsia="Times New Roman" w:hAnsi="Times New Roman"/>
          <w:sz w:val="24"/>
          <w:lang w:eastAsia="fr-FR"/>
        </w:rPr>
        <w:t xml:space="preserve"> </w:t>
      </w:r>
      <w:r w:rsidR="00791487">
        <w:rPr>
          <w:rFonts w:ascii="Times New Roman" w:eastAsia="Times New Roman" w:hAnsi="Times New Roman"/>
          <w:sz w:val="24"/>
          <w:lang w:eastAsia="fr-FR"/>
        </w:rPr>
        <w:t xml:space="preserve">ou si, du fait du </w:t>
      </w:r>
      <w:r w:rsidR="000F76BE">
        <w:rPr>
          <w:rFonts w:ascii="Times New Roman" w:eastAsia="Times New Roman" w:hAnsi="Times New Roman"/>
          <w:sz w:val="24"/>
          <w:lang w:eastAsia="fr-FR"/>
        </w:rPr>
        <w:t>titulaire</w:t>
      </w:r>
      <w:r w:rsidRPr="003544D9">
        <w:rPr>
          <w:rFonts w:ascii="Times New Roman" w:eastAsia="Times New Roman" w:hAnsi="Times New Roman"/>
          <w:sz w:val="24"/>
          <w:lang w:eastAsia="fr-FR"/>
        </w:rPr>
        <w:t xml:space="preserve">, la sécurité </w:t>
      </w:r>
      <w:r w:rsidR="006D6814" w:rsidRPr="003544D9">
        <w:rPr>
          <w:rFonts w:ascii="Times New Roman" w:eastAsia="Times New Roman" w:hAnsi="Times New Roman"/>
          <w:sz w:val="24"/>
          <w:lang w:eastAsia="fr-FR"/>
        </w:rPr>
        <w:t>v</w:t>
      </w:r>
      <w:r w:rsidR="006D6814">
        <w:rPr>
          <w:rFonts w:ascii="Times New Roman" w:eastAsia="Times New Roman" w:hAnsi="Times New Roman"/>
          <w:sz w:val="24"/>
          <w:lang w:eastAsia="fr-FR"/>
        </w:rPr>
        <w:t>enai</w:t>
      </w:r>
      <w:r w:rsidR="006D6814" w:rsidRPr="003544D9">
        <w:rPr>
          <w:rFonts w:ascii="Times New Roman" w:eastAsia="Times New Roman" w:hAnsi="Times New Roman"/>
          <w:sz w:val="24"/>
          <w:lang w:eastAsia="fr-FR"/>
        </w:rPr>
        <w:t xml:space="preserve">t </w:t>
      </w:r>
      <w:r w:rsidRPr="003544D9">
        <w:rPr>
          <w:rFonts w:ascii="Times New Roman" w:eastAsia="Times New Roman" w:hAnsi="Times New Roman"/>
          <w:sz w:val="24"/>
          <w:lang w:eastAsia="fr-FR"/>
        </w:rPr>
        <w:t>à être compromise par défaut d'entretien des installations ou du matériel ;</w:t>
      </w:r>
    </w:p>
    <w:p w14:paraId="13169DD2" w14:textId="5A42A5E7" w:rsidR="003544D9" w:rsidRPr="003544D9" w:rsidRDefault="003544D9" w:rsidP="003544D9">
      <w:pPr>
        <w:pStyle w:val="Listepuces"/>
        <w:rPr>
          <w:rFonts w:ascii="Times New Roman" w:eastAsia="Times New Roman" w:hAnsi="Times New Roman"/>
          <w:sz w:val="24"/>
          <w:lang w:eastAsia="fr-FR"/>
        </w:rPr>
      </w:pPr>
      <w:r w:rsidRPr="003544D9">
        <w:rPr>
          <w:rFonts w:ascii="Times New Roman" w:eastAsia="Times New Roman" w:hAnsi="Times New Roman"/>
          <w:sz w:val="24"/>
          <w:lang w:eastAsia="fr-FR"/>
        </w:rPr>
        <w:t>en cas de cession du présen</w:t>
      </w:r>
      <w:r w:rsidR="00791487">
        <w:rPr>
          <w:rFonts w:ascii="Times New Roman" w:eastAsia="Times New Roman" w:hAnsi="Times New Roman"/>
          <w:sz w:val="24"/>
          <w:lang w:eastAsia="fr-FR"/>
        </w:rPr>
        <w:t xml:space="preserve">t contrat par le </w:t>
      </w:r>
      <w:r w:rsidR="000F76BE">
        <w:rPr>
          <w:rFonts w:ascii="Times New Roman" w:eastAsia="Times New Roman" w:hAnsi="Times New Roman"/>
          <w:sz w:val="24"/>
          <w:lang w:eastAsia="fr-FR"/>
        </w:rPr>
        <w:t>titulaire</w:t>
      </w:r>
      <w:r w:rsidRPr="003544D9">
        <w:rPr>
          <w:rFonts w:ascii="Times New Roman" w:eastAsia="Times New Roman" w:hAnsi="Times New Roman"/>
          <w:sz w:val="24"/>
          <w:lang w:eastAsia="fr-FR"/>
        </w:rPr>
        <w:t xml:space="preserve"> à un tiers sans l'autoris</w:t>
      </w:r>
      <w:r w:rsidR="00791487">
        <w:rPr>
          <w:rFonts w:ascii="Times New Roman" w:eastAsia="Times New Roman" w:hAnsi="Times New Roman"/>
          <w:sz w:val="24"/>
          <w:lang w:eastAsia="fr-FR"/>
        </w:rPr>
        <w:t xml:space="preserve">ation expresse et préalable du </w:t>
      </w:r>
      <w:r w:rsidR="000F76BE">
        <w:rPr>
          <w:rFonts w:ascii="Times New Roman" w:eastAsia="Times New Roman" w:hAnsi="Times New Roman"/>
          <w:sz w:val="24"/>
          <w:lang w:eastAsia="fr-FR"/>
        </w:rPr>
        <w:t>Sénat</w:t>
      </w:r>
      <w:r w:rsidRPr="003544D9">
        <w:rPr>
          <w:rFonts w:ascii="Times New Roman" w:eastAsia="Times New Roman" w:hAnsi="Times New Roman"/>
          <w:sz w:val="24"/>
          <w:lang w:eastAsia="fr-FR"/>
        </w:rPr>
        <w:t xml:space="preserve"> ; </w:t>
      </w:r>
    </w:p>
    <w:p w14:paraId="65B13BE2" w14:textId="75795077" w:rsidR="003544D9" w:rsidRPr="003544D9" w:rsidRDefault="003544D9" w:rsidP="003544D9">
      <w:pPr>
        <w:pStyle w:val="Listepuces"/>
        <w:rPr>
          <w:rFonts w:ascii="Times New Roman" w:eastAsia="Times New Roman" w:hAnsi="Times New Roman"/>
          <w:sz w:val="24"/>
          <w:lang w:eastAsia="fr-FR"/>
        </w:rPr>
      </w:pPr>
      <w:r w:rsidRPr="003544D9">
        <w:rPr>
          <w:rFonts w:ascii="Times New Roman" w:eastAsia="Times New Roman" w:hAnsi="Times New Roman"/>
          <w:sz w:val="24"/>
          <w:lang w:eastAsia="fr-FR"/>
        </w:rPr>
        <w:t xml:space="preserve">dans tous les cas où, par </w:t>
      </w:r>
      <w:r w:rsidR="00C253C4">
        <w:rPr>
          <w:rFonts w:ascii="Times New Roman" w:eastAsia="Times New Roman" w:hAnsi="Times New Roman"/>
          <w:sz w:val="24"/>
          <w:lang w:eastAsia="fr-FR"/>
        </w:rPr>
        <w:t xml:space="preserve">son activité ou du fait d’une </w:t>
      </w:r>
      <w:r w:rsidRPr="003544D9">
        <w:rPr>
          <w:rFonts w:ascii="Times New Roman" w:eastAsia="Times New Roman" w:hAnsi="Times New Roman"/>
          <w:sz w:val="24"/>
          <w:lang w:eastAsia="fr-FR"/>
        </w:rPr>
        <w:t>incapacité</w:t>
      </w:r>
      <w:r w:rsidR="00C253C4" w:rsidRPr="003544D9">
        <w:rPr>
          <w:rFonts w:ascii="Times New Roman" w:eastAsia="Times New Roman" w:hAnsi="Times New Roman"/>
          <w:sz w:val="24"/>
          <w:lang w:eastAsia="fr-FR"/>
        </w:rPr>
        <w:t xml:space="preserve"> </w:t>
      </w:r>
      <w:r w:rsidR="00C253C4">
        <w:rPr>
          <w:rFonts w:ascii="Times New Roman" w:eastAsia="Times New Roman" w:hAnsi="Times New Roman"/>
          <w:sz w:val="24"/>
          <w:lang w:eastAsia="fr-FR"/>
        </w:rPr>
        <w:t xml:space="preserve">ou de </w:t>
      </w:r>
      <w:r w:rsidRPr="003544D9">
        <w:rPr>
          <w:rFonts w:ascii="Times New Roman" w:eastAsia="Times New Roman" w:hAnsi="Times New Roman"/>
          <w:sz w:val="24"/>
          <w:lang w:eastAsia="fr-FR"/>
        </w:rPr>
        <w:t>négligence</w:t>
      </w:r>
      <w:r w:rsidR="00C253C4">
        <w:rPr>
          <w:rFonts w:ascii="Times New Roman" w:eastAsia="Times New Roman" w:hAnsi="Times New Roman"/>
          <w:sz w:val="24"/>
          <w:lang w:eastAsia="fr-FR"/>
        </w:rPr>
        <w:t>s</w:t>
      </w:r>
      <w:r w:rsidRPr="003544D9">
        <w:rPr>
          <w:rFonts w:ascii="Times New Roman" w:eastAsia="Times New Roman" w:hAnsi="Times New Roman"/>
          <w:sz w:val="24"/>
          <w:lang w:eastAsia="fr-FR"/>
        </w:rPr>
        <w:t xml:space="preserve">, </w:t>
      </w:r>
      <w:r w:rsidR="006C3EA5">
        <w:rPr>
          <w:rFonts w:ascii="Times New Roman" w:eastAsia="Times New Roman" w:hAnsi="Times New Roman"/>
          <w:sz w:val="24"/>
          <w:lang w:eastAsia="fr-FR"/>
        </w:rPr>
        <w:t xml:space="preserve">le </w:t>
      </w:r>
      <w:r w:rsidR="000F76BE">
        <w:rPr>
          <w:rFonts w:ascii="Times New Roman" w:eastAsia="Times New Roman" w:hAnsi="Times New Roman"/>
          <w:sz w:val="24"/>
          <w:lang w:eastAsia="fr-FR"/>
        </w:rPr>
        <w:t>titulaire</w:t>
      </w:r>
      <w:r w:rsidR="006C3EA5" w:rsidRPr="003544D9">
        <w:rPr>
          <w:rFonts w:ascii="Times New Roman" w:eastAsia="Times New Roman" w:hAnsi="Times New Roman"/>
          <w:sz w:val="24"/>
          <w:lang w:eastAsia="fr-FR"/>
        </w:rPr>
        <w:t xml:space="preserve"> </w:t>
      </w:r>
      <w:r w:rsidR="00C253C4">
        <w:rPr>
          <w:rFonts w:ascii="Times New Roman" w:eastAsia="Times New Roman" w:hAnsi="Times New Roman"/>
          <w:sz w:val="24"/>
          <w:lang w:eastAsia="fr-FR"/>
        </w:rPr>
        <w:t xml:space="preserve"> perturberait de quelque manière que ce soit le bon déroulement des activités du Sénat</w:t>
      </w:r>
      <w:r w:rsidRPr="003544D9">
        <w:rPr>
          <w:rFonts w:ascii="Times New Roman" w:eastAsia="Times New Roman" w:hAnsi="Times New Roman"/>
          <w:sz w:val="24"/>
          <w:lang w:eastAsia="fr-FR"/>
        </w:rPr>
        <w:t xml:space="preserve">. </w:t>
      </w:r>
    </w:p>
    <w:p w14:paraId="5B532896" w14:textId="14023EC5" w:rsidR="003544D9" w:rsidRPr="00AF1DCF" w:rsidRDefault="003544D9" w:rsidP="003544D9">
      <w:pPr>
        <w:pStyle w:val="DCETEXTE0"/>
      </w:pPr>
      <w:r w:rsidRPr="00AF1DCF">
        <w:t xml:space="preserve">La </w:t>
      </w:r>
      <w:r>
        <w:t>résiliation</w:t>
      </w:r>
      <w:r w:rsidRPr="00AF1DCF">
        <w:t xml:space="preserve"> est prononcée par </w:t>
      </w:r>
      <w:r w:rsidR="00791487">
        <w:t xml:space="preserve">le </w:t>
      </w:r>
      <w:r w:rsidR="000F76BE">
        <w:t>Sénat</w:t>
      </w:r>
      <w:r w:rsidRPr="00AF1DCF">
        <w:t xml:space="preserve"> après mise en demeure </w:t>
      </w:r>
      <w:r w:rsidR="00791487">
        <w:t xml:space="preserve">du </w:t>
      </w:r>
      <w:r w:rsidR="000F76BE">
        <w:t>titulaire</w:t>
      </w:r>
      <w:r w:rsidR="00087527">
        <w:t xml:space="preserve">, </w:t>
      </w:r>
      <w:r w:rsidR="00087527" w:rsidRPr="003544D9">
        <w:t>notifiée par lettre recommandée avec demande d’avis de réception ou p</w:t>
      </w:r>
      <w:r w:rsidR="00087527">
        <w:t xml:space="preserve">ar exploit </w:t>
      </w:r>
      <w:r w:rsidR="00D42EEB">
        <w:t>de commissaire de justice</w:t>
      </w:r>
      <w:r w:rsidR="00087527">
        <w:t>,</w:t>
      </w:r>
      <w:r w:rsidRPr="00AF1DCF">
        <w:t xml:space="preserve"> de remédier aux fautes constatées dans </w:t>
      </w:r>
      <w:r>
        <w:t>un</w:t>
      </w:r>
      <w:r w:rsidRPr="00AF1DCF">
        <w:t xml:space="preserve"> délai </w:t>
      </w:r>
      <w:r>
        <w:t>raisonnable qu’il</w:t>
      </w:r>
      <w:r w:rsidRPr="00AF1DCF">
        <w:t xml:space="preserve"> lui im</w:t>
      </w:r>
      <w:r w:rsidR="00791487">
        <w:t xml:space="preserve">partit et après que le </w:t>
      </w:r>
      <w:r w:rsidR="000F76BE">
        <w:t>titulaire</w:t>
      </w:r>
      <w:r>
        <w:t xml:space="preserve"> a</w:t>
      </w:r>
      <w:r w:rsidRPr="00AF1DCF">
        <w:t xml:space="preserve"> été mis à même de produire ses observations sur les faits qui lui sont reprochés. </w:t>
      </w:r>
      <w:r>
        <w:t>La résiliation</w:t>
      </w:r>
      <w:r w:rsidRPr="00AF1DCF">
        <w:t xml:space="preserve"> prend effet à compter du jour de sa notification</w:t>
      </w:r>
      <w:r w:rsidR="00791487">
        <w:t xml:space="preserve"> au </w:t>
      </w:r>
      <w:r w:rsidR="000F76BE">
        <w:t>titulaire</w:t>
      </w:r>
      <w:r w:rsidR="00087527">
        <w:t xml:space="preserve">, </w:t>
      </w:r>
      <w:r w:rsidR="00087527" w:rsidRPr="003544D9">
        <w:t>par lettre recommandée avec demande d’avis de réception ou p</w:t>
      </w:r>
      <w:r w:rsidR="00087527">
        <w:t>ar exploit d’huissier</w:t>
      </w:r>
      <w:r>
        <w:t>.</w:t>
      </w:r>
    </w:p>
    <w:p w14:paraId="2048FA61" w14:textId="496AE364" w:rsidR="003544D9" w:rsidRPr="00E65BA7" w:rsidRDefault="003544D9" w:rsidP="003544D9">
      <w:pPr>
        <w:pStyle w:val="DCETEXTE0"/>
      </w:pPr>
      <w:r w:rsidRPr="00430531">
        <w:t>Cette</w:t>
      </w:r>
      <w:r w:rsidRPr="00AF1DCF">
        <w:t xml:space="preserve"> </w:t>
      </w:r>
      <w:r>
        <w:t>résiliation</w:t>
      </w:r>
      <w:r w:rsidRPr="00AF1DCF">
        <w:t xml:space="preserve"> ne donne droit à aucune indemnité </w:t>
      </w:r>
      <w:r>
        <w:t>au</w:t>
      </w:r>
      <w:r w:rsidRPr="00AF1DCF">
        <w:t xml:space="preserve"> profit </w:t>
      </w:r>
      <w:r w:rsidR="00791487">
        <w:t xml:space="preserve">du </w:t>
      </w:r>
      <w:r w:rsidR="000F76BE">
        <w:t>titulaire</w:t>
      </w:r>
      <w:r>
        <w:t xml:space="preserve"> </w:t>
      </w:r>
      <w:r w:rsidRPr="00AF1DCF">
        <w:t xml:space="preserve">pour pertes ou manque à gagner, sans préjudice des indemnités qui pourraient être </w:t>
      </w:r>
      <w:r>
        <w:t>réclamées</w:t>
      </w:r>
      <w:r w:rsidRPr="00AF1DCF">
        <w:t xml:space="preserve"> à son encontre par le </w:t>
      </w:r>
      <w:r w:rsidR="000F76BE">
        <w:t>Sénat</w:t>
      </w:r>
      <w:r>
        <w:t>, exception faite le cas échéant des amortissements restant à courir des éventuels i</w:t>
      </w:r>
      <w:r w:rsidR="00791487">
        <w:t xml:space="preserve">nvestissements réalisés par le </w:t>
      </w:r>
      <w:r w:rsidR="000F76BE">
        <w:t>titulaire</w:t>
      </w:r>
      <w:r>
        <w:t>.</w:t>
      </w:r>
    </w:p>
    <w:p w14:paraId="2ABA26B1" w14:textId="77777777" w:rsidR="003544D9" w:rsidRPr="00784EA3" w:rsidRDefault="00087527" w:rsidP="003544D9">
      <w:pPr>
        <w:pStyle w:val="DCETitre2"/>
        <w:keepNext w:val="0"/>
        <w:keepLines w:val="0"/>
        <w:widowControl w:val="0"/>
        <w:numPr>
          <w:ilvl w:val="1"/>
          <w:numId w:val="1"/>
        </w:numPr>
        <w:tabs>
          <w:tab w:val="clear" w:pos="1283"/>
          <w:tab w:val="num" w:pos="792"/>
        </w:tabs>
        <w:ind w:left="792"/>
      </w:pPr>
      <w:bookmarkStart w:id="173" w:name="_Toc44515816"/>
      <w:bookmarkStart w:id="174" w:name="_Toc394418274"/>
      <w:bookmarkStart w:id="175" w:name="_Toc486324262"/>
      <w:bookmarkStart w:id="176" w:name="_Toc25758569"/>
      <w:r>
        <w:t xml:space="preserve"> </w:t>
      </w:r>
      <w:bookmarkStart w:id="177" w:name="_Toc208852208"/>
      <w:r w:rsidR="003544D9">
        <w:t>Résiliation pour motif d’intérêt général</w:t>
      </w:r>
      <w:bookmarkEnd w:id="173"/>
      <w:bookmarkEnd w:id="177"/>
      <w:r w:rsidR="003544D9" w:rsidRPr="00784EA3">
        <w:t xml:space="preserve"> </w:t>
      </w:r>
    </w:p>
    <w:bookmarkEnd w:id="174"/>
    <w:bookmarkEnd w:id="175"/>
    <w:bookmarkEnd w:id="176"/>
    <w:p w14:paraId="426B2AC5" w14:textId="038544A1" w:rsidR="003544D9" w:rsidRDefault="00791487" w:rsidP="003544D9">
      <w:pPr>
        <w:jc w:val="both"/>
        <w:rPr>
          <w:szCs w:val="20"/>
        </w:rPr>
      </w:pPr>
      <w:r>
        <w:rPr>
          <w:szCs w:val="20"/>
        </w:rPr>
        <w:t xml:space="preserve">Le </w:t>
      </w:r>
      <w:r w:rsidR="000F76BE">
        <w:rPr>
          <w:szCs w:val="20"/>
        </w:rPr>
        <w:t>Sénat</w:t>
      </w:r>
      <w:r w:rsidR="003544D9" w:rsidRPr="003544D9">
        <w:rPr>
          <w:szCs w:val="20"/>
        </w:rPr>
        <w:t xml:space="preserve"> peut à tout moment, avant l’expiration du terme du contrat et moyennant indemnisation, résilier unilatéralement le contrat pour un motif d’intérêt général.</w:t>
      </w:r>
    </w:p>
    <w:p w14:paraId="24549292" w14:textId="77777777" w:rsidR="00791487" w:rsidRPr="003544D9" w:rsidRDefault="00791487" w:rsidP="003544D9">
      <w:pPr>
        <w:jc w:val="both"/>
        <w:rPr>
          <w:szCs w:val="20"/>
        </w:rPr>
      </w:pPr>
    </w:p>
    <w:p w14:paraId="5B87BE0F" w14:textId="53A0AA8C" w:rsidR="003544D9" w:rsidRPr="003544D9" w:rsidRDefault="003544D9" w:rsidP="003544D9">
      <w:pPr>
        <w:jc w:val="both"/>
        <w:rPr>
          <w:szCs w:val="20"/>
        </w:rPr>
      </w:pPr>
      <w:r w:rsidRPr="003544D9">
        <w:rPr>
          <w:szCs w:val="20"/>
        </w:rPr>
        <w:t>Tout</w:t>
      </w:r>
      <w:r w:rsidR="00791487">
        <w:rPr>
          <w:szCs w:val="20"/>
        </w:rPr>
        <w:t xml:space="preserve">e résiliation prononcée par le </w:t>
      </w:r>
      <w:r w:rsidR="000F76BE">
        <w:rPr>
          <w:szCs w:val="20"/>
        </w:rPr>
        <w:t>Sénat</w:t>
      </w:r>
      <w:r w:rsidRPr="003544D9">
        <w:rPr>
          <w:szCs w:val="20"/>
        </w:rPr>
        <w:t xml:space="preserve"> au titre du présent article </w:t>
      </w:r>
      <w:r w:rsidR="00791487">
        <w:rPr>
          <w:szCs w:val="20"/>
        </w:rPr>
        <w:t>est</w:t>
      </w:r>
      <w:r w:rsidRPr="003544D9">
        <w:rPr>
          <w:szCs w:val="20"/>
        </w:rPr>
        <w:t xml:space="preserve"> notifiée par lettre recommandée avec demande d’avis de réception ou p</w:t>
      </w:r>
      <w:r w:rsidR="00791487">
        <w:rPr>
          <w:szCs w:val="20"/>
        </w:rPr>
        <w:t>ar exploit d’huissier et prend</w:t>
      </w:r>
      <w:r w:rsidRPr="003544D9">
        <w:rPr>
          <w:szCs w:val="20"/>
        </w:rPr>
        <w:t xml:space="preserve"> effet quatre (4) mois après la date figurant sur ladite notification.</w:t>
      </w:r>
    </w:p>
    <w:p w14:paraId="0193292F" w14:textId="77777777" w:rsidR="00791487" w:rsidRDefault="00791487" w:rsidP="003544D9">
      <w:pPr>
        <w:jc w:val="both"/>
        <w:rPr>
          <w:szCs w:val="20"/>
        </w:rPr>
      </w:pPr>
    </w:p>
    <w:p w14:paraId="059F9A7D" w14:textId="2709A3E1" w:rsidR="003544D9" w:rsidRPr="003544D9" w:rsidRDefault="00791487" w:rsidP="003544D9">
      <w:pPr>
        <w:jc w:val="both"/>
        <w:rPr>
          <w:szCs w:val="20"/>
        </w:rPr>
      </w:pPr>
      <w:r>
        <w:rPr>
          <w:szCs w:val="20"/>
        </w:rPr>
        <w:t xml:space="preserve">Le </w:t>
      </w:r>
      <w:r w:rsidR="000F76BE">
        <w:rPr>
          <w:szCs w:val="20"/>
        </w:rPr>
        <w:t>titulaire</w:t>
      </w:r>
      <w:r w:rsidR="003544D9" w:rsidRPr="003544D9">
        <w:rPr>
          <w:szCs w:val="20"/>
        </w:rPr>
        <w:t xml:space="preserve"> a droit à une indemnisation égale à la somme :</w:t>
      </w:r>
    </w:p>
    <w:p w14:paraId="56F6598B" w14:textId="77777777" w:rsidR="003544D9" w:rsidRPr="003544D9" w:rsidRDefault="003544D9" w:rsidP="003544D9">
      <w:pPr>
        <w:pStyle w:val="Listepuces"/>
        <w:rPr>
          <w:rFonts w:ascii="Times New Roman" w:eastAsia="Times New Roman" w:hAnsi="Times New Roman"/>
          <w:sz w:val="24"/>
          <w:lang w:eastAsia="fr-FR"/>
        </w:rPr>
      </w:pPr>
      <w:r w:rsidRPr="003544D9">
        <w:rPr>
          <w:rFonts w:ascii="Times New Roman" w:eastAsia="Times New Roman" w:hAnsi="Times New Roman"/>
          <w:sz w:val="24"/>
          <w:lang w:eastAsia="fr-FR"/>
        </w:rPr>
        <w:t>des amortissements restant à courir des éventuels investissements qu’il a réalisés ;</w:t>
      </w:r>
    </w:p>
    <w:p w14:paraId="43D60E4F" w14:textId="179CCDB2" w:rsidR="003544D9" w:rsidRPr="003544D9" w:rsidRDefault="003544D9" w:rsidP="003544D9">
      <w:pPr>
        <w:pStyle w:val="Listepuces"/>
        <w:rPr>
          <w:rFonts w:ascii="Times New Roman" w:eastAsia="Times New Roman" w:hAnsi="Times New Roman"/>
          <w:sz w:val="24"/>
          <w:lang w:eastAsia="fr-FR"/>
        </w:rPr>
      </w:pPr>
      <w:r w:rsidRPr="003544D9">
        <w:rPr>
          <w:rFonts w:ascii="Times New Roman" w:eastAsia="Times New Roman" w:hAnsi="Times New Roman"/>
          <w:sz w:val="24"/>
          <w:lang w:eastAsia="fr-FR"/>
        </w:rPr>
        <w:t>de la vale</w:t>
      </w:r>
      <w:r w:rsidR="00791487">
        <w:rPr>
          <w:rFonts w:ascii="Times New Roman" w:eastAsia="Times New Roman" w:hAnsi="Times New Roman"/>
          <w:sz w:val="24"/>
          <w:lang w:eastAsia="fr-FR"/>
        </w:rPr>
        <w:t xml:space="preserve">ur des biens de reprise que le </w:t>
      </w:r>
      <w:r w:rsidR="000F76BE">
        <w:rPr>
          <w:rFonts w:ascii="Times New Roman" w:eastAsia="Times New Roman" w:hAnsi="Times New Roman"/>
          <w:sz w:val="24"/>
          <w:lang w:eastAsia="fr-FR"/>
        </w:rPr>
        <w:t>Sénat</w:t>
      </w:r>
      <w:r w:rsidR="00791487">
        <w:rPr>
          <w:rFonts w:ascii="Times New Roman" w:eastAsia="Times New Roman" w:hAnsi="Times New Roman"/>
          <w:sz w:val="24"/>
          <w:lang w:eastAsia="fr-FR"/>
        </w:rPr>
        <w:t xml:space="preserve"> souhaiterait racheter au </w:t>
      </w:r>
      <w:r w:rsidR="000F76BE">
        <w:rPr>
          <w:rFonts w:ascii="Times New Roman" w:eastAsia="Times New Roman" w:hAnsi="Times New Roman"/>
          <w:sz w:val="24"/>
          <w:lang w:eastAsia="fr-FR"/>
        </w:rPr>
        <w:t>titulaire</w:t>
      </w:r>
      <w:r w:rsidRPr="003544D9">
        <w:rPr>
          <w:rFonts w:ascii="Times New Roman" w:eastAsia="Times New Roman" w:hAnsi="Times New Roman"/>
          <w:sz w:val="24"/>
          <w:lang w:eastAsia="fr-FR"/>
        </w:rPr>
        <w:t> ;</w:t>
      </w:r>
    </w:p>
    <w:p w14:paraId="05EFBB01" w14:textId="54E3664C" w:rsidR="003544D9" w:rsidRPr="003544D9" w:rsidRDefault="003544D9" w:rsidP="003544D9">
      <w:pPr>
        <w:pStyle w:val="Listepuces"/>
        <w:rPr>
          <w:rFonts w:ascii="Times New Roman" w:eastAsia="Times New Roman" w:hAnsi="Times New Roman"/>
          <w:sz w:val="24"/>
          <w:lang w:eastAsia="fr-FR"/>
        </w:rPr>
      </w:pPr>
      <w:r w:rsidRPr="003544D9">
        <w:rPr>
          <w:rFonts w:ascii="Times New Roman" w:eastAsia="Times New Roman" w:hAnsi="Times New Roman"/>
          <w:sz w:val="24"/>
          <w:lang w:eastAsia="fr-FR"/>
        </w:rPr>
        <w:t>du montant du préjudice dûment just</w:t>
      </w:r>
      <w:r w:rsidR="00791487">
        <w:rPr>
          <w:rFonts w:ascii="Times New Roman" w:eastAsia="Times New Roman" w:hAnsi="Times New Roman"/>
          <w:sz w:val="24"/>
          <w:lang w:eastAsia="fr-FR"/>
        </w:rPr>
        <w:t xml:space="preserve">ifié, direct et certain que le </w:t>
      </w:r>
      <w:r w:rsidR="000F76BE">
        <w:rPr>
          <w:rFonts w:ascii="Times New Roman" w:eastAsia="Times New Roman" w:hAnsi="Times New Roman"/>
          <w:sz w:val="24"/>
          <w:lang w:eastAsia="fr-FR"/>
        </w:rPr>
        <w:t>titulaire</w:t>
      </w:r>
      <w:r w:rsidRPr="003544D9">
        <w:rPr>
          <w:rFonts w:ascii="Times New Roman" w:eastAsia="Times New Roman" w:hAnsi="Times New Roman"/>
          <w:sz w:val="24"/>
          <w:lang w:eastAsia="fr-FR"/>
        </w:rPr>
        <w:t xml:space="preserve"> supporte du fait de la résiliation anticipée du contrat. Ce montant est </w:t>
      </w:r>
      <w:r w:rsidR="004626EE">
        <w:rPr>
          <w:rFonts w:ascii="Times New Roman" w:eastAsia="Times New Roman" w:hAnsi="Times New Roman"/>
          <w:sz w:val="24"/>
          <w:lang w:eastAsia="fr-FR"/>
        </w:rPr>
        <w:t xml:space="preserve">en toute hypothèse </w:t>
      </w:r>
      <w:r w:rsidRPr="003544D9">
        <w:rPr>
          <w:rFonts w:ascii="Times New Roman" w:eastAsia="Times New Roman" w:hAnsi="Times New Roman"/>
          <w:sz w:val="24"/>
          <w:lang w:eastAsia="fr-FR"/>
        </w:rPr>
        <w:t xml:space="preserve">plafonné </w:t>
      </w:r>
      <w:r w:rsidRPr="003544D9">
        <w:rPr>
          <w:rFonts w:ascii="Times New Roman" w:eastAsia="Times New Roman" w:hAnsi="Times New Roman"/>
          <w:sz w:val="24"/>
          <w:lang w:eastAsia="fr-FR"/>
        </w:rPr>
        <w:lastRenderedPageBreak/>
        <w:t xml:space="preserve">à la marge prévisionnelle </w:t>
      </w:r>
      <w:r w:rsidR="004626EE">
        <w:rPr>
          <w:rFonts w:ascii="Times New Roman" w:eastAsia="Times New Roman" w:hAnsi="Times New Roman"/>
          <w:sz w:val="24"/>
          <w:lang w:eastAsia="fr-FR"/>
        </w:rPr>
        <w:t>susceptible</w:t>
      </w:r>
      <w:r w:rsidR="004626EE" w:rsidRPr="003544D9">
        <w:rPr>
          <w:rFonts w:ascii="Times New Roman" w:eastAsia="Times New Roman" w:hAnsi="Times New Roman"/>
          <w:sz w:val="24"/>
          <w:lang w:eastAsia="fr-FR"/>
        </w:rPr>
        <w:t xml:space="preserve"> </w:t>
      </w:r>
      <w:r w:rsidR="00D42EEB">
        <w:rPr>
          <w:rFonts w:ascii="Times New Roman" w:eastAsia="Times New Roman" w:hAnsi="Times New Roman"/>
          <w:sz w:val="24"/>
          <w:lang w:eastAsia="fr-FR"/>
        </w:rPr>
        <w:t>d’</w:t>
      </w:r>
      <w:r w:rsidRPr="003544D9">
        <w:rPr>
          <w:rFonts w:ascii="Times New Roman" w:eastAsia="Times New Roman" w:hAnsi="Times New Roman"/>
          <w:sz w:val="24"/>
          <w:lang w:eastAsia="fr-FR"/>
        </w:rPr>
        <w:t>être perçue sur les années restant à courir du contrat, telle que prévue au compte d’exploitation prévisionnel</w:t>
      </w:r>
      <w:r>
        <w:rPr>
          <w:rFonts w:ascii="Times New Roman" w:eastAsia="Times New Roman" w:hAnsi="Times New Roman"/>
          <w:sz w:val="24"/>
          <w:lang w:eastAsia="fr-FR"/>
        </w:rPr>
        <w:t>.</w:t>
      </w:r>
    </w:p>
    <w:p w14:paraId="58E5C1B8" w14:textId="77777777" w:rsidR="00740617" w:rsidRPr="009550F5" w:rsidRDefault="009550F5" w:rsidP="00FD76C0">
      <w:pPr>
        <w:pStyle w:val="DCETitre1"/>
      </w:pPr>
      <w:bookmarkStart w:id="178" w:name="_Toc208852209"/>
      <w:bookmarkEnd w:id="169"/>
      <w:r w:rsidRPr="009550F5">
        <w:t>Pénalités</w:t>
      </w:r>
      <w:bookmarkEnd w:id="178"/>
    </w:p>
    <w:p w14:paraId="01459E11" w14:textId="4B2B0C18" w:rsidR="009550F5" w:rsidRPr="009550F5" w:rsidRDefault="00791487" w:rsidP="009550F5">
      <w:pPr>
        <w:suppressAutoHyphens/>
        <w:autoSpaceDN w:val="0"/>
        <w:spacing w:line="264" w:lineRule="auto"/>
        <w:jc w:val="both"/>
        <w:textAlignment w:val="baseline"/>
        <w:rPr>
          <w:rFonts w:eastAsia="SimSun"/>
          <w:kern w:val="3"/>
        </w:rPr>
      </w:pPr>
      <w:r>
        <w:rPr>
          <w:rFonts w:eastAsia="SimSun"/>
          <w:kern w:val="3"/>
        </w:rPr>
        <w:t xml:space="preserve">En cas de défaillance du </w:t>
      </w:r>
      <w:r w:rsidR="000F76BE">
        <w:rPr>
          <w:rFonts w:eastAsia="SimSun"/>
          <w:kern w:val="3"/>
        </w:rPr>
        <w:t>titulaire</w:t>
      </w:r>
      <w:r w:rsidR="009550F5" w:rsidRPr="009550F5">
        <w:rPr>
          <w:rFonts w:eastAsia="SimSun"/>
          <w:kern w:val="3"/>
        </w:rPr>
        <w:t>, sauf en cas de force maj</w:t>
      </w:r>
      <w:r>
        <w:rPr>
          <w:rFonts w:eastAsia="SimSun"/>
          <w:kern w:val="3"/>
        </w:rPr>
        <w:t xml:space="preserve">eure ou de retard imputable au </w:t>
      </w:r>
      <w:r w:rsidR="000F76BE">
        <w:rPr>
          <w:rFonts w:eastAsia="SimSun"/>
          <w:kern w:val="3"/>
        </w:rPr>
        <w:t>Sénat</w:t>
      </w:r>
      <w:r w:rsidR="009550F5" w:rsidRPr="009550F5">
        <w:rPr>
          <w:rFonts w:eastAsia="SimSun"/>
          <w:kern w:val="3"/>
        </w:rPr>
        <w:t xml:space="preserve">, des </w:t>
      </w:r>
      <w:r>
        <w:rPr>
          <w:rFonts w:eastAsia="SimSun"/>
          <w:color w:val="000000"/>
          <w:kern w:val="3"/>
        </w:rPr>
        <w:t xml:space="preserve">pénalités seront appliquées au </w:t>
      </w:r>
      <w:r w:rsidR="000F76BE">
        <w:rPr>
          <w:rFonts w:eastAsia="SimSun"/>
          <w:color w:val="000000"/>
          <w:kern w:val="3"/>
        </w:rPr>
        <w:t>titulaire</w:t>
      </w:r>
      <w:r>
        <w:rPr>
          <w:rFonts w:eastAsia="SimSun"/>
          <w:color w:val="000000"/>
          <w:kern w:val="3"/>
        </w:rPr>
        <w:t>, sur simple constat d</w:t>
      </w:r>
      <w:r w:rsidR="00614C6F">
        <w:rPr>
          <w:rFonts w:eastAsia="SimSun"/>
          <w:color w:val="000000"/>
          <w:kern w:val="3"/>
        </w:rPr>
        <w:t xml:space="preserve">u Directeur </w:t>
      </w:r>
      <w:r w:rsidR="009550F5" w:rsidRPr="009550F5">
        <w:rPr>
          <w:rFonts w:eastAsia="SimSun"/>
          <w:color w:val="000000"/>
          <w:kern w:val="3"/>
        </w:rPr>
        <w:t xml:space="preserve">de la Logistique et des Moyens généraux et sans mise en demeure préalable, sauf stipulation contraire ci-après, </w:t>
      </w:r>
      <w:r w:rsidR="009550F5" w:rsidRPr="009550F5">
        <w:rPr>
          <w:rFonts w:eastAsia="SimSun"/>
          <w:kern w:val="3"/>
        </w:rPr>
        <w:t>dans les conditions suivantes :</w:t>
      </w:r>
    </w:p>
    <w:p w14:paraId="66CDAD11" w14:textId="2ADF4A02" w:rsidR="009550F5" w:rsidRPr="00F66B5A" w:rsidRDefault="009550F5" w:rsidP="00D63AF3">
      <w:pPr>
        <w:pStyle w:val="Listepuces"/>
        <w:numPr>
          <w:ilvl w:val="0"/>
          <w:numId w:val="5"/>
        </w:numPr>
        <w:rPr>
          <w:rFonts w:ascii="Times New Roman" w:hAnsi="Times New Roman"/>
          <w:b/>
          <w:sz w:val="24"/>
          <w:szCs w:val="24"/>
          <w:lang w:eastAsia="fr-FR"/>
        </w:rPr>
      </w:pPr>
      <w:r w:rsidRPr="00F66B5A">
        <w:rPr>
          <w:rFonts w:ascii="Times New Roman" w:hAnsi="Times New Roman"/>
          <w:b/>
          <w:sz w:val="24"/>
          <w:szCs w:val="24"/>
          <w:lang w:eastAsia="fr-FR"/>
        </w:rPr>
        <w:t xml:space="preserve">Non-respect d’une des stipulations </w:t>
      </w:r>
      <w:r w:rsidR="00AD51AA">
        <w:rPr>
          <w:rFonts w:ascii="Times New Roman" w:hAnsi="Times New Roman"/>
          <w:b/>
          <w:sz w:val="24"/>
          <w:szCs w:val="24"/>
          <w:lang w:eastAsia="fr-FR"/>
        </w:rPr>
        <w:t>de l’article 1</w:t>
      </w:r>
      <w:r w:rsidR="00AD51AA" w:rsidRPr="00AD51AA">
        <w:rPr>
          <w:rFonts w:ascii="Times New Roman" w:hAnsi="Times New Roman"/>
          <w:b/>
          <w:sz w:val="24"/>
          <w:szCs w:val="24"/>
          <w:vertAlign w:val="superscript"/>
          <w:lang w:eastAsia="fr-FR"/>
        </w:rPr>
        <w:t>er</w:t>
      </w:r>
      <w:r w:rsidRPr="00F66B5A">
        <w:rPr>
          <w:rFonts w:ascii="Times New Roman" w:hAnsi="Times New Roman"/>
          <w:b/>
          <w:sz w:val="24"/>
          <w:szCs w:val="24"/>
          <w:lang w:eastAsia="fr-FR"/>
        </w:rPr>
        <w:t xml:space="preserve">, notamment </w:t>
      </w:r>
      <w:r w:rsidR="00195C96" w:rsidRPr="00F66B5A">
        <w:rPr>
          <w:rFonts w:ascii="Times New Roman" w:hAnsi="Times New Roman"/>
          <w:b/>
          <w:sz w:val="24"/>
          <w:szCs w:val="24"/>
          <w:lang w:eastAsia="fr-FR"/>
        </w:rPr>
        <w:t>vente de produits non autorisés</w:t>
      </w:r>
      <w:r w:rsidR="00DB638C">
        <w:rPr>
          <w:rFonts w:ascii="Times New Roman" w:hAnsi="Times New Roman"/>
          <w:b/>
          <w:sz w:val="24"/>
          <w:szCs w:val="24"/>
          <w:lang w:eastAsia="fr-FR"/>
        </w:rPr>
        <w:t>, ainsi que des stipulations des articles 16 et 17</w:t>
      </w:r>
      <w:r w:rsidRPr="00F66B5A">
        <w:rPr>
          <w:rFonts w:ascii="Times New Roman" w:hAnsi="Times New Roman"/>
          <w:b/>
          <w:sz w:val="24"/>
          <w:szCs w:val="24"/>
          <w:lang w:eastAsia="fr-FR"/>
        </w:rPr>
        <w:t xml:space="preserve"> : </w:t>
      </w:r>
    </w:p>
    <w:p w14:paraId="7B755C89" w14:textId="77777777" w:rsidR="009550F5" w:rsidRPr="009550F5" w:rsidRDefault="009550F5" w:rsidP="00D63AF3">
      <w:pPr>
        <w:pStyle w:val="Listepuces"/>
        <w:numPr>
          <w:ilvl w:val="1"/>
          <w:numId w:val="5"/>
        </w:numPr>
        <w:rPr>
          <w:rFonts w:ascii="Times New Roman" w:eastAsia="Times New Roman" w:hAnsi="Times New Roman"/>
          <w:sz w:val="24"/>
          <w:szCs w:val="24"/>
          <w:lang w:eastAsia="fr-FR"/>
        </w:rPr>
      </w:pPr>
      <w:r w:rsidRPr="009550F5">
        <w:rPr>
          <w:rFonts w:ascii="Times New Roman" w:eastAsia="Times New Roman" w:hAnsi="Times New Roman"/>
          <w:sz w:val="24"/>
          <w:szCs w:val="24"/>
          <w:lang w:eastAsia="fr-FR"/>
        </w:rPr>
        <w:t xml:space="preserve">pénalité forfaitaire, par infraction, de </w:t>
      </w:r>
      <w:r w:rsidR="00195C96">
        <w:rPr>
          <w:rFonts w:ascii="Times New Roman" w:eastAsia="Times New Roman" w:hAnsi="Times New Roman"/>
          <w:sz w:val="24"/>
          <w:szCs w:val="24"/>
          <w:lang w:eastAsia="fr-FR"/>
        </w:rPr>
        <w:t>3</w:t>
      </w:r>
      <w:r w:rsidRPr="009550F5">
        <w:rPr>
          <w:rFonts w:ascii="Times New Roman" w:eastAsia="Times New Roman" w:hAnsi="Times New Roman"/>
          <w:sz w:val="24"/>
          <w:szCs w:val="24"/>
          <w:lang w:eastAsia="fr-FR"/>
        </w:rPr>
        <w:t xml:space="preserve">00 euros ; </w:t>
      </w:r>
    </w:p>
    <w:p w14:paraId="606BE6A2" w14:textId="77777777" w:rsidR="009550F5" w:rsidRPr="009550F5" w:rsidRDefault="009550F5" w:rsidP="00D63AF3">
      <w:pPr>
        <w:pStyle w:val="Listepuces"/>
        <w:numPr>
          <w:ilvl w:val="1"/>
          <w:numId w:val="5"/>
        </w:numPr>
        <w:rPr>
          <w:rFonts w:ascii="Times New Roman" w:eastAsia="Times New Roman" w:hAnsi="Times New Roman"/>
          <w:sz w:val="24"/>
          <w:szCs w:val="24"/>
          <w:lang w:eastAsia="fr-FR"/>
        </w:rPr>
      </w:pPr>
      <w:r w:rsidRPr="009550F5">
        <w:rPr>
          <w:rFonts w:ascii="Times New Roman" w:eastAsia="Times New Roman" w:hAnsi="Times New Roman"/>
          <w:sz w:val="24"/>
          <w:szCs w:val="24"/>
          <w:lang w:eastAsia="fr-FR"/>
        </w:rPr>
        <w:t xml:space="preserve">en cas de récidive sur le même objet dans un délai d’un mois à compter du premier constat, le montant de la nouvelle </w:t>
      </w:r>
      <w:r w:rsidR="00A40671">
        <w:rPr>
          <w:rFonts w:ascii="Times New Roman" w:eastAsia="Times New Roman" w:hAnsi="Times New Roman"/>
          <w:sz w:val="24"/>
          <w:szCs w:val="24"/>
          <w:lang w:eastAsia="fr-FR"/>
        </w:rPr>
        <w:t>pénalité forfaitaire est fixé à </w:t>
      </w:r>
      <w:r w:rsidR="00195C96">
        <w:rPr>
          <w:rFonts w:ascii="Times New Roman" w:eastAsia="Times New Roman" w:hAnsi="Times New Roman"/>
          <w:sz w:val="24"/>
          <w:szCs w:val="24"/>
          <w:lang w:eastAsia="fr-FR"/>
        </w:rPr>
        <w:t>500</w:t>
      </w:r>
      <w:r w:rsidRPr="009550F5">
        <w:rPr>
          <w:rFonts w:ascii="Times New Roman" w:eastAsia="Times New Roman" w:hAnsi="Times New Roman"/>
          <w:sz w:val="24"/>
          <w:szCs w:val="24"/>
          <w:lang w:eastAsia="fr-FR"/>
        </w:rPr>
        <w:t xml:space="preserve"> euros ;</w:t>
      </w:r>
    </w:p>
    <w:p w14:paraId="267BC03A" w14:textId="556A958B" w:rsidR="009550F5" w:rsidRPr="00195C96" w:rsidRDefault="00191945" w:rsidP="00D63AF3">
      <w:pPr>
        <w:pStyle w:val="Listepuces"/>
        <w:numPr>
          <w:ilvl w:val="0"/>
          <w:numId w:val="5"/>
        </w:numPr>
        <w:rPr>
          <w:rFonts w:ascii="Times New Roman" w:hAnsi="Times New Roman"/>
          <w:b/>
          <w:sz w:val="24"/>
          <w:szCs w:val="24"/>
          <w:lang w:eastAsia="fr-FR"/>
        </w:rPr>
      </w:pPr>
      <w:r>
        <w:rPr>
          <w:rFonts w:ascii="Times New Roman" w:hAnsi="Times New Roman"/>
          <w:b/>
          <w:sz w:val="24"/>
          <w:szCs w:val="24"/>
          <w:lang w:eastAsia="fr-FR"/>
        </w:rPr>
        <w:t>R</w:t>
      </w:r>
      <w:r w:rsidR="009550F5" w:rsidRPr="00195C96">
        <w:rPr>
          <w:rFonts w:ascii="Times New Roman" w:hAnsi="Times New Roman"/>
          <w:b/>
          <w:sz w:val="24"/>
          <w:szCs w:val="24"/>
          <w:lang w:eastAsia="fr-FR"/>
        </w:rPr>
        <w:t>éalisation de travaux ou amé</w:t>
      </w:r>
      <w:r w:rsidR="00791487">
        <w:rPr>
          <w:rFonts w:ascii="Times New Roman" w:hAnsi="Times New Roman"/>
          <w:b/>
          <w:sz w:val="24"/>
          <w:szCs w:val="24"/>
          <w:lang w:eastAsia="fr-FR"/>
        </w:rPr>
        <w:t xml:space="preserve">nagements sans autorisation du </w:t>
      </w:r>
      <w:r w:rsidR="000F76BE">
        <w:rPr>
          <w:rFonts w:ascii="Times New Roman" w:hAnsi="Times New Roman"/>
          <w:b/>
          <w:sz w:val="24"/>
          <w:szCs w:val="24"/>
          <w:lang w:eastAsia="fr-FR"/>
        </w:rPr>
        <w:t>Sénat</w:t>
      </w:r>
      <w:r w:rsidR="009550F5" w:rsidRPr="00195C96">
        <w:rPr>
          <w:rFonts w:ascii="Times New Roman" w:hAnsi="Times New Roman"/>
          <w:b/>
          <w:sz w:val="24"/>
          <w:szCs w:val="24"/>
          <w:lang w:eastAsia="fr-FR"/>
        </w:rPr>
        <w:t xml:space="preserve"> : </w:t>
      </w:r>
    </w:p>
    <w:p w14:paraId="748A2FB5" w14:textId="616CACD4" w:rsidR="009550F5" w:rsidRPr="009550F5" w:rsidRDefault="009550F5" w:rsidP="00D63AF3">
      <w:pPr>
        <w:pStyle w:val="Listepuces"/>
        <w:numPr>
          <w:ilvl w:val="1"/>
          <w:numId w:val="5"/>
        </w:numPr>
        <w:rPr>
          <w:rFonts w:ascii="Times New Roman" w:eastAsia="Times New Roman" w:hAnsi="Times New Roman"/>
          <w:sz w:val="24"/>
          <w:szCs w:val="24"/>
          <w:lang w:eastAsia="fr-FR"/>
        </w:rPr>
      </w:pPr>
      <w:r w:rsidRPr="009550F5">
        <w:rPr>
          <w:rFonts w:ascii="Times New Roman" w:eastAsia="Times New Roman" w:hAnsi="Times New Roman"/>
          <w:sz w:val="24"/>
          <w:szCs w:val="24"/>
          <w:lang w:eastAsia="fr-FR"/>
        </w:rPr>
        <w:t xml:space="preserve">pénalité forfaitaire, par infraction, de </w:t>
      </w:r>
      <w:r>
        <w:rPr>
          <w:rFonts w:ascii="Times New Roman" w:eastAsia="Times New Roman" w:hAnsi="Times New Roman"/>
          <w:sz w:val="24"/>
          <w:szCs w:val="24"/>
          <w:lang w:eastAsia="fr-FR"/>
        </w:rPr>
        <w:t>1</w:t>
      </w:r>
      <w:r w:rsidRPr="009550F5">
        <w:rPr>
          <w:rFonts w:ascii="Times New Roman" w:eastAsia="Times New Roman" w:hAnsi="Times New Roman"/>
          <w:sz w:val="24"/>
          <w:szCs w:val="24"/>
          <w:lang w:eastAsia="fr-FR"/>
        </w:rPr>
        <w:t> 500 euros, assortie d’une mise en demeure de revenir à l’état initial avant travaux ou de réaliser l’entretie</w:t>
      </w:r>
      <w:r w:rsidR="00791487">
        <w:rPr>
          <w:rFonts w:ascii="Times New Roman" w:eastAsia="Times New Roman" w:hAnsi="Times New Roman"/>
          <w:sz w:val="24"/>
          <w:szCs w:val="24"/>
          <w:lang w:eastAsia="fr-FR"/>
        </w:rPr>
        <w:t xml:space="preserve">n dans un délai indiqué par le </w:t>
      </w:r>
      <w:r w:rsidR="000F76BE">
        <w:rPr>
          <w:rFonts w:ascii="Times New Roman" w:eastAsia="Times New Roman" w:hAnsi="Times New Roman"/>
          <w:sz w:val="24"/>
          <w:szCs w:val="24"/>
          <w:lang w:eastAsia="fr-FR"/>
        </w:rPr>
        <w:t>Sénat</w:t>
      </w:r>
      <w:r w:rsidRPr="009550F5">
        <w:rPr>
          <w:rFonts w:ascii="Times New Roman" w:eastAsia="Times New Roman" w:hAnsi="Times New Roman"/>
          <w:sz w:val="24"/>
          <w:szCs w:val="24"/>
          <w:lang w:eastAsia="fr-FR"/>
        </w:rPr>
        <w:t xml:space="preserve"> ; </w:t>
      </w:r>
    </w:p>
    <w:p w14:paraId="74552D42" w14:textId="77777777" w:rsidR="009550F5" w:rsidRPr="009550F5" w:rsidRDefault="009550F5" w:rsidP="00D63AF3">
      <w:pPr>
        <w:pStyle w:val="Listepuces"/>
        <w:numPr>
          <w:ilvl w:val="1"/>
          <w:numId w:val="5"/>
        </w:numPr>
        <w:rPr>
          <w:rFonts w:ascii="Times New Roman" w:eastAsia="Times New Roman" w:hAnsi="Times New Roman"/>
          <w:sz w:val="24"/>
          <w:szCs w:val="24"/>
          <w:lang w:eastAsia="fr-FR"/>
        </w:rPr>
      </w:pPr>
      <w:r w:rsidRPr="009550F5">
        <w:rPr>
          <w:rFonts w:ascii="Times New Roman" w:eastAsia="Times New Roman" w:hAnsi="Times New Roman"/>
          <w:sz w:val="24"/>
          <w:szCs w:val="24"/>
          <w:lang w:eastAsia="fr-FR"/>
        </w:rPr>
        <w:t xml:space="preserve">à défaut de remise en état ou d’entretien, pénalité journalière de </w:t>
      </w:r>
      <w:r>
        <w:rPr>
          <w:rFonts w:ascii="Times New Roman" w:eastAsia="Times New Roman" w:hAnsi="Times New Roman"/>
          <w:sz w:val="24"/>
          <w:szCs w:val="24"/>
          <w:lang w:eastAsia="fr-FR"/>
        </w:rPr>
        <w:t>2</w:t>
      </w:r>
      <w:r w:rsidRPr="009550F5">
        <w:rPr>
          <w:rFonts w:ascii="Times New Roman" w:eastAsia="Times New Roman" w:hAnsi="Times New Roman"/>
          <w:sz w:val="24"/>
          <w:szCs w:val="24"/>
          <w:lang w:eastAsia="fr-FR"/>
        </w:rPr>
        <w:t>00 euros à compter de la date fixée par la mise en demeure pour la remise en état ou l’entretien.</w:t>
      </w:r>
    </w:p>
    <w:p w14:paraId="02B63C95" w14:textId="77777777" w:rsidR="009550F5" w:rsidRPr="00195C96" w:rsidRDefault="009550F5" w:rsidP="00D63AF3">
      <w:pPr>
        <w:pStyle w:val="Listepuces"/>
        <w:numPr>
          <w:ilvl w:val="0"/>
          <w:numId w:val="5"/>
        </w:numPr>
        <w:rPr>
          <w:rFonts w:ascii="Times New Roman" w:hAnsi="Times New Roman"/>
          <w:b/>
          <w:sz w:val="24"/>
          <w:szCs w:val="24"/>
          <w:lang w:eastAsia="fr-FR"/>
        </w:rPr>
      </w:pPr>
      <w:r w:rsidRPr="009550F5">
        <w:rPr>
          <w:rFonts w:ascii="Times New Roman" w:hAnsi="Times New Roman"/>
          <w:b/>
          <w:sz w:val="24"/>
          <w:szCs w:val="24"/>
          <w:lang w:eastAsia="fr-FR"/>
        </w:rPr>
        <w:t xml:space="preserve">Non-respect d’une des stipulations </w:t>
      </w:r>
      <w:r w:rsidRPr="00195C96">
        <w:rPr>
          <w:rFonts w:ascii="Times New Roman" w:hAnsi="Times New Roman"/>
          <w:b/>
          <w:sz w:val="24"/>
          <w:szCs w:val="24"/>
          <w:lang w:eastAsia="fr-FR"/>
        </w:rPr>
        <w:t xml:space="preserve">relatives aux </w:t>
      </w:r>
      <w:r w:rsidR="00215D13">
        <w:rPr>
          <w:rFonts w:ascii="Times New Roman" w:hAnsi="Times New Roman"/>
          <w:b/>
          <w:sz w:val="24"/>
          <w:szCs w:val="24"/>
          <w:lang w:eastAsia="fr-FR"/>
        </w:rPr>
        <w:t>dispositions</w:t>
      </w:r>
      <w:r w:rsidRPr="00195C96">
        <w:rPr>
          <w:rFonts w:ascii="Times New Roman" w:hAnsi="Times New Roman"/>
          <w:b/>
          <w:sz w:val="24"/>
          <w:szCs w:val="24"/>
          <w:lang w:eastAsia="fr-FR"/>
        </w:rPr>
        <w:t xml:space="preserve"> financières de la concession : </w:t>
      </w:r>
    </w:p>
    <w:p w14:paraId="243EE07F" w14:textId="36175B9E" w:rsidR="00695DBE" w:rsidRPr="00695DBE" w:rsidRDefault="00695DBE" w:rsidP="00D63AF3">
      <w:pPr>
        <w:pStyle w:val="Listepuces"/>
        <w:numPr>
          <w:ilvl w:val="1"/>
          <w:numId w:val="5"/>
        </w:numPr>
        <w:rPr>
          <w:rFonts w:ascii="Times New Roman" w:eastAsia="Times New Roman" w:hAnsi="Times New Roman"/>
          <w:sz w:val="24"/>
          <w:szCs w:val="24"/>
          <w:lang w:eastAsia="fr-FR"/>
        </w:rPr>
      </w:pPr>
      <w:r>
        <w:rPr>
          <w:rFonts w:ascii="Times New Roman" w:eastAsia="Times New Roman" w:hAnsi="Times New Roman"/>
          <w:sz w:val="24"/>
          <w:szCs w:val="24"/>
          <w:lang w:eastAsia="fr-FR"/>
        </w:rPr>
        <w:t>e</w:t>
      </w:r>
      <w:r w:rsidRPr="00F62D7F">
        <w:rPr>
          <w:rFonts w:ascii="Times New Roman" w:eastAsia="Times New Roman" w:hAnsi="Times New Roman"/>
          <w:sz w:val="24"/>
          <w:szCs w:val="24"/>
          <w:lang w:eastAsia="fr-FR"/>
        </w:rPr>
        <w:t>n cas de retard de plus de trente jours dans le paiement de tout élément de la redevance (fixe ou variable)</w:t>
      </w:r>
      <w:r>
        <w:rPr>
          <w:rFonts w:ascii="Times New Roman" w:eastAsia="Times New Roman" w:hAnsi="Times New Roman"/>
          <w:sz w:val="24"/>
          <w:szCs w:val="24"/>
          <w:lang w:eastAsia="fr-FR"/>
        </w:rPr>
        <w:t xml:space="preserve"> selon les modalités déterminées à l’article</w:t>
      </w:r>
      <w:r w:rsidR="00C06014">
        <w:rPr>
          <w:rFonts w:ascii="Times New Roman" w:eastAsia="Times New Roman" w:hAnsi="Times New Roman"/>
          <w:sz w:val="24"/>
          <w:szCs w:val="24"/>
          <w:lang w:eastAsia="fr-FR"/>
        </w:rPr>
        <w:t> </w:t>
      </w:r>
      <w:r>
        <w:rPr>
          <w:rFonts w:ascii="Times New Roman" w:eastAsia="Times New Roman" w:hAnsi="Times New Roman"/>
          <w:sz w:val="24"/>
          <w:szCs w:val="24"/>
          <w:lang w:eastAsia="fr-FR"/>
        </w:rPr>
        <w:t>1</w:t>
      </w:r>
      <w:r w:rsidR="00160CBD">
        <w:rPr>
          <w:rFonts w:ascii="Times New Roman" w:eastAsia="Times New Roman" w:hAnsi="Times New Roman"/>
          <w:sz w:val="24"/>
          <w:szCs w:val="24"/>
          <w:lang w:eastAsia="fr-FR"/>
        </w:rPr>
        <w:t>8</w:t>
      </w:r>
      <w:r w:rsidRPr="00F62D7F">
        <w:rPr>
          <w:rFonts w:ascii="Times New Roman" w:eastAsia="Times New Roman" w:hAnsi="Times New Roman"/>
          <w:sz w:val="24"/>
          <w:szCs w:val="24"/>
          <w:lang w:eastAsia="fr-FR"/>
        </w:rPr>
        <w:t>, une pénalité fixée à 1 % du montant de la redevance par jour de retard à compter du 31</w:t>
      </w:r>
      <w:r w:rsidRPr="00C06014">
        <w:rPr>
          <w:rFonts w:ascii="Times New Roman" w:eastAsia="Times New Roman" w:hAnsi="Times New Roman"/>
          <w:sz w:val="24"/>
          <w:szCs w:val="24"/>
          <w:vertAlign w:val="superscript"/>
          <w:lang w:eastAsia="fr-FR"/>
        </w:rPr>
        <w:t>e</w:t>
      </w:r>
      <w:r w:rsidRPr="00F62D7F">
        <w:rPr>
          <w:rFonts w:ascii="Times New Roman" w:eastAsia="Times New Roman" w:hAnsi="Times New Roman"/>
          <w:sz w:val="24"/>
          <w:szCs w:val="24"/>
          <w:lang w:eastAsia="fr-FR"/>
        </w:rPr>
        <w:t xml:space="preserve"> jour suivant la date d’émission de l’</w:t>
      </w:r>
      <w:r>
        <w:rPr>
          <w:rFonts w:ascii="Times New Roman" w:eastAsia="Times New Roman" w:hAnsi="Times New Roman"/>
          <w:sz w:val="24"/>
          <w:szCs w:val="24"/>
          <w:lang w:eastAsia="fr-FR"/>
        </w:rPr>
        <w:t>appel à règlement est appliquée ;</w:t>
      </w:r>
    </w:p>
    <w:p w14:paraId="1B371CBE" w14:textId="67A8ACDB" w:rsidR="009550F5" w:rsidRPr="009550F5" w:rsidRDefault="009550F5" w:rsidP="00D63AF3">
      <w:pPr>
        <w:pStyle w:val="Listepuces"/>
        <w:numPr>
          <w:ilvl w:val="0"/>
          <w:numId w:val="5"/>
        </w:numPr>
        <w:rPr>
          <w:rFonts w:ascii="Times New Roman" w:hAnsi="Times New Roman"/>
          <w:sz w:val="24"/>
          <w:szCs w:val="24"/>
          <w:lang w:eastAsia="fr-FR"/>
        </w:rPr>
      </w:pPr>
      <w:r w:rsidRPr="009550F5">
        <w:rPr>
          <w:rFonts w:ascii="Times New Roman" w:hAnsi="Times New Roman"/>
          <w:b/>
          <w:sz w:val="24"/>
          <w:szCs w:val="24"/>
          <w:lang w:eastAsia="fr-FR"/>
        </w:rPr>
        <w:t xml:space="preserve">Non-respect d’une des stipulations </w:t>
      </w:r>
      <w:r w:rsidR="00C06014">
        <w:rPr>
          <w:rFonts w:ascii="Times New Roman" w:hAnsi="Times New Roman"/>
          <w:b/>
          <w:sz w:val="24"/>
          <w:szCs w:val="24"/>
          <w:lang w:eastAsia="fr-FR"/>
        </w:rPr>
        <w:t xml:space="preserve">des articles </w:t>
      </w:r>
      <w:r w:rsidR="00160CBD">
        <w:rPr>
          <w:rFonts w:ascii="Times New Roman" w:hAnsi="Times New Roman"/>
          <w:b/>
          <w:sz w:val="24"/>
          <w:szCs w:val="24"/>
          <w:lang w:eastAsia="fr-FR"/>
        </w:rPr>
        <w:t>21</w:t>
      </w:r>
      <w:r w:rsidR="00C06014">
        <w:rPr>
          <w:rFonts w:ascii="Times New Roman" w:hAnsi="Times New Roman"/>
          <w:b/>
          <w:sz w:val="24"/>
          <w:szCs w:val="24"/>
          <w:lang w:eastAsia="fr-FR"/>
        </w:rPr>
        <w:t xml:space="preserve"> et 2</w:t>
      </w:r>
      <w:r w:rsidR="00160CBD">
        <w:rPr>
          <w:rFonts w:ascii="Times New Roman" w:hAnsi="Times New Roman"/>
          <w:b/>
          <w:sz w:val="24"/>
          <w:szCs w:val="24"/>
          <w:lang w:eastAsia="fr-FR"/>
        </w:rPr>
        <w:t>2</w:t>
      </w:r>
      <w:r w:rsidRPr="009550F5">
        <w:rPr>
          <w:rFonts w:ascii="Times New Roman" w:hAnsi="Times New Roman"/>
          <w:b/>
          <w:sz w:val="24"/>
          <w:szCs w:val="24"/>
          <w:lang w:eastAsia="fr-FR"/>
        </w:rPr>
        <w:t xml:space="preserve"> </w:t>
      </w:r>
      <w:r w:rsidRPr="009550F5">
        <w:rPr>
          <w:rFonts w:ascii="Times New Roman" w:hAnsi="Times New Roman"/>
          <w:sz w:val="24"/>
          <w:szCs w:val="24"/>
          <w:lang w:eastAsia="fr-FR"/>
        </w:rPr>
        <w:t xml:space="preserve">: </w:t>
      </w:r>
    </w:p>
    <w:p w14:paraId="2C565CC6" w14:textId="278D9094" w:rsidR="009550F5" w:rsidRPr="009550F5" w:rsidRDefault="009550F5" w:rsidP="00D63AF3">
      <w:pPr>
        <w:pStyle w:val="Listepuces"/>
        <w:numPr>
          <w:ilvl w:val="1"/>
          <w:numId w:val="5"/>
        </w:numPr>
        <w:rPr>
          <w:rFonts w:ascii="Times New Roman" w:eastAsia="Times New Roman" w:hAnsi="Times New Roman"/>
          <w:sz w:val="24"/>
          <w:szCs w:val="24"/>
          <w:lang w:eastAsia="fr-FR"/>
        </w:rPr>
      </w:pPr>
      <w:r w:rsidRPr="009550F5">
        <w:rPr>
          <w:rFonts w:ascii="Times New Roman" w:eastAsia="Times New Roman" w:hAnsi="Times New Roman"/>
          <w:sz w:val="24"/>
          <w:szCs w:val="24"/>
          <w:lang w:eastAsia="fr-FR"/>
        </w:rPr>
        <w:t>pénalité forfaitaire</w:t>
      </w:r>
      <w:r w:rsidR="00791487">
        <w:rPr>
          <w:rFonts w:ascii="Times New Roman" w:eastAsia="Times New Roman" w:hAnsi="Times New Roman"/>
          <w:sz w:val="24"/>
          <w:szCs w:val="24"/>
          <w:lang w:eastAsia="fr-FR"/>
        </w:rPr>
        <w:t xml:space="preserve"> </w:t>
      </w:r>
      <w:r w:rsidRPr="009550F5">
        <w:rPr>
          <w:rFonts w:ascii="Times New Roman" w:eastAsia="Times New Roman" w:hAnsi="Times New Roman"/>
          <w:sz w:val="24"/>
          <w:szCs w:val="24"/>
          <w:lang w:eastAsia="fr-FR"/>
        </w:rPr>
        <w:t xml:space="preserve">de </w:t>
      </w:r>
      <w:r w:rsidR="00195C96">
        <w:rPr>
          <w:rFonts w:ascii="Times New Roman" w:eastAsia="Times New Roman" w:hAnsi="Times New Roman"/>
          <w:sz w:val="24"/>
          <w:szCs w:val="24"/>
          <w:lang w:eastAsia="fr-FR"/>
        </w:rPr>
        <w:t>1</w:t>
      </w:r>
      <w:r w:rsidR="00A40671">
        <w:rPr>
          <w:rFonts w:ascii="Times New Roman" w:eastAsia="Times New Roman" w:hAnsi="Times New Roman"/>
          <w:sz w:val="24"/>
          <w:szCs w:val="24"/>
          <w:lang w:eastAsia="fr-FR"/>
        </w:rPr>
        <w:t> 000 </w:t>
      </w:r>
      <w:r w:rsidRPr="009550F5">
        <w:rPr>
          <w:rFonts w:ascii="Times New Roman" w:eastAsia="Times New Roman" w:hAnsi="Times New Roman"/>
          <w:sz w:val="24"/>
          <w:szCs w:val="24"/>
          <w:lang w:eastAsia="fr-FR"/>
        </w:rPr>
        <w:t>euros</w:t>
      </w:r>
      <w:r w:rsidR="00791487" w:rsidRPr="00791487">
        <w:rPr>
          <w:rFonts w:ascii="Times New Roman" w:eastAsia="Times New Roman" w:hAnsi="Times New Roman"/>
          <w:sz w:val="24"/>
          <w:szCs w:val="24"/>
          <w:lang w:eastAsia="fr-FR"/>
        </w:rPr>
        <w:t xml:space="preserve"> </w:t>
      </w:r>
      <w:r w:rsidR="00791487" w:rsidRPr="009550F5">
        <w:rPr>
          <w:rFonts w:ascii="Times New Roman" w:eastAsia="Times New Roman" w:hAnsi="Times New Roman"/>
          <w:sz w:val="24"/>
          <w:szCs w:val="24"/>
          <w:lang w:eastAsia="fr-FR"/>
        </w:rPr>
        <w:t>par infraction</w:t>
      </w:r>
      <w:r w:rsidRPr="009550F5">
        <w:rPr>
          <w:rFonts w:ascii="Times New Roman" w:eastAsia="Times New Roman" w:hAnsi="Times New Roman"/>
          <w:sz w:val="24"/>
          <w:szCs w:val="24"/>
          <w:lang w:eastAsia="fr-FR"/>
        </w:rPr>
        <w:t xml:space="preserve">, assortie d’une mise en demeure de présenter </w:t>
      </w:r>
      <w:r w:rsidR="00C06014">
        <w:rPr>
          <w:rFonts w:ascii="Times New Roman" w:eastAsia="Times New Roman" w:hAnsi="Times New Roman"/>
          <w:sz w:val="24"/>
          <w:szCs w:val="24"/>
          <w:lang w:eastAsia="fr-FR"/>
        </w:rPr>
        <w:t>les documents demandés</w:t>
      </w:r>
      <w:r w:rsidRPr="009550F5">
        <w:rPr>
          <w:rFonts w:ascii="Times New Roman" w:eastAsia="Times New Roman" w:hAnsi="Times New Roman"/>
          <w:sz w:val="24"/>
          <w:szCs w:val="24"/>
          <w:lang w:eastAsia="fr-FR"/>
        </w:rPr>
        <w:t xml:space="preserve"> valide</w:t>
      </w:r>
      <w:r w:rsidR="00791487">
        <w:rPr>
          <w:rFonts w:ascii="Times New Roman" w:eastAsia="Times New Roman" w:hAnsi="Times New Roman"/>
          <w:sz w:val="24"/>
          <w:szCs w:val="24"/>
          <w:lang w:eastAsia="fr-FR"/>
        </w:rPr>
        <w:t xml:space="preserve">s dans un délai indiqué par le </w:t>
      </w:r>
      <w:r w:rsidR="000F76BE">
        <w:rPr>
          <w:rFonts w:ascii="Times New Roman" w:eastAsia="Times New Roman" w:hAnsi="Times New Roman"/>
          <w:sz w:val="24"/>
          <w:szCs w:val="24"/>
          <w:lang w:eastAsia="fr-FR"/>
        </w:rPr>
        <w:t>Sénat</w:t>
      </w:r>
      <w:r w:rsidRPr="009550F5">
        <w:rPr>
          <w:rFonts w:ascii="Times New Roman" w:eastAsia="Times New Roman" w:hAnsi="Times New Roman"/>
          <w:sz w:val="24"/>
          <w:szCs w:val="24"/>
          <w:lang w:eastAsia="fr-FR"/>
        </w:rPr>
        <w:t> ;</w:t>
      </w:r>
    </w:p>
    <w:p w14:paraId="0831D0CE" w14:textId="2650212E" w:rsidR="009550F5" w:rsidRPr="009550F5" w:rsidRDefault="009550F5" w:rsidP="00D63AF3">
      <w:pPr>
        <w:pStyle w:val="Listepuces"/>
        <w:numPr>
          <w:ilvl w:val="1"/>
          <w:numId w:val="5"/>
        </w:numPr>
        <w:rPr>
          <w:rFonts w:ascii="Times New Roman" w:eastAsia="Times New Roman" w:hAnsi="Times New Roman"/>
          <w:sz w:val="24"/>
          <w:szCs w:val="24"/>
          <w:lang w:eastAsia="fr-FR"/>
        </w:rPr>
      </w:pPr>
      <w:r w:rsidRPr="009550F5">
        <w:rPr>
          <w:rFonts w:ascii="Times New Roman" w:eastAsia="Times New Roman" w:hAnsi="Times New Roman"/>
          <w:sz w:val="24"/>
          <w:szCs w:val="24"/>
          <w:lang w:eastAsia="fr-FR"/>
        </w:rPr>
        <w:t xml:space="preserve">à défaut d’avoir fourni ces </w:t>
      </w:r>
      <w:r w:rsidR="00C06014">
        <w:rPr>
          <w:rFonts w:ascii="Times New Roman" w:eastAsia="Times New Roman" w:hAnsi="Times New Roman"/>
          <w:sz w:val="24"/>
          <w:szCs w:val="24"/>
          <w:lang w:eastAsia="fr-FR"/>
        </w:rPr>
        <w:t>documents</w:t>
      </w:r>
      <w:r w:rsidRPr="009550F5">
        <w:rPr>
          <w:rFonts w:ascii="Times New Roman" w:eastAsia="Times New Roman" w:hAnsi="Times New Roman"/>
          <w:sz w:val="24"/>
          <w:szCs w:val="24"/>
          <w:lang w:eastAsia="fr-FR"/>
        </w:rPr>
        <w:t xml:space="preserve">, pénalité journalière de </w:t>
      </w:r>
      <w:r w:rsidR="00195C96">
        <w:rPr>
          <w:rFonts w:ascii="Times New Roman" w:eastAsia="Times New Roman" w:hAnsi="Times New Roman"/>
          <w:sz w:val="24"/>
          <w:szCs w:val="24"/>
          <w:lang w:eastAsia="fr-FR"/>
        </w:rPr>
        <w:t>1</w:t>
      </w:r>
      <w:r w:rsidR="00A40671">
        <w:rPr>
          <w:rFonts w:ascii="Times New Roman" w:eastAsia="Times New Roman" w:hAnsi="Times New Roman"/>
          <w:sz w:val="24"/>
          <w:szCs w:val="24"/>
          <w:lang w:eastAsia="fr-FR"/>
        </w:rPr>
        <w:t>00 </w:t>
      </w:r>
      <w:r w:rsidRPr="009550F5">
        <w:rPr>
          <w:rFonts w:ascii="Times New Roman" w:eastAsia="Times New Roman" w:hAnsi="Times New Roman"/>
          <w:sz w:val="24"/>
          <w:szCs w:val="24"/>
          <w:lang w:eastAsia="fr-FR"/>
        </w:rPr>
        <w:t xml:space="preserve">euros à compter de </w:t>
      </w:r>
      <w:r w:rsidR="00791487">
        <w:rPr>
          <w:rFonts w:ascii="Times New Roman" w:eastAsia="Times New Roman" w:hAnsi="Times New Roman"/>
          <w:sz w:val="24"/>
          <w:szCs w:val="24"/>
          <w:lang w:eastAsia="fr-FR"/>
        </w:rPr>
        <w:t xml:space="preserve">la date limite indiquée par le </w:t>
      </w:r>
      <w:r w:rsidR="000F76BE">
        <w:rPr>
          <w:rFonts w:ascii="Times New Roman" w:eastAsia="Times New Roman" w:hAnsi="Times New Roman"/>
          <w:sz w:val="24"/>
          <w:szCs w:val="24"/>
          <w:lang w:eastAsia="fr-FR"/>
        </w:rPr>
        <w:t>Sénat</w:t>
      </w:r>
      <w:r w:rsidRPr="009550F5">
        <w:rPr>
          <w:rFonts w:ascii="Times New Roman" w:eastAsia="Times New Roman" w:hAnsi="Times New Roman"/>
          <w:sz w:val="24"/>
          <w:szCs w:val="24"/>
          <w:lang w:eastAsia="fr-FR"/>
        </w:rPr>
        <w:t xml:space="preserve">. </w:t>
      </w:r>
    </w:p>
    <w:p w14:paraId="1811A90C" w14:textId="77777777" w:rsidR="00167A0B" w:rsidRPr="00BC029B" w:rsidRDefault="00167A0B" w:rsidP="00FD76C0">
      <w:pPr>
        <w:pStyle w:val="DCETitre1"/>
      </w:pPr>
      <w:bookmarkStart w:id="179" w:name="_Toc208852210"/>
      <w:r>
        <w:lastRenderedPageBreak/>
        <w:t>Contentieux</w:t>
      </w:r>
      <w:bookmarkEnd w:id="179"/>
    </w:p>
    <w:p w14:paraId="62D46EEB" w14:textId="044DE487" w:rsidR="008B7090" w:rsidRPr="00BC029B" w:rsidRDefault="003136AC" w:rsidP="00B9270E">
      <w:pPr>
        <w:jc w:val="both"/>
      </w:pPr>
      <w:r w:rsidRPr="003136AC">
        <w:t xml:space="preserve">Les litiges sont portés devant le Tribunal administratif de Paris, </w:t>
      </w:r>
      <w:r w:rsidR="00791487">
        <w:t xml:space="preserve">situé au </w:t>
      </w:r>
      <w:r w:rsidRPr="003136AC">
        <w:t>7 rue de Jouy, 75181 PARIS C</w:t>
      </w:r>
      <w:r w:rsidR="00967AEC" w:rsidRPr="003136AC">
        <w:t>edex</w:t>
      </w:r>
      <w:r w:rsidR="00791487">
        <w:t xml:space="preserve"> 04 (t</w:t>
      </w:r>
      <w:r w:rsidRPr="003136AC">
        <w:t xml:space="preserve">éléphone : 01 44 59 44 </w:t>
      </w:r>
      <w:r w:rsidR="00791487">
        <w:t>00 ; télécopie : 01 44 59 46 46)</w:t>
      </w:r>
      <w:r w:rsidR="00B9270E">
        <w:t>.</w:t>
      </w:r>
    </w:p>
    <w:p w14:paraId="6484564F" w14:textId="77777777" w:rsidR="00B9270E" w:rsidRDefault="00B9270E">
      <w:pPr>
        <w:rPr>
          <w:b/>
          <w:smallCaps/>
          <w:kern w:val="28"/>
          <w:sz w:val="28"/>
          <w:szCs w:val="28"/>
        </w:rPr>
      </w:pPr>
      <w:bookmarkStart w:id="180" w:name="_Toc211933426"/>
      <w:bookmarkStart w:id="181" w:name="_Toc211933613"/>
      <w:bookmarkStart w:id="182" w:name="_Toc212366929"/>
      <w:bookmarkStart w:id="183" w:name="_Toc212367313"/>
      <w:bookmarkStart w:id="184" w:name="_Toc212367508"/>
      <w:bookmarkStart w:id="185" w:name="_Toc211933427"/>
      <w:bookmarkStart w:id="186" w:name="_Toc211933614"/>
      <w:bookmarkStart w:id="187" w:name="_Toc212366930"/>
      <w:bookmarkStart w:id="188" w:name="_Toc212367314"/>
      <w:bookmarkStart w:id="189" w:name="_Toc212367509"/>
      <w:bookmarkStart w:id="190" w:name="_Toc211933428"/>
      <w:bookmarkStart w:id="191" w:name="_Toc211933615"/>
      <w:bookmarkStart w:id="192" w:name="_Toc212366931"/>
      <w:bookmarkStart w:id="193" w:name="_Toc212367315"/>
      <w:bookmarkStart w:id="194" w:name="_Toc212367510"/>
      <w:bookmarkStart w:id="195" w:name="_Toc211933429"/>
      <w:bookmarkStart w:id="196" w:name="_Toc211933616"/>
      <w:bookmarkStart w:id="197" w:name="_Toc212366932"/>
      <w:bookmarkStart w:id="198" w:name="_Toc212367316"/>
      <w:bookmarkStart w:id="199" w:name="_Toc212367511"/>
      <w:bookmarkStart w:id="200" w:name="_Toc211933430"/>
      <w:bookmarkStart w:id="201" w:name="_Toc211933617"/>
      <w:bookmarkStart w:id="202" w:name="_Toc212366933"/>
      <w:bookmarkStart w:id="203" w:name="_Toc212367317"/>
      <w:bookmarkStart w:id="204" w:name="_Toc212367512"/>
      <w:bookmarkStart w:id="205" w:name="_Toc211933455"/>
      <w:bookmarkStart w:id="206" w:name="_Toc211933642"/>
      <w:bookmarkStart w:id="207" w:name="_Toc212366958"/>
      <w:bookmarkStart w:id="208" w:name="_Toc212367342"/>
      <w:bookmarkStart w:id="209" w:name="_Toc212367537"/>
      <w:bookmarkStart w:id="210" w:name="_Toc211933462"/>
      <w:bookmarkStart w:id="211" w:name="_Toc211933649"/>
      <w:bookmarkStart w:id="212" w:name="_Toc212366965"/>
      <w:bookmarkStart w:id="213" w:name="_Toc212367349"/>
      <w:bookmarkStart w:id="214" w:name="_Toc212367544"/>
      <w:bookmarkStart w:id="215" w:name="_Toc211933473"/>
      <w:bookmarkStart w:id="216" w:name="_Toc211933660"/>
      <w:bookmarkStart w:id="217" w:name="_Toc212366976"/>
      <w:bookmarkStart w:id="218" w:name="_Toc212367360"/>
      <w:bookmarkStart w:id="219" w:name="_Toc212367555"/>
      <w:bookmarkStart w:id="220" w:name="_Toc211933474"/>
      <w:bookmarkStart w:id="221" w:name="_Toc211933661"/>
      <w:bookmarkStart w:id="222" w:name="_Toc212366977"/>
      <w:bookmarkStart w:id="223" w:name="_Toc212367361"/>
      <w:bookmarkStart w:id="224" w:name="_Toc212367556"/>
      <w:bookmarkStart w:id="225" w:name="_Toc211933475"/>
      <w:bookmarkStart w:id="226" w:name="_Toc211933662"/>
      <w:bookmarkStart w:id="227" w:name="_Toc212366978"/>
      <w:bookmarkStart w:id="228" w:name="_Toc212367362"/>
      <w:bookmarkStart w:id="229" w:name="_Toc212367557"/>
      <w:bookmarkStart w:id="230" w:name="_Toc211933476"/>
      <w:bookmarkStart w:id="231" w:name="_Toc211933663"/>
      <w:bookmarkStart w:id="232" w:name="_Toc212366979"/>
      <w:bookmarkStart w:id="233" w:name="_Toc212367363"/>
      <w:bookmarkStart w:id="234" w:name="_Toc212367558"/>
      <w:bookmarkStart w:id="235" w:name="_Toc211933482"/>
      <w:bookmarkStart w:id="236" w:name="_Toc211933669"/>
      <w:bookmarkStart w:id="237" w:name="_Toc212366985"/>
      <w:bookmarkStart w:id="238" w:name="_Toc212367369"/>
      <w:bookmarkStart w:id="239" w:name="_Toc212367564"/>
      <w:bookmarkStart w:id="240" w:name="_Toc211933483"/>
      <w:bookmarkStart w:id="241" w:name="_Toc211933670"/>
      <w:bookmarkStart w:id="242" w:name="_Toc212366986"/>
      <w:bookmarkStart w:id="243" w:name="_Toc212367370"/>
      <w:bookmarkStart w:id="244" w:name="_Toc212367565"/>
      <w:bookmarkStart w:id="245" w:name="_Toc211933484"/>
      <w:bookmarkStart w:id="246" w:name="_Toc211933671"/>
      <w:bookmarkStart w:id="247" w:name="_Toc212366987"/>
      <w:bookmarkStart w:id="248" w:name="_Toc212367371"/>
      <w:bookmarkStart w:id="249" w:name="_Toc212367566"/>
      <w:bookmarkStart w:id="250" w:name="_Toc211933486"/>
      <w:bookmarkStart w:id="251" w:name="_Toc211933673"/>
      <w:bookmarkStart w:id="252" w:name="_Toc212366989"/>
      <w:bookmarkStart w:id="253" w:name="_Toc212367373"/>
      <w:bookmarkStart w:id="254" w:name="_Toc212367568"/>
      <w:bookmarkStart w:id="255" w:name="_Toc211933488"/>
      <w:bookmarkStart w:id="256" w:name="_Toc211933675"/>
      <w:bookmarkStart w:id="257" w:name="_Toc212366991"/>
      <w:bookmarkStart w:id="258" w:name="_Toc212367375"/>
      <w:bookmarkStart w:id="259" w:name="_Toc212367570"/>
      <w:bookmarkStart w:id="260" w:name="_Toc211933489"/>
      <w:bookmarkStart w:id="261" w:name="_Toc211933676"/>
      <w:bookmarkStart w:id="262" w:name="_Toc212366992"/>
      <w:bookmarkStart w:id="263" w:name="_Toc212367376"/>
      <w:bookmarkStart w:id="264" w:name="_Toc212367571"/>
      <w:bookmarkStart w:id="265" w:name="_Toc211933491"/>
      <w:bookmarkStart w:id="266" w:name="_Toc211933678"/>
      <w:bookmarkStart w:id="267" w:name="_Toc212366994"/>
      <w:bookmarkStart w:id="268" w:name="_Toc212367378"/>
      <w:bookmarkStart w:id="269" w:name="_Toc212367573"/>
      <w:bookmarkStart w:id="270" w:name="_Toc212881574"/>
      <w:bookmarkStart w:id="271" w:name="_Toc362431592"/>
      <w:bookmarkStart w:id="272" w:name="_Toc362544324"/>
      <w:bookmarkStart w:id="273" w:name="_Toc41282280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br w:type="page"/>
      </w:r>
    </w:p>
    <w:p w14:paraId="72FCC643" w14:textId="17564AE8" w:rsidR="00657B82" w:rsidRPr="0049616F" w:rsidRDefault="008E6039" w:rsidP="00B92B2D">
      <w:pPr>
        <w:pStyle w:val="DCETitre1"/>
        <w:numPr>
          <w:ilvl w:val="0"/>
          <w:numId w:val="0"/>
        </w:numPr>
        <w:spacing w:after="720"/>
        <w:jc w:val="center"/>
      </w:pPr>
      <w:bookmarkStart w:id="274" w:name="_Toc208852211"/>
      <w:r w:rsidRPr="0049616F">
        <w:lastRenderedPageBreak/>
        <w:t>A</w:t>
      </w:r>
      <w:r w:rsidR="00034074" w:rsidRPr="0049616F">
        <w:t>NNEXES</w:t>
      </w:r>
      <w:bookmarkStart w:id="275" w:name="_Toc211933502"/>
      <w:bookmarkStart w:id="276" w:name="_Toc211933689"/>
      <w:bookmarkStart w:id="277" w:name="_Toc212367005"/>
      <w:bookmarkStart w:id="278" w:name="_Toc212367389"/>
      <w:bookmarkStart w:id="279" w:name="_Toc212367584"/>
      <w:bookmarkStart w:id="280" w:name="_Toc211933503"/>
      <w:bookmarkStart w:id="281" w:name="_Toc211933690"/>
      <w:bookmarkStart w:id="282" w:name="_Toc212367006"/>
      <w:bookmarkStart w:id="283" w:name="_Toc212367390"/>
      <w:bookmarkStart w:id="284" w:name="_Toc212367585"/>
      <w:bookmarkStart w:id="285" w:name="_Toc211933504"/>
      <w:bookmarkStart w:id="286" w:name="_Toc211933691"/>
      <w:bookmarkStart w:id="287" w:name="_Toc212367007"/>
      <w:bookmarkStart w:id="288" w:name="_Toc212367391"/>
      <w:bookmarkStart w:id="289" w:name="_Toc212367586"/>
      <w:bookmarkStart w:id="290" w:name="_Toc211933506"/>
      <w:bookmarkStart w:id="291" w:name="_Toc211933693"/>
      <w:bookmarkStart w:id="292" w:name="_Toc212367009"/>
      <w:bookmarkStart w:id="293" w:name="_Toc212367393"/>
      <w:bookmarkStart w:id="294" w:name="_Toc212367588"/>
      <w:bookmarkEnd w:id="270"/>
      <w:bookmarkEnd w:id="271"/>
      <w:bookmarkEnd w:id="272"/>
      <w:bookmarkEnd w:id="273"/>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74"/>
    </w:p>
    <w:p w14:paraId="664EE4C2" w14:textId="77777777" w:rsidR="00DE47FF" w:rsidRPr="00100487" w:rsidRDefault="00DE47FF" w:rsidP="00D63AF3">
      <w:pPr>
        <w:numPr>
          <w:ilvl w:val="0"/>
          <w:numId w:val="11"/>
        </w:numPr>
        <w:tabs>
          <w:tab w:val="left" w:pos="567"/>
          <w:tab w:val="left" w:pos="1985"/>
        </w:tabs>
        <w:spacing w:after="240"/>
        <w:ind w:right="283"/>
        <w:jc w:val="both"/>
      </w:pPr>
      <w:r w:rsidRPr="00100487">
        <w:t>Annexe 1 :</w:t>
      </w:r>
      <w:r w:rsidRPr="00100487">
        <w:tab/>
      </w:r>
      <w:r w:rsidR="00530B5A">
        <w:t>p</w:t>
      </w:r>
      <w:r w:rsidRPr="00100487">
        <w:t>lan de situation de la boutique dans le Palais du Luxembourg</w:t>
      </w:r>
    </w:p>
    <w:p w14:paraId="7BAAE062" w14:textId="77777777" w:rsidR="00DE47FF" w:rsidRPr="00100487" w:rsidRDefault="00DE47FF" w:rsidP="00D63AF3">
      <w:pPr>
        <w:numPr>
          <w:ilvl w:val="0"/>
          <w:numId w:val="11"/>
        </w:numPr>
        <w:tabs>
          <w:tab w:val="left" w:pos="567"/>
          <w:tab w:val="left" w:pos="1985"/>
        </w:tabs>
        <w:spacing w:after="240"/>
        <w:ind w:right="283"/>
        <w:jc w:val="both"/>
      </w:pPr>
      <w:r w:rsidRPr="00100487">
        <w:t>Annexe 2 :</w:t>
      </w:r>
      <w:r w:rsidRPr="00100487">
        <w:tab/>
      </w:r>
      <w:r w:rsidR="00530B5A">
        <w:t>p</w:t>
      </w:r>
      <w:r w:rsidRPr="00100487">
        <w:t>lan de situation du local de stockage dans le Palais du Luxembourg</w:t>
      </w:r>
    </w:p>
    <w:p w14:paraId="6E0962D3" w14:textId="0ACC943E" w:rsidR="00DE47FF" w:rsidRDefault="00DE47FF" w:rsidP="00C72AA2">
      <w:pPr>
        <w:numPr>
          <w:ilvl w:val="0"/>
          <w:numId w:val="11"/>
        </w:numPr>
        <w:tabs>
          <w:tab w:val="left" w:pos="567"/>
          <w:tab w:val="left" w:pos="1985"/>
        </w:tabs>
        <w:spacing w:after="240"/>
        <w:ind w:right="283"/>
        <w:jc w:val="both"/>
      </w:pPr>
      <w:r w:rsidRPr="00100487">
        <w:t xml:space="preserve">Annexe </w:t>
      </w:r>
      <w:r w:rsidR="00C06014">
        <w:t>3</w:t>
      </w:r>
      <w:r w:rsidR="00967261" w:rsidRPr="00100487">
        <w:t> </w:t>
      </w:r>
      <w:r w:rsidRPr="00100487">
        <w:t>:</w:t>
      </w:r>
      <w:r w:rsidRPr="00100487">
        <w:tab/>
      </w:r>
      <w:r w:rsidR="000A7F14">
        <w:t>c</w:t>
      </w:r>
      <w:r w:rsidRPr="00100487">
        <w:t xml:space="preserve">alendrier de la session parlementaire </w:t>
      </w:r>
      <w:r w:rsidR="00912EDC" w:rsidRPr="00100487">
        <w:t>20</w:t>
      </w:r>
      <w:r w:rsidR="00912EDC">
        <w:t>25</w:t>
      </w:r>
      <w:r w:rsidRPr="00100487">
        <w:t>-</w:t>
      </w:r>
      <w:r w:rsidR="00912EDC" w:rsidRPr="00100487">
        <w:t>20</w:t>
      </w:r>
      <w:r w:rsidR="00912EDC">
        <w:t>26</w:t>
      </w:r>
    </w:p>
    <w:p w14:paraId="655FBA94" w14:textId="2C7344FC" w:rsidR="00DB2D16" w:rsidRPr="00100487" w:rsidRDefault="00DB2D16" w:rsidP="00C72AA2">
      <w:pPr>
        <w:numPr>
          <w:ilvl w:val="0"/>
          <w:numId w:val="11"/>
        </w:numPr>
        <w:tabs>
          <w:tab w:val="left" w:pos="567"/>
          <w:tab w:val="left" w:pos="1985"/>
        </w:tabs>
        <w:spacing w:after="240"/>
        <w:ind w:right="283"/>
        <w:jc w:val="both"/>
      </w:pPr>
      <w:r>
        <w:t xml:space="preserve">Annexe 4 : </w:t>
      </w:r>
      <w:r>
        <w:tab/>
        <w:t>Barème des redevances pour prise de vue</w:t>
      </w:r>
    </w:p>
    <w:p w14:paraId="381C5006" w14:textId="3BB0DAF4" w:rsidR="00C06014" w:rsidRPr="00892CEE" w:rsidRDefault="00C06014" w:rsidP="00D63AF3">
      <w:pPr>
        <w:numPr>
          <w:ilvl w:val="0"/>
          <w:numId w:val="11"/>
        </w:numPr>
        <w:tabs>
          <w:tab w:val="left" w:pos="567"/>
          <w:tab w:val="left" w:pos="1985"/>
        </w:tabs>
        <w:spacing w:after="120"/>
        <w:ind w:left="1264" w:right="284" w:hanging="907"/>
        <w:jc w:val="both"/>
      </w:pPr>
      <w:r>
        <w:t xml:space="preserve">Annexe </w:t>
      </w:r>
      <w:r w:rsidR="00DB2D16">
        <w:t>5</w:t>
      </w:r>
      <w:r>
        <w:t xml:space="preserve"> : </w:t>
      </w:r>
      <w:r>
        <w:tab/>
        <w:t>offre du candidat</w:t>
      </w:r>
    </w:p>
    <w:p w14:paraId="0630CDB1" w14:textId="77777777" w:rsidR="001772CE" w:rsidRPr="00BC029B" w:rsidRDefault="001772CE" w:rsidP="00BF1E3B"/>
    <w:p w14:paraId="194FB82D" w14:textId="77777777" w:rsidR="00657B82" w:rsidRPr="00BC029B" w:rsidRDefault="00657B82" w:rsidP="00657B82"/>
    <w:sectPr w:rsidR="00657B82" w:rsidRPr="00BC029B" w:rsidSect="00AE69A3">
      <w:headerReference w:type="default" r:id="rId13"/>
      <w:footnotePr>
        <w:numRestart w:val="eachPage"/>
      </w:footnotePr>
      <w:pgSz w:w="11906" w:h="16838" w:code="9"/>
      <w:pgMar w:top="1985" w:right="992" w:bottom="1134" w:left="1985"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EF64C" w14:textId="77777777" w:rsidR="004D7AF1" w:rsidRDefault="004D7AF1">
      <w:r>
        <w:separator/>
      </w:r>
    </w:p>
  </w:endnote>
  <w:endnote w:type="continuationSeparator" w:id="0">
    <w:p w14:paraId="7763C422" w14:textId="77777777" w:rsidR="004D7AF1" w:rsidRDefault="004D7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D010" w14:textId="77777777" w:rsidR="002C714C" w:rsidRDefault="002C714C" w:rsidP="002E7DD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305BA099" w14:textId="77777777" w:rsidR="002C714C" w:rsidRDefault="002C714C" w:rsidP="002E7DD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67EF" w14:textId="77777777" w:rsidR="004D7AF1" w:rsidRDefault="004D7AF1">
      <w:r>
        <w:separator/>
      </w:r>
    </w:p>
  </w:footnote>
  <w:footnote w:type="continuationSeparator" w:id="0">
    <w:p w14:paraId="5A15ED77" w14:textId="77777777" w:rsidR="004D7AF1" w:rsidRDefault="004D7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59F2" w14:textId="77777777" w:rsidR="002C714C" w:rsidRDefault="002C714C" w:rsidP="002E7DD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9685C93" w14:textId="77777777" w:rsidR="002C714C" w:rsidRDefault="002C714C" w:rsidP="002E7DD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61EA9" w14:textId="60279D0C" w:rsidR="002C714C" w:rsidRPr="00D02D36" w:rsidRDefault="002C714C" w:rsidP="002E7DD9">
    <w:pPr>
      <w:tabs>
        <w:tab w:val="center" w:pos="4395"/>
        <w:tab w:val="right" w:pos="8787"/>
      </w:tabs>
      <w:ind w:left="-851"/>
      <w:rPr>
        <w:i/>
        <w:caps/>
        <w:sz w:val="18"/>
        <w:szCs w:val="18"/>
      </w:rPr>
    </w:pPr>
    <w:r>
      <w:rPr>
        <w:i/>
        <w:sz w:val="18"/>
        <w:szCs w:val="18"/>
      </w:rPr>
      <w:t>Concession de services pour</w:t>
    </w:r>
    <w:r>
      <w:rPr>
        <w:i/>
        <w:sz w:val="18"/>
        <w:szCs w:val="18"/>
      </w:rPr>
      <w:tab/>
    </w:r>
    <w:r w:rsidR="00A6420A">
      <w:rPr>
        <w:i/>
        <w:sz w:val="18"/>
        <w:szCs w:val="18"/>
      </w:rPr>
      <w:t>Contrat de concession</w:t>
    </w:r>
    <w:r>
      <w:rPr>
        <w:i/>
        <w:sz w:val="18"/>
        <w:szCs w:val="18"/>
      </w:rPr>
      <w:tab/>
    </w:r>
    <w:r w:rsidRPr="00D02D36">
      <w:rPr>
        <w:rStyle w:val="Numrodepage"/>
        <w:i/>
        <w:sz w:val="18"/>
        <w:szCs w:val="18"/>
      </w:rPr>
      <w:fldChar w:fldCharType="begin"/>
    </w:r>
    <w:r w:rsidRPr="00D02D36">
      <w:rPr>
        <w:rStyle w:val="Numrodepage"/>
        <w:i/>
        <w:sz w:val="18"/>
        <w:szCs w:val="18"/>
      </w:rPr>
      <w:instrText xml:space="preserve">PAGE  </w:instrText>
    </w:r>
    <w:r w:rsidRPr="00D02D36">
      <w:rPr>
        <w:rStyle w:val="Numrodepage"/>
        <w:i/>
        <w:sz w:val="18"/>
        <w:szCs w:val="18"/>
      </w:rPr>
      <w:fldChar w:fldCharType="separate"/>
    </w:r>
    <w:r w:rsidR="00A92FEE">
      <w:rPr>
        <w:rStyle w:val="Numrodepage"/>
        <w:i/>
        <w:noProof/>
        <w:sz w:val="18"/>
        <w:szCs w:val="18"/>
      </w:rPr>
      <w:t>2</w:t>
    </w:r>
    <w:r w:rsidRPr="00D02D36">
      <w:rPr>
        <w:rStyle w:val="Numrodepage"/>
        <w:i/>
        <w:sz w:val="18"/>
        <w:szCs w:val="18"/>
      </w:rPr>
      <w:fldChar w:fldCharType="end"/>
    </w:r>
    <w:r w:rsidRPr="00D02D36">
      <w:rPr>
        <w:rStyle w:val="Numrodepage"/>
        <w:i/>
        <w:sz w:val="18"/>
        <w:szCs w:val="18"/>
      </w:rPr>
      <w:t>/</w:t>
    </w:r>
    <w:r w:rsidRPr="00D02D36">
      <w:rPr>
        <w:rStyle w:val="Numrodepage"/>
        <w:i/>
        <w:sz w:val="18"/>
        <w:szCs w:val="18"/>
      </w:rPr>
      <w:fldChar w:fldCharType="begin"/>
    </w:r>
    <w:r w:rsidRPr="00D02D36">
      <w:rPr>
        <w:rStyle w:val="Numrodepage"/>
        <w:i/>
        <w:sz w:val="18"/>
        <w:szCs w:val="18"/>
      </w:rPr>
      <w:instrText xml:space="preserve"> NUMPAGES </w:instrText>
    </w:r>
    <w:r w:rsidRPr="00D02D36">
      <w:rPr>
        <w:rStyle w:val="Numrodepage"/>
        <w:i/>
        <w:sz w:val="18"/>
        <w:szCs w:val="18"/>
      </w:rPr>
      <w:fldChar w:fldCharType="separate"/>
    </w:r>
    <w:r w:rsidR="00A92FEE">
      <w:rPr>
        <w:rStyle w:val="Numrodepage"/>
        <w:i/>
        <w:noProof/>
        <w:sz w:val="18"/>
        <w:szCs w:val="18"/>
      </w:rPr>
      <w:t>21</w:t>
    </w:r>
    <w:r w:rsidRPr="00D02D36">
      <w:rPr>
        <w:rStyle w:val="Numrodepage"/>
        <w:i/>
        <w:sz w:val="18"/>
        <w:szCs w:val="18"/>
      </w:rPr>
      <w:fldChar w:fldCharType="end"/>
    </w:r>
    <w:r>
      <w:rPr>
        <w:i/>
        <w:sz w:val="18"/>
        <w:szCs w:val="18"/>
      </w:rPr>
      <w:br/>
      <w:t>l</w:t>
    </w:r>
    <w:r w:rsidRPr="00D02D36">
      <w:rPr>
        <w:i/>
        <w:sz w:val="18"/>
        <w:szCs w:val="18"/>
      </w:rPr>
      <w:t>’exploitation</w:t>
    </w:r>
    <w:r>
      <w:rPr>
        <w:i/>
        <w:sz w:val="18"/>
        <w:szCs w:val="18"/>
      </w:rPr>
      <w:t xml:space="preserve"> d’une boutique de vente</w:t>
    </w:r>
  </w:p>
  <w:p w14:paraId="65A30286" w14:textId="6937242E" w:rsidR="002C714C" w:rsidRPr="00493015" w:rsidRDefault="002C714C" w:rsidP="00493015">
    <w:pPr>
      <w:pStyle w:val="En-tte"/>
      <w:ind w:left="-851"/>
      <w:rPr>
        <w:i/>
        <w:sz w:val="18"/>
        <w:szCs w:val="18"/>
      </w:rPr>
    </w:pPr>
    <w:r w:rsidRPr="00D02D36">
      <w:rPr>
        <w:i/>
        <w:sz w:val="18"/>
        <w:szCs w:val="18"/>
      </w:rPr>
      <w:t xml:space="preserve">dans le </w:t>
    </w:r>
    <w:r>
      <w:rPr>
        <w:i/>
        <w:sz w:val="18"/>
        <w:szCs w:val="18"/>
      </w:rPr>
      <w:t>Palais</w:t>
    </w:r>
    <w:r w:rsidRPr="00D02D36">
      <w:rPr>
        <w:i/>
        <w:sz w:val="18"/>
        <w:szCs w:val="18"/>
      </w:rPr>
      <w:t xml:space="preserve"> du </w:t>
    </w:r>
    <w:r w:rsidR="00A6420A">
      <w:rPr>
        <w:i/>
        <w:sz w:val="18"/>
        <w:szCs w:val="18"/>
      </w:rPr>
      <w:t>Luxembourg et d’une boutique en ligne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B55D" w14:textId="547394B2" w:rsidR="002C714C" w:rsidRPr="00D02D36" w:rsidRDefault="002C714C" w:rsidP="003721F7">
    <w:pPr>
      <w:tabs>
        <w:tab w:val="center" w:pos="4395"/>
        <w:tab w:val="right" w:pos="8787"/>
      </w:tabs>
      <w:ind w:left="-851"/>
      <w:rPr>
        <w:i/>
        <w:caps/>
        <w:sz w:val="18"/>
        <w:szCs w:val="18"/>
      </w:rPr>
    </w:pPr>
    <w:r>
      <w:rPr>
        <w:i/>
        <w:sz w:val="18"/>
        <w:szCs w:val="18"/>
      </w:rPr>
      <w:t>Concession de services pour</w:t>
    </w:r>
    <w:r>
      <w:rPr>
        <w:i/>
        <w:sz w:val="18"/>
        <w:szCs w:val="18"/>
      </w:rPr>
      <w:tab/>
    </w:r>
    <w:r w:rsidR="00A6420A">
      <w:rPr>
        <w:i/>
        <w:sz w:val="18"/>
        <w:szCs w:val="18"/>
      </w:rPr>
      <w:t>Contrat de concession</w:t>
    </w:r>
    <w:r>
      <w:rPr>
        <w:i/>
        <w:sz w:val="18"/>
        <w:szCs w:val="18"/>
      </w:rPr>
      <w:tab/>
    </w:r>
    <w:r w:rsidRPr="00D02D36">
      <w:rPr>
        <w:rStyle w:val="Numrodepage"/>
        <w:i/>
        <w:sz w:val="18"/>
        <w:szCs w:val="18"/>
      </w:rPr>
      <w:fldChar w:fldCharType="begin"/>
    </w:r>
    <w:r w:rsidRPr="00D02D36">
      <w:rPr>
        <w:rStyle w:val="Numrodepage"/>
        <w:i/>
        <w:sz w:val="18"/>
        <w:szCs w:val="18"/>
      </w:rPr>
      <w:instrText xml:space="preserve">PAGE  </w:instrText>
    </w:r>
    <w:r w:rsidRPr="00D02D36">
      <w:rPr>
        <w:rStyle w:val="Numrodepage"/>
        <w:i/>
        <w:sz w:val="18"/>
        <w:szCs w:val="18"/>
      </w:rPr>
      <w:fldChar w:fldCharType="separate"/>
    </w:r>
    <w:r w:rsidR="00856FF3">
      <w:rPr>
        <w:rStyle w:val="Numrodepage"/>
        <w:i/>
        <w:noProof/>
        <w:sz w:val="18"/>
        <w:szCs w:val="18"/>
      </w:rPr>
      <w:t>18</w:t>
    </w:r>
    <w:r w:rsidRPr="00D02D36">
      <w:rPr>
        <w:rStyle w:val="Numrodepage"/>
        <w:i/>
        <w:sz w:val="18"/>
        <w:szCs w:val="18"/>
      </w:rPr>
      <w:fldChar w:fldCharType="end"/>
    </w:r>
    <w:r w:rsidRPr="00D02D36">
      <w:rPr>
        <w:rStyle w:val="Numrodepage"/>
        <w:i/>
        <w:sz w:val="18"/>
        <w:szCs w:val="18"/>
      </w:rPr>
      <w:t>/</w:t>
    </w:r>
    <w:r w:rsidRPr="00D02D36">
      <w:rPr>
        <w:rStyle w:val="Numrodepage"/>
        <w:i/>
        <w:sz w:val="18"/>
        <w:szCs w:val="18"/>
      </w:rPr>
      <w:fldChar w:fldCharType="begin"/>
    </w:r>
    <w:r w:rsidRPr="00D02D36">
      <w:rPr>
        <w:rStyle w:val="Numrodepage"/>
        <w:i/>
        <w:sz w:val="18"/>
        <w:szCs w:val="18"/>
      </w:rPr>
      <w:instrText xml:space="preserve"> NUMPAGES </w:instrText>
    </w:r>
    <w:r w:rsidRPr="00D02D36">
      <w:rPr>
        <w:rStyle w:val="Numrodepage"/>
        <w:i/>
        <w:sz w:val="18"/>
        <w:szCs w:val="18"/>
      </w:rPr>
      <w:fldChar w:fldCharType="separate"/>
    </w:r>
    <w:r w:rsidR="00856FF3">
      <w:rPr>
        <w:rStyle w:val="Numrodepage"/>
        <w:i/>
        <w:noProof/>
        <w:sz w:val="18"/>
        <w:szCs w:val="18"/>
      </w:rPr>
      <w:t>21</w:t>
    </w:r>
    <w:r w:rsidRPr="00D02D36">
      <w:rPr>
        <w:rStyle w:val="Numrodepage"/>
        <w:i/>
        <w:sz w:val="18"/>
        <w:szCs w:val="18"/>
      </w:rPr>
      <w:fldChar w:fldCharType="end"/>
    </w:r>
    <w:r>
      <w:rPr>
        <w:i/>
        <w:sz w:val="18"/>
        <w:szCs w:val="18"/>
      </w:rPr>
      <w:br/>
      <w:t>l</w:t>
    </w:r>
    <w:r w:rsidRPr="00D02D36">
      <w:rPr>
        <w:i/>
        <w:sz w:val="18"/>
        <w:szCs w:val="18"/>
      </w:rPr>
      <w:t>’exploitation</w:t>
    </w:r>
    <w:r>
      <w:rPr>
        <w:i/>
        <w:sz w:val="18"/>
        <w:szCs w:val="18"/>
      </w:rPr>
      <w:t xml:space="preserve"> d’une boutique de vente</w:t>
    </w:r>
  </w:p>
  <w:p w14:paraId="045D9E8F" w14:textId="3B3A8297" w:rsidR="002C714C" w:rsidRPr="00493015" w:rsidRDefault="002C714C" w:rsidP="003721F7">
    <w:pPr>
      <w:pStyle w:val="En-tte"/>
      <w:ind w:left="-851"/>
      <w:rPr>
        <w:i/>
        <w:sz w:val="18"/>
        <w:szCs w:val="18"/>
      </w:rPr>
    </w:pPr>
    <w:r w:rsidRPr="00D02D36">
      <w:rPr>
        <w:i/>
        <w:sz w:val="18"/>
        <w:szCs w:val="18"/>
      </w:rPr>
      <w:t>situé</w:t>
    </w:r>
    <w:r>
      <w:rPr>
        <w:i/>
        <w:sz w:val="18"/>
        <w:szCs w:val="18"/>
      </w:rPr>
      <w:t>e</w:t>
    </w:r>
    <w:r w:rsidRPr="00D02D36">
      <w:rPr>
        <w:i/>
        <w:sz w:val="18"/>
        <w:szCs w:val="18"/>
      </w:rPr>
      <w:t xml:space="preserve"> dans le </w:t>
    </w:r>
    <w:r>
      <w:rPr>
        <w:i/>
        <w:sz w:val="18"/>
        <w:szCs w:val="18"/>
      </w:rPr>
      <w:t>Palais</w:t>
    </w:r>
    <w:r w:rsidRPr="00D02D36">
      <w:rPr>
        <w:i/>
        <w:sz w:val="18"/>
        <w:szCs w:val="18"/>
      </w:rPr>
      <w:t xml:space="preserve"> du </w:t>
    </w:r>
    <w:r w:rsidR="00A6420A">
      <w:rPr>
        <w:i/>
        <w:sz w:val="18"/>
        <w:szCs w:val="18"/>
      </w:rPr>
      <w:t>Luxembourg et d’une boutique en ligne</w:t>
    </w:r>
  </w:p>
  <w:p w14:paraId="16988B79" w14:textId="77777777" w:rsidR="002C714C" w:rsidRDefault="002C714C" w:rsidP="003721F7">
    <w:pPr>
      <w:tabs>
        <w:tab w:val="center" w:pos="4253"/>
        <w:tab w:val="right" w:pos="8787"/>
      </w:tabs>
      <w:ind w:left="-851"/>
      <w:rPr>
        <w:i/>
        <w:sz w:val="18"/>
        <w:szCs w:val="18"/>
      </w:rPr>
    </w:pPr>
  </w:p>
  <w:p w14:paraId="752B6B48" w14:textId="77777777" w:rsidR="002C714C" w:rsidRDefault="002C714C" w:rsidP="00ED07A6">
    <w:pPr>
      <w:pStyle w:val="En-tte"/>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 w15:restartNumberingAfterBreak="0">
    <w:nsid w:val="0F781F32"/>
    <w:multiLevelType w:val="hybridMultilevel"/>
    <w:tmpl w:val="FD60E188"/>
    <w:lvl w:ilvl="0" w:tplc="067050F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2A5D97"/>
    <w:multiLevelType w:val="multilevel"/>
    <w:tmpl w:val="19DE97F4"/>
    <w:lvl w:ilvl="0">
      <w:start w:val="1"/>
      <w:numFmt w:val="decimal"/>
      <w:isLgl/>
      <w:suff w:val="nothing"/>
      <w:lvlText w:val="ARTICLE %1 - "/>
      <w:lvlJc w:val="left"/>
      <w:pPr>
        <w:ind w:left="3687" w:firstLine="0"/>
      </w:pPr>
      <w:rPr>
        <w:rFonts w:ascii="Times New Roman" w:hAnsi="Times New Roman" w:hint="default"/>
        <w:b/>
        <w:i w:val="0"/>
        <w:sz w:val="26"/>
        <w:szCs w:val="26"/>
        <w:u w:val="none"/>
      </w:rPr>
    </w:lvl>
    <w:lvl w:ilvl="1">
      <w:start w:val="1"/>
      <w:numFmt w:val="decimal"/>
      <w:suff w:val="space"/>
      <w:lvlText w:val="%1.%2."/>
      <w:lvlJc w:val="left"/>
      <w:pPr>
        <w:ind w:left="852" w:hanging="85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283"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3" w15:restartNumberingAfterBreak="0">
    <w:nsid w:val="2E5826DD"/>
    <w:multiLevelType w:val="hybridMultilevel"/>
    <w:tmpl w:val="4698B14C"/>
    <w:lvl w:ilvl="0" w:tplc="067050F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4605B2"/>
    <w:multiLevelType w:val="hybridMultilevel"/>
    <w:tmpl w:val="3E8CEFDA"/>
    <w:lvl w:ilvl="0" w:tplc="63C87884">
      <w:start w:val="1"/>
      <w:numFmt w:val="bullet"/>
      <w:lvlText w:val="-"/>
      <w:lvlJc w:val="left"/>
      <w:pPr>
        <w:ind w:left="1080" w:hanging="360"/>
      </w:pPr>
      <w:rPr>
        <w:rFonts w:ascii="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40192E93"/>
    <w:multiLevelType w:val="hybridMultilevel"/>
    <w:tmpl w:val="DFA2C728"/>
    <w:lvl w:ilvl="0" w:tplc="4BFC5CAA">
      <w:start w:val="1"/>
      <w:numFmt w:val="bullet"/>
      <w:lvlText w:val=""/>
      <w:lvlJc w:val="left"/>
      <w:pPr>
        <w:ind w:left="1080" w:hanging="360"/>
      </w:pPr>
      <w:rPr>
        <w:rFonts w:ascii="Symbol" w:hAnsi="Symbol" w:hint="default"/>
      </w:rPr>
    </w:lvl>
    <w:lvl w:ilvl="1" w:tplc="067050F6">
      <w:start w:val="1"/>
      <w:numFmt w:val="bullet"/>
      <w:lvlText w:val="-"/>
      <w:lvlJc w:val="left"/>
      <w:pPr>
        <w:ind w:left="1495" w:hanging="360"/>
      </w:pPr>
      <w:rPr>
        <w:rFonts w:ascii="Times New Roman" w:hAnsi="Times New Roman" w:cs="Times New Roman"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42945971"/>
    <w:multiLevelType w:val="hybridMultilevel"/>
    <w:tmpl w:val="38882114"/>
    <w:lvl w:ilvl="0" w:tplc="067050F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CE3E17"/>
    <w:multiLevelType w:val="multilevel"/>
    <w:tmpl w:val="73D04F32"/>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1283"/>
        </w:tabs>
        <w:ind w:left="1283"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4BD907FE"/>
    <w:multiLevelType w:val="hybridMultilevel"/>
    <w:tmpl w:val="861ECF8E"/>
    <w:lvl w:ilvl="0" w:tplc="067050F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857591"/>
    <w:multiLevelType w:val="hybridMultilevel"/>
    <w:tmpl w:val="C66A48A0"/>
    <w:lvl w:ilvl="0" w:tplc="0394C1BE">
      <w:start w:val="1"/>
      <w:numFmt w:val="bullet"/>
      <w:pStyle w:val="Listepuc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942390"/>
    <w:multiLevelType w:val="multilevel"/>
    <w:tmpl w:val="B204E4C0"/>
    <w:lvl w:ilvl="0">
      <w:start w:val="1"/>
      <w:numFmt w:val="decimal"/>
      <w:pStyle w:val="AnnexeTitre1"/>
      <w:suff w:val="space"/>
      <w:lvlText w:val="Annexe %1"/>
      <w:lvlJc w:val="left"/>
      <w:pPr>
        <w:ind w:left="0" w:firstLine="0"/>
      </w:pPr>
      <w:rPr>
        <w:rFonts w:hint="default"/>
      </w:rPr>
    </w:lvl>
    <w:lvl w:ilvl="1">
      <w:start w:val="1"/>
      <w:numFmt w:val="decimal"/>
      <w:suff w:val="space"/>
      <w:lvlText w:val="Annexe %1.%2"/>
      <w:lvlJc w:val="left"/>
      <w:pPr>
        <w:ind w:left="0" w:firstLine="0"/>
      </w:pPr>
      <w:rPr>
        <w:rFonts w:hint="default"/>
      </w:rPr>
    </w:lvl>
    <w:lvl w:ilvl="2">
      <w:start w:val="1"/>
      <w:numFmt w:val="none"/>
      <w:suff w:val="space"/>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bullet"/>
      <w:suff w:val="space"/>
      <w:lvlText w:val=""/>
      <w:lvlJc w:val="left"/>
      <w:pPr>
        <w:ind w:left="340" w:hanging="340"/>
      </w:pPr>
      <w:rPr>
        <w:rFonts w:ascii="Wingdings" w:hAnsi="Wingdings" w:hint="default"/>
        <w:color w:val="1F549E"/>
      </w:rPr>
    </w:lvl>
    <w:lvl w:ilvl="5">
      <w:start w:val="1"/>
      <w:numFmt w:val="bullet"/>
      <w:lvlText w:val=""/>
      <w:lvlJc w:val="left"/>
      <w:pPr>
        <w:ind w:left="4677" w:hanging="360"/>
      </w:pPr>
      <w:rPr>
        <w:rFonts w:ascii="Wingdings" w:hAnsi="Wingdings" w:hint="default"/>
        <w:color w:val="1F549E"/>
      </w:rPr>
    </w:lvl>
    <w:lvl w:ilvl="6">
      <w:start w:val="1"/>
      <w:numFmt w:val="bullet"/>
      <w:lvlText w:val=""/>
      <w:lvlJc w:val="left"/>
      <w:pPr>
        <w:ind w:left="5397" w:hanging="360"/>
      </w:pPr>
      <w:rPr>
        <w:rFonts w:ascii="Symbol" w:hAnsi="Symbol" w:hint="default"/>
        <w:color w:val="1F549E"/>
      </w:rPr>
    </w:lvl>
    <w:lvl w:ilvl="7">
      <w:start w:val="1"/>
      <w:numFmt w:val="bullet"/>
      <w:lvlText w:val="o"/>
      <w:lvlJc w:val="left"/>
      <w:pPr>
        <w:ind w:left="6117" w:hanging="360"/>
      </w:pPr>
      <w:rPr>
        <w:rFonts w:ascii="Courier New" w:hAnsi="Courier New" w:hint="default"/>
        <w:color w:val="1F549E"/>
      </w:rPr>
    </w:lvl>
    <w:lvl w:ilvl="8">
      <w:start w:val="1"/>
      <w:numFmt w:val="bullet"/>
      <w:lvlText w:val=""/>
      <w:lvlJc w:val="left"/>
      <w:pPr>
        <w:ind w:left="6837" w:hanging="360"/>
      </w:pPr>
      <w:rPr>
        <w:rFonts w:ascii="Wingdings" w:hAnsi="Wingdings" w:hint="default"/>
        <w:color w:val="1F549E"/>
      </w:rPr>
    </w:lvl>
  </w:abstractNum>
  <w:abstractNum w:abstractNumId="12" w15:restartNumberingAfterBreak="0">
    <w:nsid w:val="7A323193"/>
    <w:multiLevelType w:val="multilevel"/>
    <w:tmpl w:val="57421490"/>
    <w:lvl w:ilvl="0">
      <w:start w:val="1"/>
      <w:numFmt w:val="decimal"/>
      <w:lvlText w:val="CHAPITRE %1. "/>
      <w:lvlJc w:val="left"/>
      <w:pPr>
        <w:tabs>
          <w:tab w:val="num" w:pos="0"/>
        </w:tabs>
        <w:ind w:left="0" w:firstLine="0"/>
      </w:pPr>
      <w:rPr>
        <w:rFonts w:ascii="Arial" w:hAnsi="Arial" w:cs="Times New Roman" w:hint="default"/>
        <w:b/>
        <w:i w:val="0"/>
        <w:caps/>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w:lvlJc w:val="left"/>
      <w:pPr>
        <w:ind w:left="0" w:firstLine="0"/>
      </w:pPr>
      <w:rPr>
        <w:rFonts w:ascii="Arial" w:hAnsi="Arial" w:cs="Times New Roman" w:hint="default"/>
        <w:b/>
        <w:i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5.%3."/>
      <w:lvlJc w:val="left"/>
      <w:pPr>
        <w:ind w:left="0" w:firstLine="0"/>
      </w:pPr>
      <w:rPr>
        <w:rFonts w:ascii="Arial" w:hAnsi="Arial" w:hint="default"/>
        <w:b/>
        <w:i w:val="0"/>
        <w:caps/>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6Contrat11"/>
      <w:lvlText w:val="%2.%3.%4"/>
      <w:lvlJc w:val="left"/>
      <w:pPr>
        <w:tabs>
          <w:tab w:val="num" w:pos="0"/>
        </w:tabs>
        <w:ind w:left="0" w:firstLine="0"/>
      </w:pPr>
      <w:rPr>
        <w:rFonts w:ascii="Arial" w:hAnsi="Arial" w:hint="default"/>
        <w:b w:val="0"/>
        <w:i w:val="0"/>
        <w:sz w:val="20"/>
        <w:szCs w:val="20"/>
      </w:rPr>
    </w:lvl>
    <w:lvl w:ilvl="4">
      <w:start w:val="1"/>
      <w:numFmt w:val="decimal"/>
      <w:suff w:val="nothing"/>
      <w:lvlText w:val="Article %5"/>
      <w:lvlJc w:val="left"/>
      <w:pPr>
        <w:ind w:left="5104" w:firstLine="0"/>
      </w:pPr>
      <w:rPr>
        <w:rFonts w:ascii="Arial" w:hAnsi="Arial" w:hint="default"/>
        <w:b/>
        <w:i w:val="0"/>
        <w:caps w:val="0"/>
        <w:sz w:val="24"/>
        <w:szCs w:val="24"/>
        <w:u w:val="single"/>
      </w:rPr>
    </w:lvl>
    <w:lvl w:ilvl="5">
      <w:start w:val="1"/>
      <w:numFmt w:val="decimal"/>
      <w:lvlText w:val="%5.%6"/>
      <w:lvlJc w:val="left"/>
      <w:pPr>
        <w:tabs>
          <w:tab w:val="num" w:pos="0"/>
        </w:tabs>
        <w:ind w:left="0" w:firstLine="0"/>
      </w:pPr>
      <w:rPr>
        <w:rFonts w:ascii="Arial" w:hAnsi="Arial" w:hint="default"/>
        <w:caps/>
        <w:sz w:val="20"/>
        <w:szCs w:val="20"/>
      </w:rPr>
    </w:lvl>
    <w:lvl w:ilvl="6">
      <w:start w:val="1"/>
      <w:numFmt w:val="decimal"/>
      <w:pStyle w:val="Titre6Contrat11"/>
      <w:lvlText w:val="%5.%6.%7"/>
      <w:lvlJc w:val="left"/>
      <w:pPr>
        <w:tabs>
          <w:tab w:val="num" w:pos="0"/>
        </w:tabs>
        <w:ind w:left="0" w:firstLine="0"/>
      </w:pPr>
      <w:rPr>
        <w:rFonts w:ascii="Arial" w:hAnsi="Arial" w:hint="default"/>
        <w:sz w:val="20"/>
        <w:szCs w:val="20"/>
      </w:rPr>
    </w:lvl>
    <w:lvl w:ilvl="7">
      <w:start w:val="1"/>
      <w:numFmt w:val="decimal"/>
      <w:lvlRestart w:val="1"/>
      <w:lvlText w:val="Annexe %8"/>
      <w:lvlJc w:val="left"/>
      <w:pPr>
        <w:tabs>
          <w:tab w:val="num" w:pos="0"/>
        </w:tabs>
        <w:ind w:left="0" w:firstLine="0"/>
      </w:pPr>
      <w:rPr>
        <w:rFonts w:ascii="Arial" w:hAnsi="Arial" w:hint="default"/>
        <w:b/>
        <w:i w:val="0"/>
        <w:caps/>
        <w:sz w:val="24"/>
        <w:szCs w:val="24"/>
      </w:rPr>
    </w:lvl>
    <w:lvl w:ilvl="8">
      <w:start w:val="1"/>
      <w:numFmt w:val="none"/>
      <w:suff w:val="nothing"/>
      <w:lvlText w:val=""/>
      <w:lvlJc w:val="left"/>
      <w:pPr>
        <w:ind w:left="0" w:firstLine="0"/>
      </w:pPr>
      <w:rPr>
        <w:rFonts w:hint="default"/>
      </w:rPr>
    </w:lvl>
  </w:abstractNum>
  <w:num w:numId="1">
    <w:abstractNumId w:val="8"/>
  </w:num>
  <w:num w:numId="2">
    <w:abstractNumId w:val="5"/>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7"/>
  </w:num>
  <w:num w:numId="8">
    <w:abstractNumId w:val="6"/>
  </w:num>
  <w:num w:numId="9">
    <w:abstractNumId w:val="10"/>
  </w:num>
  <w:num w:numId="10">
    <w:abstractNumId w:val="3"/>
  </w:num>
  <w:num w:numId="11">
    <w:abstractNumId w:val="9"/>
  </w:num>
  <w:num w:numId="12">
    <w:abstractNumId w:val="11"/>
  </w:num>
  <w:num w:numId="13">
    <w:abstractNumId w:val="12"/>
  </w:num>
  <w:num w:numId="14">
    <w:abstractNumId w:val="8"/>
  </w:num>
  <w:num w:numId="15">
    <w:abstractNumId w:val="10"/>
  </w:num>
  <w:num w:numId="16">
    <w:abstractNumId w:val="10"/>
  </w:num>
  <w:num w:numId="17">
    <w:abstractNumId w:val="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num>
  <w:num w:numId="22">
    <w:abstractNumId w:val="8"/>
  </w:num>
  <w:num w:numId="2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fr-CA" w:vendorID="64" w:dllVersion="6" w:nlCheck="1" w:checkStyle="1"/>
  <w:activeWritingStyle w:appName="MSWord" w:lang="fr-FR" w:vendorID="64" w:dllVersion="4096" w:nlCheck="1" w:checkStyle="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6804"/>
  <w:hyphenationZone w:val="425"/>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2D"/>
    <w:rsid w:val="00002F9D"/>
    <w:rsid w:val="00011C54"/>
    <w:rsid w:val="00013497"/>
    <w:rsid w:val="00021D06"/>
    <w:rsid w:val="000245AB"/>
    <w:rsid w:val="00034074"/>
    <w:rsid w:val="00036086"/>
    <w:rsid w:val="00036E43"/>
    <w:rsid w:val="00044517"/>
    <w:rsid w:val="00044B1B"/>
    <w:rsid w:val="00047117"/>
    <w:rsid w:val="000477E8"/>
    <w:rsid w:val="00050AB6"/>
    <w:rsid w:val="000527FB"/>
    <w:rsid w:val="00052B1F"/>
    <w:rsid w:val="00055856"/>
    <w:rsid w:val="00062373"/>
    <w:rsid w:val="00064A20"/>
    <w:rsid w:val="00065B4D"/>
    <w:rsid w:val="00065C24"/>
    <w:rsid w:val="00066682"/>
    <w:rsid w:val="00067297"/>
    <w:rsid w:val="00073CB7"/>
    <w:rsid w:val="00077D0C"/>
    <w:rsid w:val="000803D0"/>
    <w:rsid w:val="000817F0"/>
    <w:rsid w:val="00081DA5"/>
    <w:rsid w:val="00083536"/>
    <w:rsid w:val="000841BA"/>
    <w:rsid w:val="000847F8"/>
    <w:rsid w:val="00084981"/>
    <w:rsid w:val="00084FBD"/>
    <w:rsid w:val="00085B84"/>
    <w:rsid w:val="00085C67"/>
    <w:rsid w:val="000864B8"/>
    <w:rsid w:val="000867DA"/>
    <w:rsid w:val="00086843"/>
    <w:rsid w:val="00087527"/>
    <w:rsid w:val="000875B4"/>
    <w:rsid w:val="00087E95"/>
    <w:rsid w:val="000907E0"/>
    <w:rsid w:val="000950B7"/>
    <w:rsid w:val="000A00CE"/>
    <w:rsid w:val="000A4D33"/>
    <w:rsid w:val="000A7A27"/>
    <w:rsid w:val="000A7F14"/>
    <w:rsid w:val="000B09C1"/>
    <w:rsid w:val="000B0D52"/>
    <w:rsid w:val="000B2D2B"/>
    <w:rsid w:val="000B5FFF"/>
    <w:rsid w:val="000C0019"/>
    <w:rsid w:val="000C04EE"/>
    <w:rsid w:val="000C1D81"/>
    <w:rsid w:val="000D22A3"/>
    <w:rsid w:val="000D4374"/>
    <w:rsid w:val="000D4C4C"/>
    <w:rsid w:val="000D6435"/>
    <w:rsid w:val="000D76DB"/>
    <w:rsid w:val="000D793B"/>
    <w:rsid w:val="000D7B38"/>
    <w:rsid w:val="000E082E"/>
    <w:rsid w:val="000E0F93"/>
    <w:rsid w:val="000E2059"/>
    <w:rsid w:val="000E49C5"/>
    <w:rsid w:val="000F1831"/>
    <w:rsid w:val="000F2F89"/>
    <w:rsid w:val="000F5EB8"/>
    <w:rsid w:val="000F6E9A"/>
    <w:rsid w:val="000F71B9"/>
    <w:rsid w:val="000F76BE"/>
    <w:rsid w:val="000F7C0C"/>
    <w:rsid w:val="001033CA"/>
    <w:rsid w:val="00104971"/>
    <w:rsid w:val="00113131"/>
    <w:rsid w:val="00114570"/>
    <w:rsid w:val="0012040E"/>
    <w:rsid w:val="0012215A"/>
    <w:rsid w:val="0012263E"/>
    <w:rsid w:val="001241DB"/>
    <w:rsid w:val="00125715"/>
    <w:rsid w:val="00125894"/>
    <w:rsid w:val="00126544"/>
    <w:rsid w:val="001276C3"/>
    <w:rsid w:val="0013001C"/>
    <w:rsid w:val="00131640"/>
    <w:rsid w:val="00131E49"/>
    <w:rsid w:val="00136B65"/>
    <w:rsid w:val="0013765B"/>
    <w:rsid w:val="00137CDC"/>
    <w:rsid w:val="00150A63"/>
    <w:rsid w:val="00157084"/>
    <w:rsid w:val="00160CBD"/>
    <w:rsid w:val="00160EFA"/>
    <w:rsid w:val="0016125C"/>
    <w:rsid w:val="001619F3"/>
    <w:rsid w:val="001620B1"/>
    <w:rsid w:val="0016269E"/>
    <w:rsid w:val="00162BC0"/>
    <w:rsid w:val="001646AC"/>
    <w:rsid w:val="00164864"/>
    <w:rsid w:val="00167A0B"/>
    <w:rsid w:val="0017016D"/>
    <w:rsid w:val="00170642"/>
    <w:rsid w:val="00172528"/>
    <w:rsid w:val="001762AB"/>
    <w:rsid w:val="00176C44"/>
    <w:rsid w:val="001771AC"/>
    <w:rsid w:val="001772CE"/>
    <w:rsid w:val="001818B3"/>
    <w:rsid w:val="001835E2"/>
    <w:rsid w:val="00183DF9"/>
    <w:rsid w:val="001854FD"/>
    <w:rsid w:val="00187BB4"/>
    <w:rsid w:val="00191945"/>
    <w:rsid w:val="00191B08"/>
    <w:rsid w:val="0019266D"/>
    <w:rsid w:val="00195C96"/>
    <w:rsid w:val="00196333"/>
    <w:rsid w:val="00196CD6"/>
    <w:rsid w:val="001A077D"/>
    <w:rsid w:val="001A6704"/>
    <w:rsid w:val="001A7582"/>
    <w:rsid w:val="001A7C79"/>
    <w:rsid w:val="001B1790"/>
    <w:rsid w:val="001B281C"/>
    <w:rsid w:val="001B2C36"/>
    <w:rsid w:val="001B79F2"/>
    <w:rsid w:val="001C47BA"/>
    <w:rsid w:val="001C59A0"/>
    <w:rsid w:val="001C60F9"/>
    <w:rsid w:val="001D0671"/>
    <w:rsid w:val="001D1804"/>
    <w:rsid w:val="001D26D1"/>
    <w:rsid w:val="001D4156"/>
    <w:rsid w:val="001D7D04"/>
    <w:rsid w:val="001E0763"/>
    <w:rsid w:val="001E0ECB"/>
    <w:rsid w:val="001E4A70"/>
    <w:rsid w:val="001E7DFD"/>
    <w:rsid w:val="001F223A"/>
    <w:rsid w:val="001F4925"/>
    <w:rsid w:val="001F5076"/>
    <w:rsid w:val="001F5ECE"/>
    <w:rsid w:val="002013A3"/>
    <w:rsid w:val="00211F31"/>
    <w:rsid w:val="002128E0"/>
    <w:rsid w:val="00215D13"/>
    <w:rsid w:val="00221800"/>
    <w:rsid w:val="00222A9B"/>
    <w:rsid w:val="00223C0C"/>
    <w:rsid w:val="0023233D"/>
    <w:rsid w:val="00233F30"/>
    <w:rsid w:val="002342AD"/>
    <w:rsid w:val="00237B73"/>
    <w:rsid w:val="002403CA"/>
    <w:rsid w:val="00240CEE"/>
    <w:rsid w:val="00244791"/>
    <w:rsid w:val="00244F08"/>
    <w:rsid w:val="00245B84"/>
    <w:rsid w:val="002533B8"/>
    <w:rsid w:val="00256592"/>
    <w:rsid w:val="00256E30"/>
    <w:rsid w:val="00260511"/>
    <w:rsid w:val="00260CE6"/>
    <w:rsid w:val="002617B9"/>
    <w:rsid w:val="002622F3"/>
    <w:rsid w:val="002716C7"/>
    <w:rsid w:val="00272849"/>
    <w:rsid w:val="00272F53"/>
    <w:rsid w:val="00273BEF"/>
    <w:rsid w:val="002752F5"/>
    <w:rsid w:val="00276602"/>
    <w:rsid w:val="00276734"/>
    <w:rsid w:val="00277FCC"/>
    <w:rsid w:val="00280C5E"/>
    <w:rsid w:val="00282C2A"/>
    <w:rsid w:val="00283BF9"/>
    <w:rsid w:val="0028607B"/>
    <w:rsid w:val="00286D78"/>
    <w:rsid w:val="002912D3"/>
    <w:rsid w:val="002973FD"/>
    <w:rsid w:val="002A1AA8"/>
    <w:rsid w:val="002A2018"/>
    <w:rsid w:val="002A6F5D"/>
    <w:rsid w:val="002B0728"/>
    <w:rsid w:val="002B18B7"/>
    <w:rsid w:val="002B5DC9"/>
    <w:rsid w:val="002B69BD"/>
    <w:rsid w:val="002B71A2"/>
    <w:rsid w:val="002B7D6B"/>
    <w:rsid w:val="002C0B2F"/>
    <w:rsid w:val="002C0FC6"/>
    <w:rsid w:val="002C2B36"/>
    <w:rsid w:val="002C3A7A"/>
    <w:rsid w:val="002C4A28"/>
    <w:rsid w:val="002C6DFC"/>
    <w:rsid w:val="002C714C"/>
    <w:rsid w:val="002C765F"/>
    <w:rsid w:val="002C7BCA"/>
    <w:rsid w:val="002D0020"/>
    <w:rsid w:val="002D025C"/>
    <w:rsid w:val="002D2257"/>
    <w:rsid w:val="002D23F8"/>
    <w:rsid w:val="002D2E30"/>
    <w:rsid w:val="002D4130"/>
    <w:rsid w:val="002D6818"/>
    <w:rsid w:val="002E1FB8"/>
    <w:rsid w:val="002E31EE"/>
    <w:rsid w:val="002E3D8E"/>
    <w:rsid w:val="002E619E"/>
    <w:rsid w:val="002E7886"/>
    <w:rsid w:val="002E7DD9"/>
    <w:rsid w:val="002E7E17"/>
    <w:rsid w:val="002F0610"/>
    <w:rsid w:val="002F2A89"/>
    <w:rsid w:val="002F3CAD"/>
    <w:rsid w:val="002F51E0"/>
    <w:rsid w:val="002F6273"/>
    <w:rsid w:val="002F6AB8"/>
    <w:rsid w:val="002F765C"/>
    <w:rsid w:val="00300485"/>
    <w:rsid w:val="00301A5B"/>
    <w:rsid w:val="00302656"/>
    <w:rsid w:val="0030542D"/>
    <w:rsid w:val="00307C99"/>
    <w:rsid w:val="00310A43"/>
    <w:rsid w:val="00312FC6"/>
    <w:rsid w:val="003136AC"/>
    <w:rsid w:val="0032348C"/>
    <w:rsid w:val="00325990"/>
    <w:rsid w:val="00333109"/>
    <w:rsid w:val="00333167"/>
    <w:rsid w:val="00336B75"/>
    <w:rsid w:val="00337A2A"/>
    <w:rsid w:val="00343055"/>
    <w:rsid w:val="003432E9"/>
    <w:rsid w:val="003444E7"/>
    <w:rsid w:val="0034564B"/>
    <w:rsid w:val="00347B59"/>
    <w:rsid w:val="003504B4"/>
    <w:rsid w:val="003520DC"/>
    <w:rsid w:val="00352A1F"/>
    <w:rsid w:val="003536FE"/>
    <w:rsid w:val="0035414F"/>
    <w:rsid w:val="003544D9"/>
    <w:rsid w:val="00355A9B"/>
    <w:rsid w:val="00356034"/>
    <w:rsid w:val="00357E75"/>
    <w:rsid w:val="003613E1"/>
    <w:rsid w:val="00361C2F"/>
    <w:rsid w:val="00361EF6"/>
    <w:rsid w:val="0036442D"/>
    <w:rsid w:val="0036588A"/>
    <w:rsid w:val="00365B4F"/>
    <w:rsid w:val="003664C1"/>
    <w:rsid w:val="003721F7"/>
    <w:rsid w:val="003739C3"/>
    <w:rsid w:val="003836AA"/>
    <w:rsid w:val="00383F87"/>
    <w:rsid w:val="003845DC"/>
    <w:rsid w:val="00385190"/>
    <w:rsid w:val="00391BE4"/>
    <w:rsid w:val="00392270"/>
    <w:rsid w:val="003922A5"/>
    <w:rsid w:val="00392A99"/>
    <w:rsid w:val="0039349B"/>
    <w:rsid w:val="003940C5"/>
    <w:rsid w:val="003958D4"/>
    <w:rsid w:val="00395AFB"/>
    <w:rsid w:val="003A3193"/>
    <w:rsid w:val="003A7968"/>
    <w:rsid w:val="003B1A38"/>
    <w:rsid w:val="003B3D21"/>
    <w:rsid w:val="003B4CF5"/>
    <w:rsid w:val="003B661B"/>
    <w:rsid w:val="003B7A18"/>
    <w:rsid w:val="003C0A78"/>
    <w:rsid w:val="003C311A"/>
    <w:rsid w:val="003C3EE9"/>
    <w:rsid w:val="003C5241"/>
    <w:rsid w:val="003C5FE9"/>
    <w:rsid w:val="003C6388"/>
    <w:rsid w:val="003C6A71"/>
    <w:rsid w:val="003C6E0A"/>
    <w:rsid w:val="003D0173"/>
    <w:rsid w:val="003D0466"/>
    <w:rsid w:val="003D070A"/>
    <w:rsid w:val="003D0992"/>
    <w:rsid w:val="003D0BED"/>
    <w:rsid w:val="003D3C37"/>
    <w:rsid w:val="003D654D"/>
    <w:rsid w:val="003D6A21"/>
    <w:rsid w:val="003E2BA6"/>
    <w:rsid w:val="003E3D98"/>
    <w:rsid w:val="003E423A"/>
    <w:rsid w:val="003E4F74"/>
    <w:rsid w:val="003E54D3"/>
    <w:rsid w:val="003F09F2"/>
    <w:rsid w:val="003F3987"/>
    <w:rsid w:val="003F40FB"/>
    <w:rsid w:val="004016AF"/>
    <w:rsid w:val="00403A1F"/>
    <w:rsid w:val="00404126"/>
    <w:rsid w:val="00405045"/>
    <w:rsid w:val="00407A9A"/>
    <w:rsid w:val="00407AB9"/>
    <w:rsid w:val="00411F7A"/>
    <w:rsid w:val="00411FA7"/>
    <w:rsid w:val="004122BD"/>
    <w:rsid w:val="00412E50"/>
    <w:rsid w:val="00416000"/>
    <w:rsid w:val="0041652F"/>
    <w:rsid w:val="00417121"/>
    <w:rsid w:val="00417902"/>
    <w:rsid w:val="00421186"/>
    <w:rsid w:val="00421EAA"/>
    <w:rsid w:val="00422CE1"/>
    <w:rsid w:val="0042409A"/>
    <w:rsid w:val="0042417E"/>
    <w:rsid w:val="00424399"/>
    <w:rsid w:val="004255E3"/>
    <w:rsid w:val="004272B1"/>
    <w:rsid w:val="00427364"/>
    <w:rsid w:val="0043288F"/>
    <w:rsid w:val="00433C37"/>
    <w:rsid w:val="00435116"/>
    <w:rsid w:val="00437370"/>
    <w:rsid w:val="004420F6"/>
    <w:rsid w:val="0044403B"/>
    <w:rsid w:val="004445CD"/>
    <w:rsid w:val="00447253"/>
    <w:rsid w:val="00450344"/>
    <w:rsid w:val="004540D5"/>
    <w:rsid w:val="00454C04"/>
    <w:rsid w:val="00456D00"/>
    <w:rsid w:val="00457BF2"/>
    <w:rsid w:val="00457E44"/>
    <w:rsid w:val="004618F3"/>
    <w:rsid w:val="0046254A"/>
    <w:rsid w:val="004626EE"/>
    <w:rsid w:val="00463B07"/>
    <w:rsid w:val="00465C04"/>
    <w:rsid w:val="00470929"/>
    <w:rsid w:val="00471FD5"/>
    <w:rsid w:val="00472056"/>
    <w:rsid w:val="0047259C"/>
    <w:rsid w:val="0047407B"/>
    <w:rsid w:val="00477854"/>
    <w:rsid w:val="00477CE1"/>
    <w:rsid w:val="004812FE"/>
    <w:rsid w:val="00481639"/>
    <w:rsid w:val="00483A2E"/>
    <w:rsid w:val="00493015"/>
    <w:rsid w:val="00493811"/>
    <w:rsid w:val="00493ABF"/>
    <w:rsid w:val="00495D68"/>
    <w:rsid w:val="0049616F"/>
    <w:rsid w:val="004A052C"/>
    <w:rsid w:val="004A1A98"/>
    <w:rsid w:val="004A3263"/>
    <w:rsid w:val="004A6554"/>
    <w:rsid w:val="004B4D8B"/>
    <w:rsid w:val="004B57C6"/>
    <w:rsid w:val="004B5A11"/>
    <w:rsid w:val="004B5EC5"/>
    <w:rsid w:val="004B699C"/>
    <w:rsid w:val="004C1277"/>
    <w:rsid w:val="004C1388"/>
    <w:rsid w:val="004C3574"/>
    <w:rsid w:val="004C4673"/>
    <w:rsid w:val="004C5CD8"/>
    <w:rsid w:val="004C5F8F"/>
    <w:rsid w:val="004D1A8C"/>
    <w:rsid w:val="004D1CD7"/>
    <w:rsid w:val="004D7007"/>
    <w:rsid w:val="004D7AF1"/>
    <w:rsid w:val="004D7B2E"/>
    <w:rsid w:val="004E44BB"/>
    <w:rsid w:val="004E599A"/>
    <w:rsid w:val="004E7C44"/>
    <w:rsid w:val="004F6EBF"/>
    <w:rsid w:val="004F7D42"/>
    <w:rsid w:val="00502A65"/>
    <w:rsid w:val="005055F3"/>
    <w:rsid w:val="00507D40"/>
    <w:rsid w:val="00510760"/>
    <w:rsid w:val="00510E64"/>
    <w:rsid w:val="00512D71"/>
    <w:rsid w:val="0051719C"/>
    <w:rsid w:val="0052057B"/>
    <w:rsid w:val="005212B4"/>
    <w:rsid w:val="00523359"/>
    <w:rsid w:val="00525FDD"/>
    <w:rsid w:val="00526CF6"/>
    <w:rsid w:val="00527397"/>
    <w:rsid w:val="00527E0D"/>
    <w:rsid w:val="00530155"/>
    <w:rsid w:val="00530B5A"/>
    <w:rsid w:val="0053332D"/>
    <w:rsid w:val="00533FF1"/>
    <w:rsid w:val="00534517"/>
    <w:rsid w:val="0053456C"/>
    <w:rsid w:val="0053558A"/>
    <w:rsid w:val="005355FE"/>
    <w:rsid w:val="0053656A"/>
    <w:rsid w:val="005371CF"/>
    <w:rsid w:val="00543FDD"/>
    <w:rsid w:val="00546FC1"/>
    <w:rsid w:val="00550B94"/>
    <w:rsid w:val="00554976"/>
    <w:rsid w:val="0055782E"/>
    <w:rsid w:val="00560115"/>
    <w:rsid w:val="00560871"/>
    <w:rsid w:val="00562722"/>
    <w:rsid w:val="00563854"/>
    <w:rsid w:val="00565AAC"/>
    <w:rsid w:val="00565F44"/>
    <w:rsid w:val="00566265"/>
    <w:rsid w:val="005757C0"/>
    <w:rsid w:val="00575FBC"/>
    <w:rsid w:val="00577753"/>
    <w:rsid w:val="00582034"/>
    <w:rsid w:val="005832D3"/>
    <w:rsid w:val="00586F04"/>
    <w:rsid w:val="005903E6"/>
    <w:rsid w:val="0059120D"/>
    <w:rsid w:val="005947D7"/>
    <w:rsid w:val="005954E6"/>
    <w:rsid w:val="00595E38"/>
    <w:rsid w:val="00597CB7"/>
    <w:rsid w:val="005A1EFE"/>
    <w:rsid w:val="005A3998"/>
    <w:rsid w:val="005A5EFB"/>
    <w:rsid w:val="005A76A0"/>
    <w:rsid w:val="005B087C"/>
    <w:rsid w:val="005B1F61"/>
    <w:rsid w:val="005B2564"/>
    <w:rsid w:val="005B2902"/>
    <w:rsid w:val="005B3F71"/>
    <w:rsid w:val="005B5F1C"/>
    <w:rsid w:val="005B6533"/>
    <w:rsid w:val="005C4F0B"/>
    <w:rsid w:val="005C59BC"/>
    <w:rsid w:val="005C65AD"/>
    <w:rsid w:val="005C67DD"/>
    <w:rsid w:val="005C7F3B"/>
    <w:rsid w:val="005C7FB3"/>
    <w:rsid w:val="005D1312"/>
    <w:rsid w:val="005D4F83"/>
    <w:rsid w:val="005D7B27"/>
    <w:rsid w:val="005E2811"/>
    <w:rsid w:val="005E45D6"/>
    <w:rsid w:val="005E5B2F"/>
    <w:rsid w:val="005F0E74"/>
    <w:rsid w:val="005F17C7"/>
    <w:rsid w:val="005F2BDC"/>
    <w:rsid w:val="005F3907"/>
    <w:rsid w:val="005F53D2"/>
    <w:rsid w:val="005F601C"/>
    <w:rsid w:val="0060144C"/>
    <w:rsid w:val="00605BF9"/>
    <w:rsid w:val="006063FE"/>
    <w:rsid w:val="00606742"/>
    <w:rsid w:val="0061175D"/>
    <w:rsid w:val="0061332D"/>
    <w:rsid w:val="0061481C"/>
    <w:rsid w:val="00614C6F"/>
    <w:rsid w:val="006153F3"/>
    <w:rsid w:val="006202B4"/>
    <w:rsid w:val="006203CE"/>
    <w:rsid w:val="00620484"/>
    <w:rsid w:val="00620CF3"/>
    <w:rsid w:val="00624690"/>
    <w:rsid w:val="006247E9"/>
    <w:rsid w:val="00632766"/>
    <w:rsid w:val="006329D9"/>
    <w:rsid w:val="00632EE2"/>
    <w:rsid w:val="00636454"/>
    <w:rsid w:val="00642D79"/>
    <w:rsid w:val="0064423A"/>
    <w:rsid w:val="00645948"/>
    <w:rsid w:val="00645CB9"/>
    <w:rsid w:val="00646496"/>
    <w:rsid w:val="00650885"/>
    <w:rsid w:val="00653422"/>
    <w:rsid w:val="00655869"/>
    <w:rsid w:val="00657B82"/>
    <w:rsid w:val="00662996"/>
    <w:rsid w:val="00663C4C"/>
    <w:rsid w:val="006656D0"/>
    <w:rsid w:val="0067188F"/>
    <w:rsid w:val="00671D20"/>
    <w:rsid w:val="0067339E"/>
    <w:rsid w:val="00676ABA"/>
    <w:rsid w:val="00682BA4"/>
    <w:rsid w:val="00684930"/>
    <w:rsid w:val="00684CFE"/>
    <w:rsid w:val="0068587C"/>
    <w:rsid w:val="00685C2D"/>
    <w:rsid w:val="006920B5"/>
    <w:rsid w:val="006948B2"/>
    <w:rsid w:val="00694EA0"/>
    <w:rsid w:val="006957D5"/>
    <w:rsid w:val="00695DBE"/>
    <w:rsid w:val="00697745"/>
    <w:rsid w:val="006A006D"/>
    <w:rsid w:val="006A5282"/>
    <w:rsid w:val="006A54F6"/>
    <w:rsid w:val="006A67E1"/>
    <w:rsid w:val="006A776A"/>
    <w:rsid w:val="006B0BCE"/>
    <w:rsid w:val="006B0F38"/>
    <w:rsid w:val="006B1301"/>
    <w:rsid w:val="006B14B5"/>
    <w:rsid w:val="006B34E2"/>
    <w:rsid w:val="006B3DEF"/>
    <w:rsid w:val="006B4AFC"/>
    <w:rsid w:val="006C053E"/>
    <w:rsid w:val="006C36A3"/>
    <w:rsid w:val="006C3EA5"/>
    <w:rsid w:val="006D0B3A"/>
    <w:rsid w:val="006D151A"/>
    <w:rsid w:val="006D23C3"/>
    <w:rsid w:val="006D352D"/>
    <w:rsid w:val="006D42A1"/>
    <w:rsid w:val="006D49FE"/>
    <w:rsid w:val="006D6814"/>
    <w:rsid w:val="006D7382"/>
    <w:rsid w:val="006D7A65"/>
    <w:rsid w:val="006D7B75"/>
    <w:rsid w:val="006E298A"/>
    <w:rsid w:val="006E45B9"/>
    <w:rsid w:val="006E6825"/>
    <w:rsid w:val="006F11B7"/>
    <w:rsid w:val="006F1EAF"/>
    <w:rsid w:val="006F2FA4"/>
    <w:rsid w:val="006F338D"/>
    <w:rsid w:val="006F4204"/>
    <w:rsid w:val="00701747"/>
    <w:rsid w:val="00706589"/>
    <w:rsid w:val="007119F9"/>
    <w:rsid w:val="00715849"/>
    <w:rsid w:val="00717DBD"/>
    <w:rsid w:val="007217A2"/>
    <w:rsid w:val="0072455D"/>
    <w:rsid w:val="00725DCD"/>
    <w:rsid w:val="00730323"/>
    <w:rsid w:val="0073184F"/>
    <w:rsid w:val="007333DD"/>
    <w:rsid w:val="00736522"/>
    <w:rsid w:val="00740617"/>
    <w:rsid w:val="00743A86"/>
    <w:rsid w:val="007459D2"/>
    <w:rsid w:val="00745B6E"/>
    <w:rsid w:val="00746741"/>
    <w:rsid w:val="00747023"/>
    <w:rsid w:val="00747D37"/>
    <w:rsid w:val="00751ADC"/>
    <w:rsid w:val="0075253D"/>
    <w:rsid w:val="00752698"/>
    <w:rsid w:val="00757299"/>
    <w:rsid w:val="007576B9"/>
    <w:rsid w:val="00757ED8"/>
    <w:rsid w:val="0076369C"/>
    <w:rsid w:val="007650CE"/>
    <w:rsid w:val="00765A37"/>
    <w:rsid w:val="00766916"/>
    <w:rsid w:val="00775FF7"/>
    <w:rsid w:val="00777812"/>
    <w:rsid w:val="0078051A"/>
    <w:rsid w:val="0078135E"/>
    <w:rsid w:val="00785B4C"/>
    <w:rsid w:val="007874ED"/>
    <w:rsid w:val="00791487"/>
    <w:rsid w:val="0079333D"/>
    <w:rsid w:val="0079338D"/>
    <w:rsid w:val="0079503A"/>
    <w:rsid w:val="00795FC8"/>
    <w:rsid w:val="007A2949"/>
    <w:rsid w:val="007A2C5D"/>
    <w:rsid w:val="007A2E16"/>
    <w:rsid w:val="007A56E2"/>
    <w:rsid w:val="007B0BB8"/>
    <w:rsid w:val="007B23EC"/>
    <w:rsid w:val="007B26F7"/>
    <w:rsid w:val="007B2BF1"/>
    <w:rsid w:val="007B409B"/>
    <w:rsid w:val="007B410D"/>
    <w:rsid w:val="007B53BE"/>
    <w:rsid w:val="007C2B16"/>
    <w:rsid w:val="007C3CC9"/>
    <w:rsid w:val="007C7A7F"/>
    <w:rsid w:val="007D0647"/>
    <w:rsid w:val="007D0FEE"/>
    <w:rsid w:val="007D1D94"/>
    <w:rsid w:val="007D1F70"/>
    <w:rsid w:val="007D4D3D"/>
    <w:rsid w:val="007D52A7"/>
    <w:rsid w:val="007D6519"/>
    <w:rsid w:val="007D713C"/>
    <w:rsid w:val="007E1059"/>
    <w:rsid w:val="007E2CEC"/>
    <w:rsid w:val="007E5041"/>
    <w:rsid w:val="007E59E9"/>
    <w:rsid w:val="007F26DC"/>
    <w:rsid w:val="007F2B48"/>
    <w:rsid w:val="007F300E"/>
    <w:rsid w:val="007F79EE"/>
    <w:rsid w:val="00800BCD"/>
    <w:rsid w:val="00802FCB"/>
    <w:rsid w:val="00804D09"/>
    <w:rsid w:val="0080658C"/>
    <w:rsid w:val="00812D1D"/>
    <w:rsid w:val="0081455B"/>
    <w:rsid w:val="00815C68"/>
    <w:rsid w:val="00820D1C"/>
    <w:rsid w:val="00821C9E"/>
    <w:rsid w:val="00823BED"/>
    <w:rsid w:val="008246A1"/>
    <w:rsid w:val="00825E72"/>
    <w:rsid w:val="0082679D"/>
    <w:rsid w:val="0082797E"/>
    <w:rsid w:val="00831495"/>
    <w:rsid w:val="00832F60"/>
    <w:rsid w:val="008333B1"/>
    <w:rsid w:val="00833B5A"/>
    <w:rsid w:val="0083466E"/>
    <w:rsid w:val="008348C1"/>
    <w:rsid w:val="008366D5"/>
    <w:rsid w:val="008379ED"/>
    <w:rsid w:val="00840F48"/>
    <w:rsid w:val="00841010"/>
    <w:rsid w:val="00845CF2"/>
    <w:rsid w:val="008468A2"/>
    <w:rsid w:val="00851C66"/>
    <w:rsid w:val="00851FB1"/>
    <w:rsid w:val="00852E99"/>
    <w:rsid w:val="00853ADD"/>
    <w:rsid w:val="00855DF9"/>
    <w:rsid w:val="00856FF3"/>
    <w:rsid w:val="008638F1"/>
    <w:rsid w:val="00863A94"/>
    <w:rsid w:val="00864D2C"/>
    <w:rsid w:val="00870639"/>
    <w:rsid w:val="00871883"/>
    <w:rsid w:val="00875C6C"/>
    <w:rsid w:val="0088045F"/>
    <w:rsid w:val="0088053E"/>
    <w:rsid w:val="008862CE"/>
    <w:rsid w:val="00886DB0"/>
    <w:rsid w:val="0088793E"/>
    <w:rsid w:val="008925D9"/>
    <w:rsid w:val="00892B63"/>
    <w:rsid w:val="00892CEE"/>
    <w:rsid w:val="00896580"/>
    <w:rsid w:val="008A0EC4"/>
    <w:rsid w:val="008A0FC7"/>
    <w:rsid w:val="008A2716"/>
    <w:rsid w:val="008A4403"/>
    <w:rsid w:val="008A5D4D"/>
    <w:rsid w:val="008A7843"/>
    <w:rsid w:val="008B09D8"/>
    <w:rsid w:val="008B26DE"/>
    <w:rsid w:val="008B3D1D"/>
    <w:rsid w:val="008B4612"/>
    <w:rsid w:val="008B666D"/>
    <w:rsid w:val="008B7090"/>
    <w:rsid w:val="008C083C"/>
    <w:rsid w:val="008C0ABD"/>
    <w:rsid w:val="008C3971"/>
    <w:rsid w:val="008C3C28"/>
    <w:rsid w:val="008C3C2E"/>
    <w:rsid w:val="008C4B50"/>
    <w:rsid w:val="008C6988"/>
    <w:rsid w:val="008D0B51"/>
    <w:rsid w:val="008D2624"/>
    <w:rsid w:val="008D672B"/>
    <w:rsid w:val="008D6EE2"/>
    <w:rsid w:val="008D7728"/>
    <w:rsid w:val="008E4474"/>
    <w:rsid w:val="008E6039"/>
    <w:rsid w:val="008E69BF"/>
    <w:rsid w:val="008F0752"/>
    <w:rsid w:val="008F0C6B"/>
    <w:rsid w:val="008F153C"/>
    <w:rsid w:val="008F52D1"/>
    <w:rsid w:val="008F53BD"/>
    <w:rsid w:val="008F715D"/>
    <w:rsid w:val="00900D1B"/>
    <w:rsid w:val="00901859"/>
    <w:rsid w:val="00904C72"/>
    <w:rsid w:val="009110E3"/>
    <w:rsid w:val="00911F90"/>
    <w:rsid w:val="00912EDC"/>
    <w:rsid w:val="009159CD"/>
    <w:rsid w:val="00915B49"/>
    <w:rsid w:val="00917F60"/>
    <w:rsid w:val="0092115A"/>
    <w:rsid w:val="00925C0A"/>
    <w:rsid w:val="00926B82"/>
    <w:rsid w:val="00927592"/>
    <w:rsid w:val="00927D49"/>
    <w:rsid w:val="00930D7F"/>
    <w:rsid w:val="0093181D"/>
    <w:rsid w:val="009319BD"/>
    <w:rsid w:val="00932C24"/>
    <w:rsid w:val="00934BEB"/>
    <w:rsid w:val="00935061"/>
    <w:rsid w:val="0094355F"/>
    <w:rsid w:val="00946836"/>
    <w:rsid w:val="00950EF3"/>
    <w:rsid w:val="00951D54"/>
    <w:rsid w:val="009550F5"/>
    <w:rsid w:val="009557AB"/>
    <w:rsid w:val="0095691A"/>
    <w:rsid w:val="00956E4F"/>
    <w:rsid w:val="00956FBC"/>
    <w:rsid w:val="0096096E"/>
    <w:rsid w:val="00962945"/>
    <w:rsid w:val="00963D2C"/>
    <w:rsid w:val="00965652"/>
    <w:rsid w:val="00967261"/>
    <w:rsid w:val="009673D9"/>
    <w:rsid w:val="00967AEC"/>
    <w:rsid w:val="009704B9"/>
    <w:rsid w:val="00970BAD"/>
    <w:rsid w:val="00971573"/>
    <w:rsid w:val="009723CA"/>
    <w:rsid w:val="00974517"/>
    <w:rsid w:val="0097461B"/>
    <w:rsid w:val="00975031"/>
    <w:rsid w:val="0097607F"/>
    <w:rsid w:val="0097630B"/>
    <w:rsid w:val="00977A94"/>
    <w:rsid w:val="00983075"/>
    <w:rsid w:val="00983FB0"/>
    <w:rsid w:val="00984671"/>
    <w:rsid w:val="00990BD7"/>
    <w:rsid w:val="00991C82"/>
    <w:rsid w:val="00993379"/>
    <w:rsid w:val="0099444C"/>
    <w:rsid w:val="00995A0D"/>
    <w:rsid w:val="00995C3C"/>
    <w:rsid w:val="0099637A"/>
    <w:rsid w:val="00996516"/>
    <w:rsid w:val="00996DC1"/>
    <w:rsid w:val="009975B5"/>
    <w:rsid w:val="009A03E0"/>
    <w:rsid w:val="009A1B03"/>
    <w:rsid w:val="009A3A50"/>
    <w:rsid w:val="009A3ECC"/>
    <w:rsid w:val="009A6ADE"/>
    <w:rsid w:val="009A713E"/>
    <w:rsid w:val="009A77C9"/>
    <w:rsid w:val="009B2450"/>
    <w:rsid w:val="009B34C0"/>
    <w:rsid w:val="009B3AE9"/>
    <w:rsid w:val="009B4A7E"/>
    <w:rsid w:val="009B7829"/>
    <w:rsid w:val="009C15DF"/>
    <w:rsid w:val="009C1E2D"/>
    <w:rsid w:val="009C2D4B"/>
    <w:rsid w:val="009C4758"/>
    <w:rsid w:val="009C596D"/>
    <w:rsid w:val="009C5B16"/>
    <w:rsid w:val="009C5C97"/>
    <w:rsid w:val="009C61EE"/>
    <w:rsid w:val="009C6A80"/>
    <w:rsid w:val="009C6A97"/>
    <w:rsid w:val="009D1F59"/>
    <w:rsid w:val="009D1FEF"/>
    <w:rsid w:val="009D5AD5"/>
    <w:rsid w:val="009D6556"/>
    <w:rsid w:val="009D6FB8"/>
    <w:rsid w:val="009E0E9F"/>
    <w:rsid w:val="009E1A88"/>
    <w:rsid w:val="009E1E3A"/>
    <w:rsid w:val="009E6CD6"/>
    <w:rsid w:val="009F2D97"/>
    <w:rsid w:val="009F4424"/>
    <w:rsid w:val="009F53FA"/>
    <w:rsid w:val="00A05319"/>
    <w:rsid w:val="00A06B01"/>
    <w:rsid w:val="00A0714D"/>
    <w:rsid w:val="00A112E1"/>
    <w:rsid w:val="00A1545A"/>
    <w:rsid w:val="00A16919"/>
    <w:rsid w:val="00A1693E"/>
    <w:rsid w:val="00A1753C"/>
    <w:rsid w:val="00A20817"/>
    <w:rsid w:val="00A266C4"/>
    <w:rsid w:val="00A26BC4"/>
    <w:rsid w:val="00A30336"/>
    <w:rsid w:val="00A31B89"/>
    <w:rsid w:val="00A332D3"/>
    <w:rsid w:val="00A35412"/>
    <w:rsid w:val="00A40671"/>
    <w:rsid w:val="00A43268"/>
    <w:rsid w:val="00A44398"/>
    <w:rsid w:val="00A46C9A"/>
    <w:rsid w:val="00A47083"/>
    <w:rsid w:val="00A471AD"/>
    <w:rsid w:val="00A47534"/>
    <w:rsid w:val="00A50B42"/>
    <w:rsid w:val="00A5532D"/>
    <w:rsid w:val="00A570FB"/>
    <w:rsid w:val="00A620F4"/>
    <w:rsid w:val="00A62F4A"/>
    <w:rsid w:val="00A6420A"/>
    <w:rsid w:val="00A64F7F"/>
    <w:rsid w:val="00A654B6"/>
    <w:rsid w:val="00A65619"/>
    <w:rsid w:val="00A67701"/>
    <w:rsid w:val="00A710A4"/>
    <w:rsid w:val="00A7247F"/>
    <w:rsid w:val="00A7271F"/>
    <w:rsid w:val="00A72774"/>
    <w:rsid w:val="00A72977"/>
    <w:rsid w:val="00A7421D"/>
    <w:rsid w:val="00A753B3"/>
    <w:rsid w:val="00A75496"/>
    <w:rsid w:val="00A75666"/>
    <w:rsid w:val="00A75C53"/>
    <w:rsid w:val="00A75F68"/>
    <w:rsid w:val="00A80576"/>
    <w:rsid w:val="00A85CB2"/>
    <w:rsid w:val="00A86140"/>
    <w:rsid w:val="00A86DBC"/>
    <w:rsid w:val="00A877D6"/>
    <w:rsid w:val="00A87E95"/>
    <w:rsid w:val="00A91157"/>
    <w:rsid w:val="00A92FEE"/>
    <w:rsid w:val="00A95F37"/>
    <w:rsid w:val="00A9681E"/>
    <w:rsid w:val="00AA28A5"/>
    <w:rsid w:val="00AA503F"/>
    <w:rsid w:val="00AA5416"/>
    <w:rsid w:val="00AA5CFB"/>
    <w:rsid w:val="00AA6A5E"/>
    <w:rsid w:val="00AA6CFA"/>
    <w:rsid w:val="00AA7C52"/>
    <w:rsid w:val="00AB2847"/>
    <w:rsid w:val="00AB35EB"/>
    <w:rsid w:val="00AB45D0"/>
    <w:rsid w:val="00AB4DDF"/>
    <w:rsid w:val="00AB57D8"/>
    <w:rsid w:val="00AB7CFC"/>
    <w:rsid w:val="00AC13B2"/>
    <w:rsid w:val="00AC38E5"/>
    <w:rsid w:val="00AC3DBC"/>
    <w:rsid w:val="00AC7AE1"/>
    <w:rsid w:val="00AD0005"/>
    <w:rsid w:val="00AD51AA"/>
    <w:rsid w:val="00AE2503"/>
    <w:rsid w:val="00AE4BF4"/>
    <w:rsid w:val="00AE69A3"/>
    <w:rsid w:val="00AE7288"/>
    <w:rsid w:val="00AE7DEB"/>
    <w:rsid w:val="00AF08E9"/>
    <w:rsid w:val="00AF17D1"/>
    <w:rsid w:val="00AF66CE"/>
    <w:rsid w:val="00AF6F2C"/>
    <w:rsid w:val="00B01455"/>
    <w:rsid w:val="00B018E7"/>
    <w:rsid w:val="00B01F75"/>
    <w:rsid w:val="00B041E2"/>
    <w:rsid w:val="00B07845"/>
    <w:rsid w:val="00B11E68"/>
    <w:rsid w:val="00B1283F"/>
    <w:rsid w:val="00B133E8"/>
    <w:rsid w:val="00B155E3"/>
    <w:rsid w:val="00B156EE"/>
    <w:rsid w:val="00B17BCC"/>
    <w:rsid w:val="00B203D6"/>
    <w:rsid w:val="00B2168B"/>
    <w:rsid w:val="00B23210"/>
    <w:rsid w:val="00B27C14"/>
    <w:rsid w:val="00B31012"/>
    <w:rsid w:val="00B3539A"/>
    <w:rsid w:val="00B363B7"/>
    <w:rsid w:val="00B42463"/>
    <w:rsid w:val="00B46330"/>
    <w:rsid w:val="00B4638A"/>
    <w:rsid w:val="00B46868"/>
    <w:rsid w:val="00B50A4B"/>
    <w:rsid w:val="00B52D46"/>
    <w:rsid w:val="00B52FF3"/>
    <w:rsid w:val="00B55D13"/>
    <w:rsid w:val="00B55D1A"/>
    <w:rsid w:val="00B56D5F"/>
    <w:rsid w:val="00B579BA"/>
    <w:rsid w:val="00B57D32"/>
    <w:rsid w:val="00B608DB"/>
    <w:rsid w:val="00B66BCA"/>
    <w:rsid w:val="00B705EE"/>
    <w:rsid w:val="00B70E12"/>
    <w:rsid w:val="00B71413"/>
    <w:rsid w:val="00B7176D"/>
    <w:rsid w:val="00B72A25"/>
    <w:rsid w:val="00B76253"/>
    <w:rsid w:val="00B775AE"/>
    <w:rsid w:val="00B81517"/>
    <w:rsid w:val="00B833BE"/>
    <w:rsid w:val="00B84364"/>
    <w:rsid w:val="00B86759"/>
    <w:rsid w:val="00B87F98"/>
    <w:rsid w:val="00B91DE3"/>
    <w:rsid w:val="00B922C8"/>
    <w:rsid w:val="00B9270E"/>
    <w:rsid w:val="00B92B2D"/>
    <w:rsid w:val="00B9472C"/>
    <w:rsid w:val="00B9480F"/>
    <w:rsid w:val="00B95716"/>
    <w:rsid w:val="00B96908"/>
    <w:rsid w:val="00BA1CDB"/>
    <w:rsid w:val="00BA6E3A"/>
    <w:rsid w:val="00BA757D"/>
    <w:rsid w:val="00BB0A97"/>
    <w:rsid w:val="00BB131B"/>
    <w:rsid w:val="00BB3E16"/>
    <w:rsid w:val="00BB40CD"/>
    <w:rsid w:val="00BB5CAD"/>
    <w:rsid w:val="00BB71D2"/>
    <w:rsid w:val="00BC029B"/>
    <w:rsid w:val="00BC078B"/>
    <w:rsid w:val="00BC1632"/>
    <w:rsid w:val="00BC6C44"/>
    <w:rsid w:val="00BD0905"/>
    <w:rsid w:val="00BD3AA9"/>
    <w:rsid w:val="00BD4809"/>
    <w:rsid w:val="00BD4CDF"/>
    <w:rsid w:val="00BD6D2E"/>
    <w:rsid w:val="00BD712C"/>
    <w:rsid w:val="00BD76D6"/>
    <w:rsid w:val="00BE0B80"/>
    <w:rsid w:val="00BE20EE"/>
    <w:rsid w:val="00BE5A28"/>
    <w:rsid w:val="00BF16DF"/>
    <w:rsid w:val="00BF1E3B"/>
    <w:rsid w:val="00BF26E0"/>
    <w:rsid w:val="00BF341C"/>
    <w:rsid w:val="00C01D7D"/>
    <w:rsid w:val="00C02239"/>
    <w:rsid w:val="00C06014"/>
    <w:rsid w:val="00C06694"/>
    <w:rsid w:val="00C06ED8"/>
    <w:rsid w:val="00C0749F"/>
    <w:rsid w:val="00C07BCF"/>
    <w:rsid w:val="00C1139A"/>
    <w:rsid w:val="00C116D5"/>
    <w:rsid w:val="00C14B92"/>
    <w:rsid w:val="00C15123"/>
    <w:rsid w:val="00C15F5D"/>
    <w:rsid w:val="00C16156"/>
    <w:rsid w:val="00C163AF"/>
    <w:rsid w:val="00C17803"/>
    <w:rsid w:val="00C2111D"/>
    <w:rsid w:val="00C244C2"/>
    <w:rsid w:val="00C253C4"/>
    <w:rsid w:val="00C2550D"/>
    <w:rsid w:val="00C2718E"/>
    <w:rsid w:val="00C27848"/>
    <w:rsid w:val="00C30194"/>
    <w:rsid w:val="00C30EDF"/>
    <w:rsid w:val="00C3149D"/>
    <w:rsid w:val="00C320B5"/>
    <w:rsid w:val="00C32525"/>
    <w:rsid w:val="00C32F72"/>
    <w:rsid w:val="00C42404"/>
    <w:rsid w:val="00C51D2D"/>
    <w:rsid w:val="00C530D9"/>
    <w:rsid w:val="00C5339A"/>
    <w:rsid w:val="00C539FD"/>
    <w:rsid w:val="00C54E03"/>
    <w:rsid w:val="00C60CD0"/>
    <w:rsid w:val="00C637B6"/>
    <w:rsid w:val="00C63A0D"/>
    <w:rsid w:val="00C63D5A"/>
    <w:rsid w:val="00C63DC3"/>
    <w:rsid w:val="00C6460A"/>
    <w:rsid w:val="00C66831"/>
    <w:rsid w:val="00C67B52"/>
    <w:rsid w:val="00C7018A"/>
    <w:rsid w:val="00C72AA2"/>
    <w:rsid w:val="00C740F5"/>
    <w:rsid w:val="00C75524"/>
    <w:rsid w:val="00C803D1"/>
    <w:rsid w:val="00C825D8"/>
    <w:rsid w:val="00C82785"/>
    <w:rsid w:val="00C85115"/>
    <w:rsid w:val="00C8763F"/>
    <w:rsid w:val="00C91488"/>
    <w:rsid w:val="00C97C2C"/>
    <w:rsid w:val="00CA13CE"/>
    <w:rsid w:val="00CA13E8"/>
    <w:rsid w:val="00CA1B1B"/>
    <w:rsid w:val="00CA22A0"/>
    <w:rsid w:val="00CA3147"/>
    <w:rsid w:val="00CA4B57"/>
    <w:rsid w:val="00CA5579"/>
    <w:rsid w:val="00CA7047"/>
    <w:rsid w:val="00CA7860"/>
    <w:rsid w:val="00CB12CC"/>
    <w:rsid w:val="00CB2067"/>
    <w:rsid w:val="00CB4603"/>
    <w:rsid w:val="00CB673B"/>
    <w:rsid w:val="00CC07B1"/>
    <w:rsid w:val="00CC4394"/>
    <w:rsid w:val="00CC753E"/>
    <w:rsid w:val="00CD29EE"/>
    <w:rsid w:val="00CD42FC"/>
    <w:rsid w:val="00CD5E2C"/>
    <w:rsid w:val="00CD7442"/>
    <w:rsid w:val="00CE0A81"/>
    <w:rsid w:val="00CE1035"/>
    <w:rsid w:val="00CE6CB3"/>
    <w:rsid w:val="00CE6E14"/>
    <w:rsid w:val="00CE76DA"/>
    <w:rsid w:val="00CE7B93"/>
    <w:rsid w:val="00CE7DEF"/>
    <w:rsid w:val="00CE7FDA"/>
    <w:rsid w:val="00CF16C4"/>
    <w:rsid w:val="00CF1DCD"/>
    <w:rsid w:val="00CF1F0D"/>
    <w:rsid w:val="00CF2B3E"/>
    <w:rsid w:val="00D02354"/>
    <w:rsid w:val="00D05482"/>
    <w:rsid w:val="00D06A66"/>
    <w:rsid w:val="00D115A3"/>
    <w:rsid w:val="00D11E50"/>
    <w:rsid w:val="00D122B8"/>
    <w:rsid w:val="00D17015"/>
    <w:rsid w:val="00D23426"/>
    <w:rsid w:val="00D24B2D"/>
    <w:rsid w:val="00D26229"/>
    <w:rsid w:val="00D265C7"/>
    <w:rsid w:val="00D26F47"/>
    <w:rsid w:val="00D26F5A"/>
    <w:rsid w:val="00D360A2"/>
    <w:rsid w:val="00D410BF"/>
    <w:rsid w:val="00D423F1"/>
    <w:rsid w:val="00D42EEB"/>
    <w:rsid w:val="00D43891"/>
    <w:rsid w:val="00D4418F"/>
    <w:rsid w:val="00D47493"/>
    <w:rsid w:val="00D52980"/>
    <w:rsid w:val="00D52CD5"/>
    <w:rsid w:val="00D53CCA"/>
    <w:rsid w:val="00D54936"/>
    <w:rsid w:val="00D56A3B"/>
    <w:rsid w:val="00D600D2"/>
    <w:rsid w:val="00D60960"/>
    <w:rsid w:val="00D61004"/>
    <w:rsid w:val="00D61C75"/>
    <w:rsid w:val="00D63AF3"/>
    <w:rsid w:val="00D65A76"/>
    <w:rsid w:val="00D671C6"/>
    <w:rsid w:val="00D67232"/>
    <w:rsid w:val="00D67645"/>
    <w:rsid w:val="00D67C6E"/>
    <w:rsid w:val="00D712A5"/>
    <w:rsid w:val="00D73360"/>
    <w:rsid w:val="00D73F6F"/>
    <w:rsid w:val="00D756D5"/>
    <w:rsid w:val="00D76601"/>
    <w:rsid w:val="00D83628"/>
    <w:rsid w:val="00D92295"/>
    <w:rsid w:val="00D93612"/>
    <w:rsid w:val="00D955A9"/>
    <w:rsid w:val="00D96183"/>
    <w:rsid w:val="00DA035E"/>
    <w:rsid w:val="00DA1CC1"/>
    <w:rsid w:val="00DB2061"/>
    <w:rsid w:val="00DB2D16"/>
    <w:rsid w:val="00DB4CB7"/>
    <w:rsid w:val="00DB57D0"/>
    <w:rsid w:val="00DB638C"/>
    <w:rsid w:val="00DB6B2B"/>
    <w:rsid w:val="00DC1766"/>
    <w:rsid w:val="00DC1E08"/>
    <w:rsid w:val="00DC36EA"/>
    <w:rsid w:val="00DC544D"/>
    <w:rsid w:val="00DC5947"/>
    <w:rsid w:val="00DC6AC6"/>
    <w:rsid w:val="00DC705C"/>
    <w:rsid w:val="00DC75C0"/>
    <w:rsid w:val="00DC7D51"/>
    <w:rsid w:val="00DD145F"/>
    <w:rsid w:val="00DD4708"/>
    <w:rsid w:val="00DD610F"/>
    <w:rsid w:val="00DD632C"/>
    <w:rsid w:val="00DD66B7"/>
    <w:rsid w:val="00DE09F4"/>
    <w:rsid w:val="00DE2749"/>
    <w:rsid w:val="00DE2A18"/>
    <w:rsid w:val="00DE4391"/>
    <w:rsid w:val="00DE47FF"/>
    <w:rsid w:val="00DE6E42"/>
    <w:rsid w:val="00DF02FB"/>
    <w:rsid w:val="00DF0EE4"/>
    <w:rsid w:val="00DF1299"/>
    <w:rsid w:val="00DF2650"/>
    <w:rsid w:val="00DF39A1"/>
    <w:rsid w:val="00DF6662"/>
    <w:rsid w:val="00E00EC4"/>
    <w:rsid w:val="00E01844"/>
    <w:rsid w:val="00E03007"/>
    <w:rsid w:val="00E034E5"/>
    <w:rsid w:val="00E040EF"/>
    <w:rsid w:val="00E0412E"/>
    <w:rsid w:val="00E04A46"/>
    <w:rsid w:val="00E07BBE"/>
    <w:rsid w:val="00E11B13"/>
    <w:rsid w:val="00E1421F"/>
    <w:rsid w:val="00E14A5C"/>
    <w:rsid w:val="00E14EAD"/>
    <w:rsid w:val="00E203AF"/>
    <w:rsid w:val="00E20B2D"/>
    <w:rsid w:val="00E22DD9"/>
    <w:rsid w:val="00E30384"/>
    <w:rsid w:val="00E30801"/>
    <w:rsid w:val="00E35EA1"/>
    <w:rsid w:val="00E37640"/>
    <w:rsid w:val="00E37D3A"/>
    <w:rsid w:val="00E430BC"/>
    <w:rsid w:val="00E44650"/>
    <w:rsid w:val="00E45496"/>
    <w:rsid w:val="00E4716B"/>
    <w:rsid w:val="00E4778E"/>
    <w:rsid w:val="00E50759"/>
    <w:rsid w:val="00E508D8"/>
    <w:rsid w:val="00E51253"/>
    <w:rsid w:val="00E5156B"/>
    <w:rsid w:val="00E51FF2"/>
    <w:rsid w:val="00E56378"/>
    <w:rsid w:val="00E565AD"/>
    <w:rsid w:val="00E567DC"/>
    <w:rsid w:val="00E57044"/>
    <w:rsid w:val="00E60B28"/>
    <w:rsid w:val="00E625AA"/>
    <w:rsid w:val="00E62C9E"/>
    <w:rsid w:val="00E63711"/>
    <w:rsid w:val="00E658FA"/>
    <w:rsid w:val="00E66674"/>
    <w:rsid w:val="00E666DE"/>
    <w:rsid w:val="00E67C4D"/>
    <w:rsid w:val="00E71353"/>
    <w:rsid w:val="00E72F2D"/>
    <w:rsid w:val="00E8134D"/>
    <w:rsid w:val="00E83AF7"/>
    <w:rsid w:val="00E945CB"/>
    <w:rsid w:val="00E94F39"/>
    <w:rsid w:val="00EA62F7"/>
    <w:rsid w:val="00EA6559"/>
    <w:rsid w:val="00EB1185"/>
    <w:rsid w:val="00EB1CC4"/>
    <w:rsid w:val="00EB2D22"/>
    <w:rsid w:val="00EB4EBF"/>
    <w:rsid w:val="00EB5073"/>
    <w:rsid w:val="00EB6CEC"/>
    <w:rsid w:val="00EB797E"/>
    <w:rsid w:val="00EB7A4F"/>
    <w:rsid w:val="00EC1F77"/>
    <w:rsid w:val="00ED07A6"/>
    <w:rsid w:val="00ED0EA3"/>
    <w:rsid w:val="00ED5708"/>
    <w:rsid w:val="00ED7E44"/>
    <w:rsid w:val="00EE0A03"/>
    <w:rsid w:val="00EE5E65"/>
    <w:rsid w:val="00EF03B6"/>
    <w:rsid w:val="00EF4F9B"/>
    <w:rsid w:val="00F004F0"/>
    <w:rsid w:val="00F026F4"/>
    <w:rsid w:val="00F04245"/>
    <w:rsid w:val="00F0451F"/>
    <w:rsid w:val="00F060A8"/>
    <w:rsid w:val="00F12C3F"/>
    <w:rsid w:val="00F136FE"/>
    <w:rsid w:val="00F14332"/>
    <w:rsid w:val="00F150D0"/>
    <w:rsid w:val="00F1625A"/>
    <w:rsid w:val="00F20E90"/>
    <w:rsid w:val="00F21FBF"/>
    <w:rsid w:val="00F244C7"/>
    <w:rsid w:val="00F25B0E"/>
    <w:rsid w:val="00F261E1"/>
    <w:rsid w:val="00F265B1"/>
    <w:rsid w:val="00F26641"/>
    <w:rsid w:val="00F26DB4"/>
    <w:rsid w:val="00F312A9"/>
    <w:rsid w:val="00F3164D"/>
    <w:rsid w:val="00F360D8"/>
    <w:rsid w:val="00F40E03"/>
    <w:rsid w:val="00F44A2B"/>
    <w:rsid w:val="00F466E4"/>
    <w:rsid w:val="00F50908"/>
    <w:rsid w:val="00F520D2"/>
    <w:rsid w:val="00F527D4"/>
    <w:rsid w:val="00F53126"/>
    <w:rsid w:val="00F531C2"/>
    <w:rsid w:val="00F548E9"/>
    <w:rsid w:val="00F578B6"/>
    <w:rsid w:val="00F57A8B"/>
    <w:rsid w:val="00F60EF8"/>
    <w:rsid w:val="00F62D7F"/>
    <w:rsid w:val="00F63C1C"/>
    <w:rsid w:val="00F6413E"/>
    <w:rsid w:val="00F66B5A"/>
    <w:rsid w:val="00F67B1B"/>
    <w:rsid w:val="00F70919"/>
    <w:rsid w:val="00F7533B"/>
    <w:rsid w:val="00F772EC"/>
    <w:rsid w:val="00F77C82"/>
    <w:rsid w:val="00F805AF"/>
    <w:rsid w:val="00F8081C"/>
    <w:rsid w:val="00F81395"/>
    <w:rsid w:val="00F81CA4"/>
    <w:rsid w:val="00F9117C"/>
    <w:rsid w:val="00F91463"/>
    <w:rsid w:val="00F93A03"/>
    <w:rsid w:val="00F94CAD"/>
    <w:rsid w:val="00F95318"/>
    <w:rsid w:val="00F95904"/>
    <w:rsid w:val="00F96CB3"/>
    <w:rsid w:val="00FA2F16"/>
    <w:rsid w:val="00FA3792"/>
    <w:rsid w:val="00FA4884"/>
    <w:rsid w:val="00FA5A15"/>
    <w:rsid w:val="00FA7D91"/>
    <w:rsid w:val="00FA7FE9"/>
    <w:rsid w:val="00FB2383"/>
    <w:rsid w:val="00FB57C5"/>
    <w:rsid w:val="00FC04A3"/>
    <w:rsid w:val="00FC1809"/>
    <w:rsid w:val="00FC197D"/>
    <w:rsid w:val="00FD13CA"/>
    <w:rsid w:val="00FD2551"/>
    <w:rsid w:val="00FD2FD9"/>
    <w:rsid w:val="00FD3A53"/>
    <w:rsid w:val="00FD4BF2"/>
    <w:rsid w:val="00FD51DF"/>
    <w:rsid w:val="00FD76C0"/>
    <w:rsid w:val="00FE1614"/>
    <w:rsid w:val="00FE3835"/>
    <w:rsid w:val="00FE3BC1"/>
    <w:rsid w:val="00FE50A6"/>
    <w:rsid w:val="00FE655B"/>
    <w:rsid w:val="00FE762F"/>
    <w:rsid w:val="00FF0B45"/>
    <w:rsid w:val="00FF0E74"/>
    <w:rsid w:val="00FF1531"/>
    <w:rsid w:val="00FF1545"/>
    <w:rsid w:val="00FF2CB6"/>
    <w:rsid w:val="00FF3D33"/>
    <w:rsid w:val="00FF4D5A"/>
    <w:rsid w:val="00FF5BD2"/>
    <w:rsid w:val="00FF78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F3E7C1"/>
  <w15:docId w15:val="{BA39B5FA-012D-458D-ABF1-FEB2F068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F04"/>
    <w:rPr>
      <w:sz w:val="24"/>
      <w:szCs w:val="24"/>
    </w:rPr>
  </w:style>
  <w:style w:type="paragraph" w:styleId="Titre1">
    <w:name w:val="heading 1"/>
    <w:basedOn w:val="Normal"/>
    <w:next w:val="Normal"/>
    <w:qFormat/>
    <w:rsid w:val="00FD76C0"/>
    <w:pPr>
      <w:numPr>
        <w:numId w:val="3"/>
      </w:numPr>
      <w:spacing w:after="240"/>
      <w:jc w:val="both"/>
      <w:outlineLvl w:val="0"/>
    </w:pPr>
    <w:rPr>
      <w:caps/>
      <w:sz w:val="28"/>
      <w:szCs w:val="28"/>
    </w:rPr>
  </w:style>
  <w:style w:type="paragraph" w:styleId="Titre2">
    <w:name w:val="heading 2"/>
    <w:aliases w:val="RC Article"/>
    <w:basedOn w:val="Normal"/>
    <w:next w:val="Normal"/>
    <w:uiPriority w:val="9"/>
    <w:qFormat/>
    <w:rsid w:val="00FD76C0"/>
    <w:pPr>
      <w:numPr>
        <w:ilvl w:val="1"/>
        <w:numId w:val="3"/>
      </w:numPr>
      <w:spacing w:after="240"/>
      <w:jc w:val="both"/>
      <w:outlineLvl w:val="1"/>
    </w:pPr>
    <w:rPr>
      <w:smallCaps/>
    </w:rPr>
  </w:style>
  <w:style w:type="paragraph" w:styleId="Titre3">
    <w:name w:val="heading 3"/>
    <w:basedOn w:val="Normal"/>
    <w:next w:val="Normal"/>
    <w:qFormat/>
    <w:rsid w:val="00FD76C0"/>
    <w:pPr>
      <w:numPr>
        <w:ilvl w:val="2"/>
        <w:numId w:val="3"/>
      </w:numPr>
      <w:spacing w:after="240"/>
      <w:jc w:val="both"/>
      <w:outlineLvl w:val="2"/>
    </w:pPr>
    <w:rPr>
      <w:sz w:val="22"/>
      <w:szCs w:val="22"/>
    </w:rPr>
  </w:style>
  <w:style w:type="paragraph" w:styleId="Titre4">
    <w:name w:val="heading 4"/>
    <w:basedOn w:val="Normal"/>
    <w:next w:val="Normal"/>
    <w:qFormat/>
    <w:rsid w:val="00FD76C0"/>
    <w:pPr>
      <w:keepNext/>
      <w:widowControl w:val="0"/>
      <w:numPr>
        <w:ilvl w:val="3"/>
        <w:numId w:val="3"/>
      </w:numPr>
      <w:jc w:val="center"/>
      <w:outlineLvl w:val="3"/>
    </w:pPr>
    <w:rPr>
      <w:rFonts w:ascii="Times" w:hAnsi="Times" w:cs="Times"/>
      <w:i/>
      <w:iCs/>
      <w:sz w:val="22"/>
      <w:szCs w:val="22"/>
    </w:rPr>
  </w:style>
  <w:style w:type="paragraph" w:styleId="Titre5">
    <w:name w:val="heading 5"/>
    <w:basedOn w:val="Normal"/>
    <w:next w:val="AlinaJustifi"/>
    <w:qFormat/>
    <w:rsid w:val="005A1EFE"/>
    <w:pPr>
      <w:keepNext/>
      <w:numPr>
        <w:ilvl w:val="4"/>
        <w:numId w:val="3"/>
      </w:numPr>
      <w:spacing w:before="240" w:after="120"/>
      <w:jc w:val="both"/>
      <w:outlineLvl w:val="4"/>
    </w:pPr>
    <w:rPr>
      <w:i/>
      <w:color w:val="008080"/>
    </w:rPr>
  </w:style>
  <w:style w:type="paragraph" w:styleId="Titre6">
    <w:name w:val="heading 6"/>
    <w:basedOn w:val="Normal"/>
    <w:next w:val="AlinaJustifi"/>
    <w:qFormat/>
    <w:rsid w:val="005A1EFE"/>
    <w:pPr>
      <w:numPr>
        <w:ilvl w:val="5"/>
        <w:numId w:val="3"/>
      </w:numPr>
      <w:spacing w:before="240" w:after="120"/>
      <w:jc w:val="both"/>
      <w:outlineLvl w:val="5"/>
    </w:pPr>
    <w:rPr>
      <w:color w:val="000080"/>
      <w:sz w:val="22"/>
    </w:rPr>
  </w:style>
  <w:style w:type="paragraph" w:styleId="Titre7">
    <w:name w:val="heading 7"/>
    <w:basedOn w:val="Normal"/>
    <w:next w:val="AlinaJustifi"/>
    <w:qFormat/>
    <w:rsid w:val="005A1EFE"/>
    <w:pPr>
      <w:numPr>
        <w:ilvl w:val="6"/>
        <w:numId w:val="3"/>
      </w:numPr>
      <w:spacing w:before="240" w:after="120"/>
      <w:jc w:val="both"/>
      <w:outlineLvl w:val="6"/>
    </w:pPr>
    <w:rPr>
      <w:color w:val="800000"/>
      <w:sz w:val="22"/>
    </w:rPr>
  </w:style>
  <w:style w:type="paragraph" w:styleId="Titre8">
    <w:name w:val="heading 8"/>
    <w:basedOn w:val="Normal"/>
    <w:next w:val="AlinaJustifi"/>
    <w:qFormat/>
    <w:rsid w:val="005A1EFE"/>
    <w:pPr>
      <w:numPr>
        <w:ilvl w:val="7"/>
        <w:numId w:val="3"/>
      </w:numPr>
      <w:spacing w:before="240" w:after="120"/>
      <w:jc w:val="both"/>
      <w:outlineLvl w:val="7"/>
    </w:pPr>
    <w:rPr>
      <w:i/>
      <w:color w:val="808000"/>
      <w:sz w:val="22"/>
    </w:rPr>
  </w:style>
  <w:style w:type="paragraph" w:styleId="Titre9">
    <w:name w:val="heading 9"/>
    <w:basedOn w:val="Normal"/>
    <w:next w:val="AlinaJustifi"/>
    <w:qFormat/>
    <w:rsid w:val="005A1EFE"/>
    <w:pPr>
      <w:keepNext/>
      <w:numPr>
        <w:ilvl w:val="8"/>
        <w:numId w:val="3"/>
      </w:numPr>
      <w:spacing w:before="240" w:after="60"/>
      <w:jc w:val="center"/>
      <w:outlineLvl w:val="8"/>
    </w:pPr>
    <w:rPr>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linaJustifi">
    <w:name w:val="Alinéa Justifié"/>
    <w:basedOn w:val="Normal"/>
    <w:rsid w:val="00934BEB"/>
    <w:pPr>
      <w:spacing w:before="120" w:after="120" w:line="240" w:lineRule="atLeast"/>
      <w:ind w:firstLine="907"/>
      <w:jc w:val="both"/>
    </w:pPr>
  </w:style>
  <w:style w:type="paragraph" w:styleId="En-tte">
    <w:name w:val="header"/>
    <w:basedOn w:val="Normal"/>
    <w:link w:val="En-tteCar"/>
    <w:rsid w:val="00934BEB"/>
    <w:pPr>
      <w:tabs>
        <w:tab w:val="center" w:pos="4536"/>
        <w:tab w:val="right" w:pos="9072"/>
      </w:tabs>
    </w:pPr>
  </w:style>
  <w:style w:type="paragraph" w:customStyle="1" w:styleId="Puces">
    <w:name w:val="Puces *"/>
    <w:basedOn w:val="Normal"/>
    <w:pPr>
      <w:ind w:left="1135" w:hanging="284"/>
      <w:jc w:val="both"/>
    </w:pPr>
  </w:style>
  <w:style w:type="paragraph" w:styleId="Pieddepage">
    <w:name w:val="footer"/>
    <w:basedOn w:val="Normal"/>
    <w:link w:val="PieddepageCar"/>
    <w:rsid w:val="00934BEB"/>
    <w:pPr>
      <w:tabs>
        <w:tab w:val="center" w:pos="4536"/>
        <w:tab w:val="right" w:pos="9072"/>
      </w:tabs>
    </w:pPr>
  </w:style>
  <w:style w:type="character" w:styleId="Numrodepage">
    <w:name w:val="page number"/>
    <w:basedOn w:val="Policepardfaut"/>
    <w:rsid w:val="00934BEB"/>
  </w:style>
  <w:style w:type="character" w:styleId="Appelnotedebasdep">
    <w:name w:val="footnote reference"/>
    <w:semiHidden/>
    <w:rsid w:val="00934BEB"/>
    <w:rPr>
      <w:vertAlign w:val="superscript"/>
    </w:rPr>
  </w:style>
  <w:style w:type="paragraph" w:styleId="Notedebasdepage">
    <w:name w:val="footnote text"/>
    <w:basedOn w:val="Normal"/>
    <w:semiHidden/>
    <w:rsid w:val="00934BEB"/>
    <w:pPr>
      <w:jc w:val="both"/>
    </w:pPr>
    <w:rPr>
      <w:i/>
      <w:sz w:val="20"/>
    </w:rPr>
  </w:style>
  <w:style w:type="paragraph" w:customStyle="1" w:styleId="Articles">
    <w:name w:val="Articles"/>
    <w:basedOn w:val="Titre9"/>
    <w:next w:val="AlinaJustifi"/>
    <w:rsid w:val="00934BEB"/>
    <w:pPr>
      <w:outlineLvl w:val="9"/>
    </w:pPr>
  </w:style>
  <w:style w:type="paragraph" w:styleId="TM1">
    <w:name w:val="toc 1"/>
    <w:basedOn w:val="Normal"/>
    <w:next w:val="Normal"/>
    <w:uiPriority w:val="39"/>
    <w:qFormat/>
    <w:rsid w:val="002E7DD9"/>
    <w:pPr>
      <w:spacing w:line="360" w:lineRule="auto"/>
    </w:pPr>
    <w:rPr>
      <w:b/>
      <w:bCs/>
      <w:caps/>
    </w:rPr>
  </w:style>
  <w:style w:type="paragraph" w:styleId="TM2">
    <w:name w:val="toc 2"/>
    <w:basedOn w:val="Normal"/>
    <w:next w:val="Normal"/>
    <w:uiPriority w:val="39"/>
    <w:qFormat/>
    <w:rsid w:val="002E7DD9"/>
    <w:pPr>
      <w:spacing w:line="360" w:lineRule="auto"/>
    </w:pPr>
    <w:rPr>
      <w:rFonts w:ascii="Times New Roman Gras" w:hAnsi="Times New Roman Gras"/>
      <w:b/>
      <w:bCs/>
      <w:i/>
      <w:sz w:val="22"/>
      <w:szCs w:val="20"/>
    </w:rPr>
  </w:style>
  <w:style w:type="paragraph" w:styleId="TM3">
    <w:name w:val="toc 3"/>
    <w:basedOn w:val="Normal"/>
    <w:next w:val="Normal"/>
    <w:uiPriority w:val="39"/>
    <w:qFormat/>
    <w:rsid w:val="002E7DD9"/>
    <w:pPr>
      <w:spacing w:line="360" w:lineRule="auto"/>
      <w:ind w:left="238"/>
    </w:pPr>
    <w:rPr>
      <w:sz w:val="22"/>
      <w:szCs w:val="20"/>
    </w:rPr>
  </w:style>
  <w:style w:type="paragraph" w:styleId="TM4">
    <w:name w:val="toc 4"/>
    <w:basedOn w:val="Normal"/>
    <w:next w:val="Normal"/>
    <w:uiPriority w:val="39"/>
    <w:rsid w:val="00934BEB"/>
    <w:pPr>
      <w:ind w:left="480"/>
    </w:pPr>
    <w:rPr>
      <w:rFonts w:asciiTheme="minorHAnsi" w:hAnsiTheme="minorHAnsi"/>
      <w:sz w:val="20"/>
      <w:szCs w:val="20"/>
    </w:rPr>
  </w:style>
  <w:style w:type="paragraph" w:styleId="TM5">
    <w:name w:val="toc 5"/>
    <w:basedOn w:val="Normal"/>
    <w:next w:val="Normal"/>
    <w:semiHidden/>
    <w:rsid w:val="00934BEB"/>
    <w:pPr>
      <w:ind w:left="720"/>
    </w:pPr>
    <w:rPr>
      <w:rFonts w:asciiTheme="minorHAnsi" w:hAnsiTheme="minorHAnsi"/>
      <w:sz w:val="20"/>
      <w:szCs w:val="20"/>
    </w:rPr>
  </w:style>
  <w:style w:type="paragraph" w:styleId="TM6">
    <w:name w:val="toc 6"/>
    <w:basedOn w:val="Normal"/>
    <w:next w:val="Normal"/>
    <w:semiHidden/>
    <w:rsid w:val="00934BEB"/>
    <w:pPr>
      <w:ind w:left="960"/>
    </w:pPr>
    <w:rPr>
      <w:rFonts w:asciiTheme="minorHAnsi" w:hAnsiTheme="minorHAnsi"/>
      <w:sz w:val="20"/>
      <w:szCs w:val="20"/>
    </w:rPr>
  </w:style>
  <w:style w:type="paragraph" w:styleId="TM7">
    <w:name w:val="toc 7"/>
    <w:basedOn w:val="Normal"/>
    <w:next w:val="Normal"/>
    <w:semiHidden/>
    <w:rsid w:val="00934BEB"/>
    <w:pPr>
      <w:ind w:left="1200"/>
    </w:pPr>
    <w:rPr>
      <w:rFonts w:asciiTheme="minorHAnsi" w:hAnsiTheme="minorHAnsi"/>
      <w:sz w:val="20"/>
      <w:szCs w:val="20"/>
    </w:rPr>
  </w:style>
  <w:style w:type="paragraph" w:styleId="TM8">
    <w:name w:val="toc 8"/>
    <w:basedOn w:val="Normal"/>
    <w:next w:val="Normal"/>
    <w:semiHidden/>
    <w:rsid w:val="00934BEB"/>
    <w:pPr>
      <w:ind w:left="1440"/>
    </w:pPr>
    <w:rPr>
      <w:rFonts w:asciiTheme="minorHAnsi" w:hAnsiTheme="minorHAnsi"/>
      <w:sz w:val="20"/>
      <w:szCs w:val="20"/>
    </w:rPr>
  </w:style>
  <w:style w:type="paragraph" w:styleId="TM9">
    <w:name w:val="toc 9"/>
    <w:basedOn w:val="Normal"/>
    <w:next w:val="Normal"/>
    <w:autoRedefine/>
    <w:semiHidden/>
    <w:rsid w:val="00934BEB"/>
    <w:pPr>
      <w:ind w:left="1680"/>
    </w:pPr>
    <w:rPr>
      <w:rFonts w:asciiTheme="minorHAnsi" w:hAnsiTheme="minorHAnsi"/>
      <w:sz w:val="20"/>
      <w:szCs w:val="20"/>
    </w:rPr>
  </w:style>
  <w:style w:type="paragraph" w:styleId="Adressedestinataire">
    <w:name w:val="envelope address"/>
    <w:basedOn w:val="Normal"/>
    <w:semiHidden/>
    <w:rsid w:val="00934BEB"/>
    <w:pPr>
      <w:framePr w:w="7938" w:h="1985" w:hRule="exact" w:hSpace="141" w:wrap="auto" w:hAnchor="page" w:xAlign="center" w:yAlign="bottom"/>
      <w:ind w:left="2835"/>
    </w:pPr>
    <w:rPr>
      <w:rFonts w:cs="Arial"/>
    </w:rPr>
  </w:style>
  <w:style w:type="paragraph" w:customStyle="1" w:styleId="Art1">
    <w:name w:val="Art 1"/>
    <w:basedOn w:val="Normal"/>
    <w:next w:val="Normal"/>
    <w:rsid w:val="00407AB9"/>
    <w:pPr>
      <w:keepNext/>
      <w:tabs>
        <w:tab w:val="left" w:pos="907"/>
      </w:tabs>
      <w:spacing w:before="120" w:after="120" w:line="240" w:lineRule="atLeast"/>
      <w:jc w:val="center"/>
    </w:pPr>
    <w:rPr>
      <w:b/>
      <w:caps/>
      <w:color w:val="0000FF"/>
      <w:kern w:val="28"/>
      <w:sz w:val="28"/>
    </w:rPr>
  </w:style>
  <w:style w:type="paragraph" w:customStyle="1" w:styleId="Art2">
    <w:name w:val="Art 2"/>
    <w:basedOn w:val="Normal"/>
    <w:next w:val="Normal"/>
    <w:rsid w:val="00934BEB"/>
    <w:pPr>
      <w:keepNext/>
      <w:tabs>
        <w:tab w:val="left" w:pos="907"/>
      </w:tabs>
      <w:spacing w:before="120" w:after="360" w:line="240" w:lineRule="atLeast"/>
      <w:jc w:val="both"/>
    </w:pPr>
    <w:rPr>
      <w:b/>
      <w:caps/>
      <w:color w:val="FF00FF"/>
      <w:lang w:val="fr-CA"/>
    </w:rPr>
  </w:style>
  <w:style w:type="paragraph" w:customStyle="1" w:styleId="Art3">
    <w:name w:val="Art 3"/>
    <w:basedOn w:val="Normal"/>
    <w:next w:val="Normal"/>
    <w:rsid w:val="00934BEB"/>
    <w:pPr>
      <w:keepNext/>
      <w:tabs>
        <w:tab w:val="left" w:pos="907"/>
      </w:tabs>
      <w:spacing w:before="360" w:after="360"/>
      <w:ind w:left="454"/>
      <w:jc w:val="both"/>
    </w:pPr>
    <w:rPr>
      <w:b/>
      <w:i/>
      <w:caps/>
      <w:color w:val="000080"/>
      <w:sz w:val="22"/>
      <w:lang w:val="fr-CA"/>
    </w:rPr>
  </w:style>
  <w:style w:type="paragraph" w:customStyle="1" w:styleId="Art4">
    <w:name w:val="Art 4"/>
    <w:basedOn w:val="Normal"/>
    <w:next w:val="Normal"/>
    <w:rsid w:val="00934BEB"/>
    <w:pPr>
      <w:keepNext/>
      <w:tabs>
        <w:tab w:val="left" w:pos="907"/>
      </w:tabs>
      <w:spacing w:before="360" w:after="360" w:line="240" w:lineRule="atLeast"/>
      <w:ind w:left="907"/>
      <w:jc w:val="both"/>
    </w:pPr>
    <w:rPr>
      <w:b/>
      <w:color w:val="008000"/>
      <w:lang w:val="fr-CA"/>
    </w:rPr>
  </w:style>
  <w:style w:type="paragraph" w:customStyle="1" w:styleId="Art5">
    <w:name w:val="Art 5"/>
    <w:basedOn w:val="Normal"/>
    <w:next w:val="Normal"/>
    <w:rsid w:val="00934BEB"/>
    <w:pPr>
      <w:keepNext/>
      <w:tabs>
        <w:tab w:val="left" w:pos="907"/>
      </w:tabs>
      <w:spacing w:before="240" w:after="120"/>
      <w:ind w:left="907"/>
      <w:jc w:val="both"/>
    </w:pPr>
    <w:rPr>
      <w:i/>
      <w:color w:val="008080"/>
      <w:lang w:val="fr-CA"/>
    </w:rPr>
  </w:style>
  <w:style w:type="paragraph" w:customStyle="1" w:styleId="Art6">
    <w:name w:val="Art 6"/>
    <w:basedOn w:val="Normal"/>
    <w:next w:val="Normal"/>
    <w:rsid w:val="00934BEB"/>
    <w:pPr>
      <w:tabs>
        <w:tab w:val="left" w:pos="907"/>
      </w:tabs>
      <w:spacing w:before="240" w:after="120"/>
      <w:ind w:left="907"/>
      <w:jc w:val="both"/>
    </w:pPr>
    <w:rPr>
      <w:color w:val="000080"/>
      <w:sz w:val="22"/>
      <w:lang w:val="fr-CA"/>
    </w:rPr>
  </w:style>
  <w:style w:type="paragraph" w:customStyle="1" w:styleId="Art7">
    <w:name w:val="Art 7"/>
    <w:basedOn w:val="Notedebasdepage"/>
    <w:next w:val="Normal"/>
    <w:rsid w:val="00934BEB"/>
    <w:pPr>
      <w:tabs>
        <w:tab w:val="left" w:pos="907"/>
      </w:tabs>
      <w:spacing w:before="240" w:after="120"/>
      <w:ind w:left="907"/>
    </w:pPr>
    <w:rPr>
      <w:i w:val="0"/>
      <w:color w:val="800000"/>
      <w:sz w:val="22"/>
      <w:lang w:val="fr-CA"/>
    </w:rPr>
  </w:style>
  <w:style w:type="paragraph" w:customStyle="1" w:styleId="Art8">
    <w:name w:val="Art 8"/>
    <w:basedOn w:val="Normal"/>
    <w:next w:val="Normal"/>
    <w:rsid w:val="00934BEB"/>
    <w:pPr>
      <w:tabs>
        <w:tab w:val="left" w:pos="907"/>
      </w:tabs>
      <w:spacing w:before="240" w:after="120"/>
      <w:ind w:left="907"/>
      <w:jc w:val="both"/>
    </w:pPr>
    <w:rPr>
      <w:i/>
      <w:color w:val="808000"/>
      <w:sz w:val="22"/>
      <w:lang w:val="fr-CA"/>
    </w:rPr>
  </w:style>
  <w:style w:type="paragraph" w:customStyle="1" w:styleId="Art9">
    <w:name w:val="Art 9"/>
    <w:basedOn w:val="Normal"/>
    <w:next w:val="Normal"/>
    <w:rsid w:val="00934BEB"/>
    <w:pPr>
      <w:tabs>
        <w:tab w:val="left" w:pos="907"/>
      </w:tabs>
      <w:spacing w:before="240" w:after="60"/>
      <w:jc w:val="center"/>
    </w:pPr>
    <w:rPr>
      <w:color w:val="0000FF"/>
      <w:lang w:val="fr-CA"/>
    </w:rPr>
  </w:style>
  <w:style w:type="character" w:customStyle="1" w:styleId="Gras">
    <w:name w:val="Gras"/>
    <w:rsid w:val="00565F44"/>
    <w:rPr>
      <w:b/>
    </w:rPr>
  </w:style>
  <w:style w:type="table" w:styleId="Grilledutableau">
    <w:name w:val="Table Grid"/>
    <w:basedOn w:val="TableauNormal"/>
    <w:rsid w:val="00934BEB"/>
    <w:pPr>
      <w:tabs>
        <w:tab w:val="left" w:pos="284"/>
      </w:tabs>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Italique">
    <w:name w:val="Italique"/>
    <w:rsid w:val="00565F44"/>
    <w:rPr>
      <w:i/>
    </w:rPr>
  </w:style>
  <w:style w:type="character" w:customStyle="1" w:styleId="Soulign">
    <w:name w:val="Souligné"/>
    <w:rsid w:val="00E945CB"/>
    <w:rPr>
      <w:sz w:val="25"/>
      <w:u w:val="single"/>
    </w:rPr>
  </w:style>
  <w:style w:type="table" w:customStyle="1" w:styleId="Tableau">
    <w:name w:val="Tableau"/>
    <w:basedOn w:val="TableauNormal"/>
    <w:rsid w:val="00934BE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GrasItalique">
    <w:name w:val="Gras_Italique"/>
    <w:rsid w:val="003739C3"/>
    <w:rPr>
      <w:b/>
      <w:i/>
    </w:rPr>
  </w:style>
  <w:style w:type="character" w:customStyle="1" w:styleId="GrasSoulign">
    <w:name w:val="Gras_Souligné"/>
    <w:rsid w:val="00E945CB"/>
    <w:rPr>
      <w:b/>
      <w:u w:val="single"/>
    </w:rPr>
  </w:style>
  <w:style w:type="character" w:customStyle="1" w:styleId="ItaliqueSoulign">
    <w:name w:val="Italique_Souligné"/>
    <w:rsid w:val="00E945CB"/>
    <w:rPr>
      <w:i/>
      <w:u w:val="single"/>
    </w:rPr>
  </w:style>
  <w:style w:type="character" w:customStyle="1" w:styleId="GrasItaliqueSoulign">
    <w:name w:val="Gras_Italique_Souligné"/>
    <w:rsid w:val="00E945CB"/>
    <w:rPr>
      <w:b/>
      <w:i/>
      <w:u w:val="single"/>
    </w:rPr>
  </w:style>
  <w:style w:type="character" w:customStyle="1" w:styleId="Caractresansattribut">
    <w:name w:val="Caractère_sans_attribut"/>
    <w:basedOn w:val="Policepardfaut"/>
    <w:rsid w:val="00A266C4"/>
  </w:style>
  <w:style w:type="character" w:styleId="Lienhypertexte">
    <w:name w:val="Hyperlink"/>
    <w:uiPriority w:val="99"/>
    <w:rsid w:val="00983FB0"/>
    <w:rPr>
      <w:color w:val="0000FF"/>
      <w:u w:val="single"/>
    </w:rPr>
  </w:style>
  <w:style w:type="paragraph" w:customStyle="1" w:styleId="Destinataire">
    <w:name w:val="Destinataire"/>
    <w:basedOn w:val="Normal"/>
    <w:rsid w:val="002A1AA8"/>
    <w:pPr>
      <w:widowControl w:val="0"/>
      <w:overflowPunct w:val="0"/>
      <w:autoSpaceDE w:val="0"/>
      <w:autoSpaceDN w:val="0"/>
      <w:adjustRightInd w:val="0"/>
      <w:textAlignment w:val="baseline"/>
    </w:pPr>
    <w:rPr>
      <w:szCs w:val="20"/>
    </w:rPr>
  </w:style>
  <w:style w:type="paragraph" w:styleId="Textedebulles">
    <w:name w:val="Balloon Text"/>
    <w:basedOn w:val="Normal"/>
    <w:semiHidden/>
    <w:rsid w:val="002C4A28"/>
    <w:rPr>
      <w:rFonts w:ascii="Tahoma" w:hAnsi="Tahoma" w:cs="Tahoma"/>
      <w:sz w:val="16"/>
      <w:szCs w:val="16"/>
    </w:rPr>
  </w:style>
  <w:style w:type="character" w:styleId="Marquedecommentaire">
    <w:name w:val="annotation reference"/>
    <w:semiHidden/>
    <w:rsid w:val="00F7533B"/>
    <w:rPr>
      <w:sz w:val="16"/>
      <w:szCs w:val="16"/>
    </w:rPr>
  </w:style>
  <w:style w:type="paragraph" w:styleId="Commentaire">
    <w:name w:val="annotation text"/>
    <w:basedOn w:val="Normal"/>
    <w:semiHidden/>
    <w:rsid w:val="00F7533B"/>
    <w:rPr>
      <w:sz w:val="20"/>
      <w:szCs w:val="20"/>
    </w:rPr>
  </w:style>
  <w:style w:type="paragraph" w:styleId="Objetducommentaire">
    <w:name w:val="annotation subject"/>
    <w:basedOn w:val="Commentaire"/>
    <w:next w:val="Commentaire"/>
    <w:semiHidden/>
    <w:rsid w:val="00F7533B"/>
    <w:rPr>
      <w:b/>
      <w:bCs/>
    </w:rPr>
  </w:style>
  <w:style w:type="paragraph" w:styleId="Titre">
    <w:name w:val="Title"/>
    <w:basedOn w:val="Normal"/>
    <w:qFormat/>
    <w:rsid w:val="00F531C2"/>
    <w:pPr>
      <w:jc w:val="center"/>
    </w:pPr>
    <w:rPr>
      <w:b/>
      <w:bCs/>
      <w:sz w:val="28"/>
    </w:rPr>
  </w:style>
  <w:style w:type="paragraph" w:styleId="Corpsdetexte">
    <w:name w:val="Body Text"/>
    <w:basedOn w:val="Normal"/>
    <w:rsid w:val="00F531C2"/>
    <w:pPr>
      <w:jc w:val="both"/>
    </w:pPr>
  </w:style>
  <w:style w:type="paragraph" w:customStyle="1" w:styleId="texte2">
    <w:name w:val="texte2"/>
    <w:basedOn w:val="Normal"/>
    <w:rsid w:val="00F531C2"/>
    <w:pPr>
      <w:overflowPunct w:val="0"/>
      <w:autoSpaceDE w:val="0"/>
      <w:autoSpaceDN w:val="0"/>
      <w:adjustRightInd w:val="0"/>
      <w:ind w:firstLine="1418"/>
      <w:jc w:val="both"/>
      <w:textAlignment w:val="baseline"/>
    </w:pPr>
    <w:rPr>
      <w:szCs w:val="20"/>
    </w:rPr>
  </w:style>
  <w:style w:type="paragraph" w:customStyle="1" w:styleId="PS">
    <w:name w:val="PS"/>
    <w:basedOn w:val="Normal"/>
    <w:rsid w:val="00F531C2"/>
    <w:pPr>
      <w:overflowPunct w:val="0"/>
      <w:autoSpaceDE w:val="0"/>
      <w:autoSpaceDN w:val="0"/>
      <w:adjustRightInd w:val="0"/>
      <w:spacing w:after="240"/>
      <w:ind w:firstLine="1134"/>
      <w:jc w:val="both"/>
      <w:textAlignment w:val="baseline"/>
    </w:pPr>
    <w:rPr>
      <w:rFonts w:ascii="Book Antiqua" w:hAnsi="Book Antiqua"/>
      <w:szCs w:val="20"/>
    </w:rPr>
  </w:style>
  <w:style w:type="paragraph" w:customStyle="1" w:styleId="RapTexte">
    <w:name w:val="RapTexte"/>
    <w:basedOn w:val="Corpsdetexte"/>
    <w:link w:val="RapTexteCar"/>
    <w:rsid w:val="004F6EBF"/>
    <w:pPr>
      <w:overflowPunct w:val="0"/>
      <w:autoSpaceDE w:val="0"/>
      <w:autoSpaceDN w:val="0"/>
      <w:adjustRightInd w:val="0"/>
      <w:spacing w:after="240"/>
      <w:textAlignment w:val="baseline"/>
    </w:pPr>
  </w:style>
  <w:style w:type="character" w:customStyle="1" w:styleId="RapTexteCar">
    <w:name w:val="RapTexte Car"/>
    <w:link w:val="RapTexte"/>
    <w:rsid w:val="004F6EBF"/>
    <w:rPr>
      <w:sz w:val="24"/>
      <w:szCs w:val="24"/>
      <w:lang w:val="fr-FR" w:eastAsia="fr-FR" w:bidi="ar-SA"/>
    </w:rPr>
  </w:style>
  <w:style w:type="paragraph" w:customStyle="1" w:styleId="DCETexte">
    <w:name w:val="DCE Texte"/>
    <w:basedOn w:val="Normal"/>
    <w:link w:val="DCETexteCar"/>
    <w:qFormat/>
    <w:rsid w:val="00586F04"/>
    <w:pPr>
      <w:overflowPunct w:val="0"/>
      <w:autoSpaceDE w:val="0"/>
      <w:autoSpaceDN w:val="0"/>
      <w:adjustRightInd w:val="0"/>
      <w:spacing w:after="240"/>
      <w:ind w:firstLine="567"/>
      <w:jc w:val="both"/>
      <w:textAlignment w:val="baseline"/>
    </w:pPr>
    <w:rPr>
      <w:szCs w:val="20"/>
    </w:rPr>
  </w:style>
  <w:style w:type="character" w:customStyle="1" w:styleId="En-tteCar">
    <w:name w:val="En-tête Car"/>
    <w:basedOn w:val="Policepardfaut"/>
    <w:link w:val="En-tte"/>
    <w:rsid w:val="00831495"/>
    <w:rPr>
      <w:sz w:val="24"/>
      <w:szCs w:val="24"/>
    </w:rPr>
  </w:style>
  <w:style w:type="paragraph" w:customStyle="1" w:styleId="DCESommaire">
    <w:name w:val="DCE Sommaire"/>
    <w:basedOn w:val="Normal"/>
    <w:rsid w:val="00361C2F"/>
    <w:pPr>
      <w:spacing w:before="120" w:after="120"/>
      <w:jc w:val="center"/>
    </w:pPr>
    <w:rPr>
      <w:b/>
      <w:caps/>
      <w:spacing w:val="40"/>
      <w:sz w:val="28"/>
      <w:szCs w:val="28"/>
    </w:rPr>
  </w:style>
  <w:style w:type="paragraph" w:customStyle="1" w:styleId="DCEArticle">
    <w:name w:val="DCE Article"/>
    <w:basedOn w:val="Normal"/>
    <w:next w:val="Normal"/>
    <w:rsid w:val="00361C2F"/>
    <w:pPr>
      <w:keepNext/>
      <w:keepLines/>
      <w:spacing w:before="360" w:after="240"/>
      <w:outlineLvl w:val="0"/>
    </w:pPr>
    <w:rPr>
      <w:b/>
      <w:caps/>
      <w:sz w:val="26"/>
      <w:szCs w:val="26"/>
      <w:u w:val="single"/>
    </w:rPr>
  </w:style>
  <w:style w:type="paragraph" w:customStyle="1" w:styleId="DCETitre2">
    <w:name w:val="DCE Titre 2"/>
    <w:next w:val="Normal"/>
    <w:link w:val="DCETitre2Car"/>
    <w:qFormat/>
    <w:rsid w:val="00FD76C0"/>
    <w:pPr>
      <w:keepNext/>
      <w:keepLines/>
      <w:numPr>
        <w:ilvl w:val="1"/>
        <w:numId w:val="14"/>
      </w:numPr>
      <w:tabs>
        <w:tab w:val="left" w:pos="851"/>
      </w:tabs>
      <w:spacing w:before="240" w:after="240"/>
      <w:jc w:val="both"/>
      <w:outlineLvl w:val="1"/>
    </w:pPr>
    <w:rPr>
      <w:b/>
      <w:iCs/>
      <w:sz w:val="24"/>
      <w:szCs w:val="24"/>
    </w:rPr>
  </w:style>
  <w:style w:type="paragraph" w:customStyle="1" w:styleId="DCETitre3Car">
    <w:name w:val="DCE Titre 3 Car"/>
    <w:basedOn w:val="Normal"/>
    <w:next w:val="Normal"/>
    <w:link w:val="DCETitre3CarCar1"/>
    <w:rsid w:val="00361C2F"/>
    <w:pPr>
      <w:keepNext/>
      <w:keepLines/>
      <w:spacing w:before="240" w:after="120"/>
      <w:outlineLvl w:val="2"/>
    </w:pPr>
    <w:rPr>
      <w:b/>
      <w:i/>
    </w:rPr>
  </w:style>
  <w:style w:type="character" w:customStyle="1" w:styleId="DCETitre3CarCar1">
    <w:name w:val="DCE Titre 3 Car Car1"/>
    <w:link w:val="DCETitre3Car"/>
    <w:rsid w:val="00361C2F"/>
    <w:rPr>
      <w:b/>
      <w:i/>
      <w:sz w:val="24"/>
      <w:szCs w:val="24"/>
    </w:rPr>
  </w:style>
  <w:style w:type="paragraph" w:styleId="Paragraphedeliste">
    <w:name w:val="List Paragraph"/>
    <w:basedOn w:val="Normal"/>
    <w:uiPriority w:val="34"/>
    <w:qFormat/>
    <w:rsid w:val="008B7090"/>
    <w:pPr>
      <w:ind w:left="720"/>
      <w:contextualSpacing/>
    </w:pPr>
  </w:style>
  <w:style w:type="paragraph" w:styleId="Rvision">
    <w:name w:val="Revision"/>
    <w:hidden/>
    <w:uiPriority w:val="99"/>
    <w:semiHidden/>
    <w:rsid w:val="00C14B92"/>
    <w:rPr>
      <w:sz w:val="24"/>
      <w:szCs w:val="24"/>
    </w:rPr>
  </w:style>
  <w:style w:type="character" w:customStyle="1" w:styleId="PieddepageCar">
    <w:name w:val="Pied de page Car"/>
    <w:basedOn w:val="Policepardfaut"/>
    <w:link w:val="Pieddepage"/>
    <w:rsid w:val="006B0F38"/>
    <w:rPr>
      <w:sz w:val="24"/>
      <w:szCs w:val="24"/>
    </w:rPr>
  </w:style>
  <w:style w:type="paragraph" w:customStyle="1" w:styleId="DCECorpsdetexte">
    <w:name w:val="DCE Corps de texte"/>
    <w:basedOn w:val="Normal"/>
    <w:link w:val="DCECorpsdetexteCar"/>
    <w:rsid w:val="00586F04"/>
    <w:pPr>
      <w:overflowPunct w:val="0"/>
      <w:autoSpaceDE w:val="0"/>
      <w:autoSpaceDN w:val="0"/>
      <w:adjustRightInd w:val="0"/>
      <w:spacing w:after="240"/>
      <w:ind w:firstLine="567"/>
      <w:jc w:val="both"/>
      <w:textAlignment w:val="baseline"/>
    </w:pPr>
    <w:rPr>
      <w:szCs w:val="20"/>
    </w:rPr>
  </w:style>
  <w:style w:type="character" w:customStyle="1" w:styleId="DCECorpsdetexteCar">
    <w:name w:val="DCE Corps de texte Car"/>
    <w:link w:val="DCECorpsdetexte"/>
    <w:rsid w:val="00586F04"/>
    <w:rPr>
      <w:sz w:val="24"/>
    </w:rPr>
  </w:style>
  <w:style w:type="paragraph" w:customStyle="1" w:styleId="TITREPIECE">
    <w:name w:val="TITRE PIECE"/>
    <w:basedOn w:val="Normal"/>
    <w:next w:val="DCECorpsdetexte"/>
    <w:semiHidden/>
    <w:rsid w:val="006B0F38"/>
    <w:pPr>
      <w:pBdr>
        <w:top w:val="single" w:sz="36" w:space="15" w:color="auto"/>
        <w:left w:val="single" w:sz="36" w:space="0" w:color="auto"/>
        <w:bottom w:val="single" w:sz="36" w:space="15" w:color="auto"/>
        <w:right w:val="single" w:sz="36" w:space="0" w:color="auto"/>
      </w:pBdr>
      <w:overflowPunct w:val="0"/>
      <w:autoSpaceDE w:val="0"/>
      <w:autoSpaceDN w:val="0"/>
      <w:adjustRightInd w:val="0"/>
      <w:jc w:val="center"/>
      <w:textAlignment w:val="baseline"/>
    </w:pPr>
    <w:rPr>
      <w:rFonts w:ascii="Arial (W1)" w:hAnsi="Arial (W1)" w:cs="Arial"/>
      <w:b/>
      <w:sz w:val="48"/>
      <w:szCs w:val="48"/>
    </w:rPr>
  </w:style>
  <w:style w:type="paragraph" w:customStyle="1" w:styleId="DCET1SSARTICLE">
    <w:name w:val="DCE T 1 SS ARTICLE"/>
    <w:basedOn w:val="Normal"/>
    <w:link w:val="DCET1SSARTICLECar"/>
    <w:rsid w:val="00586F04"/>
    <w:pPr>
      <w:keepNext/>
      <w:keepLines/>
      <w:spacing w:after="240"/>
      <w:jc w:val="center"/>
      <w:outlineLvl w:val="0"/>
    </w:pPr>
    <w:rPr>
      <w:rFonts w:ascii="Times New (W1)" w:hAnsi="Times New (W1)"/>
      <w:b/>
      <w:smallCaps/>
      <w:kern w:val="28"/>
      <w:sz w:val="28"/>
      <w:szCs w:val="28"/>
    </w:rPr>
  </w:style>
  <w:style w:type="paragraph" w:customStyle="1" w:styleId="DCET2SSARTICLE">
    <w:name w:val="DCE T 2 SS ARTICLE"/>
    <w:basedOn w:val="Normal"/>
    <w:rsid w:val="00586F04"/>
    <w:pPr>
      <w:keepNext/>
      <w:keepLines/>
      <w:numPr>
        <w:ilvl w:val="1"/>
        <w:numId w:val="2"/>
      </w:numPr>
      <w:tabs>
        <w:tab w:val="left" w:pos="964"/>
      </w:tabs>
      <w:spacing w:after="240"/>
    </w:pPr>
    <w:rPr>
      <w:b/>
      <w:iCs/>
    </w:rPr>
  </w:style>
  <w:style w:type="paragraph" w:customStyle="1" w:styleId="DCET3SSARTICLE">
    <w:name w:val="DCE T 3 SS ARTICLE"/>
    <w:basedOn w:val="Normal"/>
    <w:next w:val="Normal"/>
    <w:rsid w:val="00586F04"/>
    <w:pPr>
      <w:keepNext/>
      <w:keepLines/>
      <w:numPr>
        <w:ilvl w:val="2"/>
        <w:numId w:val="2"/>
      </w:numPr>
      <w:tabs>
        <w:tab w:val="left" w:pos="1560"/>
      </w:tabs>
      <w:overflowPunct w:val="0"/>
      <w:autoSpaceDE w:val="0"/>
      <w:autoSpaceDN w:val="0"/>
      <w:adjustRightInd w:val="0"/>
      <w:spacing w:after="240"/>
      <w:textAlignment w:val="baseline"/>
    </w:pPr>
    <w:rPr>
      <w:b/>
      <w:bCs/>
      <w:i/>
    </w:rPr>
  </w:style>
  <w:style w:type="character" w:customStyle="1" w:styleId="DCETexteCar">
    <w:name w:val="DCE Texte Car"/>
    <w:link w:val="DCETexte"/>
    <w:rsid w:val="00586F04"/>
    <w:rPr>
      <w:sz w:val="24"/>
    </w:rPr>
  </w:style>
  <w:style w:type="paragraph" w:customStyle="1" w:styleId="DCETitre1">
    <w:name w:val="DCE Titre 1"/>
    <w:basedOn w:val="Titre1"/>
    <w:next w:val="DCETitre2"/>
    <w:link w:val="DCETitre1Car"/>
    <w:qFormat/>
    <w:rsid w:val="00FD76C0"/>
    <w:pPr>
      <w:keepNext/>
      <w:keepLines/>
      <w:numPr>
        <w:numId w:val="14"/>
      </w:numPr>
      <w:overflowPunct w:val="0"/>
      <w:autoSpaceDE w:val="0"/>
      <w:autoSpaceDN w:val="0"/>
      <w:adjustRightInd w:val="0"/>
      <w:spacing w:before="360"/>
      <w:jc w:val="left"/>
      <w:textAlignment w:val="baseline"/>
    </w:pPr>
    <w:rPr>
      <w:b/>
      <w:caps w:val="0"/>
      <w:smallCaps/>
      <w:kern w:val="28"/>
    </w:rPr>
  </w:style>
  <w:style w:type="paragraph" w:customStyle="1" w:styleId="DCETitre3">
    <w:name w:val="DCE Titre 3"/>
    <w:basedOn w:val="Titre3"/>
    <w:next w:val="Normal"/>
    <w:qFormat/>
    <w:rsid w:val="00FD76C0"/>
    <w:pPr>
      <w:keepNext/>
      <w:keepLines/>
      <w:numPr>
        <w:numId w:val="14"/>
      </w:numPr>
      <w:tabs>
        <w:tab w:val="left" w:pos="1559"/>
      </w:tabs>
      <w:overflowPunct w:val="0"/>
      <w:autoSpaceDE w:val="0"/>
      <w:autoSpaceDN w:val="0"/>
      <w:adjustRightInd w:val="0"/>
      <w:spacing w:before="240"/>
      <w:jc w:val="left"/>
      <w:textAlignment w:val="baseline"/>
    </w:pPr>
    <w:rPr>
      <w:b/>
      <w:bCs/>
      <w:i/>
      <w:sz w:val="24"/>
      <w:szCs w:val="24"/>
    </w:rPr>
  </w:style>
  <w:style w:type="paragraph" w:customStyle="1" w:styleId="DCETitre4">
    <w:name w:val="DCE Titre 4"/>
    <w:basedOn w:val="Titre4"/>
    <w:next w:val="Normal"/>
    <w:qFormat/>
    <w:rsid w:val="00FD76C0"/>
    <w:pPr>
      <w:keepLines/>
      <w:widowControl/>
      <w:numPr>
        <w:numId w:val="14"/>
      </w:numPr>
      <w:overflowPunct w:val="0"/>
      <w:autoSpaceDE w:val="0"/>
      <w:autoSpaceDN w:val="0"/>
      <w:adjustRightInd w:val="0"/>
      <w:spacing w:after="120" w:line="360" w:lineRule="auto"/>
      <w:jc w:val="left"/>
      <w:textAlignment w:val="baseline"/>
    </w:pPr>
    <w:rPr>
      <w:rFonts w:ascii="Times New Roman" w:hAnsi="Times New Roman" w:cs="Times New Roman"/>
      <w:sz w:val="24"/>
      <w:szCs w:val="24"/>
    </w:rPr>
  </w:style>
  <w:style w:type="paragraph" w:customStyle="1" w:styleId="DCESSTITRE">
    <w:name w:val="DCE SS TITRE"/>
    <w:basedOn w:val="DCET1SSARTICLE"/>
    <w:link w:val="DCESSTITRECar"/>
    <w:qFormat/>
    <w:rsid w:val="00586F04"/>
  </w:style>
  <w:style w:type="paragraph" w:customStyle="1" w:styleId="DCETEXTE0">
    <w:name w:val="DCE TEXTE"/>
    <w:basedOn w:val="DCETexte"/>
    <w:link w:val="DCETEXTECar0"/>
    <w:qFormat/>
    <w:rsid w:val="00493015"/>
    <w:pPr>
      <w:ind w:firstLine="0"/>
    </w:pPr>
  </w:style>
  <w:style w:type="character" w:customStyle="1" w:styleId="DCET1SSARTICLECar">
    <w:name w:val="DCE T 1 SS ARTICLE Car"/>
    <w:basedOn w:val="Policepardfaut"/>
    <w:link w:val="DCET1SSARTICLE"/>
    <w:rsid w:val="00586F04"/>
    <w:rPr>
      <w:rFonts w:ascii="Times New (W1)" w:hAnsi="Times New (W1)"/>
      <w:b/>
      <w:smallCaps/>
      <w:kern w:val="28"/>
      <w:sz w:val="28"/>
      <w:szCs w:val="28"/>
    </w:rPr>
  </w:style>
  <w:style w:type="character" w:customStyle="1" w:styleId="DCESSTITRECar">
    <w:name w:val="DCE SS TITRE Car"/>
    <w:basedOn w:val="DCET1SSARTICLECar"/>
    <w:link w:val="DCESSTITRE"/>
    <w:rsid w:val="00586F04"/>
    <w:rPr>
      <w:rFonts w:ascii="Times New (W1)" w:hAnsi="Times New (W1)"/>
      <w:b/>
      <w:smallCaps/>
      <w:kern w:val="28"/>
      <w:sz w:val="28"/>
      <w:szCs w:val="28"/>
    </w:rPr>
  </w:style>
  <w:style w:type="character" w:customStyle="1" w:styleId="DCETEXTECar0">
    <w:name w:val="DCE TEXTE Car"/>
    <w:basedOn w:val="DCETexteCar"/>
    <w:link w:val="DCETEXTE0"/>
    <w:rsid w:val="00493015"/>
    <w:rPr>
      <w:sz w:val="24"/>
    </w:rPr>
  </w:style>
  <w:style w:type="paragraph" w:styleId="En-ttedetabledesmatires">
    <w:name w:val="TOC Heading"/>
    <w:basedOn w:val="Titre1"/>
    <w:next w:val="Normal"/>
    <w:uiPriority w:val="39"/>
    <w:semiHidden/>
    <w:unhideWhenUsed/>
    <w:qFormat/>
    <w:rsid w:val="00911F90"/>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rPr>
  </w:style>
  <w:style w:type="character" w:customStyle="1" w:styleId="DCETitre2Car">
    <w:name w:val="DCE Titre 2 Car"/>
    <w:link w:val="DCETitre2"/>
    <w:rsid w:val="00FD76C0"/>
    <w:rPr>
      <w:b/>
      <w:iCs/>
      <w:sz w:val="24"/>
      <w:szCs w:val="24"/>
    </w:rPr>
  </w:style>
  <w:style w:type="character" w:styleId="Accentuation">
    <w:name w:val="Emphasis"/>
    <w:qFormat/>
    <w:rsid w:val="002D0020"/>
    <w:rPr>
      <w:i/>
      <w:iCs/>
    </w:rPr>
  </w:style>
  <w:style w:type="paragraph" w:styleId="Listepuces">
    <w:name w:val="List Bullet"/>
    <w:basedOn w:val="Normal"/>
    <w:qFormat/>
    <w:rsid w:val="00D26F5A"/>
    <w:pPr>
      <w:numPr>
        <w:numId w:val="9"/>
      </w:numPr>
      <w:spacing w:before="120" w:after="120" w:line="276" w:lineRule="auto"/>
      <w:jc w:val="both"/>
    </w:pPr>
    <w:rPr>
      <w:rFonts w:ascii="Arial" w:eastAsia="Arial" w:hAnsi="Arial"/>
      <w:sz w:val="20"/>
      <w:szCs w:val="20"/>
      <w:lang w:eastAsia="en-US"/>
    </w:rPr>
  </w:style>
  <w:style w:type="character" w:customStyle="1" w:styleId="DCETitre1Car">
    <w:name w:val="DCE Titre 1 Car"/>
    <w:basedOn w:val="Policepardfaut"/>
    <w:link w:val="DCETitre1"/>
    <w:rsid w:val="003A3193"/>
    <w:rPr>
      <w:b/>
      <w:smallCaps/>
      <w:kern w:val="28"/>
      <w:sz w:val="28"/>
      <w:szCs w:val="28"/>
    </w:rPr>
  </w:style>
  <w:style w:type="paragraph" w:customStyle="1" w:styleId="AnnexeTitre1">
    <w:name w:val="Annexe Titre 1"/>
    <w:basedOn w:val="Titre1"/>
    <w:next w:val="Normal"/>
    <w:qFormat/>
    <w:rsid w:val="002A6F5D"/>
    <w:pPr>
      <w:keepNext/>
      <w:keepLines/>
      <w:pageBreakBefore/>
      <w:numPr>
        <w:numId w:val="12"/>
      </w:numPr>
      <w:pBdr>
        <w:top w:val="single" w:sz="12" w:space="1" w:color="auto"/>
        <w:left w:val="single" w:sz="12" w:space="4" w:color="auto"/>
        <w:bottom w:val="single" w:sz="12" w:space="1" w:color="auto"/>
        <w:right w:val="single" w:sz="12" w:space="4" w:color="auto"/>
      </w:pBdr>
      <w:shd w:val="clear" w:color="auto" w:fill="000000"/>
      <w:tabs>
        <w:tab w:val="left" w:pos="1560"/>
      </w:tabs>
      <w:spacing w:after="720" w:line="276" w:lineRule="auto"/>
      <w:jc w:val="center"/>
    </w:pPr>
    <w:rPr>
      <w:rFonts w:ascii="Arial Narrow" w:hAnsi="Arial Narrow"/>
      <w:b/>
      <w:bCs/>
      <w:color w:val="FFFFFF"/>
      <w:sz w:val="36"/>
      <w:lang w:val="x-none" w:eastAsia="x-none"/>
    </w:rPr>
  </w:style>
  <w:style w:type="paragraph" w:customStyle="1" w:styleId="Titre6Contrat11">
    <w:name w:val="Titre 6 Contrat 1.1"/>
    <w:basedOn w:val="Normal"/>
    <w:rsid w:val="009550F5"/>
    <w:pPr>
      <w:numPr>
        <w:ilvl w:val="6"/>
        <w:numId w:val="13"/>
      </w:numPr>
      <w:spacing w:before="120" w:after="120" w:line="276" w:lineRule="auto"/>
      <w:jc w:val="both"/>
    </w:pPr>
    <w:rPr>
      <w:rFonts w:ascii="Arial" w:eastAsia="Arial" w:hAnsi="Arial"/>
      <w:sz w:val="20"/>
      <w:szCs w:val="20"/>
    </w:rPr>
  </w:style>
  <w:style w:type="character" w:styleId="Mentionnonrsolue">
    <w:name w:val="Unresolved Mention"/>
    <w:basedOn w:val="Policepardfaut"/>
    <w:uiPriority w:val="99"/>
    <w:semiHidden/>
    <w:unhideWhenUsed/>
    <w:rsid w:val="00B4638A"/>
    <w:rPr>
      <w:color w:val="605E5C"/>
      <w:shd w:val="clear" w:color="auto" w:fill="E1DFDD"/>
    </w:rPr>
  </w:style>
  <w:style w:type="paragraph" w:styleId="NormalWeb">
    <w:name w:val="Normal (Web)"/>
    <w:basedOn w:val="Normal"/>
    <w:uiPriority w:val="99"/>
    <w:unhideWhenUsed/>
    <w:rsid w:val="00A7247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06604">
      <w:bodyDiv w:val="1"/>
      <w:marLeft w:val="0"/>
      <w:marRight w:val="0"/>
      <w:marTop w:val="0"/>
      <w:marBottom w:val="0"/>
      <w:divBdr>
        <w:top w:val="none" w:sz="0" w:space="0" w:color="auto"/>
        <w:left w:val="none" w:sz="0" w:space="0" w:color="auto"/>
        <w:bottom w:val="none" w:sz="0" w:space="0" w:color="auto"/>
        <w:right w:val="none" w:sz="0" w:space="0" w:color="auto"/>
      </w:divBdr>
    </w:div>
    <w:div w:id="580677831">
      <w:bodyDiv w:val="1"/>
      <w:marLeft w:val="0"/>
      <w:marRight w:val="0"/>
      <w:marTop w:val="0"/>
      <w:marBottom w:val="0"/>
      <w:divBdr>
        <w:top w:val="none" w:sz="0" w:space="0" w:color="auto"/>
        <w:left w:val="none" w:sz="0" w:space="0" w:color="auto"/>
        <w:bottom w:val="none" w:sz="0" w:space="0" w:color="auto"/>
        <w:right w:val="none" w:sz="0" w:space="0" w:color="auto"/>
      </w:divBdr>
    </w:div>
    <w:div w:id="1434742911">
      <w:bodyDiv w:val="1"/>
      <w:marLeft w:val="0"/>
      <w:marRight w:val="0"/>
      <w:marTop w:val="0"/>
      <w:marBottom w:val="0"/>
      <w:divBdr>
        <w:top w:val="none" w:sz="0" w:space="0" w:color="auto"/>
        <w:left w:val="none" w:sz="0" w:space="0" w:color="auto"/>
        <w:bottom w:val="none" w:sz="0" w:space="0" w:color="auto"/>
        <w:right w:val="none" w:sz="0" w:space="0" w:color="auto"/>
      </w:divBdr>
    </w:div>
    <w:div w:id="1468425465">
      <w:bodyDiv w:val="1"/>
      <w:marLeft w:val="0"/>
      <w:marRight w:val="0"/>
      <w:marTop w:val="0"/>
      <w:marBottom w:val="0"/>
      <w:divBdr>
        <w:top w:val="none" w:sz="0" w:space="0" w:color="auto"/>
        <w:left w:val="none" w:sz="0" w:space="0" w:color="auto"/>
        <w:bottom w:val="none" w:sz="0" w:space="0" w:color="auto"/>
        <w:right w:val="none" w:sz="0" w:space="0" w:color="auto"/>
      </w:divBdr>
    </w:div>
    <w:div w:id="20681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utique.senat.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36B10-B6CC-4EA5-A513-D5BF5327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23</Pages>
  <Words>7381</Words>
  <Characters>41005</Characters>
  <Application>Microsoft Office Word</Application>
  <DocSecurity>0</DocSecurity>
  <Lines>341</Lines>
  <Paragraphs>96</Paragraphs>
  <ScaleCrop>false</ScaleCrop>
  <HeadingPairs>
    <vt:vector size="2" baseType="variant">
      <vt:variant>
        <vt:lpstr>Titre</vt:lpstr>
      </vt:variant>
      <vt:variant>
        <vt:i4>1</vt:i4>
      </vt:variant>
    </vt:vector>
  </HeadingPairs>
  <TitlesOfParts>
    <vt:vector size="1" baseType="lpstr">
      <vt:lpstr>Modèle pour la frappe des Rapports Parlementaires</vt:lpstr>
    </vt:vector>
  </TitlesOfParts>
  <Company>Senat</Company>
  <LinksUpToDate>false</LinksUpToDate>
  <CharactersWithSpaces>48290</CharactersWithSpaces>
  <SharedDoc>false</SharedDoc>
  <HLinks>
    <vt:vector size="132" baseType="variant">
      <vt:variant>
        <vt:i4>1769533</vt:i4>
      </vt:variant>
      <vt:variant>
        <vt:i4>122</vt:i4>
      </vt:variant>
      <vt:variant>
        <vt:i4>0</vt:i4>
      </vt:variant>
      <vt:variant>
        <vt:i4>5</vt:i4>
      </vt:variant>
      <vt:variant>
        <vt:lpwstr/>
      </vt:variant>
      <vt:variant>
        <vt:lpwstr>_Toc406773883</vt:lpwstr>
      </vt:variant>
      <vt:variant>
        <vt:i4>1769533</vt:i4>
      </vt:variant>
      <vt:variant>
        <vt:i4>116</vt:i4>
      </vt:variant>
      <vt:variant>
        <vt:i4>0</vt:i4>
      </vt:variant>
      <vt:variant>
        <vt:i4>5</vt:i4>
      </vt:variant>
      <vt:variant>
        <vt:lpwstr/>
      </vt:variant>
      <vt:variant>
        <vt:lpwstr>_Toc406773882</vt:lpwstr>
      </vt:variant>
      <vt:variant>
        <vt:i4>1769533</vt:i4>
      </vt:variant>
      <vt:variant>
        <vt:i4>113</vt:i4>
      </vt:variant>
      <vt:variant>
        <vt:i4>0</vt:i4>
      </vt:variant>
      <vt:variant>
        <vt:i4>5</vt:i4>
      </vt:variant>
      <vt:variant>
        <vt:lpwstr/>
      </vt:variant>
      <vt:variant>
        <vt:lpwstr>_Toc406773881</vt:lpwstr>
      </vt:variant>
      <vt:variant>
        <vt:i4>1769533</vt:i4>
      </vt:variant>
      <vt:variant>
        <vt:i4>107</vt:i4>
      </vt:variant>
      <vt:variant>
        <vt:i4>0</vt:i4>
      </vt:variant>
      <vt:variant>
        <vt:i4>5</vt:i4>
      </vt:variant>
      <vt:variant>
        <vt:lpwstr/>
      </vt:variant>
      <vt:variant>
        <vt:lpwstr>_Toc406773880</vt:lpwstr>
      </vt:variant>
      <vt:variant>
        <vt:i4>1310781</vt:i4>
      </vt:variant>
      <vt:variant>
        <vt:i4>104</vt:i4>
      </vt:variant>
      <vt:variant>
        <vt:i4>0</vt:i4>
      </vt:variant>
      <vt:variant>
        <vt:i4>5</vt:i4>
      </vt:variant>
      <vt:variant>
        <vt:lpwstr/>
      </vt:variant>
      <vt:variant>
        <vt:lpwstr>_Toc406773879</vt:lpwstr>
      </vt:variant>
      <vt:variant>
        <vt:i4>1310781</vt:i4>
      </vt:variant>
      <vt:variant>
        <vt:i4>98</vt:i4>
      </vt:variant>
      <vt:variant>
        <vt:i4>0</vt:i4>
      </vt:variant>
      <vt:variant>
        <vt:i4>5</vt:i4>
      </vt:variant>
      <vt:variant>
        <vt:lpwstr/>
      </vt:variant>
      <vt:variant>
        <vt:lpwstr>_Toc406773878</vt:lpwstr>
      </vt:variant>
      <vt:variant>
        <vt:i4>1310781</vt:i4>
      </vt:variant>
      <vt:variant>
        <vt:i4>92</vt:i4>
      </vt:variant>
      <vt:variant>
        <vt:i4>0</vt:i4>
      </vt:variant>
      <vt:variant>
        <vt:i4>5</vt:i4>
      </vt:variant>
      <vt:variant>
        <vt:lpwstr/>
      </vt:variant>
      <vt:variant>
        <vt:lpwstr>_Toc406773877</vt:lpwstr>
      </vt:variant>
      <vt:variant>
        <vt:i4>1310781</vt:i4>
      </vt:variant>
      <vt:variant>
        <vt:i4>86</vt:i4>
      </vt:variant>
      <vt:variant>
        <vt:i4>0</vt:i4>
      </vt:variant>
      <vt:variant>
        <vt:i4>5</vt:i4>
      </vt:variant>
      <vt:variant>
        <vt:lpwstr/>
      </vt:variant>
      <vt:variant>
        <vt:lpwstr>_Toc406773876</vt:lpwstr>
      </vt:variant>
      <vt:variant>
        <vt:i4>1310781</vt:i4>
      </vt:variant>
      <vt:variant>
        <vt:i4>80</vt:i4>
      </vt:variant>
      <vt:variant>
        <vt:i4>0</vt:i4>
      </vt:variant>
      <vt:variant>
        <vt:i4>5</vt:i4>
      </vt:variant>
      <vt:variant>
        <vt:lpwstr/>
      </vt:variant>
      <vt:variant>
        <vt:lpwstr>_Toc406773875</vt:lpwstr>
      </vt:variant>
      <vt:variant>
        <vt:i4>1310781</vt:i4>
      </vt:variant>
      <vt:variant>
        <vt:i4>74</vt:i4>
      </vt:variant>
      <vt:variant>
        <vt:i4>0</vt:i4>
      </vt:variant>
      <vt:variant>
        <vt:i4>5</vt:i4>
      </vt:variant>
      <vt:variant>
        <vt:lpwstr/>
      </vt:variant>
      <vt:variant>
        <vt:lpwstr>_Toc406773874</vt:lpwstr>
      </vt:variant>
      <vt:variant>
        <vt:i4>1310781</vt:i4>
      </vt:variant>
      <vt:variant>
        <vt:i4>68</vt:i4>
      </vt:variant>
      <vt:variant>
        <vt:i4>0</vt:i4>
      </vt:variant>
      <vt:variant>
        <vt:i4>5</vt:i4>
      </vt:variant>
      <vt:variant>
        <vt:lpwstr/>
      </vt:variant>
      <vt:variant>
        <vt:lpwstr>_Toc406773873</vt:lpwstr>
      </vt:variant>
      <vt:variant>
        <vt:i4>1310781</vt:i4>
      </vt:variant>
      <vt:variant>
        <vt:i4>62</vt:i4>
      </vt:variant>
      <vt:variant>
        <vt:i4>0</vt:i4>
      </vt:variant>
      <vt:variant>
        <vt:i4>5</vt:i4>
      </vt:variant>
      <vt:variant>
        <vt:lpwstr/>
      </vt:variant>
      <vt:variant>
        <vt:lpwstr>_Toc406773872</vt:lpwstr>
      </vt:variant>
      <vt:variant>
        <vt:i4>1310781</vt:i4>
      </vt:variant>
      <vt:variant>
        <vt:i4>56</vt:i4>
      </vt:variant>
      <vt:variant>
        <vt:i4>0</vt:i4>
      </vt:variant>
      <vt:variant>
        <vt:i4>5</vt:i4>
      </vt:variant>
      <vt:variant>
        <vt:lpwstr/>
      </vt:variant>
      <vt:variant>
        <vt:lpwstr>_Toc406773871</vt:lpwstr>
      </vt:variant>
      <vt:variant>
        <vt:i4>1310781</vt:i4>
      </vt:variant>
      <vt:variant>
        <vt:i4>50</vt:i4>
      </vt:variant>
      <vt:variant>
        <vt:i4>0</vt:i4>
      </vt:variant>
      <vt:variant>
        <vt:i4>5</vt:i4>
      </vt:variant>
      <vt:variant>
        <vt:lpwstr/>
      </vt:variant>
      <vt:variant>
        <vt:lpwstr>_Toc406773870</vt:lpwstr>
      </vt:variant>
      <vt:variant>
        <vt:i4>1376317</vt:i4>
      </vt:variant>
      <vt:variant>
        <vt:i4>44</vt:i4>
      </vt:variant>
      <vt:variant>
        <vt:i4>0</vt:i4>
      </vt:variant>
      <vt:variant>
        <vt:i4>5</vt:i4>
      </vt:variant>
      <vt:variant>
        <vt:lpwstr/>
      </vt:variant>
      <vt:variant>
        <vt:lpwstr>_Toc406773869</vt:lpwstr>
      </vt:variant>
      <vt:variant>
        <vt:i4>1376317</vt:i4>
      </vt:variant>
      <vt:variant>
        <vt:i4>38</vt:i4>
      </vt:variant>
      <vt:variant>
        <vt:i4>0</vt:i4>
      </vt:variant>
      <vt:variant>
        <vt:i4>5</vt:i4>
      </vt:variant>
      <vt:variant>
        <vt:lpwstr/>
      </vt:variant>
      <vt:variant>
        <vt:lpwstr>_Toc406773868</vt:lpwstr>
      </vt:variant>
      <vt:variant>
        <vt:i4>1376317</vt:i4>
      </vt:variant>
      <vt:variant>
        <vt:i4>32</vt:i4>
      </vt:variant>
      <vt:variant>
        <vt:i4>0</vt:i4>
      </vt:variant>
      <vt:variant>
        <vt:i4>5</vt:i4>
      </vt:variant>
      <vt:variant>
        <vt:lpwstr/>
      </vt:variant>
      <vt:variant>
        <vt:lpwstr>_Toc406773867</vt:lpwstr>
      </vt:variant>
      <vt:variant>
        <vt:i4>1376317</vt:i4>
      </vt:variant>
      <vt:variant>
        <vt:i4>26</vt:i4>
      </vt:variant>
      <vt:variant>
        <vt:i4>0</vt:i4>
      </vt:variant>
      <vt:variant>
        <vt:i4>5</vt:i4>
      </vt:variant>
      <vt:variant>
        <vt:lpwstr/>
      </vt:variant>
      <vt:variant>
        <vt:lpwstr>_Toc406773866</vt:lpwstr>
      </vt:variant>
      <vt:variant>
        <vt:i4>1376317</vt:i4>
      </vt:variant>
      <vt:variant>
        <vt:i4>20</vt:i4>
      </vt:variant>
      <vt:variant>
        <vt:i4>0</vt:i4>
      </vt:variant>
      <vt:variant>
        <vt:i4>5</vt:i4>
      </vt:variant>
      <vt:variant>
        <vt:lpwstr/>
      </vt:variant>
      <vt:variant>
        <vt:lpwstr>_Toc406773865</vt:lpwstr>
      </vt:variant>
      <vt:variant>
        <vt:i4>1376317</vt:i4>
      </vt:variant>
      <vt:variant>
        <vt:i4>14</vt:i4>
      </vt:variant>
      <vt:variant>
        <vt:i4>0</vt:i4>
      </vt:variant>
      <vt:variant>
        <vt:i4>5</vt:i4>
      </vt:variant>
      <vt:variant>
        <vt:lpwstr/>
      </vt:variant>
      <vt:variant>
        <vt:lpwstr>_Toc406773864</vt:lpwstr>
      </vt:variant>
      <vt:variant>
        <vt:i4>1376317</vt:i4>
      </vt:variant>
      <vt:variant>
        <vt:i4>8</vt:i4>
      </vt:variant>
      <vt:variant>
        <vt:i4>0</vt:i4>
      </vt:variant>
      <vt:variant>
        <vt:i4>5</vt:i4>
      </vt:variant>
      <vt:variant>
        <vt:lpwstr/>
      </vt:variant>
      <vt:variant>
        <vt:lpwstr>_Toc406773863</vt:lpwstr>
      </vt:variant>
      <vt:variant>
        <vt:i4>1376317</vt:i4>
      </vt:variant>
      <vt:variant>
        <vt:i4>2</vt:i4>
      </vt:variant>
      <vt:variant>
        <vt:i4>0</vt:i4>
      </vt:variant>
      <vt:variant>
        <vt:i4>5</vt:i4>
      </vt:variant>
      <vt:variant>
        <vt:lpwstr/>
      </vt:variant>
      <vt:variant>
        <vt:lpwstr>_Toc406773862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pour la frappe des Rapports Parlementaires</dc:title>
  <dc:creator>SENAT</dc:creator>
  <cp:lastModifiedBy>Geoffroy LAURIN</cp:lastModifiedBy>
  <cp:revision>11</cp:revision>
  <cp:lastPrinted>2020-10-01T14:18:00Z</cp:lastPrinted>
  <dcterms:created xsi:type="dcterms:W3CDTF">2025-09-15T15:55:00Z</dcterms:created>
  <dcterms:modified xsi:type="dcterms:W3CDTF">2025-09-17T09:59:00Z</dcterms:modified>
</cp:coreProperties>
</file>