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3.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Default"/>
        <w:rPr>
          <w:rFonts w:ascii="Marianne" w:hAnsi="Marianne"/>
          <w:sz w:val="20"/>
          <w:szCs w:val="20"/>
        </w:rPr>
      </w:pPr>
      <w:r>
        <w:rPr>
          <w:rFonts w:ascii="Marianne" w:hAnsi="Marianne"/>
          <w:sz w:val="20"/>
          <w:szCs w:val="20"/>
        </w:rPr>
      </w:r>
    </w:p>
    <w:p>
      <w:pPr>
        <w:pStyle w:val="Default"/>
        <w:jc w:val="center"/>
        <w:rPr>
          <w:rFonts w:ascii="Marianne" w:hAnsi="Marianne"/>
          <w:sz w:val="20"/>
          <w:szCs w:val="20"/>
        </w:rPr>
      </w:pPr>
      <w:r>
        <w:rPr>
          <w:rFonts w:ascii="Marianne" w:hAnsi="Marianne"/>
          <w:b/>
          <w:bCs/>
          <w:sz w:val="20"/>
          <w:szCs w:val="20"/>
        </w:rPr>
        <w:t xml:space="preserve">Acheteur public : </w:t>
      </w:r>
      <w:r>
        <w:rPr>
          <w:rFonts w:ascii="Marianne" w:hAnsi="Marianne"/>
          <w:color w:val="auto"/>
          <w:sz w:val="20"/>
          <w:szCs w:val="20"/>
        </w:rPr>
        <w:t>Ministère de l'Agriculture et de la Souveraineté Alimentaire</w:t>
      </w:r>
    </w:p>
    <w:p>
      <w:pPr>
        <w:pStyle w:val="Default"/>
        <w:jc w:val="center"/>
        <w:rPr>
          <w:rFonts w:ascii="Marianne" w:hAnsi="Marianne"/>
          <w:b/>
          <w:bCs/>
          <w:sz w:val="20"/>
          <w:szCs w:val="20"/>
        </w:rPr>
      </w:pPr>
      <w:r>
        <w:rPr>
          <w:rFonts w:ascii="Marianne" w:hAnsi="Marianne"/>
          <w:b/>
          <w:bCs/>
          <w:sz w:val="20"/>
          <w:szCs w:val="20"/>
        </w:rPr>
      </w:r>
    </w:p>
    <w:p>
      <w:pPr>
        <w:pStyle w:val="Normal"/>
        <w:rPr>
          <w:rFonts w:ascii="Marianne" w:hAnsi="Marianne"/>
          <w:szCs w:val="20"/>
        </w:rPr>
      </w:pPr>
      <w:r>
        <w:rPr>
          <w:rFonts w:ascii="Marianne" w:hAnsi="Marianne"/>
          <w:b/>
          <w:bCs/>
          <w:sz w:val="20"/>
          <w:szCs w:val="20"/>
        </w:rPr>
        <w:t xml:space="preserve">Direction service : </w:t>
      </w:r>
      <w:r>
        <w:rPr>
          <w:rFonts w:ascii="Marianne" w:hAnsi="Marianne"/>
          <w:szCs w:val="20"/>
        </w:rPr>
        <w:t>Bourgogne – Franche-Comté</w:t>
      </w:r>
    </w:p>
    <w:p>
      <w:pPr>
        <w:pStyle w:val="Default"/>
        <w:tabs>
          <w:tab w:val="clear" w:pos="708"/>
          <w:tab w:val="left" w:pos="3585" w:leader="none"/>
        </w:tabs>
        <w:jc w:val="center"/>
        <w:rPr>
          <w:rFonts w:ascii="Marianne" w:hAnsi="Marianne"/>
          <w:sz w:val="20"/>
          <w:szCs w:val="20"/>
        </w:rPr>
      </w:pPr>
      <w:r>
        <w:rPr>
          <w:rFonts w:ascii="Marianne" w:hAnsi="Marianne"/>
          <w:sz w:val="20"/>
          <w:szCs w:val="20"/>
        </w:rPr>
      </w:r>
    </w:p>
    <w:p>
      <w:pPr>
        <w:pStyle w:val="Normal"/>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tbl>
      <w:tblPr>
        <w:tblW w:w="9726" w:type="dxa"/>
        <w:jc w:val="center"/>
        <w:tblInd w:w="0" w:type="dxa"/>
        <w:tblLayout w:type="fixed"/>
        <w:tblCellMar>
          <w:top w:w="55" w:type="dxa"/>
          <w:left w:w="55" w:type="dxa"/>
          <w:bottom w:w="55" w:type="dxa"/>
          <w:right w:w="55" w:type="dxa"/>
        </w:tblCellMar>
        <w:tblLook w:firstRow="0" w:noVBand="0" w:lastRow="0" w:firstColumn="0" w:lastColumn="0" w:noHBand="0" w:val="0000"/>
      </w:tblPr>
      <w:tblGrid>
        <w:gridCol w:w="557"/>
        <w:gridCol w:w="9027"/>
        <w:gridCol w:w="142"/>
      </w:tblGrid>
      <w:tr>
        <w:trPr>
          <w:trHeight w:val="1163" w:hRule="atLeast"/>
        </w:trPr>
        <w:tc>
          <w:tcPr>
            <w:tcW w:w="557" w:type="dxa"/>
            <w:tcBorders>
              <w:top w:val="single" w:sz="2" w:space="0" w:color="000001"/>
              <w:left w:val="single" w:sz="2" w:space="0" w:color="000001"/>
            </w:tcBorders>
            <w:shd w:color="auto" w:fill="B4C6E7" w:themeFill="accent1" w:themeFillTint="66" w:val="clear"/>
          </w:tcPr>
          <w:p>
            <w:pPr>
              <w:pStyle w:val="Contenudetableau"/>
              <w:widowControl w:val="false"/>
              <w:spacing w:before="120" w:after="0"/>
              <w:rPr/>
            </w:pPr>
            <w:r>
              <w:rPr/>
            </w:r>
          </w:p>
        </w:tc>
        <w:tc>
          <w:tcPr>
            <w:tcW w:w="9027" w:type="dxa"/>
            <w:tcBorders>
              <w:top w:val="single" w:sz="2" w:space="0" w:color="000001"/>
            </w:tcBorders>
            <w:shd w:color="auto" w:fill="B4C6E7" w:themeFill="accent1" w:themeFillTint="66" w:val="clear"/>
            <w:vAlign w:val="center"/>
          </w:tcPr>
          <w:p>
            <w:pPr>
              <w:pStyle w:val="Normal"/>
              <w:widowControl w:val="false"/>
              <w:rPr>
                <w:rFonts w:ascii="Marianne" w:hAnsi="Marianne"/>
                <w:b/>
                <w:lang w:eastAsia="fr-FR"/>
              </w:rPr>
            </w:pPr>
            <w:r>
              <w:rPr>
                <w:rFonts w:ascii="Marianne" w:hAnsi="Marianne"/>
                <w:b/>
                <w:lang w:eastAsia="fr-FR"/>
              </w:rPr>
            </w:r>
          </w:p>
          <w:p>
            <w:pPr>
              <w:pStyle w:val="Normal"/>
              <w:widowControl w:val="false"/>
              <w:jc w:val="center"/>
              <w:rPr>
                <w:rFonts w:ascii="Marianne" w:hAnsi="Marianne"/>
                <w:b/>
                <w:sz w:val="28"/>
                <w:szCs w:val="28"/>
                <w:lang w:eastAsia="fr-FR"/>
              </w:rPr>
            </w:pPr>
            <w:r>
              <w:rPr>
                <w:rFonts w:ascii="Marianne" w:hAnsi="Marianne"/>
                <w:b/>
                <w:sz w:val="28"/>
                <w:szCs w:val="28"/>
                <w:lang w:eastAsia="fr-FR"/>
              </w:rPr>
            </w:r>
          </w:p>
          <w:p>
            <w:pPr>
              <w:pStyle w:val="Normal"/>
              <w:widowControl w:val="false"/>
              <w:jc w:val="center"/>
              <w:rPr>
                <w:rFonts w:ascii="Marianne" w:hAnsi="Marianne"/>
                <w:b/>
                <w:sz w:val="28"/>
                <w:szCs w:val="28"/>
                <w:lang w:eastAsia="fr-FR"/>
              </w:rPr>
            </w:pPr>
            <w:r>
              <w:rPr>
                <w:rFonts w:ascii="Marianne" w:hAnsi="Marianne"/>
                <w:b/>
                <w:sz w:val="28"/>
                <w:szCs w:val="28"/>
                <w:lang w:eastAsia="fr-FR"/>
              </w:rPr>
              <w:t>Annexe financière à l’acte d’engagement (ATTRI1)</w:t>
            </w:r>
          </w:p>
          <w:p>
            <w:pPr>
              <w:pStyle w:val="Normal"/>
              <w:widowControl w:val="false"/>
              <w:jc w:val="center"/>
              <w:rPr>
                <w:rFonts w:ascii="Marianne" w:hAnsi="Marianne"/>
                <w:b/>
                <w:sz w:val="28"/>
                <w:szCs w:val="28"/>
                <w:lang w:eastAsia="fr-FR"/>
              </w:rPr>
            </w:pPr>
            <w:r>
              <w:rPr>
                <w:rFonts w:ascii="Marianne" w:hAnsi="Marianne"/>
                <w:b/>
                <w:sz w:val="28"/>
                <w:szCs w:val="28"/>
                <w:lang w:eastAsia="fr-FR"/>
              </w:rPr>
              <w:t>Bordereaux des prix unitaires (BPU)</w:t>
            </w:r>
          </w:p>
          <w:p>
            <w:pPr>
              <w:pStyle w:val="Normal"/>
              <w:widowControl w:val="false"/>
              <w:jc w:val="center"/>
              <w:rPr>
                <w:rFonts w:ascii="Marianne" w:hAnsi="Marianne"/>
                <w:b/>
                <w:sz w:val="28"/>
                <w:szCs w:val="28"/>
                <w:lang w:eastAsia="fr-FR"/>
              </w:rPr>
            </w:pPr>
            <w:r>
              <w:rPr>
                <w:rFonts w:ascii="Marianne" w:hAnsi="Marianne"/>
                <w:b/>
                <w:sz w:val="28"/>
                <w:szCs w:val="28"/>
                <w:lang w:eastAsia="fr-FR"/>
              </w:rPr>
            </w:r>
          </w:p>
          <w:p>
            <w:pPr>
              <w:pStyle w:val="Standard"/>
              <w:widowControl w:val="false"/>
              <w:jc w:val="center"/>
              <w:rPr>
                <w:b/>
                <w:sz w:val="32"/>
                <w:szCs w:val="32"/>
                <w:lang w:eastAsia="fr-FR" w:bidi="ar-SA"/>
              </w:rPr>
            </w:pPr>
            <w:r>
              <w:rPr>
                <w:b/>
                <w:sz w:val="32"/>
                <w:szCs w:val="32"/>
                <w:lang w:eastAsia="fr-FR" w:bidi="ar-SA"/>
              </w:rPr>
              <w:t>Accord-cadre régional de pose en urgence, maintenance et dépose de clôtures anti-sangliers</w:t>
            </w:r>
          </w:p>
          <w:p>
            <w:pPr>
              <w:pStyle w:val="Standard"/>
              <w:widowControl w:val="false"/>
              <w:rPr>
                <w:b/>
              </w:rPr>
            </w:pPr>
            <w:r>
              <w:rPr>
                <w:b/>
                <w:sz w:val="32"/>
                <w:szCs w:val="32"/>
                <w:lang w:eastAsia="fr-FR" w:bidi="ar-SA"/>
              </w:rPr>
              <w:t xml:space="preserve"> </w:t>
            </w:r>
          </w:p>
        </w:tc>
        <w:tc>
          <w:tcPr>
            <w:tcW w:w="142" w:type="dxa"/>
            <w:tcBorders>
              <w:top w:val="single" w:sz="2" w:space="0" w:color="000001"/>
              <w:right w:val="single" w:sz="2" w:space="0" w:color="000001"/>
            </w:tcBorders>
            <w:shd w:color="auto" w:fill="B4C6E7" w:themeFill="accent1" w:themeFillTint="66" w:val="clear"/>
          </w:tcPr>
          <w:p>
            <w:pPr>
              <w:pStyle w:val="Contenudetableau"/>
              <w:widowControl w:val="false"/>
              <w:spacing w:before="120" w:after="0"/>
              <w:rPr/>
            </w:pPr>
            <w:r>
              <w:rPr/>
            </w:r>
          </w:p>
        </w:tc>
      </w:tr>
      <w:tr>
        <w:trPr>
          <w:trHeight w:val="25" w:hRule="atLeast"/>
        </w:trPr>
        <w:tc>
          <w:tcPr>
            <w:tcW w:w="557" w:type="dxa"/>
            <w:tcBorders>
              <w:left w:val="single" w:sz="2" w:space="0" w:color="000001"/>
              <w:bottom w:val="single" w:sz="2" w:space="0" w:color="000001"/>
            </w:tcBorders>
            <w:shd w:color="auto" w:fill="B4C6E7" w:themeFill="accent1" w:themeFillTint="66" w:val="clear"/>
          </w:tcPr>
          <w:p>
            <w:pPr>
              <w:pStyle w:val="Contenudetableau"/>
              <w:widowControl w:val="false"/>
              <w:spacing w:before="120" w:after="0"/>
              <w:rPr/>
            </w:pPr>
            <w:r>
              <w:rPr/>
            </w:r>
          </w:p>
        </w:tc>
        <w:tc>
          <w:tcPr>
            <w:tcW w:w="9027" w:type="dxa"/>
            <w:tcBorders>
              <w:bottom w:val="single" w:sz="2" w:space="0" w:color="000001"/>
            </w:tcBorders>
            <w:shd w:color="auto" w:fill="B4C6E7" w:themeFill="accent1" w:themeFillTint="66" w:val="clear"/>
            <w:vAlign w:val="center"/>
          </w:tcPr>
          <w:p>
            <w:pPr>
              <w:pStyle w:val="Normal"/>
              <w:widowControl w:val="false"/>
              <w:jc w:val="center"/>
              <w:rPr>
                <w:rFonts w:ascii="Marianne" w:hAnsi="Marianne"/>
              </w:rPr>
            </w:pPr>
            <w:r>
              <w:rPr>
                <w:rFonts w:ascii="Marianne" w:hAnsi="Marianne"/>
                <w:b/>
              </w:rPr>
              <w:t>Numéro de consultation :</w:t>
            </w:r>
            <w:r>
              <w:rPr>
                <w:rFonts w:ascii="Marianne" w:hAnsi="Marianne"/>
              </w:rPr>
              <w:t xml:space="preserve"> </w:t>
            </w:r>
            <w:r>
              <w:rPr/>
              <w:t>DRAAF-BFC-2025-01</w:t>
            </w:r>
          </w:p>
          <w:p>
            <w:pPr>
              <w:pStyle w:val="Normal"/>
              <w:widowControl w:val="false"/>
              <w:jc w:val="center"/>
              <w:rPr>
                <w:rFonts w:ascii="Marianne" w:hAnsi="Marianne"/>
              </w:rPr>
            </w:pPr>
            <w:r>
              <w:rPr>
                <w:rFonts w:ascii="Marianne" w:hAnsi="Marianne"/>
              </w:rPr>
            </w:r>
          </w:p>
          <w:p>
            <w:pPr>
              <w:pStyle w:val="Normal"/>
              <w:widowControl w:val="false"/>
              <w:spacing w:before="0" w:after="160"/>
              <w:rPr>
                <w:rFonts w:ascii="Marianne" w:hAnsi="Marianne"/>
              </w:rPr>
            </w:pPr>
            <w:r>
              <w:rPr>
                <w:rFonts w:ascii="Marianne" w:hAnsi="Marianne"/>
              </w:rPr>
            </w:r>
          </w:p>
        </w:tc>
        <w:tc>
          <w:tcPr>
            <w:tcW w:w="142" w:type="dxa"/>
            <w:tcBorders>
              <w:bottom w:val="single" w:sz="2" w:space="0" w:color="000001"/>
              <w:right w:val="single" w:sz="2" w:space="0" w:color="000001"/>
            </w:tcBorders>
            <w:shd w:color="auto" w:fill="B4C6E7" w:themeFill="accent1" w:themeFillTint="66" w:val="clear"/>
          </w:tcPr>
          <w:p>
            <w:pPr>
              <w:pStyle w:val="Contenudetableau"/>
              <w:widowControl w:val="false"/>
              <w:spacing w:before="120" w:after="0"/>
              <w:rPr/>
            </w:pPr>
            <w:r>
              <w:rPr/>
            </w:r>
          </w:p>
        </w:tc>
      </w:tr>
    </w:tbl>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jc w:val="center"/>
        <w:rPr>
          <w:rFonts w:ascii="Marianne" w:hAnsi="Marianne"/>
          <w:b/>
          <w:bCs/>
          <w:sz w:val="20"/>
          <w:szCs w:val="20"/>
        </w:rPr>
      </w:pPr>
      <w:r>
        <w:rPr>
          <w:rFonts w:ascii="Marianne" w:hAnsi="Marianne"/>
          <w:b/>
          <w:bCs/>
          <w:sz w:val="20"/>
          <w:szCs w:val="20"/>
        </w:rPr>
      </w:r>
    </w:p>
    <w:p>
      <w:pPr>
        <w:pStyle w:val="Normal"/>
        <w:rPr>
          <w:rFonts w:ascii="Marianne" w:hAnsi="Marianne"/>
          <w:sz w:val="21"/>
          <w:szCs w:val="21"/>
          <w:u w:val="single"/>
        </w:rPr>
      </w:pPr>
      <w:r>
        <w:rPr>
          <w:rFonts w:ascii="Marianne" w:hAnsi="Marianne"/>
          <w:sz w:val="21"/>
          <w:szCs w:val="21"/>
          <w:u w:val="single"/>
        </w:rPr>
        <w:t xml:space="preserve">1) Pose de clôtures anti-sangliers en urgence.  </w:t>
      </w:r>
    </w:p>
    <w:tbl>
      <w:tblPr>
        <w:tblStyle w:val="Grilledutableau"/>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37"/>
        <w:gridCol w:w="1996"/>
        <w:gridCol w:w="1985"/>
      </w:tblGrid>
      <w:tr>
        <w:trPr>
          <w:trHeight w:val="483" w:hRule="atLeast"/>
        </w:trPr>
        <w:tc>
          <w:tcPr>
            <w:tcW w:w="9918" w:type="dxa"/>
            <w:gridSpan w:val="3"/>
            <w:tcBorders/>
            <w:shd w:color="auto" w:fill="ACB9CA" w:themeFill="text2" w:themeFillTint="66" w:val="clear"/>
          </w:tcPr>
          <w:p>
            <w:pPr>
              <w:pStyle w:val="Normal"/>
              <w:widowControl w:val="false"/>
              <w:shd w:val="clear" w:color="auto" w:fill="ACB9CA" w:themeFill="text2" w:themeFillTint="66"/>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VISITE DE CHANTIER ET EXPERTISE </w:t>
            </w:r>
          </w:p>
          <w:p>
            <w:pPr>
              <w:pStyle w:val="Normal"/>
              <w:widowControl w:val="false"/>
              <w:shd w:val="clear" w:color="auto" w:fill="ACB9CA" w:themeFill="text2" w:themeFillTint="66"/>
              <w:tabs>
                <w:tab w:val="clear" w:pos="708"/>
                <w:tab w:val="left" w:pos="1788" w:leader="none"/>
              </w:tabs>
              <w:suppressAutoHyphens w:val="true"/>
              <w:spacing w:lineRule="auto" w:line="240" w:before="0" w:after="0"/>
              <w:jc w:val="left"/>
              <w:rPr>
                <w:rFonts w:ascii="Marianne" w:hAnsi="Marianne" w:eastAsia="Calibri" w:cs="" w:cstheme="minorBidi" w:eastAsiaTheme="minorHAnsi"/>
                <w:b/>
                <w:bCs/>
                <w:color w:val="auto"/>
                <w:kern w:val="0"/>
                <w:sz w:val="20"/>
                <w:szCs w:val="20"/>
                <w:lang w:val="fr-FR" w:eastAsia="en-US" w:bidi="ar-SA"/>
              </w:rPr>
            </w:pPr>
            <w:r>
              <w:rPr>
                <w:rFonts w:eastAsia="Calibri" w:cs="" w:ascii="Marianne" w:hAnsi="Marianne" w:cstheme="minorBidi" w:eastAsiaTheme="minorHAnsi"/>
                <w:b/>
                <w:bCs/>
                <w:color w:val="auto"/>
                <w:kern w:val="0"/>
                <w:sz w:val="20"/>
                <w:szCs w:val="20"/>
                <w:lang w:val="fr-FR" w:eastAsia="en-US" w:bidi="ar-SA"/>
              </w:rPr>
              <w:t xml:space="preserve">Inclut la visite depuis le déplacement. </w:t>
            </w:r>
          </w:p>
        </w:tc>
      </w:tr>
      <w:tr>
        <w:trPr>
          <w:trHeight w:val="235" w:hRule="atLeast"/>
        </w:trPr>
        <w:tc>
          <w:tcPr>
            <w:tcW w:w="5937"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ascii="Marianne" w:hAnsi="Marianne"/>
                <w:b/>
                <w:bCs/>
                <w:sz w:val="20"/>
                <w:szCs w:val="20"/>
              </w:rPr>
            </w:r>
          </w:p>
        </w:tc>
        <w:tc>
          <w:tcPr>
            <w:tcW w:w="1996"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 xml:space="preserve">Montant HT </w:t>
            </w:r>
          </w:p>
        </w:tc>
        <w:tc>
          <w:tcPr>
            <w:tcW w:w="1985"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TTC</w:t>
            </w:r>
          </w:p>
        </w:tc>
      </w:tr>
      <w:tr>
        <w:trPr>
          <w:trHeight w:val="483" w:hRule="atLeast"/>
        </w:trPr>
        <w:tc>
          <w:tcPr>
            <w:tcW w:w="5937" w:type="dxa"/>
            <w:tcBorders/>
            <w:vAlign w:val="cente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Visite de chantier</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agent et par jour</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bl>
    <w:p>
      <w:pPr>
        <w:pStyle w:val="Normal"/>
        <w:tabs>
          <w:tab w:val="clear" w:pos="708"/>
          <w:tab w:val="left" w:pos="1788" w:leader="none"/>
        </w:tabs>
        <w:rPr/>
      </w:pPr>
      <w:r>
        <w:rPr/>
      </w:r>
    </w:p>
    <w:tbl>
      <w:tblPr>
        <w:tblStyle w:val="Grilledutableau"/>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37"/>
        <w:gridCol w:w="1996"/>
        <w:gridCol w:w="1985"/>
      </w:tblGrid>
      <w:tr>
        <w:trPr>
          <w:trHeight w:val="235" w:hRule="atLeast"/>
        </w:trPr>
        <w:tc>
          <w:tcPr>
            <w:tcW w:w="9918" w:type="dxa"/>
            <w:gridSpan w:val="3"/>
            <w:tcBorders/>
            <w:shd w:color="auto" w:fill="ACB9CA" w:themeFill="text2"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TRAVAUX PREPARATOIRES</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ascii="Marianne" w:hAnsi="Marianne"/>
                <w:b/>
                <w:bCs/>
                <w:sz w:val="20"/>
                <w:szCs w:val="20"/>
              </w:rPr>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HT</w:t>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TTC</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Forfait de préparation et suivi du chantier : </w:t>
            </w:r>
            <w:r>
              <w:rPr>
                <w:rFonts w:eastAsia="Calibri" w:cs="" w:ascii="Marianne" w:hAnsi="Marianne"/>
                <w:kern w:val="0"/>
                <w:sz w:val="20"/>
                <w:szCs w:val="20"/>
                <w:lang w:val="fr-FR" w:eastAsia="en-US" w:bidi="ar-SA"/>
              </w:rPr>
              <w:t xml:space="preserve">réalisation des DT-DICT conjointes ou éventuels ATU, visite sur site, implantation et piquetage, obtention de l’accord des propriétaires des terrains des zones de travaux, management de la sécurité, gestion des aspects environnementaux, contrôle essai de tension et résistance et remise en état initial de la zone de travaux.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chantier</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9918" w:type="dxa"/>
            <w:gridSpan w:val="3"/>
            <w:tcBorders/>
            <w:shd w:color="auto" w:fill="DBDBDB" w:themeFill="accent3"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i/>
                <w:i/>
                <w:iCs/>
                <w:sz w:val="20"/>
                <w:szCs w:val="20"/>
              </w:rPr>
            </w:pPr>
            <w:r>
              <w:rPr>
                <w:rFonts w:eastAsia="Calibri" w:cs="" w:ascii="Marianne" w:hAnsi="Marianne"/>
                <w:i/>
                <w:iCs/>
                <w:kern w:val="0"/>
                <w:sz w:val="20"/>
                <w:szCs w:val="20"/>
                <w:lang w:val="fr-FR" w:eastAsia="en-US" w:bidi="ar-SA"/>
              </w:rPr>
              <w:t xml:space="preserve">Dégagement de la végétation </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Débroussaillage avec arrachage d’arbres de diamètre entre 5 et 10 cm sur une largeur de 3 mètres linéaires (ML) de part et d’autre de la clôture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Abattage d’arbre de diamètre entre 10 et 20 cm</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unité</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9918" w:type="dxa"/>
            <w:gridSpan w:val="3"/>
            <w:tcBorders/>
            <w:shd w:color="auto" w:fill="DBDBDB" w:themeFill="accent3"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i/>
                <w:iCs/>
                <w:kern w:val="0"/>
                <w:sz w:val="20"/>
                <w:szCs w:val="20"/>
                <w:lang w:val="fr-FR" w:eastAsia="en-US" w:bidi="ar-SA"/>
              </w:rPr>
              <w:t>Autres</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Renforcement de sol</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Fourniture et pose d’une membrane géotextile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Reprofilage (h&gt;5 cm) avant pose de clôture sur une largeur d’un ML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bl>
    <w:p>
      <w:pPr>
        <w:pStyle w:val="Normal"/>
        <w:tabs>
          <w:tab w:val="clear" w:pos="708"/>
          <w:tab w:val="left" w:pos="1788" w:leader="none"/>
        </w:tabs>
        <w:rPr/>
      </w:pPr>
      <w:r>
        <w:rPr/>
      </w:r>
    </w:p>
    <w:tbl>
      <w:tblPr>
        <w:tblStyle w:val="Grilledutableau"/>
        <w:tblW w:w="991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57"/>
        <w:gridCol w:w="2411"/>
        <w:gridCol w:w="2546"/>
      </w:tblGrid>
      <w:tr>
        <w:trPr/>
        <w:tc>
          <w:tcPr>
            <w:tcW w:w="9914" w:type="dxa"/>
            <w:gridSpan w:val="3"/>
            <w:tcBorders/>
            <w:shd w:color="auto" w:fill="ACB9CA" w:themeFill="text2"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POSE</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Inclut l’acheminement des agents et du matériel, l’installation, le suivi et la sécurisation du chantier et l’ensemble des tâches permettant de poser les clôtures.  </w:t>
            </w:r>
          </w:p>
        </w:tc>
      </w:tr>
      <w:tr>
        <w:trPr/>
        <w:tc>
          <w:tcPr>
            <w:tcW w:w="495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2411"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eastAsia="Calibri" w:cs="" w:ascii="Marianne" w:hAnsi="Marianne"/>
                <w:kern w:val="0"/>
                <w:sz w:val="20"/>
                <w:szCs w:val="20"/>
                <w:lang w:val="fr-FR" w:eastAsia="en-US" w:bidi="ar-SA"/>
              </w:rPr>
              <w:t>Montant HT</w:t>
            </w:r>
          </w:p>
        </w:tc>
        <w:tc>
          <w:tcPr>
            <w:tcW w:w="254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eastAsia="Calibri" w:cs="" w:ascii="Marianne" w:hAnsi="Marianne"/>
                <w:kern w:val="0"/>
                <w:sz w:val="20"/>
                <w:szCs w:val="20"/>
                <w:lang w:val="fr-FR" w:eastAsia="en-US" w:bidi="ar-SA"/>
              </w:rPr>
              <w:t>Montant TTC</w:t>
            </w:r>
          </w:p>
        </w:tc>
      </w:tr>
      <w:tr>
        <w:trPr/>
        <w:tc>
          <w:tcPr>
            <w:tcW w:w="495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Pose au sol simple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w:t>
            </w:r>
          </w:p>
        </w:tc>
        <w:tc>
          <w:tcPr>
            <w:tcW w:w="2411"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c>
          <w:tcPr>
            <w:tcW w:w="254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r>
      <w:tr>
        <w:trPr/>
        <w:tc>
          <w:tcPr>
            <w:tcW w:w="495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Pose avec enfouissement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2411"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c>
          <w:tcPr>
            <w:tcW w:w="254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r>
      <w:tr>
        <w:trPr/>
        <w:tc>
          <w:tcPr>
            <w:tcW w:w="495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Pose avec rabat</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w:t>
            </w:r>
          </w:p>
        </w:tc>
        <w:tc>
          <w:tcPr>
            <w:tcW w:w="2411"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c>
          <w:tcPr>
            <w:tcW w:w="254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médium</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dur ou rocheux</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color w:val="000000" w:themeColor="text1"/>
                <w:sz w:val="20"/>
                <w:szCs w:val="20"/>
              </w:rPr>
            </w:pPr>
            <w:r>
              <w:rPr>
                <w:rFonts w:eastAsia="Calibri" w:cs="" w:ascii="Marianne" w:hAnsi="Marianne"/>
                <w:b/>
                <w:bCs/>
                <w:color w:val="000000" w:themeColor="text1"/>
                <w:kern w:val="0"/>
                <w:sz w:val="20"/>
                <w:szCs w:val="20"/>
                <w:lang w:val="fr-FR" w:eastAsia="en-US" w:bidi="ar-SA"/>
              </w:rPr>
              <w:t xml:space="preserve">Supplément travaux à proximité de réseaux </w:t>
            </w:r>
          </w:p>
          <w:p>
            <w:pPr>
              <w:pStyle w:val="Normal"/>
              <w:widowControl w:val="false"/>
              <w:tabs>
                <w:tab w:val="clear" w:pos="708"/>
                <w:tab w:val="left" w:pos="1788" w:leader="none"/>
              </w:tabs>
              <w:suppressAutoHyphens w:val="true"/>
              <w:spacing w:lineRule="auto" w:line="240" w:before="0" w:after="0"/>
              <w:jc w:val="left"/>
              <w:rPr>
                <w:rFonts w:ascii="Marianne" w:hAnsi="Marianne"/>
                <w:color w:val="000000" w:themeColor="text1"/>
                <w:sz w:val="20"/>
                <w:szCs w:val="20"/>
              </w:rPr>
            </w:pPr>
            <w:r>
              <w:rPr>
                <w:rFonts w:eastAsia="Calibri" w:cs="" w:ascii="Marianne" w:hAnsi="Marianne"/>
                <w:color w:val="000000" w:themeColor="text1"/>
                <w:kern w:val="0"/>
                <w:sz w:val="20"/>
                <w:szCs w:val="20"/>
                <w:lang w:val="fr-FR" w:eastAsia="en-US" w:bidi="ar-SA"/>
              </w:rPr>
              <w:t xml:space="preserve">Pourcentage supplémentaire de la pose ml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color w:val="000000" w:themeColor="text1"/>
                <w:sz w:val="20"/>
                <w:szCs w:val="20"/>
              </w:rPr>
            </w:pPr>
            <w:r>
              <w:rPr>
                <w:rFonts w:eastAsia="Calibri" w:cs="" w:ascii="Marianne" w:hAnsi="Marianne"/>
                <w:b/>
                <w:bCs/>
                <w:color w:val="000000" w:themeColor="text1"/>
                <w:kern w:val="0"/>
                <w:sz w:val="20"/>
                <w:szCs w:val="20"/>
                <w:lang w:val="fr-FR" w:eastAsia="en-US" w:bidi="ar-SA"/>
              </w:rPr>
              <w:t xml:space="preserve">Pose de passages pour piétons </w:t>
            </w:r>
          </w:p>
          <w:p>
            <w:pPr>
              <w:pStyle w:val="Normal"/>
              <w:widowControl w:val="false"/>
              <w:tabs>
                <w:tab w:val="clear" w:pos="708"/>
                <w:tab w:val="left" w:pos="1788" w:leader="none"/>
              </w:tabs>
              <w:suppressAutoHyphens w:val="true"/>
              <w:spacing w:lineRule="auto" w:line="240" w:before="0" w:after="0"/>
              <w:jc w:val="left"/>
              <w:rPr>
                <w:rFonts w:ascii="Marianne" w:hAnsi="Marianne"/>
                <w:color w:val="000000" w:themeColor="text1"/>
                <w:sz w:val="20"/>
                <w:szCs w:val="20"/>
              </w:rPr>
            </w:pPr>
            <w:r>
              <w:rPr>
                <w:rFonts w:eastAsia="Calibri" w:cs="" w:ascii="Marianne" w:hAnsi="Marianne"/>
                <w:color w:val="000000" w:themeColor="text1"/>
                <w:kern w:val="0"/>
                <w:sz w:val="20"/>
                <w:szCs w:val="20"/>
                <w:lang w:val="fr-FR" w:eastAsia="en-US" w:bidi="ar-SA"/>
              </w:rPr>
              <w:t xml:space="preserve">Par unité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color w:val="000000" w:themeColor="text1"/>
                <w:sz w:val="20"/>
                <w:szCs w:val="20"/>
              </w:rPr>
            </w:pPr>
            <w:r>
              <w:rPr>
                <w:rFonts w:eastAsia="Calibri" w:cs="" w:ascii="Marianne" w:hAnsi="Marianne"/>
                <w:b/>
                <w:bCs/>
                <w:color w:val="000000" w:themeColor="text1"/>
                <w:kern w:val="0"/>
                <w:sz w:val="20"/>
                <w:szCs w:val="20"/>
                <w:lang w:val="fr-FR" w:eastAsia="en-US" w:bidi="ar-SA"/>
              </w:rPr>
              <w:t xml:space="preserve">Pose de passages pour véhicules </w:t>
            </w:r>
          </w:p>
          <w:p>
            <w:pPr>
              <w:pStyle w:val="Normal"/>
              <w:widowControl w:val="false"/>
              <w:tabs>
                <w:tab w:val="clear" w:pos="708"/>
                <w:tab w:val="left" w:pos="1788" w:leader="none"/>
              </w:tabs>
              <w:suppressAutoHyphens w:val="true"/>
              <w:spacing w:lineRule="auto" w:line="240" w:before="0" w:after="0"/>
              <w:jc w:val="left"/>
              <w:rPr>
                <w:rFonts w:ascii="Marianne" w:hAnsi="Marianne"/>
                <w:color w:val="000000" w:themeColor="text1"/>
                <w:sz w:val="20"/>
                <w:szCs w:val="20"/>
              </w:rPr>
            </w:pPr>
            <w:r>
              <w:rPr>
                <w:rFonts w:eastAsia="Calibri" w:cs="" w:ascii="Marianne" w:hAnsi="Marianne"/>
                <w:color w:val="000000" w:themeColor="text1"/>
                <w:kern w:val="0"/>
                <w:sz w:val="20"/>
                <w:szCs w:val="20"/>
                <w:lang w:val="fr-FR" w:eastAsia="en-US" w:bidi="ar-SA"/>
              </w:rPr>
              <w:t xml:space="preserve">Par unité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week-end et jours fériés</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agent et par jour</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Opérations de désinfection : biocides et leur aspersion sur le matériel et les équipements.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unité (une opération de désinfection par chantier en zone infectée).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c>
          <w:tcPr>
            <w:tcW w:w="495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Dédommagement arrêt des travaux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jour d’arrêt </w:t>
            </w:r>
          </w:p>
        </w:tc>
        <w:tc>
          <w:tcPr>
            <w:tcW w:w="2411"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254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bl>
    <w:p>
      <w:pPr>
        <w:pStyle w:val="Normal"/>
        <w:tabs>
          <w:tab w:val="clear" w:pos="708"/>
          <w:tab w:val="left" w:pos="1788" w:leader="none"/>
        </w:tabs>
        <w:rPr>
          <w:sz w:val="12"/>
          <w:szCs w:val="12"/>
        </w:rPr>
      </w:pPr>
      <w:r>
        <w:rPr>
          <w:sz w:val="12"/>
          <w:szCs w:val="12"/>
        </w:rPr>
      </w:r>
    </w:p>
    <w:tbl>
      <w:tblPr>
        <w:tblStyle w:val="Grilledutableau"/>
        <w:tblW w:w="991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362"/>
        <w:gridCol w:w="1843"/>
        <w:gridCol w:w="1709"/>
      </w:tblGrid>
      <w:tr>
        <w:trPr>
          <w:trHeight w:val="235" w:hRule="atLeast"/>
        </w:trPr>
        <w:tc>
          <w:tcPr>
            <w:tcW w:w="9914" w:type="dxa"/>
            <w:gridSpan w:val="3"/>
            <w:tcBorders/>
            <w:shd w:color="auto" w:fill="ACB9CA" w:themeFill="text2"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MATERIEL POSE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Le candidat proposera une remise sur l’ensemble de son catalogue dans lequel il est libre de proposer autant d’éléments qu’il juge pertinents. </w:t>
            </w:r>
          </w:p>
          <w:p>
            <w:pPr>
              <w:pStyle w:val="Normal"/>
              <w:widowControl w:val="false"/>
              <w:tabs>
                <w:tab w:val="clear" w:pos="708"/>
                <w:tab w:val="left" w:pos="1788" w:leader="none"/>
              </w:tabs>
              <w:suppressAutoHyphens w:val="true"/>
              <w:spacing w:lineRule="auto" w:line="240" w:before="0" w:after="0"/>
              <w:jc w:val="left"/>
              <w:rPr>
                <w:rFonts w:ascii="Calibri" w:hAnsi="Calibri" w:eastAsia="Calibri" w:cs="" w:asciiTheme="minorHAnsi" w:cstheme="minorBidi" w:eastAsiaTheme="minorHAnsi" w:hAnsiTheme="minorHAnsi"/>
                <w:highlight w:val="none"/>
                <w:shd w:fill="FFFF00" w:val="clear"/>
              </w:rPr>
            </w:pPr>
            <w:r>
              <w:rPr>
                <w:rFonts w:eastAsia="Calibri" w:cs="" w:ascii="Marianne" w:hAnsi="Marianne" w:cstheme="minorBidi" w:eastAsiaTheme="minorHAnsi"/>
                <w:color w:val="auto"/>
                <w:kern w:val="0"/>
                <w:sz w:val="20"/>
                <w:szCs w:val="20"/>
                <w:lang w:val="fr-FR" w:eastAsia="en-US" w:bidi="ar-SA"/>
              </w:rPr>
              <w:t xml:space="preserve">Merci de renseigner les prix (non remisés) des profils de clôtures ci-dessous qui feront office d’exemple. </w:t>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843"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eastAsia="Calibri" w:cs="" w:ascii="Marianne" w:hAnsi="Marianne"/>
                <w:b/>
                <w:bCs/>
                <w:kern w:val="0"/>
                <w:sz w:val="20"/>
                <w:szCs w:val="20"/>
                <w:lang w:val="fr-FR" w:eastAsia="en-US" w:bidi="ar-SA"/>
              </w:rPr>
              <w:t>Montant HT</w:t>
            </w:r>
          </w:p>
        </w:tc>
        <w:tc>
          <w:tcPr>
            <w:tcW w:w="1709"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sz w:val="20"/>
                <w:szCs w:val="20"/>
              </w:rPr>
            </w:pPr>
            <w:r>
              <w:rPr>
                <w:rFonts w:eastAsia="Calibri" w:cs="" w:ascii="Marianne" w:hAnsi="Marianne"/>
                <w:b/>
                <w:bCs/>
                <w:kern w:val="0"/>
                <w:sz w:val="20"/>
                <w:szCs w:val="20"/>
                <w:lang w:val="fr-FR" w:eastAsia="en-US" w:bidi="ar-SA"/>
              </w:rPr>
              <w:t>Montant TTC</w:t>
            </w:r>
          </w:p>
        </w:tc>
      </w:tr>
      <w:tr>
        <w:trPr>
          <w:trHeight w:val="235" w:hRule="atLeast"/>
        </w:trPr>
        <w:tc>
          <w:tcPr>
            <w:tcW w:w="6362" w:type="dxa"/>
            <w:tcBorders/>
          </w:tcPr>
          <w:p>
            <w:pPr>
              <w:pStyle w:val="Normal"/>
              <w:widowControl w:val="false"/>
              <w:tabs>
                <w:tab w:val="clear" w:pos="708"/>
                <w:tab w:val="left" w:pos="1187"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Clôture résistante aux sangliers et garantie au moins deux ans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ML</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Clôture électrique à 4 fils</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ML</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Renfort de clôture existante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ML</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Electrification de clôtures existantes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ML</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Passage pour piétons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unité</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235" w:hRule="atLeast"/>
        </w:trPr>
        <w:tc>
          <w:tcPr>
            <w:tcW w:w="6362"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Passage pour véhicules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unité</w:t>
            </w:r>
          </w:p>
        </w:tc>
        <w:tc>
          <w:tcPr>
            <w:tcW w:w="1843"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709"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bl>
    <w:p>
      <w:pPr>
        <w:pStyle w:val="Normal"/>
        <w:tabs>
          <w:tab w:val="clear" w:pos="708"/>
          <w:tab w:val="left" w:pos="1788" w:leader="none"/>
        </w:tabs>
        <w:rPr>
          <w:rFonts w:ascii="Marianne" w:hAnsi="Marianne"/>
          <w:u w:val="single"/>
        </w:rPr>
      </w:pPr>
      <w:r>
        <w:rPr>
          <w:rFonts w:ascii="Marianne" w:hAnsi="Marianne"/>
          <w:u w:val="single"/>
        </w:rPr>
        <w:t>2) Maintenance de clôtures anti-sangliers</w:t>
      </w:r>
    </w:p>
    <w:tbl>
      <w:tblPr>
        <w:tblStyle w:val="Grilledutableau"/>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37"/>
        <w:gridCol w:w="1996"/>
        <w:gridCol w:w="1985"/>
      </w:tblGrid>
      <w:tr>
        <w:trPr>
          <w:trHeight w:val="483" w:hRule="atLeast"/>
        </w:trPr>
        <w:tc>
          <w:tcPr>
            <w:tcW w:w="9918" w:type="dxa"/>
            <w:gridSpan w:val="3"/>
            <w:tcBorders/>
            <w:shd w:color="auto" w:fill="ACB9CA" w:themeFill="text2" w:themeFillTint="66" w:val="clear"/>
          </w:tcPr>
          <w:p>
            <w:pPr>
              <w:pStyle w:val="Normal"/>
              <w:widowControl w:val="false"/>
              <w:shd w:val="clear" w:color="auto" w:fill="ACB9CA" w:themeFill="text2" w:themeFillTint="66"/>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MAINTENANCE</w:t>
            </w:r>
          </w:p>
          <w:p>
            <w:pPr>
              <w:pStyle w:val="Normal"/>
              <w:widowControl w:val="false"/>
              <w:shd w:val="clear" w:color="auto" w:fill="ACB9CA" w:themeFill="text2" w:themeFillTint="66"/>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Les prix des prestations de maintenance sont à ajouter au prix des matériaux remplacés. </w:t>
            </w:r>
          </w:p>
        </w:tc>
      </w:tr>
      <w:tr>
        <w:trPr>
          <w:trHeight w:val="235" w:hRule="atLeast"/>
        </w:trPr>
        <w:tc>
          <w:tcPr>
            <w:tcW w:w="5937"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ascii="Marianne" w:hAnsi="Marianne"/>
                <w:b/>
                <w:bCs/>
                <w:sz w:val="20"/>
                <w:szCs w:val="20"/>
              </w:rPr>
            </w:r>
          </w:p>
        </w:tc>
        <w:tc>
          <w:tcPr>
            <w:tcW w:w="1996"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 xml:space="preserve">Montant HT </w:t>
            </w:r>
          </w:p>
        </w:tc>
        <w:tc>
          <w:tcPr>
            <w:tcW w:w="1985" w:type="dxa"/>
            <w:tcBorders/>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TTC</w:t>
            </w:r>
          </w:p>
        </w:tc>
      </w:tr>
      <w:tr>
        <w:trPr>
          <w:trHeight w:val="483" w:hRule="atLeast"/>
        </w:trPr>
        <w:tc>
          <w:tcPr>
            <w:tcW w:w="5937" w:type="dxa"/>
            <w:tcBorders/>
            <w:vAlign w:val="cente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Maintenance programmée sans dégradations identifiées préalablement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 contrôlés</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vAlign w:val="cente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Maintenance de dégradations mineures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contrôlés </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vAlign w:val="cente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Maintenance dégradations majeures : </w:t>
            </w:r>
            <w:r>
              <w:rPr>
                <w:rFonts w:eastAsia="Calibri" w:cs="" w:ascii="Marianne" w:hAnsi="Marianne"/>
                <w:kern w:val="0"/>
                <w:sz w:val="20"/>
                <w:szCs w:val="20"/>
                <w:lang w:val="fr-FR" w:eastAsia="en-US" w:bidi="ar-SA"/>
              </w:rPr>
              <w:t>réalisation des DICT, obtention de l’accord des propriétaires des terrains des zones de travaux, management de la sécurité, gestion des aspects environnementaux.</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agent et par heure  </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médium</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 xml:space="preserve">Par ML </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dur ou rocheux</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 xml:space="preserve">Par ML </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Débroussaillage avec arrachage d’arbres de diamètre entre 5 et 10 cm sur une largeur de 3 mètres linéaires (ML) de part et d’autre de la clôture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 xml:space="preserve">Par ML </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Abattage d’arbre de diamètre entre 10 et 20 cm</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unité</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r>
        <w:trPr>
          <w:trHeight w:val="483" w:hRule="atLeast"/>
        </w:trPr>
        <w:tc>
          <w:tcPr>
            <w:tcW w:w="5937"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Remise du compte-rendu après maintenance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unité (un par visite de maintenance)</w:t>
            </w:r>
          </w:p>
        </w:tc>
        <w:tc>
          <w:tcPr>
            <w:tcW w:w="199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c>
          <w:tcPr>
            <w:tcW w:w="198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ascii="Marianne" w:hAnsi="Marianne"/>
                <w:sz w:val="20"/>
                <w:szCs w:val="20"/>
              </w:rPr>
            </w:r>
          </w:p>
        </w:tc>
      </w:tr>
    </w:tbl>
    <w:p>
      <w:pPr>
        <w:pStyle w:val="Normal"/>
        <w:tabs>
          <w:tab w:val="clear" w:pos="708"/>
          <w:tab w:val="left" w:pos="1788" w:leader="none"/>
        </w:tabs>
        <w:rPr>
          <w:sz w:val="2"/>
          <w:szCs w:val="2"/>
        </w:rPr>
      </w:pPr>
      <w:r>
        <w:rPr>
          <w:sz w:val="2"/>
          <w:szCs w:val="2"/>
        </w:rPr>
      </w:r>
    </w:p>
    <w:p>
      <w:pPr>
        <w:pStyle w:val="Normal"/>
        <w:tabs>
          <w:tab w:val="clear" w:pos="708"/>
          <w:tab w:val="left" w:pos="1788" w:leader="none"/>
        </w:tabs>
        <w:rPr>
          <w:rFonts w:ascii="Marianne" w:hAnsi="Marianne"/>
          <w:u w:val="single"/>
        </w:rPr>
      </w:pPr>
      <w:r>
        <w:rPr>
          <w:rFonts w:ascii="Marianne" w:hAnsi="Marianne"/>
          <w:u w:val="single"/>
        </w:rPr>
        <w:t xml:space="preserve">3) Dépose de clôtures anti-sangliers </w:t>
      </w:r>
    </w:p>
    <w:tbl>
      <w:tblPr>
        <w:tblStyle w:val="Grilledutableau"/>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937"/>
        <w:gridCol w:w="1996"/>
        <w:gridCol w:w="1985"/>
      </w:tblGrid>
      <w:tr>
        <w:trPr>
          <w:trHeight w:val="235" w:hRule="atLeast"/>
        </w:trPr>
        <w:tc>
          <w:tcPr>
            <w:tcW w:w="9918" w:type="dxa"/>
            <w:gridSpan w:val="3"/>
            <w:tcBorders/>
            <w:shd w:color="auto" w:fill="ACB9CA" w:themeFill="text2" w:themeFillTint="66"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DEPOSE DE CLOTURES ANTI-SANGLIERS </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ascii="Marianne" w:hAnsi="Marianne"/>
                <w:b/>
                <w:bCs/>
                <w:sz w:val="20"/>
                <w:szCs w:val="20"/>
              </w:rPr>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HT</w:t>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center"/>
              <w:rPr>
                <w:rFonts w:ascii="Marianne" w:hAnsi="Marianne"/>
                <w:b/>
                <w:bCs/>
                <w:sz w:val="20"/>
                <w:szCs w:val="20"/>
              </w:rPr>
            </w:pPr>
            <w:r>
              <w:rPr>
                <w:rFonts w:eastAsia="Calibri" w:cs="" w:ascii="Marianne" w:hAnsi="Marianne"/>
                <w:b/>
                <w:bCs/>
                <w:kern w:val="0"/>
                <w:sz w:val="20"/>
                <w:szCs w:val="20"/>
                <w:lang w:val="fr-FR" w:eastAsia="en-US" w:bidi="ar-SA"/>
              </w:rPr>
              <w:t>Montant TTC</w:t>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Forfait de préparation et suivi du chantier : </w:t>
            </w:r>
            <w:r>
              <w:rPr>
                <w:rFonts w:eastAsia="Calibri" w:cs="" w:ascii="Marianne" w:hAnsi="Marianne"/>
                <w:kern w:val="0"/>
                <w:sz w:val="20"/>
                <w:szCs w:val="20"/>
                <w:lang w:val="fr-FR" w:eastAsia="en-US" w:bidi="ar-SA"/>
              </w:rPr>
              <w:t xml:space="preserve">réalisation des DICT, visite sur site, implantation et piquetage, obtention de l’accord des propriétaires des terrains des zones de travaux, management de la sécurité, gestion des aspects environnementaux et remise en état initial de la zone de travaux.  </w:t>
            </w:r>
          </w:p>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kern w:val="0"/>
                <w:sz w:val="20"/>
                <w:szCs w:val="20"/>
                <w:lang w:val="fr-FR" w:eastAsia="en-US" w:bidi="ar-SA"/>
              </w:rPr>
              <w:t>Par chantier</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Remise du Dossier des Ouvrages Exécutés en fin de travaux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unité (un dossier par chantier)</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Dépose d’une clôture au sol</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Dépose d’une clôture enfouie à </w:t>
            </w:r>
            <w:r>
              <w:rPr>
                <w:rStyle w:val="Hgkelc"/>
                <w:rFonts w:eastAsia="Calibri" w:cs="" w:ascii="Marianne" w:hAnsi="Marianne"/>
                <w:b/>
                <w:bCs/>
                <w:kern w:val="0"/>
                <w:sz w:val="22"/>
                <w:szCs w:val="22"/>
                <w:lang w:val="fr-FR" w:eastAsia="en-US" w:bidi="ar-SA"/>
              </w:rPr>
              <w:t>≤</w:t>
            </w:r>
            <w:r>
              <w:rPr>
                <w:rFonts w:eastAsia="Calibri" w:cs="" w:ascii="Marianne" w:hAnsi="Marianne"/>
                <w:b/>
                <w:bCs/>
                <w:kern w:val="0"/>
                <w:sz w:val="20"/>
                <w:szCs w:val="20"/>
                <w:lang w:val="fr-FR" w:eastAsia="en-US" w:bidi="ar-SA"/>
              </w:rPr>
              <w:t>20 cm</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ML</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Dépose d’une clôture enfouie à &gt;20 cm</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Dépose de passage pour piétons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unité</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Dépose de passage pour véhicule </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Par unité</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médium</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r>
        <w:trPr>
          <w:trHeight w:val="235" w:hRule="atLeast"/>
        </w:trPr>
        <w:tc>
          <w:tcPr>
            <w:tcW w:w="5937"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Supplément sol dur ou rocheux</w:t>
            </w:r>
          </w:p>
          <w:p>
            <w:pPr>
              <w:pStyle w:val="Normal"/>
              <w:widowControl w:val="false"/>
              <w:tabs>
                <w:tab w:val="clear" w:pos="708"/>
                <w:tab w:val="left" w:pos="1788" w:leader="none"/>
              </w:tabs>
              <w:suppressAutoHyphens w:val="true"/>
              <w:spacing w:lineRule="auto" w:line="240" w:before="0" w:after="0"/>
              <w:jc w:val="left"/>
              <w:rPr>
                <w:rFonts w:ascii="Marianne" w:hAnsi="Marianne"/>
                <w:sz w:val="20"/>
                <w:szCs w:val="20"/>
              </w:rPr>
            </w:pPr>
            <w:r>
              <w:rPr>
                <w:rFonts w:eastAsia="Calibri" w:cs="" w:ascii="Marianne" w:hAnsi="Marianne"/>
                <w:kern w:val="0"/>
                <w:sz w:val="20"/>
                <w:szCs w:val="20"/>
                <w:lang w:val="fr-FR" w:eastAsia="en-US" w:bidi="ar-SA"/>
              </w:rPr>
              <w:t xml:space="preserve">Par ML </w:t>
            </w:r>
          </w:p>
        </w:tc>
        <w:tc>
          <w:tcPr>
            <w:tcW w:w="1996"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c>
          <w:tcPr>
            <w:tcW w:w="1985" w:type="dxa"/>
            <w:tcBorders/>
            <w:shd w:color="auto" w:fill="FFFFFF" w:themeFill="background1" w:val="clear"/>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ascii="Marianne" w:hAnsi="Marianne"/>
                <w:b/>
                <w:bCs/>
                <w:sz w:val="20"/>
                <w:szCs w:val="20"/>
              </w:rPr>
            </w:r>
          </w:p>
        </w:tc>
      </w:tr>
    </w:tbl>
    <w:p>
      <w:pPr>
        <w:pStyle w:val="Normal"/>
        <w:tabs>
          <w:tab w:val="clear" w:pos="708"/>
          <w:tab w:val="left" w:pos="1788" w:leader="none"/>
        </w:tabs>
        <w:rPr>
          <w:rFonts w:ascii="Marianne" w:hAnsi="Marianne"/>
          <w:u w:val="single"/>
        </w:rPr>
      </w:pPr>
      <w:r>
        <w:rPr>
          <w:rFonts w:ascii="Marianne" w:hAnsi="Marianne"/>
          <w:u w:val="single"/>
        </w:rPr>
      </w:r>
    </w:p>
    <w:p>
      <w:pPr>
        <w:pStyle w:val="Normal"/>
        <w:tabs>
          <w:tab w:val="clear" w:pos="708"/>
          <w:tab w:val="left" w:pos="1788" w:leader="none"/>
        </w:tabs>
        <w:rPr>
          <w:rFonts w:ascii="Marianne" w:hAnsi="Marianne"/>
          <w:u w:val="single"/>
        </w:rPr>
      </w:pPr>
      <w:r>
        <w:rPr>
          <w:rFonts w:ascii="Marianne" w:hAnsi="Marianne"/>
          <w:u w:val="single"/>
        </w:rPr>
        <w:t>4) Taux de réduction sur le catalogue (en %) :</w:t>
      </w:r>
    </w:p>
    <w:tbl>
      <w:tblPr>
        <w:tblStyle w:val="Grilledutableau"/>
        <w:tblW w:w="99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56"/>
        <w:gridCol w:w="4955"/>
      </w:tblGrid>
      <w:tr>
        <w:trPr/>
        <w:tc>
          <w:tcPr>
            <w:tcW w:w="4956"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b/>
                <w:bCs/>
                <w:sz w:val="20"/>
                <w:szCs w:val="20"/>
              </w:rPr>
            </w:pPr>
            <w:r>
              <w:rPr>
                <w:rFonts w:eastAsia="Calibri" w:cs="" w:ascii="Marianne" w:hAnsi="Marianne"/>
                <w:b/>
                <w:bCs/>
                <w:kern w:val="0"/>
                <w:sz w:val="20"/>
                <w:szCs w:val="20"/>
                <w:lang w:val="fr-FR" w:eastAsia="en-US" w:bidi="ar-SA"/>
              </w:rPr>
              <w:t xml:space="preserve">Taux de réduction </w:t>
            </w:r>
          </w:p>
        </w:tc>
        <w:tc>
          <w:tcPr>
            <w:tcW w:w="4955" w:type="dxa"/>
            <w:tcBorders/>
          </w:tcPr>
          <w:p>
            <w:pPr>
              <w:pStyle w:val="Normal"/>
              <w:widowControl w:val="false"/>
              <w:tabs>
                <w:tab w:val="clear" w:pos="708"/>
                <w:tab w:val="left" w:pos="1788" w:leader="none"/>
              </w:tabs>
              <w:suppressAutoHyphens w:val="true"/>
              <w:spacing w:lineRule="auto" w:line="240" w:before="0" w:after="0"/>
              <w:jc w:val="left"/>
              <w:rPr>
                <w:rFonts w:ascii="Marianne" w:hAnsi="Marianne"/>
              </w:rPr>
            </w:pPr>
            <w:r>
              <w:rPr>
                <w:rFonts w:ascii="Marianne" w:hAnsi="Marianne"/>
              </w:rPr>
            </w:r>
          </w:p>
        </w:tc>
      </w:tr>
    </w:tbl>
    <w:p>
      <w:pPr>
        <w:pStyle w:val="Normal"/>
        <w:tabs>
          <w:tab w:val="clear" w:pos="708"/>
          <w:tab w:val="left" w:pos="1788" w:leader="none"/>
        </w:tabs>
        <w:rPr>
          <w:rFonts w:ascii="Marianne" w:hAnsi="Marianne"/>
        </w:rPr>
      </w:pPr>
      <w:r>
        <w:rPr>
          <w:rFonts w:ascii="Marianne" w:hAnsi="Marianne"/>
        </w:rPr>
      </w:r>
    </w:p>
    <w:p>
      <w:pPr>
        <w:pStyle w:val="Normal"/>
        <w:spacing w:before="0" w:after="160"/>
        <w:ind w:right="229" w:hanging="0"/>
        <w:rPr>
          <w:rFonts w:ascii="Marianne" w:hAnsi="Marianne"/>
          <w:b/>
          <w:szCs w:val="20"/>
        </w:rPr>
      </w:pPr>
      <w:r>
        <w:rPr>
          <w:rFonts w:ascii="Marianne" w:hAnsi="Marianne"/>
          <w:b/>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993" w:right="991"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Mariann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Fonts w:ascii="Marianne" w:hAnsi="Marianne"/>
        <w:color w:val="4472C4" w:themeColor="accent1"/>
        <w:sz w:val="20"/>
        <w:szCs w:val="20"/>
      </w:rPr>
      <w:t xml:space="preserve">Annexe financière – </w:t>
    </w:r>
    <w:r>
      <w:rPr/>
      <w:t>DRAAF-BFC-2025-01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Fonts w:ascii="Marianne" w:hAnsi="Marianne"/>
        <w:color w:val="4472C4" w:themeColor="accent1"/>
        <w:sz w:val="20"/>
        <w:szCs w:val="20"/>
      </w:rPr>
      <w:t xml:space="preserve">Annexe financière – </w:t>
    </w:r>
    <w:r>
      <w:rPr/>
      <w:t>DRAAF-BFC-2025-01</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drawing>
        <wp:inline distT="0" distB="0" distL="0" distR="0">
          <wp:extent cx="1362075" cy="87122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1362075" cy="871220"/>
                  </a:xfrm>
                  <a:prstGeom prst="rect">
                    <a:avLst/>
                  </a:prstGeom>
                </pic:spPr>
              </pic:pic>
            </a:graphicData>
          </a:graphic>
        </wp:inline>
      </w:drawing>
    </w:r>
    <w:bookmarkStart w:id="0" w:name="_GoBack"/>
    <w:bookmarkEnd w:id="0"/>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drawing>
        <wp:inline distT="0" distB="0" distL="0" distR="0">
          <wp:extent cx="1362075" cy="871220"/>
          <wp:effectExtent l="0" t="0" r="0" b="0"/>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1"/>
                  <a:stretch>
                    <a:fillRect/>
                  </a:stretch>
                </pic:blipFill>
                <pic:spPr bwMode="auto">
                  <a:xfrm>
                    <a:off x="0" y="0"/>
                    <a:ext cx="1362075" cy="871220"/>
                  </a:xfrm>
                  <a:prstGeom prst="rect">
                    <a:avLst/>
                  </a:prstGeom>
                </pic:spPr>
              </pic:pic>
            </a:graphicData>
          </a:graphic>
        </wp:inline>
      </w:drawing>
    </w:r>
    <w:bookmarkStart w:id="1" w:name="_GoBack"/>
    <w:bookmarkEnd w:id="1"/>
  </w:p>
</w:hdr>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15f5b"/>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885378"/>
    <w:rPr/>
  </w:style>
  <w:style w:type="character" w:styleId="PieddepageCar" w:customStyle="1">
    <w:name w:val="Pied de page Car"/>
    <w:basedOn w:val="DefaultParagraphFont"/>
    <w:uiPriority w:val="99"/>
    <w:qFormat/>
    <w:rsid w:val="00885378"/>
    <w:rPr/>
  </w:style>
  <w:style w:type="character" w:styleId="Annotationreference">
    <w:name w:val="annotation reference"/>
    <w:basedOn w:val="DefaultParagraphFont"/>
    <w:uiPriority w:val="99"/>
    <w:semiHidden/>
    <w:unhideWhenUsed/>
    <w:qFormat/>
    <w:rsid w:val="009a0bf2"/>
    <w:rPr>
      <w:sz w:val="16"/>
      <w:szCs w:val="16"/>
    </w:rPr>
  </w:style>
  <w:style w:type="character" w:styleId="CommentaireCar" w:customStyle="1">
    <w:name w:val="Commentaire Car"/>
    <w:basedOn w:val="DefaultParagraphFont"/>
    <w:link w:val="Annotationtext"/>
    <w:uiPriority w:val="99"/>
    <w:semiHidden/>
    <w:qFormat/>
    <w:rsid w:val="009a0bf2"/>
    <w:rPr>
      <w:sz w:val="20"/>
      <w:szCs w:val="20"/>
    </w:rPr>
  </w:style>
  <w:style w:type="character" w:styleId="ObjetducommentaireCar" w:customStyle="1">
    <w:name w:val="Objet du commentaire Car"/>
    <w:basedOn w:val="CommentaireCar"/>
    <w:link w:val="Annotationsubject"/>
    <w:uiPriority w:val="99"/>
    <w:semiHidden/>
    <w:qFormat/>
    <w:rsid w:val="009a0bf2"/>
    <w:rPr>
      <w:b/>
      <w:bCs/>
      <w:sz w:val="20"/>
      <w:szCs w:val="20"/>
    </w:rPr>
  </w:style>
  <w:style w:type="character" w:styleId="Hgkelc" w:customStyle="1">
    <w:name w:val="hgkelc"/>
    <w:basedOn w:val="DefaultParagraphFont"/>
    <w:qFormat/>
    <w:rsid w:val="00997097"/>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885378"/>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885378"/>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CommentaireCar"/>
    <w:uiPriority w:val="99"/>
    <w:semiHidden/>
    <w:unhideWhenUsed/>
    <w:qFormat/>
    <w:rsid w:val="009a0bf2"/>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9a0bf2"/>
    <w:pPr/>
    <w:rPr>
      <w:b/>
      <w:bCs/>
    </w:rPr>
  </w:style>
  <w:style w:type="paragraph" w:styleId="Contenudetableau" w:customStyle="1">
    <w:name w:val="Contenu de tableau"/>
    <w:basedOn w:val="Normal"/>
    <w:qFormat/>
    <w:rsid w:val="002b12de"/>
    <w:pPr>
      <w:spacing w:lineRule="auto" w:line="240" w:before="120" w:after="0"/>
      <w:jc w:val="both"/>
    </w:pPr>
    <w:rPr>
      <w:rFonts w:ascii="Arial" w:hAnsi="Arial" w:eastAsia="Andale Sans UI" w:cs="Tahoma"/>
      <w:sz w:val="17"/>
      <w:szCs w:val="24"/>
      <w:lang w:eastAsia="ja-JP" w:bidi="fa-IR"/>
    </w:rPr>
  </w:style>
  <w:style w:type="paragraph" w:styleId="Standard" w:customStyle="1">
    <w:name w:val="Standard"/>
    <w:autoRedefine/>
    <w:qFormat/>
    <w:rsid w:val="002b12de"/>
    <w:pPr>
      <w:widowControl/>
      <w:suppressAutoHyphens w:val="true"/>
      <w:bidi w:val="0"/>
      <w:spacing w:lineRule="auto" w:line="240" w:before="57" w:after="0"/>
      <w:jc w:val="both"/>
      <w:textAlignment w:val="center"/>
    </w:pPr>
    <w:rPr>
      <w:rFonts w:ascii="Marianne" w:hAnsi="Marianne" w:eastAsia="SimSun" w:cs="Arial"/>
      <w:color w:val="auto"/>
      <w:kern w:val="2"/>
      <w:sz w:val="20"/>
      <w:szCs w:val="20"/>
      <w:lang w:val="fr-FR" w:eastAsia="zh-CN" w:bidi="hi-IN"/>
    </w:rPr>
  </w:style>
  <w:style w:type="paragraph" w:styleId="Default" w:customStyle="1">
    <w:name w:val="Default"/>
    <w:qFormat/>
    <w:rsid w:val="002b12de"/>
    <w:pPr>
      <w:widowControl/>
      <w:suppressAutoHyphens w:val="true"/>
      <w:bidi w:val="0"/>
      <w:spacing w:lineRule="auto" w:line="240" w:before="0" w:after="0"/>
      <w:jc w:val="left"/>
    </w:pPr>
    <w:rPr>
      <w:rFonts w:ascii="Arial" w:hAnsi="Arial" w:eastAsia="Andale Sans UI" w:cs="Arial"/>
      <w:color w:val="000000"/>
      <w:kern w:val="0"/>
      <w:sz w:val="24"/>
      <w:szCs w:val="24"/>
      <w:lang w:val="fr-FR" w:eastAsia="ja-JP"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4d66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Application>LibreOffice/7.5.7.1.M1$Windows_X86_64 LibreOffice_project/9d4bf91ba30c991aaed3b97dd4173f7705c6b5ae</Application>
  <AppVersion>15.0000</AppVersion>
  <Pages>6</Pages>
  <Words>700</Words>
  <Characters>3761</Characters>
  <CharactersWithSpaces>4408</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2025-04-24T12:10:00Z</dcterms:created>
  <dc:creator>Marie HUGOUNET</dc:creator>
  <dc:description/>
  <dc:language>fr-FR</dc:language>
  <cp:lastModifiedBy/>
  <dcterms:modified xsi:type="dcterms:W3CDTF">2025-07-31T17:41:00Z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