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C374" w14:textId="77777777" w:rsidR="00857CD6" w:rsidRDefault="00AA3900">
      <w:pPr>
        <w:ind w:left="3100" w:right="3100"/>
        <w:rPr>
          <w:sz w:val="2"/>
        </w:rPr>
      </w:pPr>
      <w:r>
        <w:pict w14:anchorId="39C6FB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6" o:title=""/>
          </v:shape>
        </w:pict>
      </w:r>
    </w:p>
    <w:p w14:paraId="612AF78E" w14:textId="77777777" w:rsidR="00857CD6" w:rsidRDefault="00857CD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7CD6" w14:paraId="55435EF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867E830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49F084B" w14:textId="77777777" w:rsidR="00857CD6" w:rsidRDefault="00921C15">
      <w:pPr>
        <w:spacing w:line="240" w:lineRule="exact"/>
      </w:pPr>
      <w:r>
        <w:t xml:space="preserve"> </w:t>
      </w:r>
    </w:p>
    <w:p w14:paraId="340DE190" w14:textId="77777777" w:rsidR="00857CD6" w:rsidRDefault="00857CD6">
      <w:pPr>
        <w:spacing w:after="120" w:line="240" w:lineRule="exact"/>
      </w:pPr>
    </w:p>
    <w:p w14:paraId="1393339F" w14:textId="77777777" w:rsidR="00857CD6" w:rsidRDefault="00921C1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11301A3B" w14:textId="77777777" w:rsidR="00857CD6" w:rsidRDefault="00857CD6">
      <w:pPr>
        <w:spacing w:line="240" w:lineRule="exact"/>
      </w:pPr>
    </w:p>
    <w:p w14:paraId="7D6AF723" w14:textId="77777777" w:rsidR="00857CD6" w:rsidRDefault="00857CD6">
      <w:pPr>
        <w:spacing w:line="240" w:lineRule="exact"/>
      </w:pPr>
    </w:p>
    <w:p w14:paraId="0B97F247" w14:textId="77777777" w:rsidR="00857CD6" w:rsidRDefault="00857CD6">
      <w:pPr>
        <w:spacing w:line="240" w:lineRule="exact"/>
      </w:pPr>
    </w:p>
    <w:p w14:paraId="5F364B4F" w14:textId="77777777" w:rsidR="00857CD6" w:rsidRDefault="00857CD6">
      <w:pPr>
        <w:spacing w:line="240" w:lineRule="exact"/>
      </w:pPr>
    </w:p>
    <w:p w14:paraId="40F3F469" w14:textId="77777777" w:rsidR="00857CD6" w:rsidRDefault="00857CD6">
      <w:pPr>
        <w:spacing w:line="240" w:lineRule="exact"/>
      </w:pPr>
    </w:p>
    <w:p w14:paraId="69F42A65" w14:textId="77777777" w:rsidR="00857CD6" w:rsidRDefault="00857CD6">
      <w:pPr>
        <w:spacing w:line="240" w:lineRule="exact"/>
      </w:pPr>
    </w:p>
    <w:p w14:paraId="570B651E" w14:textId="77777777" w:rsidR="00857CD6" w:rsidRDefault="00857CD6">
      <w:pPr>
        <w:spacing w:line="240" w:lineRule="exact"/>
      </w:pPr>
    </w:p>
    <w:p w14:paraId="6B331679" w14:textId="77777777" w:rsidR="00857CD6" w:rsidRDefault="00857CD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7CD6" w:rsidRPr="00AA3900" w14:paraId="5EDD0CA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F21359" w14:textId="77777777" w:rsidR="00857CD6" w:rsidRDefault="00921C1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Entretien, Aménagement et travaux de voirie, trottoirs, divers réseaux enterrés, signalétique et pose de mobiliers urbains de l'Université Paris Saclay</w:t>
            </w:r>
          </w:p>
        </w:tc>
      </w:tr>
    </w:tbl>
    <w:p w14:paraId="613C56C3" w14:textId="77777777" w:rsidR="00857CD6" w:rsidRPr="008841B9" w:rsidRDefault="00921C15">
      <w:pPr>
        <w:spacing w:line="240" w:lineRule="exact"/>
        <w:rPr>
          <w:lang w:val="fr-FR"/>
        </w:rPr>
      </w:pPr>
      <w:r w:rsidRPr="008841B9">
        <w:rPr>
          <w:lang w:val="fr-FR"/>
        </w:rPr>
        <w:t xml:space="preserve"> </w:t>
      </w:r>
    </w:p>
    <w:p w14:paraId="62D951BA" w14:textId="77777777" w:rsidR="00857CD6" w:rsidRPr="008841B9" w:rsidRDefault="00857CD6">
      <w:pPr>
        <w:spacing w:line="240" w:lineRule="exact"/>
        <w:rPr>
          <w:lang w:val="fr-FR"/>
        </w:rPr>
      </w:pPr>
    </w:p>
    <w:p w14:paraId="46213312" w14:textId="77777777" w:rsidR="00857CD6" w:rsidRPr="008841B9" w:rsidRDefault="00857CD6">
      <w:pPr>
        <w:spacing w:line="240" w:lineRule="exact"/>
        <w:rPr>
          <w:lang w:val="fr-FR"/>
        </w:rPr>
      </w:pPr>
    </w:p>
    <w:p w14:paraId="02B125F7" w14:textId="77777777" w:rsidR="00857CD6" w:rsidRPr="008841B9" w:rsidRDefault="00857CD6">
      <w:pPr>
        <w:spacing w:line="240" w:lineRule="exact"/>
        <w:rPr>
          <w:lang w:val="fr-FR"/>
        </w:rPr>
      </w:pPr>
    </w:p>
    <w:p w14:paraId="610A21D6" w14:textId="77777777" w:rsidR="00857CD6" w:rsidRPr="008841B9" w:rsidRDefault="00857CD6">
      <w:pPr>
        <w:spacing w:line="240" w:lineRule="exact"/>
        <w:rPr>
          <w:lang w:val="fr-FR"/>
        </w:rPr>
      </w:pPr>
    </w:p>
    <w:p w14:paraId="5CC0F5EB" w14:textId="77777777" w:rsidR="00857CD6" w:rsidRPr="008841B9" w:rsidRDefault="00857CD6">
      <w:pPr>
        <w:spacing w:after="40" w:line="240" w:lineRule="exact"/>
        <w:rPr>
          <w:lang w:val="fr-FR"/>
        </w:rPr>
      </w:pPr>
    </w:p>
    <w:p w14:paraId="71A72DC8" w14:textId="77777777" w:rsidR="00857CD6" w:rsidRDefault="00921C1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2181"/>
        <w:gridCol w:w="25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857CD6" w14:paraId="13AF0B2D" w14:textId="77777777" w:rsidTr="008841B9">
        <w:trPr>
          <w:trHeight w:val="113"/>
        </w:trPr>
        <w:tc>
          <w:tcPr>
            <w:tcW w:w="218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43B3" w14:textId="03938D6F" w:rsidR="00857CD6" w:rsidRDefault="008841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ACCORD-CADRE</w:t>
            </w:r>
            <w:r w:rsidR="00921C15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N°</w:t>
            </w: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EF3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D103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525A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46F8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9718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6F6C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7E3E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DBAD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5CCD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2653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0FC0" w14:textId="77777777" w:rsidR="00857CD6" w:rsidRDefault="00857CD6">
            <w:pPr>
              <w:rPr>
                <w:sz w:val="2"/>
              </w:rPr>
            </w:pPr>
          </w:p>
        </w:tc>
      </w:tr>
      <w:tr w:rsidR="00857CD6" w14:paraId="2B066E95" w14:textId="77777777" w:rsidTr="008841B9">
        <w:trPr>
          <w:trHeight w:val="356"/>
        </w:trPr>
        <w:tc>
          <w:tcPr>
            <w:tcW w:w="21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6955" w14:textId="77777777" w:rsidR="00857CD6" w:rsidRDefault="00857CD6"/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AD42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8C7A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F372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2F10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39B3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6D67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FF67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FD57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D429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15C5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7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D731" w14:textId="77777777" w:rsidR="00857CD6" w:rsidRDefault="00921C1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7CD6" w14:paraId="75D195A6" w14:textId="77777777" w:rsidTr="008841B9">
        <w:trPr>
          <w:trHeight w:val="26"/>
        </w:trPr>
        <w:tc>
          <w:tcPr>
            <w:tcW w:w="21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26AB" w14:textId="77777777" w:rsidR="00857CD6" w:rsidRDefault="00857CD6"/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2E1C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C6A8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F6BE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BD74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CA3B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81106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9FB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F41E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E5F6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D7A6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C782" w14:textId="77777777" w:rsidR="00857CD6" w:rsidRDefault="00857CD6">
            <w:pPr>
              <w:rPr>
                <w:sz w:val="2"/>
              </w:rPr>
            </w:pPr>
          </w:p>
        </w:tc>
      </w:tr>
    </w:tbl>
    <w:p w14:paraId="0466EFD4" w14:textId="77777777" w:rsidR="00857CD6" w:rsidRDefault="00921C1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7CD6" w14:paraId="32535CB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487E" w14:textId="77777777" w:rsidR="00857CD6" w:rsidRDefault="00921C1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F79E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4D54" w14:textId="77777777" w:rsidR="00857CD6" w:rsidRDefault="00921C1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17CF96" w14:textId="77777777" w:rsidR="00857CD6" w:rsidRDefault="00921C15">
      <w:pPr>
        <w:spacing w:line="240" w:lineRule="exact"/>
      </w:pPr>
      <w:r>
        <w:t xml:space="preserve"> </w:t>
      </w:r>
    </w:p>
    <w:p w14:paraId="03838CCE" w14:textId="77777777" w:rsidR="00857CD6" w:rsidRDefault="00857CD6">
      <w:pPr>
        <w:spacing w:after="100" w:line="240" w:lineRule="exact"/>
      </w:pPr>
    </w:p>
    <w:p w14:paraId="68BD701C" w14:textId="77777777" w:rsidR="00857CD6" w:rsidRDefault="00921C1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4682C1A1" w14:textId="77777777" w:rsidR="00857CD6" w:rsidRDefault="00921C1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214B2710" w14:textId="77777777" w:rsidR="00857CD6" w:rsidRDefault="00921C1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5B266807" w14:textId="77777777" w:rsidR="00857CD6" w:rsidRDefault="00921C1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6B71BEDD" w14:textId="77777777" w:rsidR="00857CD6" w:rsidRDefault="00857CD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7CD6">
          <w:pgSz w:w="11900" w:h="16840"/>
          <w:pgMar w:top="1400" w:right="1140" w:bottom="1440" w:left="1140" w:header="1400" w:footer="1440" w:gutter="0"/>
          <w:cols w:space="708"/>
        </w:sectPr>
      </w:pPr>
    </w:p>
    <w:p w14:paraId="05B41AD3" w14:textId="77777777" w:rsidR="00857CD6" w:rsidRDefault="00857CD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57CD6" w14:paraId="6802DFDD" w14:textId="77777777" w:rsidTr="008841B9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D1EA" w14:textId="77777777" w:rsidR="00857CD6" w:rsidRDefault="00921C1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57CD6" w:rsidRPr="00AA3900" w14:paraId="4FBFFBC2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03AA" w14:textId="77777777" w:rsidR="00857CD6" w:rsidRDefault="00857CD6">
            <w:pPr>
              <w:spacing w:line="240" w:lineRule="exact"/>
            </w:pPr>
          </w:p>
          <w:p w14:paraId="78C07D8D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219B6FA8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808A" w14:textId="77777777" w:rsidR="00857CD6" w:rsidRDefault="00921C15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DA6B" w14:textId="77777777" w:rsidR="00857CD6" w:rsidRDefault="00921C1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Entretien, Aménagement et travaux de voirie, trottoirs, divers réseaux enterrés, signalétique et pose de mobiliers urbains de l'Université Paris Saclay</w:t>
            </w:r>
          </w:p>
        </w:tc>
      </w:tr>
      <w:tr w:rsidR="00857CD6" w14:paraId="5E13C1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26DC" w14:textId="77777777" w:rsidR="00857CD6" w:rsidRPr="008841B9" w:rsidRDefault="00857CD6">
            <w:pPr>
              <w:spacing w:line="140" w:lineRule="exact"/>
              <w:rPr>
                <w:sz w:val="14"/>
                <w:lang w:val="fr-FR"/>
              </w:rPr>
            </w:pPr>
          </w:p>
          <w:p w14:paraId="5321702E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631752C0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7FA2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4B68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57CD6" w14:paraId="4E59C4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FA96" w14:textId="77777777" w:rsidR="00857CD6" w:rsidRDefault="00857CD6">
            <w:pPr>
              <w:spacing w:line="140" w:lineRule="exact"/>
              <w:rPr>
                <w:sz w:val="14"/>
              </w:rPr>
            </w:pPr>
          </w:p>
          <w:p w14:paraId="08B21AF2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10CE7DF9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7036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873A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857CD6" w14:paraId="5DD1269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1ED01" w14:textId="77777777" w:rsidR="00857CD6" w:rsidRDefault="00857CD6">
            <w:pPr>
              <w:spacing w:line="140" w:lineRule="exact"/>
              <w:rPr>
                <w:sz w:val="14"/>
              </w:rPr>
            </w:pPr>
          </w:p>
          <w:p w14:paraId="647E23EA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5CC3745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BF11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E111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857CD6" w14:paraId="3194DB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1BEB" w14:textId="77777777" w:rsidR="00857CD6" w:rsidRDefault="00857CD6">
            <w:pPr>
              <w:spacing w:line="140" w:lineRule="exact"/>
              <w:rPr>
                <w:sz w:val="14"/>
              </w:rPr>
            </w:pPr>
          </w:p>
          <w:p w14:paraId="4712D9C4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515371B1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1469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E2AC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57CD6" w14:paraId="5BA823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BB0D" w14:textId="77777777" w:rsidR="00857CD6" w:rsidRDefault="00857CD6">
            <w:pPr>
              <w:spacing w:line="140" w:lineRule="exact"/>
              <w:rPr>
                <w:sz w:val="14"/>
              </w:rPr>
            </w:pPr>
          </w:p>
          <w:p w14:paraId="4ED6B50B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093D7AB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403D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2474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57CD6" w14:paraId="0EDBE1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2E28" w14:textId="77777777" w:rsidR="00857CD6" w:rsidRDefault="00857CD6">
            <w:pPr>
              <w:spacing w:line="180" w:lineRule="exact"/>
              <w:rPr>
                <w:sz w:val="18"/>
              </w:rPr>
            </w:pPr>
          </w:p>
          <w:p w14:paraId="7D049C74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16991858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0BDF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3C0E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57CD6" w:rsidRPr="003E2AAC" w14:paraId="4DB367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C090" w14:textId="77777777" w:rsidR="00857CD6" w:rsidRDefault="00857CD6">
            <w:pPr>
              <w:spacing w:line="140" w:lineRule="exact"/>
              <w:rPr>
                <w:sz w:val="14"/>
              </w:rPr>
            </w:pPr>
          </w:p>
          <w:p w14:paraId="086B0984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0A47B05A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BF15" w14:textId="77777777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74FF6" w14:textId="59DC7905" w:rsidR="00857CD6" w:rsidRDefault="003E2A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Sans mais considérations sociales (critères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sélection des offres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</w:tr>
      <w:tr w:rsidR="00857CD6" w:rsidRPr="003E2AAC" w14:paraId="51C629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4A19" w14:textId="77777777" w:rsidR="00857CD6" w:rsidRPr="003E2AAC" w:rsidRDefault="00857CD6">
            <w:pPr>
              <w:spacing w:line="140" w:lineRule="exact"/>
              <w:rPr>
                <w:sz w:val="14"/>
                <w:lang w:val="fr-FR"/>
              </w:rPr>
            </w:pPr>
          </w:p>
          <w:p w14:paraId="58A685DC" w14:textId="77777777" w:rsidR="00857CD6" w:rsidRDefault="00AA3900">
            <w:pPr>
              <w:ind w:left="420"/>
              <w:rPr>
                <w:sz w:val="2"/>
              </w:rPr>
            </w:pPr>
            <w:r>
              <w:pict w14:anchorId="7B453200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2E9A" w14:textId="77777777" w:rsidR="00857CD6" w:rsidRDefault="00921C1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9015" w14:textId="69EB298C" w:rsidR="00857CD6" w:rsidRDefault="00921C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mais considérations 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environnementales (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critères de 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sélection des offres</w:t>
            </w:r>
            <w:r w:rsidR="003E2A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</w:tr>
    </w:tbl>
    <w:p w14:paraId="3A3AC172" w14:textId="77777777" w:rsidR="00857CD6" w:rsidRPr="003E2AAC" w:rsidRDefault="00857CD6">
      <w:pPr>
        <w:rPr>
          <w:lang w:val="fr-FR"/>
        </w:rPr>
        <w:sectPr w:rsidR="00857CD6" w:rsidRPr="003E2AAC">
          <w:pgSz w:w="11900" w:h="16840"/>
          <w:pgMar w:top="1440" w:right="1160" w:bottom="1440" w:left="1140" w:header="1440" w:footer="1440" w:gutter="0"/>
          <w:cols w:space="708"/>
        </w:sectPr>
      </w:pPr>
    </w:p>
    <w:p w14:paraId="7B1C1132" w14:textId="77777777" w:rsidR="00857CD6" w:rsidRDefault="00921C1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CCA2BF" w14:textId="77777777" w:rsidR="00857CD6" w:rsidRDefault="00857CD6">
      <w:pPr>
        <w:spacing w:after="80" w:line="240" w:lineRule="exact"/>
      </w:pPr>
    </w:p>
    <w:p w14:paraId="0B8C75B2" w14:textId="77777777" w:rsidR="00857CD6" w:rsidRDefault="00921C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8BEE54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4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6142DCFD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5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5D24B2E5" w14:textId="77777777" w:rsidR="00857CD6" w:rsidRDefault="0020644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5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63EFE4FD" w14:textId="77777777" w:rsidR="00857CD6" w:rsidRDefault="0020644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6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0530AA09" w14:textId="77777777" w:rsidR="00857CD6" w:rsidRDefault="0020644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6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36F7D2DE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6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5C615FF2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7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1EAAA3D4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7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135BB87C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8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40C136ED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8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4F64FFAF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8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70B1B164" w14:textId="77777777" w:rsidR="00857CD6" w:rsidRDefault="002064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21C15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21C15">
          <w:rPr>
            <w:rFonts w:ascii="Trebuchet MS" w:eastAsia="Trebuchet MS" w:hAnsi="Trebuchet MS" w:cs="Trebuchet MS"/>
          </w:rPr>
          <w:tab/>
        </w:r>
        <w:r w:rsidR="00921C15">
          <w:rPr>
            <w:rFonts w:ascii="Trebuchet MS" w:eastAsia="Trebuchet MS" w:hAnsi="Trebuchet MS" w:cs="Trebuchet MS"/>
          </w:rPr>
          <w:fldChar w:fldCharType="begin"/>
        </w:r>
        <w:r w:rsidR="00921C15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21C15">
          <w:rPr>
            <w:rFonts w:ascii="Trebuchet MS" w:eastAsia="Trebuchet MS" w:hAnsi="Trebuchet MS" w:cs="Trebuchet MS"/>
          </w:rPr>
        </w:r>
        <w:r w:rsidR="00921C15">
          <w:rPr>
            <w:rFonts w:ascii="Trebuchet MS" w:eastAsia="Trebuchet MS" w:hAnsi="Trebuchet MS" w:cs="Trebuchet MS"/>
          </w:rPr>
          <w:fldChar w:fldCharType="separate"/>
        </w:r>
        <w:r w:rsidR="00921C15">
          <w:rPr>
            <w:rFonts w:ascii="Trebuchet MS" w:eastAsia="Trebuchet MS" w:hAnsi="Trebuchet MS" w:cs="Trebuchet MS"/>
          </w:rPr>
          <w:t>11</w:t>
        </w:r>
        <w:r w:rsidR="00921C15">
          <w:rPr>
            <w:rFonts w:ascii="Trebuchet MS" w:eastAsia="Trebuchet MS" w:hAnsi="Trebuchet MS" w:cs="Trebuchet MS"/>
          </w:rPr>
          <w:fldChar w:fldCharType="end"/>
        </w:r>
      </w:hyperlink>
    </w:p>
    <w:p w14:paraId="6BEF3AD8" w14:textId="77777777" w:rsidR="00857CD6" w:rsidRDefault="00921C1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7CD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3B15180" w14:textId="77777777" w:rsidR="00857CD6" w:rsidRPr="008841B9" w:rsidRDefault="00921C15" w:rsidP="008841B9">
      <w:pPr>
        <w:pStyle w:val="Titre1"/>
        <w:shd w:val="clear" w:color="auto" w:fill="993366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ArtL1_AE-3-A2"/>
      <w:bookmarkStart w:id="1" w:name="_Toc256000000"/>
      <w:bookmarkEnd w:id="0"/>
      <w:r w:rsidRPr="008841B9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1"/>
    </w:p>
    <w:p w14:paraId="54907E08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463FCD47" w14:textId="77777777" w:rsidR="00857CD6" w:rsidRDefault="00921C1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18B2E481" w14:textId="77777777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21F4D5D3" w14:textId="77777777" w:rsidR="00857CD6" w:rsidRDefault="00921C1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48BBB287" w14:textId="77777777" w:rsidR="00857CD6" w:rsidRDefault="00921C1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63BCCBB1" w14:textId="77777777" w:rsidR="00857CD6" w:rsidRDefault="00921C1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5CDF3FA8" w14:textId="77777777" w:rsidR="00857CD6" w:rsidRDefault="00921C15" w:rsidP="008841B9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B9A019F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5E3D18B0" w14:textId="77777777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2024-A117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7CD6" w14:paraId="111866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EF60" w14:textId="77777777" w:rsidR="00857CD6" w:rsidRDefault="00AA3900">
            <w:pPr>
              <w:rPr>
                <w:sz w:val="2"/>
              </w:rPr>
            </w:pPr>
            <w:r>
              <w:pict w14:anchorId="289C2AE1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4351A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C2316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2CE6109F" w14:textId="365BA7AB" w:rsidR="008841B9" w:rsidRPr="008841B9" w:rsidRDefault="008841B9" w:rsidP="008841B9">
            <w:pPr>
              <w:rPr>
                <w:lang w:val="fr-FR"/>
              </w:rPr>
            </w:pPr>
          </w:p>
        </w:tc>
      </w:tr>
      <w:tr w:rsidR="00857CD6" w14:paraId="7CCF4F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DD75A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B913A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4A5C5B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88DEF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9D4FA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39BCEE" w14:textId="77777777" w:rsidR="00857CD6" w:rsidRDefault="00921C1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7CD6" w:rsidRPr="00AA3900" w14:paraId="6214F4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1D5EB" w14:textId="77777777" w:rsidR="00857CD6" w:rsidRDefault="00AA3900">
            <w:pPr>
              <w:rPr>
                <w:sz w:val="2"/>
              </w:rPr>
            </w:pPr>
            <w:r>
              <w:pict w14:anchorId="0A25BD67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81F2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D8D4" w14:textId="1D04460F" w:rsidR="00857CD6" w:rsidRDefault="003874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921C15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39ADF822" w14:textId="1F1AE646" w:rsidR="008841B9" w:rsidRPr="008841B9" w:rsidRDefault="008841B9" w:rsidP="008841B9">
            <w:pPr>
              <w:rPr>
                <w:lang w:val="fr-FR"/>
              </w:rPr>
            </w:pPr>
          </w:p>
        </w:tc>
      </w:tr>
      <w:tr w:rsidR="00857CD6" w:rsidRPr="00AA3900" w14:paraId="1FE43B5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D713C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DF246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4BF2A9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5AFF5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C0FAF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27972B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DE4E1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26847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553611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77623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C1ECB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585F7F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617A8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63941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4A92F4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5D739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E8F0E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2850534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4AD3E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6D32D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975A74" w14:textId="77777777" w:rsidR="00857CD6" w:rsidRDefault="00921C1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7CD6" w:rsidRPr="00AA3900" w14:paraId="7E9E05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EC8E" w14:textId="77777777" w:rsidR="00857CD6" w:rsidRDefault="00AA3900">
            <w:pPr>
              <w:rPr>
                <w:sz w:val="2"/>
              </w:rPr>
            </w:pPr>
            <w:r>
              <w:pict w14:anchorId="64DFCCB7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EA5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D732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3629DA07" w14:textId="498B2F35" w:rsidR="008841B9" w:rsidRPr="008841B9" w:rsidRDefault="008841B9" w:rsidP="008841B9">
            <w:pPr>
              <w:rPr>
                <w:lang w:val="fr-FR"/>
              </w:rPr>
            </w:pPr>
          </w:p>
        </w:tc>
      </w:tr>
      <w:tr w:rsidR="00857CD6" w:rsidRPr="00AA3900" w14:paraId="4A8FF2D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B999C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0A327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0DB963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35276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F291E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712127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F8CBF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7407A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62ECDB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B5B4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2791A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068284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DC1C7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FCF5B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19E77E" w14:textId="77777777" w:rsidR="00857CD6" w:rsidRDefault="00857CD6">
      <w:pPr>
        <w:sectPr w:rsidR="00857CD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7CD6" w14:paraId="73E1D2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2BA17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A0515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60EBD42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35921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F0FBF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78841" w14:textId="77777777" w:rsidR="00857CD6" w:rsidRDefault="00921C1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7CD6" w14:paraId="5A7259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1183" w14:textId="77777777" w:rsidR="00857CD6" w:rsidRDefault="00AA3900">
            <w:pPr>
              <w:rPr>
                <w:sz w:val="2"/>
              </w:rPr>
            </w:pPr>
            <w:r>
              <w:pict w14:anchorId="78BD807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97A5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97ED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718D7299" w14:textId="17B29C4B" w:rsidR="008841B9" w:rsidRPr="008841B9" w:rsidRDefault="008841B9" w:rsidP="008841B9">
            <w:pPr>
              <w:rPr>
                <w:lang w:val="fr-FR"/>
              </w:rPr>
            </w:pPr>
          </w:p>
        </w:tc>
      </w:tr>
      <w:tr w:rsidR="00857CD6" w14:paraId="79AF89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94867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B7FB7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784571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20897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0792D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218BD5" w14:textId="77777777" w:rsidR="00857CD6" w:rsidRDefault="00921C15">
      <w:pPr>
        <w:spacing w:after="20" w:line="240" w:lineRule="exact"/>
      </w:pPr>
      <w:r>
        <w:t xml:space="preserve"> </w:t>
      </w:r>
    </w:p>
    <w:p w14:paraId="70FE35FB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369C296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14:paraId="0D0A54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DD9D" w14:textId="77777777" w:rsidR="00857CD6" w:rsidRDefault="00AA3900">
            <w:pPr>
              <w:rPr>
                <w:sz w:val="2"/>
              </w:rPr>
            </w:pPr>
            <w:r>
              <w:pict w14:anchorId="18F5417A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CA2C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B076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0536826" w14:textId="77777777" w:rsidR="00857CD6" w:rsidRDefault="00921C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14:paraId="76FEBE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5703" w14:textId="77777777" w:rsidR="00857CD6" w:rsidRDefault="00AA3900">
            <w:pPr>
              <w:rPr>
                <w:sz w:val="2"/>
              </w:rPr>
            </w:pPr>
            <w:r>
              <w:pict w14:anchorId="13DD914E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0CCA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A794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5EE20C6" w14:textId="77777777" w:rsidR="00857CD6" w:rsidRDefault="00921C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:rsidRPr="00AA3900" w14:paraId="3AC69F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0DCB" w14:textId="77777777" w:rsidR="00857CD6" w:rsidRDefault="00AA3900">
            <w:pPr>
              <w:rPr>
                <w:sz w:val="2"/>
              </w:rPr>
            </w:pPr>
            <w:r>
              <w:pict w14:anchorId="361C28B7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F1A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488B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0E43173" w14:textId="77777777" w:rsidR="00857CD6" w:rsidRPr="008841B9" w:rsidRDefault="00921C15">
      <w:pPr>
        <w:spacing w:line="240" w:lineRule="exact"/>
        <w:rPr>
          <w:lang w:val="fr-FR"/>
        </w:rPr>
      </w:pPr>
      <w:r w:rsidRPr="008841B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7CD6" w:rsidRPr="00AA3900" w14:paraId="3564A9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9F652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B9736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342F84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31AA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03008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179618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22F5A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F5A3F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53A3F7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32CBE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869E9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26D750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1F3EC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7871D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18DFB1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19CD4" w14:textId="77777777" w:rsidR="00857CD6" w:rsidRDefault="00921C1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A4396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7CD6" w14:paraId="5F17EDB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3E26D" w14:textId="77777777" w:rsidR="00857CD6" w:rsidRDefault="00921C1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26636" w14:textId="77777777" w:rsidR="00857CD6" w:rsidRDefault="00857CD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6BBD4" w14:textId="77777777" w:rsidR="00857CD6" w:rsidRDefault="00921C15">
      <w:pPr>
        <w:spacing w:after="20" w:line="240" w:lineRule="exact"/>
      </w:pPr>
      <w:r>
        <w:t xml:space="preserve"> </w:t>
      </w:r>
    </w:p>
    <w:p w14:paraId="016078A7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D0160D4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EC8DC4" w14:textId="77777777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6077B08" w14:textId="77777777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807D225" w14:textId="77777777" w:rsidR="00857CD6" w:rsidRDefault="00921C15" w:rsidP="008841B9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F15D963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6441A638" w14:textId="77777777" w:rsidR="00857CD6" w:rsidRDefault="00921C1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6B063DB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Entretien, Aménagement et travaux de voirie, trottoirs, divers réseaux enterrés, signalétique et pose de mobiliers urbains de l'Université Paris Saclay</w:t>
      </w:r>
    </w:p>
    <w:p w14:paraId="57F37E0E" w14:textId="77777777" w:rsidR="00857CD6" w:rsidRDefault="00857CD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337D373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accord cadre comprend la fourniture, la mise en œuvre de matériaux, l’emploi de main d’œuvre ainsi que tous les transports nécessaires à la réalisation des travaux.</w:t>
      </w:r>
    </w:p>
    <w:p w14:paraId="7FB7BFFC" w14:textId="77777777" w:rsidR="00857CD6" w:rsidRDefault="00857CD6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857CD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474D2540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travaux comprennent :</w:t>
      </w:r>
    </w:p>
    <w:p w14:paraId="759AE815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1. la démolition totale ou partielle de chaussées y compris cheminement piéton et autres ouvrages de voirie ou d’aménagements extérieurs</w:t>
      </w:r>
    </w:p>
    <w:p w14:paraId="52C653AE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2. l’établissement de la forme et de sous-couches de chaussées,</w:t>
      </w:r>
    </w:p>
    <w:p w14:paraId="1D852356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3. la construction des couches de fondation,</w:t>
      </w:r>
    </w:p>
    <w:p w14:paraId="17A96E04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4. la mise en œuvre de matériaux enrobés pour reprofilage partiel des chaussées,</w:t>
      </w:r>
    </w:p>
    <w:p w14:paraId="59EE45C6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5. la mise en œuvre d’enrobé des couches de roulement,</w:t>
      </w:r>
    </w:p>
    <w:p w14:paraId="24F7B138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6. Les travaux de génie civil des réseaux : téléphone, éclairage public, électricité et fourreaux divers</w:t>
      </w:r>
    </w:p>
    <w:p w14:paraId="4D568796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7. l’entretien des chaussées,</w:t>
      </w:r>
    </w:p>
    <w:p w14:paraId="0B9C61F5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8. la pose de bordures de trottoir,</w:t>
      </w:r>
    </w:p>
    <w:p w14:paraId="0966AD07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9. La pose et l’entretien des cheminements piétons et piste cyclable,</w:t>
      </w:r>
    </w:p>
    <w:p w14:paraId="4308A1C9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10. l’entretien courant du réseau de route et trottoir,</w:t>
      </w:r>
    </w:p>
    <w:p w14:paraId="3D33775C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11. la réparation du réseau d’assainissement EP et EU</w:t>
      </w:r>
    </w:p>
    <w:p w14:paraId="7A76C801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12. La fourniture et pose de signalétique</w:t>
      </w:r>
    </w:p>
    <w:p w14:paraId="39E3C86C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13. Pose de mobilier urbain. (Hors fourniture)</w:t>
      </w:r>
    </w:p>
    <w:p w14:paraId="728CAD06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14. Mise en conformité accessibilité PMR de la voirie et des accès aux bâtiments</w:t>
      </w:r>
    </w:p>
    <w:p w14:paraId="19D6BE8F" w14:textId="77777777" w:rsidR="00857CD6" w:rsidRDefault="00857CD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E5945B2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tout état de cause, ne sont pas couverts par le présent accord cadre :</w:t>
      </w:r>
    </w:p>
    <w:p w14:paraId="21D39E06" w14:textId="77777777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travaux relatifs à des opérations supérieures à 90 000 € HT ;</w:t>
      </w:r>
    </w:p>
    <w:p w14:paraId="4E621649" w14:textId="0EE9B8C1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Les travaux s’inscrivant dans un cadre de rénovation globale </w:t>
      </w:r>
      <w:r w:rsidR="008841B9">
        <w:rPr>
          <w:color w:val="000000"/>
          <w:lang w:val="fr-FR"/>
        </w:rPr>
        <w:t>(Cette</w:t>
      </w:r>
      <w:r>
        <w:rPr>
          <w:color w:val="000000"/>
          <w:lang w:val="fr-FR"/>
        </w:rPr>
        <w:t xml:space="preserve"> notion de rénovation globale s'entend, dans le présent accord-cadre, comme des travaux relevant de plusieurs corps de métier réalisés et par année calendaire) ;</w:t>
      </w:r>
    </w:p>
    <w:p w14:paraId="23FDBAA6" w14:textId="5C2B3F28" w:rsidR="00857CD6" w:rsidRDefault="00921C1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travaux pour lesquels l’Université s'est adjoint les services d’un MOE sauf si le recours au présent accord-cadre est autorisé expressément dans la mission du MOE telle que confiée par l’Université.</w:t>
      </w:r>
    </w:p>
    <w:p w14:paraId="270ED91F" w14:textId="77777777" w:rsidR="008841B9" w:rsidRDefault="008841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</w:p>
    <w:p w14:paraId="6951171D" w14:textId="08B1C63D" w:rsidR="00857CD6" w:rsidRDefault="00921C1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6F0B04A" w14:textId="77777777" w:rsidR="00857CD6" w:rsidRDefault="00921C1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AA7F148" w14:textId="77777777" w:rsidR="00857CD6" w:rsidRDefault="00921C1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7E02E4C" w14:textId="36B55F42" w:rsidR="00857CD6" w:rsidRDefault="003874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sans montant minimum et avec un montant maximum </w:t>
      </w:r>
      <w:r w:rsidR="00921C15">
        <w:rPr>
          <w:color w:val="000000"/>
          <w:lang w:val="fr-FR"/>
        </w:rPr>
        <w:t>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E5CFCF7" w14:textId="77777777" w:rsidR="00857CD6" w:rsidRDefault="00921C15" w:rsidP="008841B9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0616406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39D52C73" w14:textId="6F0D5669" w:rsidR="00857CD6" w:rsidRDefault="00921C15" w:rsidP="00AA39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le bordereau des prix, au(x)quel(s) </w:t>
      </w:r>
      <w:r w:rsidR="00AA3900">
        <w:rPr>
          <w:color w:val="000000"/>
          <w:lang w:val="fr-FR"/>
        </w:rPr>
        <w:t>s</w:t>
      </w:r>
      <w:r w:rsidR="00B35EF6" w:rsidRPr="00B35EF6">
        <w:rPr>
          <w:color w:val="000000"/>
          <w:lang w:val="fr-FR"/>
        </w:rPr>
        <w:t>elon l’importance de chaque bon de commande</w:t>
      </w:r>
      <w:r w:rsidR="00B35EF6">
        <w:rPr>
          <w:color w:val="000000"/>
          <w:lang w:val="fr-FR"/>
        </w:rPr>
        <w:t xml:space="preserve"> ou projets</w:t>
      </w:r>
      <w:r w:rsidR="00B35EF6" w:rsidRPr="00B35EF6">
        <w:rPr>
          <w:color w:val="000000"/>
          <w:lang w:val="fr-FR"/>
        </w:rPr>
        <w:t>, les rabais suivants devront être appliqués :</w:t>
      </w:r>
    </w:p>
    <w:p w14:paraId="047DF42F" w14:textId="77777777" w:rsidR="00AA3900" w:rsidRPr="00AA3900" w:rsidRDefault="00AA3900" w:rsidP="00AA3900">
      <w:pPr>
        <w:rPr>
          <w:lang w:val="fr-FR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4139"/>
        <w:gridCol w:w="1338"/>
        <w:gridCol w:w="3708"/>
      </w:tblGrid>
      <w:tr w:rsidR="00B35EF6" w:rsidRPr="009B4EC5" w14:paraId="42ABF316" w14:textId="77777777" w:rsidTr="00562492">
        <w:trPr>
          <w:cantSplit/>
          <w:tblHeader/>
          <w:jc w:val="center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772CF4" w14:textId="77777777" w:rsidR="00B35EF6" w:rsidRPr="009B4EC5" w:rsidRDefault="00B35EF6" w:rsidP="00562492">
            <w:pPr>
              <w:pStyle w:val="AETableau"/>
              <w:keepNext/>
              <w:keepLines/>
              <w:tabs>
                <w:tab w:val="left" w:leader="dot" w:pos="9072"/>
              </w:tabs>
              <w:spacing w:befor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Tranche de prix</w:t>
            </w:r>
          </w:p>
        </w:tc>
        <w:tc>
          <w:tcPr>
            <w:tcW w:w="5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5133" w14:textId="664E93F8" w:rsidR="00B35EF6" w:rsidRPr="009B4EC5" w:rsidRDefault="00B35EF6" w:rsidP="00562492">
            <w:pPr>
              <w:pStyle w:val="AETableau"/>
              <w:keepNext/>
              <w:keepLines/>
              <w:tabs>
                <w:tab w:val="left" w:pos="57"/>
                <w:tab w:val="left" w:leader="dot" w:pos="1134"/>
                <w:tab w:val="left" w:leader="dot" w:pos="3504"/>
                <w:tab w:val="left" w:leader="dot" w:pos="9072"/>
              </w:tabs>
              <w:spacing w:befor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Montant (</w:t>
            </w:r>
            <w:r w:rsidRPr="009B4EC5">
              <w:rPr>
                <w:rFonts w:ascii="Trebuchet MS" w:eastAsia="Trebuchet MS" w:hAnsi="Trebuchet MS" w:cs="Trebuchet MS"/>
                <w:color w:val="000000"/>
                <w:sz w:val="16"/>
                <w:szCs w:val="16"/>
                <w:highlight w:val="yellow"/>
                <w:lang w:eastAsia="en-US"/>
              </w:rPr>
              <w:t xml:space="preserve">à </w:t>
            </w:r>
            <w:r w:rsidR="00DB74FA" w:rsidRPr="009B4EC5">
              <w:rPr>
                <w:rFonts w:ascii="Trebuchet MS" w:eastAsia="Trebuchet MS" w:hAnsi="Trebuchet MS" w:cs="Trebuchet MS"/>
                <w:color w:val="000000"/>
                <w:sz w:val="16"/>
                <w:szCs w:val="16"/>
                <w:highlight w:val="yellow"/>
                <w:lang w:eastAsia="en-US"/>
              </w:rPr>
              <w:t>compléter)</w:t>
            </w:r>
          </w:p>
        </w:tc>
      </w:tr>
      <w:tr w:rsidR="00B35EF6" w:rsidRPr="009B4EC5" w14:paraId="4FD8EF85" w14:textId="77777777" w:rsidTr="00562492">
        <w:trPr>
          <w:cantSplit/>
          <w:tblHeader/>
          <w:jc w:val="center"/>
        </w:trPr>
        <w:tc>
          <w:tcPr>
            <w:tcW w:w="4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5980" w14:textId="77777777" w:rsidR="00B35EF6" w:rsidRPr="009B4EC5" w:rsidRDefault="00B35EF6" w:rsidP="00562492">
            <w:pPr>
              <w:pStyle w:val="AETableau"/>
              <w:keepNext/>
              <w:keepLines/>
              <w:tabs>
                <w:tab w:val="left" w:leader="dot" w:pos="9072"/>
              </w:tabs>
              <w:spacing w:befor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5A6A" w14:textId="77777777" w:rsidR="00B35EF6" w:rsidRPr="009B4EC5" w:rsidRDefault="00B35EF6" w:rsidP="00562492">
            <w:pPr>
              <w:pStyle w:val="AETableau"/>
              <w:keepNext/>
              <w:keepLines/>
              <w:tabs>
                <w:tab w:val="left" w:pos="57"/>
                <w:tab w:val="left" w:leader="dot" w:pos="1134"/>
                <w:tab w:val="left" w:leader="dot" w:pos="9072"/>
              </w:tabs>
              <w:spacing w:befor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%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8953" w14:textId="7FAB68A8" w:rsidR="00B35EF6" w:rsidRPr="009B4EC5" w:rsidRDefault="00B35EF6" w:rsidP="00562492">
            <w:pPr>
              <w:pStyle w:val="AETableau"/>
              <w:keepNext/>
              <w:keepLines/>
              <w:tabs>
                <w:tab w:val="left" w:pos="57"/>
                <w:tab w:val="left" w:leader="dot" w:pos="3504"/>
                <w:tab w:val="left" w:leader="dot" w:pos="9072"/>
              </w:tabs>
              <w:spacing w:befor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En lettres</w:t>
            </w:r>
          </w:p>
        </w:tc>
      </w:tr>
      <w:tr w:rsidR="00B35EF6" w:rsidRPr="009B4EC5" w14:paraId="51BF3FAE" w14:textId="77777777" w:rsidTr="00562492">
        <w:tblPrEx>
          <w:tblBorders>
            <w:top w:val="single" w:sz="6" w:space="0" w:color="000000"/>
            <w:left w:val="single" w:sz="12" w:space="0" w:color="000000"/>
            <w:bottom w:val="single" w:sz="6" w:space="0" w:color="000000"/>
            <w:right w:val="single" w:sz="12" w:space="0" w:color="000000"/>
            <w:insideH w:val="nil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  <w:jc w:val="center"/>
        </w:trPr>
        <w:tc>
          <w:tcPr>
            <w:tcW w:w="4139" w:type="dxa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</w:tcPr>
          <w:p w14:paraId="2F1A5E54" w14:textId="77777777" w:rsidR="00B35EF6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spacing w:before="80"/>
              <w:ind w:firstLine="0"/>
              <w:jc w:val="lef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B35EF6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Inférieur à 3 000€ </w:t>
            </w:r>
          </w:p>
          <w:p w14:paraId="014F1E3B" w14:textId="54942691" w:rsidR="00B35EF6" w:rsidRPr="009B4EC5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spacing w:before="80"/>
              <w:ind w:firstLine="0"/>
              <w:jc w:val="lef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Entre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3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001€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et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10 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0 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€</w:t>
            </w:r>
          </w:p>
        </w:tc>
        <w:tc>
          <w:tcPr>
            <w:tcW w:w="1338" w:type="dxa"/>
            <w:tcBorders>
              <w:top w:val="single" w:sz="6" w:space="0" w:color="000000"/>
            </w:tcBorders>
            <w:shd w:val="clear" w:color="auto" w:fill="auto"/>
          </w:tcPr>
          <w:p w14:paraId="53476166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1134"/>
              </w:tabs>
              <w:spacing w:before="80"/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  <w:p w14:paraId="74706716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1134"/>
              </w:tabs>
              <w:spacing w:before="80"/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  <w:tc>
          <w:tcPr>
            <w:tcW w:w="3708" w:type="dxa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</w:tcPr>
          <w:p w14:paraId="172FA4EA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3504"/>
              </w:tabs>
              <w:spacing w:before="80"/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  <w:p w14:paraId="19D66A78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3504"/>
              </w:tabs>
              <w:spacing w:before="80"/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</w:tr>
      <w:tr w:rsidR="00B35EF6" w:rsidRPr="009B4EC5" w14:paraId="31EDA959" w14:textId="77777777" w:rsidTr="00562492">
        <w:tblPrEx>
          <w:tblBorders>
            <w:top w:val="single" w:sz="6" w:space="0" w:color="000000"/>
            <w:left w:val="single" w:sz="12" w:space="0" w:color="000000"/>
            <w:bottom w:val="single" w:sz="6" w:space="0" w:color="000000"/>
            <w:right w:val="single" w:sz="12" w:space="0" w:color="000000"/>
            <w:insideH w:val="nil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  <w:jc w:val="center"/>
        </w:trPr>
        <w:tc>
          <w:tcPr>
            <w:tcW w:w="4139" w:type="dxa"/>
            <w:tcBorders>
              <w:left w:val="single" w:sz="6" w:space="0" w:color="auto"/>
            </w:tcBorders>
            <w:shd w:val="clear" w:color="auto" w:fill="auto"/>
          </w:tcPr>
          <w:p w14:paraId="30FAD7FE" w14:textId="59BC4453" w:rsidR="00B35EF6" w:rsidRPr="009B4EC5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Entre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10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001€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et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2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5 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0 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€</w:t>
            </w:r>
          </w:p>
        </w:tc>
        <w:tc>
          <w:tcPr>
            <w:tcW w:w="1338" w:type="dxa"/>
            <w:shd w:val="clear" w:color="auto" w:fill="auto"/>
          </w:tcPr>
          <w:p w14:paraId="223D06B0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1134"/>
              </w:tabs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  <w:tc>
          <w:tcPr>
            <w:tcW w:w="3708" w:type="dxa"/>
            <w:tcBorders>
              <w:right w:val="single" w:sz="6" w:space="0" w:color="auto"/>
            </w:tcBorders>
            <w:shd w:val="clear" w:color="auto" w:fill="auto"/>
          </w:tcPr>
          <w:p w14:paraId="1A36587E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3504"/>
              </w:tabs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</w:tr>
      <w:tr w:rsidR="00B35EF6" w:rsidRPr="009B4EC5" w14:paraId="74B4DB51" w14:textId="77777777" w:rsidTr="00562492">
        <w:tblPrEx>
          <w:tblBorders>
            <w:top w:val="single" w:sz="6" w:space="0" w:color="000000"/>
            <w:left w:val="single" w:sz="12" w:space="0" w:color="000000"/>
            <w:bottom w:val="single" w:sz="6" w:space="0" w:color="000000"/>
            <w:right w:val="single" w:sz="12" w:space="0" w:color="000000"/>
            <w:insideH w:val="nil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  <w:jc w:val="center"/>
        </w:trPr>
        <w:tc>
          <w:tcPr>
            <w:tcW w:w="4139" w:type="dxa"/>
            <w:tcBorders>
              <w:left w:val="single" w:sz="6" w:space="0" w:color="auto"/>
              <w:bottom w:val="single" w:sz="6" w:space="0" w:color="000000"/>
            </w:tcBorders>
            <w:shd w:val="clear" w:color="auto" w:fill="auto"/>
          </w:tcPr>
          <w:p w14:paraId="0586916E" w14:textId="6C6B1402" w:rsidR="00B35EF6" w:rsidRPr="009B4EC5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Entre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25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 001€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 xml:space="preserve">et </w:t>
            </w:r>
            <w:r w:rsidRPr="009B4EC5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90 000€</w:t>
            </w:r>
          </w:p>
        </w:tc>
        <w:tc>
          <w:tcPr>
            <w:tcW w:w="1338" w:type="dxa"/>
            <w:tcBorders>
              <w:bottom w:val="single" w:sz="6" w:space="0" w:color="000000"/>
            </w:tcBorders>
            <w:shd w:val="clear" w:color="auto" w:fill="auto"/>
          </w:tcPr>
          <w:p w14:paraId="1685D120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1134"/>
              </w:tabs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  <w:tc>
          <w:tcPr>
            <w:tcW w:w="3708" w:type="dxa"/>
            <w:tcBorders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14:paraId="26B479E4" w14:textId="77777777" w:rsidR="00B35EF6" w:rsidRPr="00AA3900" w:rsidRDefault="00B35EF6" w:rsidP="0056249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57"/>
                <w:tab w:val="left" w:leader="dot" w:pos="3504"/>
              </w:tabs>
              <w:ind w:firstLine="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</w:pP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  <w:r w:rsidRPr="00AA3900">
              <w:rPr>
                <w:rFonts w:ascii="Trebuchet MS" w:eastAsia="Trebuchet MS" w:hAnsi="Trebuchet MS" w:cs="Trebuchet MS"/>
                <w:color w:val="000000"/>
                <w:sz w:val="20"/>
                <w:szCs w:val="24"/>
                <w:highlight w:val="yellow"/>
                <w:lang w:eastAsia="en-US"/>
              </w:rPr>
              <w:tab/>
            </w:r>
          </w:p>
        </w:tc>
      </w:tr>
    </w:tbl>
    <w:p w14:paraId="6C816186" w14:textId="77777777" w:rsidR="00B35EF6" w:rsidRPr="00B35EF6" w:rsidRDefault="00B35EF6" w:rsidP="00B35EF6">
      <w:pPr>
        <w:rPr>
          <w:lang w:val="fr-FR"/>
        </w:rPr>
      </w:pPr>
    </w:p>
    <w:p w14:paraId="64ABC4B1" w14:textId="77777777" w:rsidR="00B35EF6" w:rsidRDefault="00B35EF6" w:rsidP="00B35EF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bookmarkStart w:id="14" w:name="ArtL1_AE-3-A7"/>
      <w:bookmarkStart w:id="15" w:name="_Toc256000007"/>
      <w:bookmarkEnd w:id="14"/>
      <w:r>
        <w:rPr>
          <w:color w:val="000000"/>
          <w:lang w:val="fr-FR"/>
        </w:rPr>
        <w:t>Le montant des prestations pour la période totale de l'accord-cadre est défini(e) comme suit :</w:t>
      </w:r>
    </w:p>
    <w:p w14:paraId="2CA5A9B8" w14:textId="77777777" w:rsidR="00B35EF6" w:rsidRDefault="00B35EF6" w:rsidP="00B35EF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35EF6" w:rsidRPr="00AA3900" w14:paraId="6C4791A6" w14:textId="77777777" w:rsidTr="00562492">
        <w:trPr>
          <w:trHeight w:val="34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D580" w14:textId="77777777" w:rsidR="00B35EF6" w:rsidRDefault="00B35EF6" w:rsidP="0056249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 sur la durée maximale de l’accord cadre</w:t>
            </w:r>
          </w:p>
        </w:tc>
      </w:tr>
      <w:tr w:rsidR="00B35EF6" w14:paraId="1D8F065D" w14:textId="77777777" w:rsidTr="00562492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7AB4" w14:textId="77777777" w:rsidR="00B35EF6" w:rsidRDefault="00B35EF6" w:rsidP="00562492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4 000 000,00 €</w:t>
            </w:r>
          </w:p>
        </w:tc>
      </w:tr>
    </w:tbl>
    <w:p w14:paraId="12F3CF64" w14:textId="77777777" w:rsidR="00B35EF6" w:rsidRDefault="00B35EF6" w:rsidP="00B35EF6">
      <w:pPr>
        <w:spacing w:after="80" w:line="240" w:lineRule="exact"/>
      </w:pPr>
      <w:r>
        <w:t xml:space="preserve"> </w:t>
      </w:r>
    </w:p>
    <w:p w14:paraId="2E67EC3F" w14:textId="01F7EC41" w:rsidR="00B35EF6" w:rsidRDefault="00B35EF6" w:rsidP="00B35EF6">
      <w:pPr>
        <w:pStyle w:val="Normal1"/>
        <w:ind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9B4EC5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lastRenderedPageBreak/>
        <w:t>Aucune variante n’est autorisée, et aucune prestation supplémentaire ou alternative n’est prévue.</w:t>
      </w:r>
    </w:p>
    <w:p w14:paraId="1F2F2AD8" w14:textId="77777777" w:rsidR="006E3E1F" w:rsidRPr="009B4EC5" w:rsidRDefault="006E3E1F" w:rsidP="00B35EF6">
      <w:pPr>
        <w:pStyle w:val="Normal1"/>
        <w:ind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0BFB54F3" w14:textId="77777777" w:rsidR="00857CD6" w:rsidRDefault="00921C15" w:rsidP="006E3E1F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43F6970A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754EDB91" w14:textId="3B0D9656" w:rsidR="00DB74FA" w:rsidRDefault="00DB74FA" w:rsidP="00DB74F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6" w:name="_Hlk204334128"/>
      <w:r>
        <w:rPr>
          <w:color w:val="000000"/>
          <w:lang w:val="fr-FR"/>
        </w:rPr>
        <w:t xml:space="preserve">L'accord-cadre est conclu pour une période initiale de </w:t>
      </w:r>
      <w:r w:rsidR="001975F3">
        <w:rPr>
          <w:color w:val="000000"/>
          <w:lang w:val="fr-FR"/>
        </w:rPr>
        <w:t>1an</w:t>
      </w:r>
      <w:r>
        <w:rPr>
          <w:color w:val="000000"/>
          <w:lang w:val="fr-FR"/>
        </w:rPr>
        <w:t>.</w:t>
      </w:r>
    </w:p>
    <w:p w14:paraId="6D4A3964" w14:textId="77777777" w:rsidR="00DB74FA" w:rsidRDefault="00DB74FA" w:rsidP="00DB74F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5388AAF0" w14:textId="4C6DD36C" w:rsidR="00DB74FA" w:rsidRDefault="00DB74FA" w:rsidP="00DB74F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</w:t>
      </w:r>
      <w:r w:rsidR="008C0EF7">
        <w:rPr>
          <w:color w:val="000000"/>
          <w:lang w:val="fr-FR"/>
        </w:rPr>
        <w:t>peut être</w:t>
      </w:r>
      <w:r>
        <w:rPr>
          <w:color w:val="000000"/>
          <w:lang w:val="fr-FR"/>
        </w:rPr>
        <w:t xml:space="preserve"> reconduit tacitement jusqu'à son terme. Le nombre de périodes de reconduction est fixé à 3. La durée de chaque période de reconduction est de </w:t>
      </w:r>
      <w:r w:rsidR="001975F3">
        <w:rPr>
          <w:color w:val="000000"/>
          <w:lang w:val="fr-FR"/>
        </w:rPr>
        <w:t>1 an</w:t>
      </w:r>
      <w:r>
        <w:rPr>
          <w:color w:val="000000"/>
          <w:lang w:val="fr-FR"/>
        </w:rPr>
        <w:t>. La durée maximale de l’accord-cadre, toutes périodes confondues, est de 4</w:t>
      </w:r>
      <w:r w:rsidR="001975F3">
        <w:rPr>
          <w:color w:val="000000"/>
          <w:lang w:val="fr-FR"/>
        </w:rPr>
        <w:t xml:space="preserve"> ans</w:t>
      </w:r>
      <w:r>
        <w:rPr>
          <w:color w:val="000000"/>
          <w:lang w:val="fr-FR"/>
        </w:rPr>
        <w:t>.</w:t>
      </w:r>
    </w:p>
    <w:p w14:paraId="3D128B89" w14:textId="77777777" w:rsidR="00DB74FA" w:rsidRDefault="00DB74FA" w:rsidP="00DB74FA">
      <w:pPr>
        <w:rPr>
          <w:lang w:val="fr-FR"/>
        </w:rPr>
      </w:pPr>
    </w:p>
    <w:p w14:paraId="0B7FD227" w14:textId="21148686" w:rsidR="00DB74FA" w:rsidRDefault="00DB74FA" w:rsidP="00DB74F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d’exécution seront à préciser au cas par cas selon la nature et le périmètre des projets sur le devis de l’entrepreneur en commun accord avec l’UPS.</w:t>
      </w:r>
    </w:p>
    <w:p w14:paraId="2B79879E" w14:textId="70547011" w:rsidR="00DB74FA" w:rsidRDefault="00DB74FA" w:rsidP="00DB74FA">
      <w:pPr>
        <w:rPr>
          <w:lang w:val="fr-FR"/>
        </w:rPr>
      </w:pPr>
    </w:p>
    <w:p w14:paraId="6A14E552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d’exécution seront à préciser au cas par cas selon la nature et le périmètre des projets sur le devis de l’entrepreneur en commun accord avec l’UPS.</w:t>
      </w:r>
    </w:p>
    <w:p w14:paraId="3EAE6B1B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devis devront systématiquement faire apparaitre le délai et la durée d’exécution des prestations envisagées.</w:t>
      </w:r>
    </w:p>
    <w:p w14:paraId="444FCF5D" w14:textId="77777777" w:rsidR="00DB74FA" w:rsidRPr="00DE5E43" w:rsidRDefault="00DB74FA" w:rsidP="00DB74FA">
      <w:pPr>
        <w:rPr>
          <w:lang w:val="fr-FR"/>
        </w:rPr>
      </w:pPr>
    </w:p>
    <w:p w14:paraId="44D2F37C" w14:textId="739C3079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 des délais maximums d'intervention sont précisés :</w:t>
      </w:r>
    </w:p>
    <w:p w14:paraId="6BD3A792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Devis à moins de 3K€ - Délai d'une semaine + une semaine de préparation à réception bon de commande</w:t>
      </w:r>
    </w:p>
    <w:p w14:paraId="31D08FD7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-Devis entre 3K€ et 10K€ - Délai deux semaines + une semaine de préparation à réception bon de commande</w:t>
      </w:r>
    </w:p>
    <w:p w14:paraId="292AF210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-Devis entre 10K€ et 25K€ - Délai un mois. + 15 jours de préparation à réception bon de commande</w:t>
      </w:r>
    </w:p>
    <w:p w14:paraId="6F952A2C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Au-delà de 25K€ et 90K€ - Délai à définir entre l’UPS et le titulaire du marché en fonction des travaux à réaliser.</w:t>
      </w:r>
    </w:p>
    <w:p w14:paraId="487FDC6F" w14:textId="77777777" w:rsidR="00DB74FA" w:rsidRDefault="00DB74FA" w:rsidP="00DB74F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mise en danger ou péril imminent des installations ou des usagers : délai d’intervention en urgence sous 24h00 calendaires.</w:t>
      </w:r>
    </w:p>
    <w:p w14:paraId="6C38714D" w14:textId="77777777" w:rsidR="00DB74FA" w:rsidRDefault="00DB74FA" w:rsidP="00DB74F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 délai peut être ramené à 4H00 en cas d’incident grave dans la cote rue du Doyen Joseph Peres (accident de circulation, verglas, arbre abattu...)</w:t>
      </w:r>
    </w:p>
    <w:p w14:paraId="4C5F9527" w14:textId="77777777" w:rsidR="00DB74FA" w:rsidRDefault="00DB74FA" w:rsidP="00DB74F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18.2 du CCAG-Travaux.</w:t>
      </w:r>
    </w:p>
    <w:p w14:paraId="725C3ACD" w14:textId="49FC77C9" w:rsidR="00DB74FA" w:rsidRPr="00DB74FA" w:rsidRDefault="00DB74FA" w:rsidP="00DB74F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vue de l'application éventuelle de l'article 18.2.3 al. 1 et 2 du CCAG-Travaux, le nombre de journées d'intempéries réputées prévisibles, pour la durée totale de l'accord-cadre, est fixé à 15 jours.</w:t>
      </w:r>
    </w:p>
    <w:bookmarkEnd w:id="16"/>
    <w:p w14:paraId="228EE40C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5ECF5F5F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3827"/>
      </w:tblGrid>
      <w:tr w:rsidR="00DB74FA" w:rsidRPr="0010413C" w14:paraId="3EC716B4" w14:textId="77777777" w:rsidTr="00562492">
        <w:tc>
          <w:tcPr>
            <w:tcW w:w="2977" w:type="dxa"/>
            <w:shd w:val="clear" w:color="auto" w:fill="A6A6A6"/>
          </w:tcPr>
          <w:p w14:paraId="1CED09CF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701" w:type="dxa"/>
            <w:shd w:val="clear" w:color="auto" w:fill="A6A6A6"/>
          </w:tcPr>
          <w:p w14:paraId="4C9E14FA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27" w:type="dxa"/>
            <w:shd w:val="clear" w:color="auto" w:fill="A6A6A6"/>
          </w:tcPr>
          <w:p w14:paraId="67979F4C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DB74FA" w:rsidRPr="0010413C" w14:paraId="32798DEB" w14:textId="77777777" w:rsidTr="00562492">
        <w:tc>
          <w:tcPr>
            <w:tcW w:w="2977" w:type="dxa"/>
            <w:shd w:val="clear" w:color="auto" w:fill="auto"/>
          </w:tcPr>
          <w:p w14:paraId="76BEC709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</w:t>
            </w:r>
          </w:p>
        </w:tc>
        <w:tc>
          <w:tcPr>
            <w:tcW w:w="1701" w:type="dxa"/>
            <w:shd w:val="clear" w:color="auto" w:fill="auto"/>
          </w:tcPr>
          <w:p w14:paraId="0FE6A7B2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</w:t>
            </w:r>
          </w:p>
        </w:tc>
        <w:tc>
          <w:tcPr>
            <w:tcW w:w="3827" w:type="dxa"/>
            <w:shd w:val="clear" w:color="auto" w:fill="auto"/>
          </w:tcPr>
          <w:p w14:paraId="1EBC2238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.........................................</w:t>
            </w:r>
          </w:p>
        </w:tc>
      </w:tr>
      <w:tr w:rsidR="00DB74FA" w:rsidRPr="0010413C" w14:paraId="3B213484" w14:textId="77777777" w:rsidTr="00562492">
        <w:tc>
          <w:tcPr>
            <w:tcW w:w="2977" w:type="dxa"/>
            <w:shd w:val="clear" w:color="auto" w:fill="auto"/>
          </w:tcPr>
          <w:p w14:paraId="7C464676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</w:t>
            </w:r>
          </w:p>
        </w:tc>
        <w:tc>
          <w:tcPr>
            <w:tcW w:w="1701" w:type="dxa"/>
            <w:shd w:val="clear" w:color="auto" w:fill="auto"/>
          </w:tcPr>
          <w:p w14:paraId="2F0A11C2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</w:t>
            </w:r>
          </w:p>
        </w:tc>
        <w:tc>
          <w:tcPr>
            <w:tcW w:w="3827" w:type="dxa"/>
            <w:shd w:val="clear" w:color="auto" w:fill="auto"/>
          </w:tcPr>
          <w:p w14:paraId="305800BE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.........................................</w:t>
            </w:r>
          </w:p>
        </w:tc>
      </w:tr>
      <w:tr w:rsidR="00DB74FA" w:rsidRPr="0010413C" w14:paraId="548B27AE" w14:textId="77777777" w:rsidTr="00562492">
        <w:tc>
          <w:tcPr>
            <w:tcW w:w="2977" w:type="dxa"/>
            <w:shd w:val="clear" w:color="auto" w:fill="auto"/>
          </w:tcPr>
          <w:p w14:paraId="03E88E57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</w:t>
            </w:r>
          </w:p>
        </w:tc>
        <w:tc>
          <w:tcPr>
            <w:tcW w:w="1701" w:type="dxa"/>
            <w:shd w:val="clear" w:color="auto" w:fill="auto"/>
          </w:tcPr>
          <w:p w14:paraId="0BA93FAE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</w:t>
            </w:r>
          </w:p>
        </w:tc>
        <w:tc>
          <w:tcPr>
            <w:tcW w:w="3827" w:type="dxa"/>
            <w:shd w:val="clear" w:color="auto" w:fill="auto"/>
          </w:tcPr>
          <w:p w14:paraId="76FC9FCB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.........................................</w:t>
            </w:r>
          </w:p>
        </w:tc>
      </w:tr>
      <w:tr w:rsidR="00DB74FA" w:rsidRPr="0010413C" w14:paraId="49662D83" w14:textId="77777777" w:rsidTr="00562492">
        <w:tc>
          <w:tcPr>
            <w:tcW w:w="2977" w:type="dxa"/>
            <w:shd w:val="clear" w:color="auto" w:fill="auto"/>
          </w:tcPr>
          <w:p w14:paraId="797E1EA4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</w:t>
            </w:r>
          </w:p>
        </w:tc>
        <w:tc>
          <w:tcPr>
            <w:tcW w:w="1701" w:type="dxa"/>
            <w:shd w:val="clear" w:color="auto" w:fill="auto"/>
          </w:tcPr>
          <w:p w14:paraId="766A7103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</w:t>
            </w:r>
          </w:p>
        </w:tc>
        <w:tc>
          <w:tcPr>
            <w:tcW w:w="3827" w:type="dxa"/>
            <w:shd w:val="clear" w:color="auto" w:fill="auto"/>
          </w:tcPr>
          <w:p w14:paraId="6C7E6E9B" w14:textId="77777777" w:rsidR="00DB74FA" w:rsidRPr="0010413C" w:rsidRDefault="00DB74FA" w:rsidP="00562492">
            <w:pPr>
              <w:jc w:val="center"/>
              <w:rPr>
                <w:lang w:val="fr-FR"/>
              </w:rPr>
            </w:pPr>
            <w:r w:rsidRPr="0010413C">
              <w:rPr>
                <w:color w:val="000000"/>
                <w:lang w:val="fr-FR"/>
              </w:rPr>
              <w:t>.........................................</w:t>
            </w:r>
          </w:p>
        </w:tc>
      </w:tr>
    </w:tbl>
    <w:p w14:paraId="7356EDF7" w14:textId="548670BE" w:rsidR="00857CD6" w:rsidRDefault="00921C15">
      <w:pPr>
        <w:spacing w:line="240" w:lineRule="exact"/>
      </w:pPr>
      <w:r>
        <w:t xml:space="preserve"> </w:t>
      </w:r>
    </w:p>
    <w:p w14:paraId="449FFBAB" w14:textId="77777777" w:rsidR="00135414" w:rsidRDefault="00135414">
      <w:pPr>
        <w:spacing w:line="240" w:lineRule="exact"/>
      </w:pPr>
    </w:p>
    <w:p w14:paraId="68F40CBF" w14:textId="77777777" w:rsidR="00857CD6" w:rsidRDefault="00921C15" w:rsidP="006E3E1F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7599EA81" w14:textId="77777777" w:rsidR="00857CD6" w:rsidRDefault="00921C15">
      <w:pPr>
        <w:spacing w:line="60" w:lineRule="exact"/>
        <w:rPr>
          <w:sz w:val="6"/>
        </w:rPr>
      </w:pPr>
      <w:r>
        <w:t xml:space="preserve"> </w:t>
      </w:r>
    </w:p>
    <w:p w14:paraId="2CC63F04" w14:textId="7988FCBF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755144A" w14:textId="35F819C0" w:rsidR="006E3E1F" w:rsidRDefault="006E3E1F" w:rsidP="006E3E1F">
      <w:pPr>
        <w:rPr>
          <w:lang w:val="fr-FR"/>
        </w:rPr>
      </w:pPr>
    </w:p>
    <w:p w14:paraId="797B8B19" w14:textId="77777777" w:rsidR="006E3E1F" w:rsidRPr="006E3E1F" w:rsidRDefault="006E3E1F" w:rsidP="006E3E1F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E3E1F" w14:paraId="6349266F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44016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B452A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0A2C57B7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469C9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B085B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64F9C067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DB3FC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EC6B5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515DA785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72787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44667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12F99550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08BCF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04CA7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75B0C109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1CE3F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1F27E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25CE13A4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A5A74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CC212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1DE59789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45204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B62AF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7E76F376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332F2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62F08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009D71" w14:textId="38A3A847" w:rsidR="006E3E1F" w:rsidRPr="006E3E1F" w:rsidRDefault="006E3E1F" w:rsidP="006E3E1F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E3E1F" w14:paraId="00B24C67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6B149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C4225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5D52705F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9BF6B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147F7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5B3F9E60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DDBB5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27783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46EB2AA9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BB526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13858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758E2E93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0730E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ACA42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39CEBA80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DAD1E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75182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71BBA973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584E9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8B243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0CA04612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09D62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29523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E3E1F" w14:paraId="01179D3D" w14:textId="77777777" w:rsidTr="0056249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CD8A8" w14:textId="77777777" w:rsidR="006E3E1F" w:rsidRDefault="006E3E1F" w:rsidP="0056249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0A71C" w14:textId="77777777" w:rsidR="006E3E1F" w:rsidRDefault="006E3E1F" w:rsidP="0056249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817EDE" w14:textId="47CB1236" w:rsidR="00857CD6" w:rsidRDefault="00857CD6">
      <w:pPr>
        <w:spacing w:after="20" w:line="240" w:lineRule="exact"/>
      </w:pPr>
    </w:p>
    <w:p w14:paraId="00ECB9A2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49A2B0F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:rsidRPr="00AA3900" w14:paraId="1529B8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A28F" w14:textId="77777777" w:rsidR="00857CD6" w:rsidRDefault="00AA3900">
            <w:pPr>
              <w:rPr>
                <w:sz w:val="2"/>
              </w:rPr>
            </w:pPr>
            <w:r>
              <w:pict w14:anchorId="7152C3FA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319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28DE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C93DC2B" w14:textId="77777777" w:rsidR="00857CD6" w:rsidRPr="008841B9" w:rsidRDefault="00921C15">
      <w:pPr>
        <w:spacing w:line="240" w:lineRule="exact"/>
        <w:rPr>
          <w:lang w:val="fr-FR"/>
        </w:rPr>
      </w:pPr>
      <w:r w:rsidRPr="008841B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:rsidRPr="00AA3900" w14:paraId="089D59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69E3" w14:textId="77777777" w:rsidR="00857CD6" w:rsidRDefault="00AA3900">
            <w:pPr>
              <w:rPr>
                <w:sz w:val="2"/>
              </w:rPr>
            </w:pPr>
            <w:r>
              <w:pict w14:anchorId="0F354350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048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96F1" w14:textId="77777777" w:rsidR="00857CD6" w:rsidRDefault="00921C1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7CD6" w:rsidRPr="00AA3900" w14:paraId="1FE36C1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FFF1D" w14:textId="77777777" w:rsidR="00857CD6" w:rsidRPr="008841B9" w:rsidRDefault="00857CD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AD11" w14:textId="77777777" w:rsidR="00857CD6" w:rsidRPr="008841B9" w:rsidRDefault="00857CD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1B20" w14:textId="77777777" w:rsidR="00857CD6" w:rsidRPr="008841B9" w:rsidRDefault="00857CD6">
            <w:pPr>
              <w:rPr>
                <w:lang w:val="fr-FR"/>
              </w:rPr>
            </w:pPr>
          </w:p>
        </w:tc>
      </w:tr>
    </w:tbl>
    <w:p w14:paraId="72B5D962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61858E" w14:textId="4886B65F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135414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94D634A" w14:textId="77777777" w:rsidR="00857CD6" w:rsidRDefault="00921C15" w:rsidP="00135414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042C12B9" w14:textId="77777777" w:rsidR="00135414" w:rsidRDefault="00135414" w:rsidP="001354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7B556C6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14:paraId="34BBC0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A427" w14:textId="77777777" w:rsidR="00857CD6" w:rsidRDefault="00AA3900">
            <w:pPr>
              <w:rPr>
                <w:sz w:val="2"/>
              </w:rPr>
            </w:pPr>
            <w:r>
              <w:pict w14:anchorId="09640059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C24D0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D25B0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1E63FC3" w14:textId="77777777" w:rsidR="00857CD6" w:rsidRDefault="00921C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7CD6" w14:paraId="57A366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DDA1" w14:textId="77777777" w:rsidR="00857CD6" w:rsidRDefault="00AA3900">
            <w:pPr>
              <w:rPr>
                <w:sz w:val="2"/>
              </w:rPr>
            </w:pPr>
            <w:r>
              <w:pict w14:anchorId="5C6E1738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2F65" w14:textId="77777777" w:rsidR="00857CD6" w:rsidRDefault="00857CD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62197" w14:textId="77777777" w:rsidR="00857CD6" w:rsidRDefault="00921C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2AFD64E" w14:textId="77777777" w:rsidR="00857CD6" w:rsidRDefault="00921C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EBD4A20" w14:textId="77777777" w:rsidR="00857CD6" w:rsidRDefault="00921C15" w:rsidP="00135414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5ED174A8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2475325D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F19F1C0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7CD6" w14:paraId="527028A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3607" w14:textId="77777777" w:rsidR="00857CD6" w:rsidRDefault="00921C1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9E3C" w14:textId="77777777" w:rsidR="00857CD6" w:rsidRDefault="00921C1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57CD6" w14:paraId="78670F0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8C19" w14:textId="77777777" w:rsidR="00857CD6" w:rsidRDefault="00921C1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45232410-9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7777" w14:textId="77777777" w:rsidR="00857CD6" w:rsidRDefault="00921C1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d'assainissement</w:t>
            </w:r>
          </w:p>
        </w:tc>
      </w:tr>
      <w:tr w:rsidR="00857CD6" w14:paraId="35DD31C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A675" w14:textId="77777777" w:rsidR="00857CD6" w:rsidRDefault="00921C1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45233293-9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B2E" w14:textId="77777777" w:rsidR="00857CD6" w:rsidRDefault="00921C1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de mobilier urbain</w:t>
            </w:r>
          </w:p>
        </w:tc>
      </w:tr>
      <w:tr w:rsidR="00857CD6" w:rsidRPr="00AA3900" w14:paraId="0CFF67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D034" w14:textId="77777777" w:rsidR="00857CD6" w:rsidRDefault="00921C1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45233222-1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08C0" w14:textId="77777777" w:rsidR="00857CD6" w:rsidRDefault="00921C1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pavage et de resurfaçage de chaussées</w:t>
            </w:r>
          </w:p>
        </w:tc>
      </w:tr>
      <w:tr w:rsidR="00857CD6" w:rsidRPr="00AA3900" w14:paraId="4284868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4BE1" w14:textId="77777777" w:rsidR="00857CD6" w:rsidRDefault="00921C1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45233290-8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BE89" w14:textId="77777777" w:rsidR="00857CD6" w:rsidRDefault="00921C1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de panneaux de signalisation</w:t>
            </w:r>
          </w:p>
        </w:tc>
      </w:tr>
    </w:tbl>
    <w:p w14:paraId="712AC7EE" w14:textId="77777777" w:rsidR="00857CD6" w:rsidRPr="008841B9" w:rsidRDefault="00921C15">
      <w:pPr>
        <w:spacing w:after="120" w:line="240" w:lineRule="exact"/>
        <w:rPr>
          <w:lang w:val="fr-FR"/>
        </w:rPr>
      </w:pPr>
      <w:r w:rsidRPr="008841B9">
        <w:rPr>
          <w:lang w:val="fr-FR"/>
        </w:rPr>
        <w:t xml:space="preserve"> </w:t>
      </w:r>
    </w:p>
    <w:p w14:paraId="1144E735" w14:textId="77777777" w:rsidR="00857CD6" w:rsidRDefault="00921C15" w:rsidP="00135414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1B66858B" w14:textId="77777777" w:rsidR="00857CD6" w:rsidRPr="008841B9" w:rsidRDefault="00921C15">
      <w:pPr>
        <w:spacing w:line="60" w:lineRule="exact"/>
        <w:rPr>
          <w:sz w:val="6"/>
          <w:lang w:val="fr-FR"/>
        </w:rPr>
      </w:pPr>
      <w:r w:rsidRPr="008841B9">
        <w:rPr>
          <w:lang w:val="fr-FR"/>
        </w:rPr>
        <w:t xml:space="preserve"> </w:t>
      </w:r>
    </w:p>
    <w:p w14:paraId="471DDC32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953491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A0E86AC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51792F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E273919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C62CCD" w14:textId="77777777" w:rsidR="00857CD6" w:rsidRDefault="00921C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B1A192" w14:textId="77777777" w:rsidR="00857CD6" w:rsidRDefault="00921C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90237F" w14:textId="77777777" w:rsidR="00857CD6" w:rsidRDefault="00921C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AEA796" w14:textId="77777777" w:rsidR="00857CD6" w:rsidRDefault="00857CD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7AE6FB" w14:textId="64A7DF2B" w:rsidR="00857CD6" w:rsidRDefault="00921C1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</w:t>
      </w:r>
      <w:r w:rsidR="00135414">
        <w:rPr>
          <w:color w:val="000000"/>
          <w:lang w:val="fr-FR"/>
        </w:rPr>
        <w:t>t</w:t>
      </w:r>
    </w:p>
    <w:p w14:paraId="17296671" w14:textId="2A4BAD28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3EA289" w14:textId="61EE34CA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6C0D1E" w14:textId="6E3FE24E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D9C333" w14:textId="74222E8D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60CBCF" w14:textId="4277B651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9A0D68" w14:textId="0201094E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CEA37D" w14:textId="1E62EE6C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6160F4" w14:textId="36D14190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CD11C0" w14:textId="1A2E9D76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08EBE1" w14:textId="77777777" w:rsidR="007F46D1" w:rsidRDefault="007F46D1" w:rsidP="007F46D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B4DDCA5" w14:textId="77777777" w:rsidR="007F46D1" w:rsidRDefault="007F46D1" w:rsidP="007F46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16A8D7" w14:textId="77777777" w:rsidR="007F46D1" w:rsidRDefault="007F46D1" w:rsidP="007F46D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582689" w14:textId="77777777" w:rsidR="007F46D1" w:rsidRDefault="007F46D1" w:rsidP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DCB14EF" w14:textId="77777777" w:rsidR="007F46D1" w:rsidRDefault="007F46D1" w:rsidP="007F46D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2EEF362" w14:textId="77777777" w:rsidR="007F46D1" w:rsidRDefault="007F46D1" w:rsidP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95B7FE0" w14:textId="16457D35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E12303" w14:textId="03FBE4CA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84BDA5" w14:textId="0C6C5FDA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A5D9E1" w14:textId="59A4629B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67B44B" w14:textId="2F7C6EE0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B641BE" w14:textId="120502F9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4FC1FA" w14:textId="3FD18483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D5769F" w14:textId="0F349439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26F5BE" w14:textId="77777777" w:rsidR="007F46D1" w:rsidRDefault="007F46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D298B9" w14:textId="79E86CEE" w:rsidR="00857CD6" w:rsidRDefault="007F46D1" w:rsidP="007F46D1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7739B371" w14:textId="4941DCA3" w:rsidR="00857CD6" w:rsidRDefault="00921C1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EBA39B8" w14:textId="77777777" w:rsidR="00135414" w:rsidRPr="00135414" w:rsidRDefault="00135414" w:rsidP="00135414">
      <w:pPr>
        <w:rPr>
          <w:lang w:val="fr-FR"/>
        </w:rPr>
      </w:pPr>
    </w:p>
    <w:p w14:paraId="7C099DAE" w14:textId="77777777" w:rsidR="00135414" w:rsidRDefault="00135414" w:rsidP="0013541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17F316A6" w14:textId="77777777" w:rsidR="00135414" w:rsidRPr="00712C9F" w:rsidRDefault="00135414" w:rsidP="00135414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12D6AA15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8A49" w14:textId="41E34BDD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99014C" wp14:editId="54C26D2D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E0443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4DD6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8B5003B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5414" w14:paraId="158863CB" w14:textId="77777777" w:rsidTr="00562492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7A884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8B554" w14:textId="77777777" w:rsidR="00135414" w:rsidRDefault="00135414" w:rsidP="00562492">
            <w:pPr>
              <w:rPr>
                <w:sz w:val="2"/>
              </w:rPr>
            </w:pPr>
          </w:p>
          <w:p w14:paraId="16F14E81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D6F6C" w14:textId="77777777" w:rsidR="00135414" w:rsidRDefault="00135414" w:rsidP="00562492"/>
        </w:tc>
      </w:tr>
    </w:tbl>
    <w:p w14:paraId="2C692941" w14:textId="77777777" w:rsidR="00135414" w:rsidRDefault="00135414" w:rsidP="0013541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102BC603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07987" w14:textId="6954E32D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D37FDA" wp14:editId="44BEDDE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24DB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C638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94611F4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5414" w14:paraId="26EDA701" w14:textId="77777777" w:rsidTr="00562492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2B0A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298D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D712" w14:textId="77777777" w:rsidR="00135414" w:rsidRDefault="00135414" w:rsidP="00562492"/>
        </w:tc>
      </w:tr>
    </w:tbl>
    <w:p w14:paraId="062CA690" w14:textId="77777777" w:rsidR="00135414" w:rsidRDefault="00135414" w:rsidP="0013541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2793C6F4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8394" w14:textId="43D9AC6F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DC8D5D" wp14:editId="51083B5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B77B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C71F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3CB724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  <w:p w14:paraId="594AD9D6" w14:textId="77777777" w:rsidR="00135414" w:rsidRPr="00F745AE" w:rsidRDefault="00135414" w:rsidP="00562492">
            <w:pPr>
              <w:rPr>
                <w:lang w:val="fr-FR"/>
              </w:rPr>
            </w:pPr>
          </w:p>
        </w:tc>
      </w:tr>
      <w:tr w:rsidR="00135414" w14:paraId="6AFDBD72" w14:textId="77777777" w:rsidTr="00562492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3ACE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EB92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07E5" w14:textId="77777777" w:rsidR="00135414" w:rsidRDefault="00135414" w:rsidP="00562492"/>
        </w:tc>
      </w:tr>
    </w:tbl>
    <w:p w14:paraId="2359B5C7" w14:textId="77777777" w:rsidR="00135414" w:rsidRDefault="00135414" w:rsidP="0013541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544F75B0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5468" w14:textId="76D0393E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27E0FC" wp14:editId="10BB26E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EDB3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D6A7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0338A5B" w14:textId="77777777" w:rsidR="00135414" w:rsidRDefault="00135414" w:rsidP="0056249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35414" w14:paraId="554448AE" w14:textId="77777777" w:rsidTr="00562492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2B65C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ABFB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9DBD" w14:textId="77777777" w:rsidR="00135414" w:rsidRDefault="00135414" w:rsidP="00562492"/>
        </w:tc>
      </w:tr>
    </w:tbl>
    <w:p w14:paraId="37A52011" w14:textId="77777777" w:rsidR="00135414" w:rsidRDefault="00135414" w:rsidP="00135414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54CBF262" w14:textId="77777777" w:rsidR="00135414" w:rsidRDefault="00135414" w:rsidP="00135414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2F1E7B02" w14:textId="77777777" w:rsidR="00135414" w:rsidRPr="00F745AE" w:rsidRDefault="00135414" w:rsidP="00135414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34B7FD39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DAA9" w14:textId="79244A01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EEDFDE" wp14:editId="18470F5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648E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46949" w14:textId="77777777" w:rsidR="00135414" w:rsidRDefault="00135414" w:rsidP="005624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35414" w14:paraId="2F886013" w14:textId="77777777" w:rsidTr="0056249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362C" w14:textId="37E062E7" w:rsidR="00135414" w:rsidRDefault="00135414" w:rsidP="005624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F0398" wp14:editId="3E89647A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EDE2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BDEA" w14:textId="77777777" w:rsidR="00135414" w:rsidRDefault="00135414" w:rsidP="005624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DDA76DF" w14:textId="77777777" w:rsidR="00135414" w:rsidRDefault="00135414" w:rsidP="0013541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35414" w14:paraId="55D7988C" w14:textId="77777777" w:rsidTr="00562492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04CE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82ABB" w14:textId="77777777" w:rsidR="00135414" w:rsidRDefault="00135414" w:rsidP="0056249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BFDE2" w14:textId="77777777" w:rsidR="00135414" w:rsidRDefault="00135414" w:rsidP="00562492"/>
        </w:tc>
      </w:tr>
    </w:tbl>
    <w:p w14:paraId="4B041DB5" w14:textId="77777777" w:rsidR="00135414" w:rsidRDefault="00135414" w:rsidP="00135414">
      <w:pPr>
        <w:spacing w:line="240" w:lineRule="exact"/>
      </w:pPr>
    </w:p>
    <w:p w14:paraId="77F48357" w14:textId="77777777" w:rsidR="00135414" w:rsidRDefault="00135414" w:rsidP="0013541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A5F9198" w14:textId="77777777" w:rsidR="00135414" w:rsidRDefault="00135414" w:rsidP="0013541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DB93E55" w14:textId="77777777" w:rsidR="00135414" w:rsidRPr="00135414" w:rsidRDefault="00135414" w:rsidP="00135414">
      <w:pPr>
        <w:rPr>
          <w:lang w:val="fr-FR"/>
        </w:rPr>
      </w:pPr>
    </w:p>
    <w:p w14:paraId="7BA5E5C4" w14:textId="77777777" w:rsidR="00857CD6" w:rsidRDefault="00857C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2A9AB0" w14:textId="77777777" w:rsidR="00857CD6" w:rsidRDefault="00857CD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7CFD05" w14:textId="77777777" w:rsidR="00857CD6" w:rsidRDefault="00921C1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7CD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F0393AA" w14:textId="77777777" w:rsidR="00857CD6" w:rsidRDefault="00921C15" w:rsidP="007F46D1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0744C9BC" w14:textId="77777777" w:rsidR="00857CD6" w:rsidRPr="008841B9" w:rsidRDefault="00921C15">
      <w:pPr>
        <w:spacing w:after="60" w:line="240" w:lineRule="exact"/>
        <w:rPr>
          <w:lang w:val="fr-FR"/>
        </w:rPr>
      </w:pPr>
      <w:r w:rsidRPr="008841B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7CD6" w14:paraId="1EBD46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F721" w14:textId="77777777" w:rsidR="00857CD6" w:rsidRDefault="00921C1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91EC" w14:textId="77777777" w:rsidR="00857CD6" w:rsidRDefault="00921C1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B19F" w14:textId="77777777" w:rsidR="00857CD6" w:rsidRDefault="00921C1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0504" w14:textId="77777777" w:rsidR="00857CD6" w:rsidRDefault="00921C1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CFA511B" w14:textId="77777777" w:rsidR="00857CD6" w:rsidRDefault="00921C1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4CCE" w14:textId="77777777" w:rsidR="00857CD6" w:rsidRDefault="00921C1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7CD6" w14:paraId="4BE747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BBBD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701907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7CF371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D93FDFA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836E69" w14:textId="77777777" w:rsidR="00857CD6" w:rsidRDefault="00857CD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7F19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AA77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5C8A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5F4A5" w14:textId="77777777" w:rsidR="00857CD6" w:rsidRDefault="00857CD6"/>
        </w:tc>
      </w:tr>
      <w:tr w:rsidR="00857CD6" w14:paraId="603D59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A979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4323929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C7A833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8C6FE3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AD3C9E" w14:textId="77777777" w:rsidR="00857CD6" w:rsidRDefault="00857CD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5B7B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4E9C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70BE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FA18" w14:textId="77777777" w:rsidR="00857CD6" w:rsidRDefault="00857CD6"/>
        </w:tc>
      </w:tr>
      <w:tr w:rsidR="00857CD6" w14:paraId="72D7A0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9043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9E2A11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C08BD8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A3C1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B3E520" w14:textId="77777777" w:rsidR="00857CD6" w:rsidRDefault="00857CD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D76F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C339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2BF6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566E" w14:textId="77777777" w:rsidR="00857CD6" w:rsidRDefault="00857CD6"/>
        </w:tc>
      </w:tr>
      <w:tr w:rsidR="00857CD6" w14:paraId="49B86F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9B28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EB433F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F8914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BA78CB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B8C3E3" w14:textId="77777777" w:rsidR="00857CD6" w:rsidRDefault="00857CD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A185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6526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4A21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C055" w14:textId="77777777" w:rsidR="00857CD6" w:rsidRDefault="00857CD6"/>
        </w:tc>
      </w:tr>
      <w:tr w:rsidR="00857CD6" w14:paraId="0C3456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7710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49769B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57F153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D1CEE7" w14:textId="77777777" w:rsidR="00857CD6" w:rsidRDefault="00921C1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FB2DEA" w14:textId="77777777" w:rsidR="00857CD6" w:rsidRDefault="00857CD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341C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08AA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2A37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4C41" w14:textId="77777777" w:rsidR="00857CD6" w:rsidRDefault="00857CD6"/>
        </w:tc>
      </w:tr>
      <w:tr w:rsidR="00857CD6" w14:paraId="462A59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3E9F" w14:textId="77777777" w:rsidR="00857CD6" w:rsidRDefault="00857CD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37DF" w14:textId="77777777" w:rsidR="00857CD6" w:rsidRDefault="00921C1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453F" w14:textId="77777777" w:rsidR="00857CD6" w:rsidRDefault="00857CD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568F" w14:textId="77777777" w:rsidR="00857CD6" w:rsidRDefault="00857CD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692B" w14:textId="77777777" w:rsidR="00857CD6" w:rsidRDefault="00857CD6"/>
        </w:tc>
      </w:tr>
    </w:tbl>
    <w:p w14:paraId="61B6B83E" w14:textId="77777777" w:rsidR="00857CD6" w:rsidRDefault="00857CD6"/>
    <w:sectPr w:rsidR="00857CD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1256" w14:textId="77777777" w:rsidR="00206447" w:rsidRDefault="00206447">
      <w:r>
        <w:separator/>
      </w:r>
    </w:p>
  </w:endnote>
  <w:endnote w:type="continuationSeparator" w:id="0">
    <w:p w14:paraId="6A3DF2FB" w14:textId="77777777" w:rsidR="00206447" w:rsidRDefault="0020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1E8F" w14:textId="77777777" w:rsidR="00857CD6" w:rsidRDefault="00857CD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7CD6" w14:paraId="35701F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650B19" w14:textId="77777777" w:rsidR="00857CD6" w:rsidRDefault="00921C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678BF0" w14:textId="77777777" w:rsidR="00857CD6" w:rsidRDefault="00921C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72C4" w14:textId="77777777" w:rsidR="00857CD6" w:rsidRDefault="00921C1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00AF56" w14:textId="77777777" w:rsidR="00857CD6" w:rsidRPr="008841B9" w:rsidRDefault="00857CD6">
    <w:pPr>
      <w:spacing w:after="160" w:line="240" w:lineRule="exact"/>
      <w:rPr>
        <w:lang w:val="fr-FR"/>
      </w:rPr>
    </w:pPr>
  </w:p>
  <w:p w14:paraId="35531976" w14:textId="77777777" w:rsidR="00857CD6" w:rsidRPr="008841B9" w:rsidRDefault="00857CD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7CD6" w14:paraId="126DB8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048594" w14:textId="77777777" w:rsidR="00857CD6" w:rsidRDefault="00921C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8571DB" w14:textId="77777777" w:rsidR="00857CD6" w:rsidRDefault="00921C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ACA1" w14:textId="77777777" w:rsidR="00857CD6" w:rsidRDefault="00921C1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646E15" w14:textId="77777777" w:rsidR="00857CD6" w:rsidRDefault="00857CD6">
    <w:pPr>
      <w:spacing w:after="160" w:line="240" w:lineRule="exact"/>
    </w:pPr>
  </w:p>
  <w:p w14:paraId="70E01469" w14:textId="77777777" w:rsidR="00857CD6" w:rsidRDefault="00857CD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7CD6" w14:paraId="465B0A8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7BF8DA" w14:textId="77777777" w:rsidR="00857CD6" w:rsidRDefault="00921C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06B503" w14:textId="77777777" w:rsidR="00857CD6" w:rsidRDefault="00921C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57CD6" w14:paraId="0DBF947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CC95A9" w14:textId="77777777" w:rsidR="00857CD6" w:rsidRDefault="00921C1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2024-A117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6581F" w14:textId="77777777" w:rsidR="00857CD6" w:rsidRDefault="00921C1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204F" w14:textId="77777777" w:rsidR="00206447" w:rsidRDefault="00206447">
      <w:r>
        <w:separator/>
      </w:r>
    </w:p>
  </w:footnote>
  <w:footnote w:type="continuationSeparator" w:id="0">
    <w:p w14:paraId="6F7058E9" w14:textId="77777777" w:rsidR="00206447" w:rsidRDefault="00206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CD6"/>
    <w:rsid w:val="00135414"/>
    <w:rsid w:val="001975F3"/>
    <w:rsid w:val="00206447"/>
    <w:rsid w:val="003874D1"/>
    <w:rsid w:val="003E2AAC"/>
    <w:rsid w:val="006E3E1F"/>
    <w:rsid w:val="007F46D1"/>
    <w:rsid w:val="00857CD6"/>
    <w:rsid w:val="008841B9"/>
    <w:rsid w:val="008C0EF7"/>
    <w:rsid w:val="00921C15"/>
    <w:rsid w:val="00AA3900"/>
    <w:rsid w:val="00B35EF6"/>
    <w:rsid w:val="00D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9C992"/>
  <w15:docId w15:val="{CB41340A-54FD-4549-B659-EBA682BC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Appelnotedebasdep">
    <w:name w:val="footnote reference"/>
    <w:semiHidden/>
    <w:rsid w:val="00B35EF6"/>
    <w:rPr>
      <w:vertAlign w:val="superscript"/>
    </w:rPr>
  </w:style>
  <w:style w:type="paragraph" w:customStyle="1" w:styleId="Normal1">
    <w:name w:val="Normal1"/>
    <w:basedOn w:val="Normal"/>
    <w:rsid w:val="00B35EF6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B35EF6"/>
    <w:rPr>
      <w:sz w:val="16"/>
      <w:szCs w:val="16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35EF6"/>
    <w:rPr>
      <w:sz w:val="16"/>
      <w:szCs w:val="16"/>
      <w:lang w:val="fr-FR" w:eastAsia="fr-FR"/>
    </w:rPr>
  </w:style>
  <w:style w:type="paragraph" w:customStyle="1" w:styleId="AETableau">
    <w:name w:val="A.E. Tableau"/>
    <w:basedOn w:val="Normal"/>
    <w:rsid w:val="00B35EF6"/>
    <w:pPr>
      <w:spacing w:before="80"/>
    </w:pPr>
    <w:rPr>
      <w:sz w:val="22"/>
      <w:szCs w:val="327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2344</Words>
  <Characters>12895</Characters>
  <Application>Microsoft Office Word</Application>
  <DocSecurity>0</DocSecurity>
  <Lines>107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7</cp:revision>
  <dcterms:created xsi:type="dcterms:W3CDTF">2025-07-24T14:19:00Z</dcterms:created>
  <dcterms:modified xsi:type="dcterms:W3CDTF">2025-07-25T09:08:00Z</dcterms:modified>
</cp:coreProperties>
</file>