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tbl>
      <w:tblPr>
        <w:tblStyle w:val="1273"/>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bCs/>
                <w:sz w:val="32"/>
                <w:szCs w:val="22"/>
                <w:lang w:val="en"/>
              </w:rPr>
              <w:t xml:space="preserve">TENDER RULES</w:t>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line="360" w:lineRule="auto"/>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line="360" w:lineRule="auto"/>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line="360" w:lineRule="auto"/>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O</w:t>
            </w:r>
            <w:r>
              <w:rPr>
                <w:rFonts w:asciiTheme="minorHAnsi" w:hAnsiTheme="minorHAnsi" w:cstheme="minorHAnsi"/>
                <w:b/>
                <w:bCs/>
                <w:caps/>
                <w:sz w:val="22"/>
                <w:szCs w:val="22"/>
                <w:lang w:val="en"/>
              </w:rPr>
              <w:t xml:space="preserve">BJECT of the proposed contract:</w:t>
            </w:r>
            <w:r>
              <w:rPr>
                <w:rFonts w:asciiTheme="minorHAnsi" w:hAnsiTheme="minorHAnsi" w:cstheme="minorHAnsi"/>
                <w:b/>
                <w:caps/>
                <w:smallCaps/>
                <w:sz w:val="22"/>
                <w:szCs w:val="22"/>
                <w:lang w:val="en-GB"/>
              </w:rPr>
            </w:r>
          </w:p>
          <w:p>
            <w:pPr>
              <w:pBdr/>
              <w:spacing w:line="360" w:lineRule="auto"/>
              <w:ind/>
              <w:rPr>
                <w:rFonts w:asciiTheme="minorHAnsi" w:hAnsiTheme="minorHAnsi" w:cstheme="minorHAnsi"/>
                <w:color w:val="000000"/>
                <w:sz w:val="22"/>
                <w:szCs w:val="22"/>
              </w:rPr>
            </w:pPr>
            <w:r>
              <w:rPr>
                <w:rFonts w:eastAsia="Arial" w:asciiTheme="minorHAnsi" w:hAnsiTheme="minorHAnsi" w:cstheme="minorHAnsi"/>
                <w:b/>
                <w:color w:val="000000"/>
                <w:sz w:val="22"/>
                <w:szCs w:val="22"/>
              </w:rPr>
              <w:t xml:space="preserve">Supply of vehicles for 3 Hromadas in Chernihiv region:</w:t>
            </w:r>
            <w:r>
              <w:rPr>
                <w:rFonts w:asciiTheme="minorHAnsi" w:hAnsiTheme="minorHAnsi" w:cstheme="minorHAnsi"/>
                <w:color w:val="000000"/>
                <w:sz w:val="22"/>
                <w:szCs w:val="22"/>
              </w:rPr>
              <w:br/>
            </w:r>
            <w:r>
              <w:rPr>
                <w:rFonts w:asciiTheme="minorHAnsi" w:hAnsiTheme="minorHAnsi" w:cstheme="minorHAnsi"/>
                <w:sz w:val="22"/>
                <w:szCs w:val="22"/>
                <w:lang w:val="en"/>
              </w:rPr>
              <w:t xml:space="preserve">- LOT 1 - Supply of vehicle for Ichnia Hromada</w:t>
            </w:r>
            <w:r>
              <w:rPr>
                <w:rFonts w:asciiTheme="minorHAnsi" w:hAnsiTheme="minorHAnsi" w:cstheme="minorHAnsi"/>
                <w:sz w:val="22"/>
                <w:szCs w:val="22"/>
                <w:lang w:val="en"/>
              </w:rPr>
              <w:br/>
              <w:t xml:space="preserve">- LOT 2 - Supply of vehicle for Semenivka Hromada</w:t>
            </w:r>
            <w:r>
              <w:rPr>
                <w:rFonts w:asciiTheme="minorHAnsi" w:hAnsiTheme="minorHAnsi" w:cstheme="minorHAnsi"/>
                <w:sz w:val="22"/>
                <w:szCs w:val="22"/>
                <w:lang w:val="en"/>
              </w:rPr>
              <w:br/>
            </w:r>
            <w:r>
              <w:rPr>
                <w:rFonts w:asciiTheme="minorHAnsi" w:hAnsiTheme="minorHAnsi" w:cstheme="minorHAnsi"/>
                <w:sz w:val="22"/>
                <w:szCs w:val="22"/>
                <w:lang w:val="en"/>
              </w:rPr>
              <w:t xml:space="preserve">- LOT 3 - Supply of vehicle for Novhorod-Siverskyi Hromada</w:t>
            </w:r>
            <w:r>
              <w:rPr>
                <w:rFonts w:asciiTheme="minorHAnsi" w:hAnsiTheme="minorHAnsi" w:cstheme="minorHAnsi"/>
                <w:color w:val="000000"/>
                <w:sz w:val="22"/>
                <w:szCs w:val="22"/>
              </w:rPr>
            </w:r>
          </w:p>
          <w:p>
            <w:pPr>
              <w:pBdr>
                <w:top w:val="none" w:color="000000" w:sz="0" w:space="0"/>
                <w:left w:val="none" w:color="000000" w:sz="0" w:space="0"/>
                <w:bottom w:val="none" w:color="000000" w:sz="0" w:space="0"/>
                <w:right w:val="none" w:color="000000" w:sz="0" w:space="0"/>
                <w:between w:val="none" w:color="000000" w:sz="0" w:space="0"/>
              </w:pBdr>
              <w:spacing w:after="160" w:line="36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 xml:space="preserve">LEGAL REPRESENTATIVE OF THE CONTRACTING AUTHORITY:</w:t>
            </w:r>
            <w:r>
              <w:rPr>
                <w:rFonts w:asciiTheme="minorHAnsi" w:hAnsiTheme="minorHAnsi" w:cstheme="minorHAnsi"/>
                <w:b/>
                <w:caps/>
                <w:smallCaps/>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Jérémie PELLET, Chief Executive Officer of EXPERTISE FRANCE</w:t>
            </w:r>
            <w:r>
              <w:rPr>
                <w:rFonts w:asciiTheme="minorHAnsi" w:hAnsiTheme="minorHAnsi" w:cstheme="minorHAnsi"/>
                <w:sz w:val="22"/>
                <w:szCs w:val="22"/>
                <w:lang w:val="en-GB"/>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lang w:val="en-GB"/>
              </w:rPr>
            </w:pPr>
            <w:r>
              <w:rPr>
                <w:rFonts w:asciiTheme="minorHAnsi" w:hAnsiTheme="minorHAnsi" w:cstheme="minorHAnsi"/>
                <w:b/>
                <w:sz w:val="22"/>
                <w:szCs w:val="22"/>
                <w:lang w:val="en-GB"/>
              </w:rPr>
            </w:r>
            <w:r>
              <w:rPr>
                <w:rFonts w:asciiTheme="minorHAnsi" w:hAnsiTheme="minorHAnsi" w:cstheme="minorHAnsi"/>
                <w:b/>
                <w:sz w:val="22"/>
                <w:szCs w:val="22"/>
                <w:lang w:val="en-GB"/>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highlight w:val="white"/>
              </w:rPr>
            </w:pPr>
            <w:r>
              <w:rPr>
                <w:rFonts w:asciiTheme="minorHAnsi" w:hAnsiTheme="minorHAnsi" w:cstheme="minorHAnsi"/>
                <w:b/>
                <w:bCs/>
                <w:smallCaps/>
                <w:sz w:val="22"/>
                <w:szCs w:val="22"/>
                <w:highlight w:val="white"/>
                <w:lang w:val="en"/>
              </w:rPr>
              <w:t xml:space="preserve">DATE AND TIME OF OFFER SUBMISS</w:t>
            </w:r>
            <w:r>
              <w:rPr>
                <w:rFonts w:asciiTheme="minorHAnsi" w:hAnsiTheme="minorHAnsi" w:cstheme="minorHAnsi"/>
                <w:b/>
                <w:bCs/>
                <w:smallCaps/>
                <w:sz w:val="22"/>
                <w:szCs w:val="22"/>
                <w:highlight w:val="white"/>
                <w:lang w:val="en"/>
              </w:rPr>
              <w:t xml:space="preserve">ION DEADLINE:</w:t>
            </w:r>
            <w:r>
              <w:rPr>
                <w:rFonts w:asciiTheme="minorHAnsi" w:hAnsiTheme="minorHAnsi" w:cstheme="minorHAnsi"/>
                <w:b/>
                <w:caps/>
                <w:smallCaps/>
                <w:sz w:val="22"/>
                <w:szCs w:val="22"/>
                <w:highlight w:val="white"/>
              </w:rPr>
            </w:r>
          </w:p>
          <w:p>
            <w:pPr>
              <w:pBdr/>
              <w:spacing/>
              <w:ind/>
              <w:rPr>
                <w:rFonts w:asciiTheme="minorHAnsi" w:hAnsiTheme="minorHAnsi" w:cstheme="minorHAnsi"/>
                <w:sz w:val="22"/>
                <w:szCs w:val="22"/>
                <w:highlight w:val="white"/>
              </w:rPr>
            </w:pPr>
            <w:r>
              <w:rPr>
                <w:rFonts w:asciiTheme="minorHAnsi" w:hAnsiTheme="minorHAnsi" w:cstheme="minorHAnsi"/>
                <w:b/>
                <w:bCs/>
                <w:sz w:val="22"/>
                <w:szCs w:val="22"/>
                <w:highlight w:val="white"/>
                <w:lang w:val="en"/>
              </w:rPr>
              <w:t xml:space="preserve">10/09/2025 at 17:00</w:t>
            </w:r>
            <w:r>
              <w:rPr>
                <w:rFonts w:asciiTheme="minorHAnsi" w:hAnsiTheme="minorHAnsi" w:cstheme="minorHAnsi"/>
                <w:b/>
                <w:bCs/>
                <w:smallCaps/>
                <w:sz w:val="22"/>
                <w:szCs w:val="22"/>
                <w:highlight w:val="white"/>
                <w:lang w:val="en"/>
              </w:rPr>
              <w:t xml:space="preserve"> (PARIS TIME)</w:t>
            </w:r>
            <w:r>
              <w:rPr>
                <w:rFonts w:asciiTheme="minorHAnsi" w:hAnsiTheme="minorHAnsi" w:cstheme="minorHAnsi"/>
                <w:sz w:val="22"/>
                <w:szCs w:val="22"/>
                <w:highlight w:val="white"/>
              </w:rPr>
            </w:r>
          </w:p>
        </w:tc>
      </w:tr>
    </w:tbl>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br w:type="page" w:clear="all"/>
      </w:r>
      <w:r>
        <w:rPr>
          <w:rFonts w:asciiTheme="minorHAnsi" w:hAnsiTheme="minorHAnsi" w:cstheme="minorHAnsi"/>
          <w:sz w:val="22"/>
          <w:szCs w:val="22"/>
          <w:lang w:val="en-GB"/>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highlight w:val="yellow"/>
        </w:rPr>
      </w:sdtPr>
      <w:sdtContent>
        <w:p>
          <w:pPr>
            <w:pStyle w:val="1274"/>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 xml:space="preserve">CONTENTS</w:t>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275"/>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tooltip="#_Toc207098229" w:anchor="_Toc207098229" w:history="1">
            <w:r>
              <w:rPr>
                <w:rStyle w:val="1249"/>
                <w:rFonts w:cstheme="minorHAnsi"/>
                <w:b/>
                <w:caps/>
                <w:lang w:val="en-GB"/>
              </w:rPr>
              <w:t xml:space="preserve">ARTICLE 1:</w:t>
            </w:r>
            <w:r>
              <w:rPr>
                <w:rFonts w:asciiTheme="minorHAnsi" w:hAnsiTheme="minorHAnsi" w:eastAsiaTheme="minorEastAsia" w:cstheme="minorBidi"/>
                <w:sz w:val="22"/>
                <w:szCs w:val="22"/>
              </w:rPr>
              <w:tab/>
            </w:r>
            <w:r>
              <w:rPr>
                <w:rStyle w:val="1249"/>
                <w:rFonts w:cstheme="minorHAnsi"/>
                <w:b/>
                <w:bCs/>
                <w:caps/>
                <w:lang w:val="en"/>
              </w:rPr>
              <w:t xml:space="preserve">Object and scope of the tender</w:t>
            </w:r>
            <w:r>
              <w:tab/>
            </w:r>
            <w:r>
              <w:fldChar w:fldCharType="begin"/>
            </w:r>
            <w:r>
              <w:instrText xml:space="preserve"> PAGEREF _Toc207098229 \h </w:instrText>
            </w:r>
            <w:r/>
            <w:r>
              <w:fldChar w:fldCharType="separate"/>
            </w:r>
            <w:r>
              <w:t xml:space="preserve">4</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30" w:anchor="_Toc207098230" w:history="1">
            <w:r>
              <w:rPr>
                <w:rStyle w:val="1249"/>
                <w:rFonts w:cstheme="minorHAnsi"/>
                <w:lang w:val="en"/>
              </w:rPr>
              <w:t xml:space="preserve">Object of the tender</w:t>
            </w:r>
            <w:r>
              <w:tab/>
            </w:r>
            <w:r>
              <w:fldChar w:fldCharType="begin"/>
            </w:r>
            <w:r>
              <w:instrText xml:space="preserve"> PAGEREF _Toc207098230 \h </w:instrText>
            </w:r>
            <w:r/>
            <w:r>
              <w:fldChar w:fldCharType="separate"/>
            </w:r>
            <w:r>
              <w:t xml:space="preserve">4</w:t>
            </w:r>
            <w:r>
              <w:fldChar w:fldCharType="end"/>
            </w:r>
          </w:hyperlink>
          <w:r/>
          <w:r/>
        </w:p>
        <w:p>
          <w:pPr>
            <w:pStyle w:val="1276"/>
            <w:pBdr/>
            <w:spacing/>
            <w:ind/>
            <w:rPr/>
          </w:pPr>
          <w:r/>
          <w:hyperlink w:tooltip="#_Toc207098231" w:anchor="_Toc207098231" w:history="1">
            <w:r>
              <w:rPr>
                <w:rStyle w:val="1249"/>
                <w:rFonts w:cstheme="minorHAnsi"/>
                <w:lang w:val="en"/>
              </w:rPr>
              <w:t xml:space="preserve">Scope of the tender</w:t>
            </w:r>
            <w:r>
              <w:tab/>
            </w:r>
            <w:r>
              <w:fldChar w:fldCharType="begin"/>
            </w:r>
            <w:r>
              <w:instrText xml:space="preserve"> PAGEREF _Toc207098231 \h </w:instrText>
            </w:r>
            <w:r/>
            <w:r>
              <w:fldChar w:fldCharType="separate"/>
            </w:r>
            <w:r>
              <w:t xml:space="preserve">4</w:t>
            </w:r>
            <w:r>
              <w:fldChar w:fldCharType="end"/>
            </w:r>
          </w:hyperlink>
          <w:r/>
          <w:r/>
        </w:p>
        <w:p>
          <w:pPr>
            <w:pStyle w:val="1276"/>
            <w:pBdr/>
            <w:spacing/>
            <w:ind/>
            <w:rPr/>
          </w:pPr>
          <w:r/>
          <w:hyperlink w:tooltip="#_Toc207098232" w:anchor="_Toc207098232" w:history="1">
            <w:r>
              <w:rPr>
                <w:rStyle w:val="1249"/>
                <w:rFonts w:cstheme="minorHAnsi"/>
                <w:lang w:val="en"/>
              </w:rPr>
              <w:t xml:space="preserve">Provisional schedule of the tender</w:t>
            </w:r>
            <w:r>
              <w:tab/>
            </w:r>
            <w:r>
              <w:fldChar w:fldCharType="begin"/>
            </w:r>
            <w:r>
              <w:instrText xml:space="preserve"> PAGEREF _Toc207098232 \h </w:instrText>
            </w:r>
            <w:r/>
            <w:r>
              <w:fldChar w:fldCharType="separate"/>
            </w:r>
            <w:r>
              <w:t xml:space="preserve">4</w:t>
            </w:r>
            <w:r>
              <w:fldChar w:fldCharType="end"/>
            </w:r>
          </w:hyperlink>
          <w:r/>
          <w:r/>
        </w:p>
        <w:p>
          <w:pPr>
            <w:pStyle w:val="1276"/>
            <w:pBdr/>
            <w:spacing/>
            <w:ind/>
            <w:rPr/>
          </w:pPr>
          <w:r/>
          <w:hyperlink w:tooltip="#_Toc207098233" w:anchor="_Toc207098233" w:history="1">
            <w:r>
              <w:rPr>
                <w:rStyle w:val="1249"/>
                <w:rFonts w:cstheme="minorHAnsi"/>
                <w:lang w:val="en"/>
              </w:rPr>
              <w:t xml:space="preserve">Tender language – currency</w:t>
            </w:r>
            <w:r>
              <w:tab/>
            </w:r>
            <w:r>
              <w:fldChar w:fldCharType="begin"/>
            </w:r>
            <w:r>
              <w:instrText xml:space="preserve"> PAGEREF _Toc207098233 \h </w:instrText>
            </w:r>
            <w:r/>
            <w:r>
              <w:fldChar w:fldCharType="separate"/>
            </w:r>
            <w:r>
              <w:t xml:space="preserve">4</w:t>
            </w:r>
            <w:r>
              <w:fldChar w:fldCharType="end"/>
            </w:r>
          </w:hyperlink>
          <w:r/>
          <w:r/>
        </w:p>
        <w:p>
          <w:pPr>
            <w:pStyle w:val="1276"/>
            <w:pBdr/>
            <w:spacing/>
            <w:ind/>
            <w:rPr/>
          </w:pPr>
          <w:r/>
          <w:hyperlink w:tooltip="#_Toc207098234" w:anchor="_Toc207098234" w:history="1">
            <w:r>
              <w:rPr>
                <w:rStyle w:val="1249"/>
                <w:rFonts w:cstheme="minorHAnsi"/>
                <w:lang w:val="en"/>
              </w:rPr>
              <w:t xml:space="preserve">Composition of the tender documents</w:t>
            </w:r>
            <w:r>
              <w:tab/>
            </w:r>
            <w:r>
              <w:fldChar w:fldCharType="begin"/>
            </w:r>
            <w:r>
              <w:instrText xml:space="preserve"> PAGEREF _Toc207098234 \h </w:instrText>
            </w:r>
            <w:r/>
            <w:r>
              <w:fldChar w:fldCharType="separate"/>
            </w:r>
            <w:r>
              <w:t xml:space="preserve">4</w:t>
            </w:r>
            <w:r>
              <w:fldChar w:fldCharType="end"/>
            </w:r>
          </w:hyperlink>
          <w:r/>
          <w:r/>
        </w:p>
        <w:p>
          <w:pPr>
            <w:pStyle w:val="1276"/>
            <w:pBdr/>
            <w:spacing/>
            <w:ind/>
            <w:rPr/>
          </w:pPr>
          <w:r/>
          <w:hyperlink w:tooltip="#_Toc207098235" w:anchor="_Toc207098235" w:history="1">
            <w:r>
              <w:rPr>
                <w:rStyle w:val="1249"/>
                <w:rFonts w:cstheme="minorHAnsi"/>
                <w:lang w:val="en"/>
              </w:rPr>
              <w:t xml:space="preserve">Modification of the tender documents</w:t>
            </w:r>
            <w:r>
              <w:tab/>
            </w:r>
            <w:r>
              <w:fldChar w:fldCharType="begin"/>
            </w:r>
            <w:r>
              <w:instrText xml:space="preserve"> PAGEREF _Toc207098235 \h </w:instrText>
            </w:r>
            <w:r/>
            <w:r>
              <w:fldChar w:fldCharType="separate"/>
            </w:r>
            <w:r>
              <w:t xml:space="preserve">4</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36" w:anchor="_Toc207098236" w:history="1">
            <w:r>
              <w:rPr>
                <w:rStyle w:val="1249"/>
                <w:rFonts w:cstheme="minorHAnsi"/>
                <w:b/>
                <w:caps/>
                <w:lang w:val="en-GB"/>
              </w:rPr>
              <w:t xml:space="preserve">ARTICLE 2:</w:t>
            </w:r>
            <w:r>
              <w:rPr>
                <w:rFonts w:asciiTheme="minorHAnsi" w:hAnsiTheme="minorHAnsi" w:eastAsiaTheme="minorEastAsia" w:cstheme="minorBidi"/>
                <w:sz w:val="22"/>
                <w:szCs w:val="22"/>
              </w:rPr>
              <w:tab/>
            </w:r>
            <w:r>
              <w:rPr>
                <w:rStyle w:val="1249"/>
                <w:rFonts w:cstheme="minorHAnsi"/>
                <w:b/>
                <w:bCs/>
                <w:caps/>
                <w:lang w:val="en"/>
              </w:rPr>
              <w:t xml:space="preserve">General characteristics of the proposed contract</w:t>
            </w:r>
            <w:r>
              <w:tab/>
            </w:r>
            <w:r>
              <w:fldChar w:fldCharType="begin"/>
            </w:r>
            <w:r>
              <w:instrText xml:space="preserve"> PAGEREF _Toc207098236 \h </w:instrText>
            </w:r>
            <w:r/>
            <w:r>
              <w:fldChar w:fldCharType="separate"/>
            </w:r>
            <w:r>
              <w:t xml:space="preserve">5</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37" w:anchor="_Toc207098237" w:history="1">
            <w:r>
              <w:rPr>
                <w:rStyle w:val="1249"/>
                <w:rFonts w:cstheme="minorHAnsi"/>
                <w:lang w:val="en"/>
              </w:rPr>
              <w:t xml:space="preserve">Form of the contract</w:t>
            </w:r>
            <w:r>
              <w:tab/>
            </w:r>
            <w:r>
              <w:fldChar w:fldCharType="begin"/>
            </w:r>
            <w:r>
              <w:instrText xml:space="preserve"> PAGEREF _Toc207098237 \h </w:instrText>
            </w:r>
            <w:r/>
            <w:r>
              <w:fldChar w:fldCharType="separate"/>
            </w:r>
            <w:r>
              <w:t xml:space="preserve">5</w:t>
            </w:r>
            <w:r>
              <w:fldChar w:fldCharType="end"/>
            </w:r>
          </w:hyperlink>
          <w:r/>
          <w:r/>
        </w:p>
        <w:p>
          <w:pPr>
            <w:pStyle w:val="1276"/>
            <w:pBdr/>
            <w:spacing/>
            <w:ind/>
            <w:rPr/>
          </w:pPr>
          <w:r/>
          <w:hyperlink w:tooltip="#_Toc207098238" w:anchor="_Toc207098238" w:history="1">
            <w:r>
              <w:rPr>
                <w:rStyle w:val="1249"/>
                <w:rFonts w:cstheme="minorHAnsi"/>
                <w:lang w:val="en"/>
              </w:rPr>
              <w:t xml:space="preserve">Estimated amount of the need</w:t>
            </w:r>
            <w:r>
              <w:tab/>
            </w:r>
            <w:r>
              <w:fldChar w:fldCharType="begin"/>
            </w:r>
            <w:r>
              <w:instrText xml:space="preserve"> PAGEREF _Toc207098238 \h </w:instrText>
            </w:r>
            <w:r/>
            <w:r>
              <w:fldChar w:fldCharType="separate"/>
            </w:r>
            <w:r>
              <w:t xml:space="preserve">5</w:t>
            </w:r>
            <w:r>
              <w:fldChar w:fldCharType="end"/>
            </w:r>
          </w:hyperlink>
          <w:r/>
          <w:r/>
        </w:p>
        <w:p>
          <w:pPr>
            <w:pStyle w:val="1276"/>
            <w:pBdr/>
            <w:spacing/>
            <w:ind/>
            <w:rPr/>
          </w:pPr>
          <w:r/>
          <w:hyperlink w:tooltip="#_Toc207098239" w:anchor="_Toc207098239" w:history="1">
            <w:r>
              <w:rPr>
                <w:rStyle w:val="1249"/>
                <w:rFonts w:cstheme="minorHAnsi"/>
                <w:lang w:val="en"/>
              </w:rPr>
              <w:t xml:space="preserve">Term of the contract</w:t>
            </w:r>
            <w:r>
              <w:tab/>
            </w:r>
            <w:r>
              <w:fldChar w:fldCharType="begin"/>
            </w:r>
            <w:r>
              <w:instrText xml:space="preserve"> PAGEREF _Toc207098239 \h </w:instrText>
            </w:r>
            <w:r/>
            <w:r>
              <w:fldChar w:fldCharType="separate"/>
            </w:r>
            <w:r>
              <w:t xml:space="preserve">5</w:t>
            </w:r>
            <w:r>
              <w:fldChar w:fldCharType="end"/>
            </w:r>
          </w:hyperlink>
          <w:r/>
          <w:r/>
        </w:p>
        <w:p>
          <w:pPr>
            <w:pStyle w:val="1276"/>
            <w:pBdr/>
            <w:spacing/>
            <w:ind/>
            <w:rPr/>
          </w:pPr>
          <w:r/>
          <w:hyperlink w:tooltip="#_Toc207098240" w:anchor="_Toc207098240" w:history="1">
            <w:r>
              <w:rPr>
                <w:rStyle w:val="1249"/>
                <w:rFonts w:cstheme="minorHAnsi"/>
                <w:lang w:val="en"/>
              </w:rPr>
              <w:t xml:space="preserve">Allotment</w:t>
            </w:r>
            <w:r>
              <w:tab/>
            </w:r>
            <w:r>
              <w:fldChar w:fldCharType="begin"/>
            </w:r>
            <w:r>
              <w:instrText xml:space="preserve"> PAGEREF _Toc207098240 \h </w:instrText>
            </w:r>
            <w:r/>
            <w:r>
              <w:fldChar w:fldCharType="separate"/>
            </w:r>
            <w:r>
              <w:t xml:space="preserve">5</w:t>
            </w:r>
            <w:r>
              <w:fldChar w:fldCharType="end"/>
            </w:r>
          </w:hyperlink>
          <w:r/>
          <w:r/>
        </w:p>
        <w:p>
          <w:pPr>
            <w:pStyle w:val="1276"/>
            <w:pBdr/>
            <w:spacing/>
            <w:ind/>
            <w:rPr/>
          </w:pPr>
          <w:r/>
          <w:hyperlink w:tooltip="#_Toc207098241" w:anchor="_Toc207098241" w:history="1">
            <w:r>
              <w:rPr>
                <w:rStyle w:val="1249"/>
                <w:lang w:val="en"/>
              </w:rPr>
              <w:t xml:space="preserve">Options</w:t>
            </w:r>
            <w:r>
              <w:tab/>
            </w:r>
            <w:r>
              <w:fldChar w:fldCharType="begin"/>
            </w:r>
            <w:r>
              <w:instrText xml:space="preserve"> PAGEREF _Toc207098241 \h </w:instrText>
            </w:r>
            <w:r/>
            <w:r>
              <w:fldChar w:fldCharType="separate"/>
            </w:r>
            <w:r>
              <w:t xml:space="preserve">5</w:t>
            </w:r>
            <w:r>
              <w:fldChar w:fldCharType="end"/>
            </w:r>
          </w:hyperlink>
          <w:r/>
          <w:r/>
        </w:p>
        <w:p>
          <w:pPr>
            <w:pStyle w:val="1276"/>
            <w:pBdr/>
            <w:spacing/>
            <w:ind/>
            <w:rPr/>
          </w:pPr>
          <w:r/>
          <w:hyperlink w:tooltip="#_Toc207098242" w:anchor="_Toc207098242" w:history="1">
            <w:r>
              <w:rPr>
                <w:rStyle w:val="1249"/>
                <w:rFonts w:cstheme="minorHAnsi"/>
                <w:i/>
                <w:iCs/>
                <w:lang w:val="en"/>
              </w:rPr>
              <w:t xml:space="preserve">Similar services</w:t>
            </w:r>
            <w:r>
              <w:tab/>
            </w:r>
            <w:r>
              <w:fldChar w:fldCharType="begin"/>
            </w:r>
            <w:r>
              <w:instrText xml:space="preserve"> PAGEREF _Toc207098242 \h </w:instrText>
            </w:r>
            <w:r/>
            <w:r>
              <w:fldChar w:fldCharType="separate"/>
            </w:r>
            <w:r>
              <w:t xml:space="preserve">5</w:t>
            </w:r>
            <w:r>
              <w:fldChar w:fldCharType="end"/>
            </w:r>
          </w:hyperlink>
          <w:r/>
          <w:r/>
        </w:p>
        <w:p>
          <w:pPr>
            <w:pStyle w:val="1276"/>
            <w:pBdr/>
            <w:spacing/>
            <w:ind/>
            <w:rPr/>
          </w:pPr>
          <w:r/>
          <w:hyperlink w:tooltip="#_Toc207098243" w:anchor="_Toc207098243" w:history="1">
            <w:r>
              <w:rPr>
                <w:rStyle w:val="1249"/>
                <w:rFonts w:cstheme="minorHAnsi"/>
                <w:i/>
                <w:iCs/>
                <w:lang w:val="en"/>
              </w:rPr>
              <w:t xml:space="preserve">Optional tranches</w:t>
            </w:r>
            <w:r>
              <w:tab/>
            </w:r>
            <w:r>
              <w:fldChar w:fldCharType="begin"/>
            </w:r>
            <w:r>
              <w:instrText xml:space="preserve"> PAGEREF _Toc207098243 \h </w:instrText>
            </w:r>
            <w:r/>
            <w:r>
              <w:fldChar w:fldCharType="separate"/>
            </w:r>
            <w:r>
              <w:t xml:space="preserve">5</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44" w:anchor="_Toc207098244" w:history="1">
            <w:r>
              <w:rPr>
                <w:rStyle w:val="1249"/>
                <w:rFonts w:cstheme="minorHAnsi"/>
                <w:b/>
                <w:caps/>
              </w:rPr>
              <w:t xml:space="preserve">ARTICLE 3:</w:t>
            </w:r>
            <w:r>
              <w:rPr>
                <w:rFonts w:asciiTheme="minorHAnsi" w:hAnsiTheme="minorHAnsi" w:eastAsiaTheme="minorEastAsia" w:cstheme="minorBidi"/>
                <w:sz w:val="22"/>
                <w:szCs w:val="22"/>
              </w:rPr>
              <w:tab/>
            </w:r>
            <w:r>
              <w:rPr>
                <w:rStyle w:val="1249"/>
                <w:rFonts w:cstheme="minorHAnsi"/>
                <w:b/>
                <w:bCs/>
                <w:caps/>
                <w:lang w:val="en"/>
              </w:rPr>
              <w:t xml:space="preserve">Candidate participation conditions</w:t>
            </w:r>
            <w:r>
              <w:tab/>
            </w:r>
            <w:r>
              <w:fldChar w:fldCharType="begin"/>
            </w:r>
            <w:r>
              <w:instrText xml:space="preserve"> PAGEREF _Toc207098244 \h </w:instrText>
            </w:r>
            <w:r/>
            <w:r>
              <w:fldChar w:fldCharType="separate"/>
            </w:r>
            <w:r>
              <w:t xml:space="preserve">5</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45" w:anchor="_Toc207098245" w:history="1">
            <w:r>
              <w:rPr>
                <w:rStyle w:val="1249"/>
                <w:rFonts w:cstheme="minorHAnsi"/>
                <w:lang w:val="en"/>
              </w:rPr>
              <w:t xml:space="preserve">Candidate presentation conditions</w:t>
            </w:r>
            <w:r>
              <w:tab/>
            </w:r>
            <w:r>
              <w:fldChar w:fldCharType="begin"/>
            </w:r>
            <w:r>
              <w:instrText xml:space="preserve"> PAGEREF _Toc207098245 \h </w:instrText>
            </w:r>
            <w:r/>
            <w:r>
              <w:fldChar w:fldCharType="separate"/>
            </w:r>
            <w:r>
              <w:t xml:space="preserve">5</w:t>
            </w:r>
            <w:r>
              <w:fldChar w:fldCharType="end"/>
            </w:r>
          </w:hyperlink>
          <w:r/>
          <w:r/>
        </w:p>
        <w:p>
          <w:pPr>
            <w:pStyle w:val="1276"/>
            <w:pBdr/>
            <w:spacing/>
            <w:ind/>
            <w:rPr/>
          </w:pPr>
          <w:r/>
          <w:hyperlink w:tooltip="#_Toc207098246" w:anchor="_Toc207098246" w:history="1">
            <w:r>
              <w:rPr>
                <w:rStyle w:val="1249"/>
                <w:rFonts w:cstheme="minorHAnsi"/>
                <w:lang w:val="en"/>
              </w:rPr>
              <w:t xml:space="preserve">Grounds and conditions of exclusion</w:t>
            </w:r>
            <w:r>
              <w:tab/>
            </w:r>
            <w:r>
              <w:fldChar w:fldCharType="begin"/>
            </w:r>
            <w:r>
              <w:instrText xml:space="preserve"> PAGEREF _Toc207098246 \h </w:instrText>
            </w:r>
            <w:r/>
            <w:r>
              <w:fldChar w:fldCharType="separate"/>
            </w:r>
            <w:r>
              <w:t xml:space="preserve">6</w:t>
            </w:r>
            <w:r>
              <w:fldChar w:fldCharType="end"/>
            </w:r>
          </w:hyperlink>
          <w:r/>
          <w:r/>
        </w:p>
        <w:p>
          <w:pPr>
            <w:pStyle w:val="1276"/>
            <w:pBdr/>
            <w:spacing/>
            <w:ind/>
            <w:rPr/>
          </w:pPr>
          <w:r/>
          <w:hyperlink w:tooltip="#_Toc207098247" w:anchor="_Toc207098247" w:history="1">
            <w:r>
              <w:rPr>
                <w:rStyle w:val="1249"/>
                <w:lang w:val="en"/>
              </w:rPr>
              <w:t xml:space="preserve">Minimum prerequisites in terms of economic, technical and professional capacity</w:t>
            </w:r>
            <w:r>
              <w:tab/>
            </w:r>
            <w:r>
              <w:fldChar w:fldCharType="begin"/>
            </w:r>
            <w:r>
              <w:instrText xml:space="preserve"> PAGEREF _Toc207098247 \h </w:instrText>
            </w:r>
            <w:r/>
            <w:r>
              <w:fldChar w:fldCharType="separate"/>
            </w:r>
            <w:r>
              <w:t xml:space="preserve">6</w:t>
            </w:r>
            <w:r>
              <w:fldChar w:fldCharType="end"/>
            </w:r>
          </w:hyperlink>
          <w:r/>
          <w:r/>
        </w:p>
        <w:p>
          <w:pPr>
            <w:pStyle w:val="1276"/>
            <w:pBdr/>
            <w:spacing/>
            <w:ind/>
            <w:rPr/>
          </w:pPr>
          <w:r/>
          <w:hyperlink w:tooltip="#_Toc207098248" w:anchor="_Toc207098248" w:history="1">
            <w:r>
              <w:rPr>
                <w:rStyle w:val="1249"/>
                <w:rFonts w:cstheme="minorHAnsi"/>
                <w:lang w:val="en"/>
              </w:rPr>
              <w:t xml:space="preserve">Specific requirements for consortia of economic operators</w:t>
            </w:r>
            <w:r>
              <w:tab/>
            </w:r>
            <w:r>
              <w:fldChar w:fldCharType="begin"/>
            </w:r>
            <w:r>
              <w:instrText xml:space="preserve"> PAGEREF _Toc207098248 \h </w:instrText>
            </w:r>
            <w:r/>
            <w:r>
              <w:fldChar w:fldCharType="separate"/>
            </w:r>
            <w:r>
              <w:t xml:space="preserve">6</w:t>
            </w:r>
            <w:r>
              <w:fldChar w:fldCharType="end"/>
            </w:r>
          </w:hyperlink>
          <w:r/>
          <w:r/>
        </w:p>
        <w:p>
          <w:pPr>
            <w:pStyle w:val="1276"/>
            <w:pBdr/>
            <w:spacing/>
            <w:ind/>
            <w:rPr/>
          </w:pPr>
          <w:r/>
          <w:hyperlink w:tooltip="#_Toc207098249" w:anchor="_Toc207098249" w:history="1">
            <w:r>
              <w:rPr>
                <w:rStyle w:val="1249"/>
                <w:rFonts w:cstheme="minorHAnsi"/>
                <w:i/>
                <w:iCs/>
                <w:lang w:val="en"/>
              </w:rPr>
              <w:t xml:space="preserve">Grounds for the exclusion of consortia</w:t>
            </w:r>
            <w:r>
              <w:tab/>
            </w:r>
            <w:r>
              <w:fldChar w:fldCharType="begin"/>
            </w:r>
            <w:r>
              <w:instrText xml:space="preserve"> PAGEREF _Toc207098249 \h </w:instrText>
            </w:r>
            <w:r/>
            <w:r>
              <w:fldChar w:fldCharType="separate"/>
            </w:r>
            <w:r>
              <w:t xml:space="preserve">6</w:t>
            </w:r>
            <w:r>
              <w:fldChar w:fldCharType="end"/>
            </w:r>
          </w:hyperlink>
          <w:r/>
          <w:r/>
        </w:p>
        <w:p>
          <w:pPr>
            <w:pStyle w:val="1276"/>
            <w:pBdr/>
            <w:spacing/>
            <w:ind/>
            <w:rPr/>
          </w:pPr>
          <w:r/>
          <w:hyperlink w:tooltip="#_Toc207098250" w:anchor="_Toc207098250" w:history="1">
            <w:r>
              <w:rPr>
                <w:rStyle w:val="1249"/>
                <w:rFonts w:cstheme="minorHAnsi"/>
                <w:i/>
                <w:iCs/>
                <w:lang w:val="en"/>
              </w:rPr>
              <w:t xml:space="preserve">Form of the consortium</w:t>
            </w:r>
            <w:r>
              <w:tab/>
            </w:r>
            <w:r>
              <w:fldChar w:fldCharType="begin"/>
            </w:r>
            <w:r>
              <w:instrText xml:space="preserve"> PAGEREF _Toc207098250 \h </w:instrText>
            </w:r>
            <w:r/>
            <w:r>
              <w:fldChar w:fldCharType="separate"/>
            </w:r>
            <w:r>
              <w:t xml:space="preserve">6</w:t>
            </w:r>
            <w:r>
              <w:fldChar w:fldCharType="end"/>
            </w:r>
          </w:hyperlink>
          <w:r/>
          <w:r/>
        </w:p>
        <w:p>
          <w:pPr>
            <w:pStyle w:val="1276"/>
            <w:pBdr/>
            <w:spacing/>
            <w:ind/>
            <w:rPr/>
          </w:pPr>
          <w:r/>
          <w:hyperlink w:tooltip="#_Toc207098251" w:anchor="_Toc207098251" w:history="1">
            <w:r>
              <w:rPr>
                <w:rStyle w:val="1249"/>
                <w:rFonts w:cstheme="minorHAnsi"/>
                <w:lang w:val="en"/>
              </w:rPr>
              <w:t xml:space="preserve">Subcontracting</w:t>
            </w:r>
            <w:r>
              <w:tab/>
            </w:r>
            <w:r>
              <w:fldChar w:fldCharType="begin"/>
            </w:r>
            <w:r>
              <w:instrText xml:space="preserve"> PAGEREF _Toc207098251 \h </w:instrText>
            </w:r>
            <w:r/>
            <w:r>
              <w:fldChar w:fldCharType="separate"/>
            </w:r>
            <w:r>
              <w:t xml:space="preserve">7</w:t>
            </w:r>
            <w:r>
              <w:fldChar w:fldCharType="end"/>
            </w:r>
          </w:hyperlink>
          <w:r/>
          <w:r/>
        </w:p>
        <w:p>
          <w:pPr>
            <w:pStyle w:val="1276"/>
            <w:pBdr/>
            <w:spacing/>
            <w:ind/>
            <w:rPr/>
          </w:pPr>
          <w:r/>
          <w:hyperlink w:tooltip="#_Toc207098252" w:anchor="_Toc207098252" w:history="1">
            <w:r>
              <w:rPr>
                <w:rStyle w:val="1249"/>
                <w:rFonts w:cstheme="minorHAnsi"/>
                <w:i/>
                <w:iCs/>
                <w:lang w:val="en"/>
              </w:rPr>
              <w:t xml:space="preserve">Grounds for exclusion in the case of subcontracting</w:t>
            </w:r>
            <w:r>
              <w:tab/>
            </w:r>
            <w:r>
              <w:fldChar w:fldCharType="begin"/>
            </w:r>
            <w:r>
              <w:instrText xml:space="preserve"> PAGEREF _Toc207098252 \h </w:instrText>
            </w:r>
            <w:r/>
            <w:r>
              <w:fldChar w:fldCharType="separate"/>
            </w:r>
            <w:r>
              <w:t xml:space="preserve">7</w:t>
            </w:r>
            <w:r>
              <w:fldChar w:fldCharType="end"/>
            </w:r>
          </w:hyperlink>
          <w:r/>
          <w:r/>
        </w:p>
        <w:p>
          <w:pPr>
            <w:pStyle w:val="1276"/>
            <w:pBdr/>
            <w:spacing/>
            <w:ind/>
            <w:rPr/>
          </w:pPr>
          <w:r/>
          <w:hyperlink w:tooltip="#_Toc207098253" w:anchor="_Toc207098253" w:history="1">
            <w:r>
              <w:rPr>
                <w:rStyle w:val="1249"/>
                <w:rFonts w:cstheme="minorHAnsi"/>
                <w:i/>
                <w:iCs/>
                <w:lang w:val="en"/>
              </w:rPr>
              <w:t xml:space="preserve">Presentation of a subcontractor</w:t>
            </w:r>
            <w:r>
              <w:tab/>
            </w:r>
            <w:r>
              <w:fldChar w:fldCharType="begin"/>
            </w:r>
            <w:r>
              <w:instrText xml:space="preserve"> PAGEREF _Toc207098253 \h </w:instrText>
            </w:r>
            <w:r/>
            <w:r>
              <w:fldChar w:fldCharType="separate"/>
            </w:r>
            <w:r>
              <w:t xml:space="preserve">7</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54" w:anchor="_Toc207098254" w:history="1">
            <w:r>
              <w:rPr>
                <w:rStyle w:val="1249"/>
                <w:rFonts w:cstheme="minorHAnsi"/>
                <w:b/>
                <w:caps/>
                <w:lang w:val="en-GB"/>
              </w:rPr>
              <w:t xml:space="preserve">ARTICLE 4:</w:t>
            </w:r>
            <w:r>
              <w:rPr>
                <w:rFonts w:asciiTheme="minorHAnsi" w:hAnsiTheme="minorHAnsi" w:eastAsiaTheme="minorEastAsia" w:cstheme="minorBidi"/>
                <w:sz w:val="22"/>
                <w:szCs w:val="22"/>
              </w:rPr>
              <w:tab/>
            </w:r>
            <w:r>
              <w:rPr>
                <w:rStyle w:val="1249"/>
                <w:rFonts w:cstheme="minorHAnsi"/>
                <w:b/>
                <w:bCs/>
                <w:caps/>
                <w:lang w:val="en"/>
              </w:rPr>
              <w:t xml:space="preserve">Presentation of bids and submission process</w:t>
            </w:r>
            <w:r>
              <w:tab/>
            </w:r>
            <w:r>
              <w:fldChar w:fldCharType="begin"/>
            </w:r>
            <w:r>
              <w:instrText xml:space="preserve"> PAGEREF _Toc207098254 \h </w:instrText>
            </w:r>
            <w:r/>
            <w:r>
              <w:fldChar w:fldCharType="separate"/>
            </w:r>
            <w:r>
              <w:t xml:space="preserve">7</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55" w:anchor="_Toc207098255" w:history="1">
            <w:r>
              <w:rPr>
                <w:rStyle w:val="1249"/>
                <w:rFonts w:cstheme="minorHAnsi"/>
                <w:lang w:val="en"/>
              </w:rPr>
              <w:t xml:space="preserve">Application documents</w:t>
            </w:r>
            <w:r>
              <w:tab/>
            </w:r>
            <w:r>
              <w:fldChar w:fldCharType="begin"/>
            </w:r>
            <w:r>
              <w:instrText xml:space="preserve"> PAGEREF _Toc207098255 \h </w:instrText>
            </w:r>
            <w:r/>
            <w:r>
              <w:fldChar w:fldCharType="separate"/>
            </w:r>
            <w:r>
              <w:t xml:space="preserve">7</w:t>
            </w:r>
            <w:r>
              <w:fldChar w:fldCharType="end"/>
            </w:r>
          </w:hyperlink>
          <w:r/>
          <w:r/>
        </w:p>
        <w:p>
          <w:pPr>
            <w:pStyle w:val="1276"/>
            <w:pBdr/>
            <w:spacing/>
            <w:ind/>
            <w:rPr/>
          </w:pPr>
          <w:r/>
          <w:hyperlink w:tooltip="#_Toc207098256" w:anchor="_Toc207098256" w:history="1">
            <w:r>
              <w:rPr>
                <w:rStyle w:val="1249"/>
                <w:rFonts w:cstheme="minorHAnsi"/>
                <w:lang w:val="en"/>
              </w:rPr>
              <w:t xml:space="preserve">Bid documents</w:t>
            </w:r>
            <w:r>
              <w:tab/>
            </w:r>
            <w:r>
              <w:fldChar w:fldCharType="begin"/>
            </w:r>
            <w:r>
              <w:instrText xml:space="preserve"> PAGEREF _Toc207098256 \h </w:instrText>
            </w:r>
            <w:r/>
            <w:r>
              <w:fldChar w:fldCharType="separate"/>
            </w:r>
            <w:r>
              <w:t xml:space="preserve">7</w:t>
            </w:r>
            <w:r>
              <w:fldChar w:fldCharType="end"/>
            </w:r>
          </w:hyperlink>
          <w:r/>
          <w:r/>
        </w:p>
        <w:p>
          <w:pPr>
            <w:pStyle w:val="1276"/>
            <w:pBdr/>
            <w:spacing/>
            <w:ind/>
            <w:rPr/>
          </w:pPr>
          <w:r/>
          <w:hyperlink w:tooltip="#_Toc207098257" w:anchor="_Toc207098257" w:history="1">
            <w:r>
              <w:rPr>
                <w:rStyle w:val="1249"/>
                <w:rFonts w:cstheme="minorHAnsi"/>
                <w:lang w:val="en"/>
              </w:rPr>
              <w:t xml:space="preserve">Bid validity period</w:t>
            </w:r>
            <w:r>
              <w:tab/>
            </w:r>
            <w:r>
              <w:fldChar w:fldCharType="begin"/>
            </w:r>
            <w:r>
              <w:instrText xml:space="preserve"> PAGEREF _Toc207098257 \h </w:instrText>
            </w:r>
            <w:r/>
            <w:r>
              <w:fldChar w:fldCharType="separate"/>
            </w:r>
            <w:r>
              <w:t xml:space="preserve">7</w:t>
            </w:r>
            <w:r>
              <w:fldChar w:fldCharType="end"/>
            </w:r>
          </w:hyperlink>
          <w:r/>
          <w:r/>
        </w:p>
        <w:p>
          <w:pPr>
            <w:pStyle w:val="1276"/>
            <w:pBdr/>
            <w:spacing/>
            <w:ind/>
            <w:rPr/>
          </w:pPr>
          <w:r/>
          <w:hyperlink w:tooltip="#_Toc207098258" w:anchor="_Toc207098258" w:history="1">
            <w:r>
              <w:rPr>
                <w:rStyle w:val="1249"/>
                <w:rFonts w:cstheme="minorHAnsi"/>
                <w:lang w:val="en"/>
              </w:rPr>
              <w:t xml:space="preserve">Bid submission process</w:t>
            </w:r>
            <w:r>
              <w:tab/>
            </w:r>
            <w:r>
              <w:fldChar w:fldCharType="begin"/>
            </w:r>
            <w:r>
              <w:instrText xml:space="preserve"> PAGEREF _Toc207098258 \h </w:instrText>
            </w:r>
            <w:r/>
            <w:r>
              <w:fldChar w:fldCharType="separate"/>
            </w:r>
            <w:r>
              <w:t xml:space="preserve">8</w:t>
            </w:r>
            <w:r>
              <w:fldChar w:fldCharType="end"/>
            </w:r>
          </w:hyperlink>
          <w:r/>
          <w:r/>
        </w:p>
        <w:p>
          <w:pPr>
            <w:pStyle w:val="1276"/>
            <w:pBdr/>
            <w:spacing/>
            <w:ind/>
            <w:rPr/>
          </w:pPr>
          <w:r/>
          <w:hyperlink w:tooltip="#_Toc207098259" w:anchor="_Toc207098259" w:history="1">
            <w:r>
              <w:rPr>
                <w:rStyle w:val="1249"/>
                <w:rFonts w:cstheme="minorHAnsi"/>
                <w:i/>
                <w:iCs/>
                <w:lang w:val="en"/>
              </w:rPr>
              <w:t xml:space="preserve">Bids submitted in paper format</w:t>
            </w:r>
            <w:r>
              <w:tab/>
            </w:r>
            <w:r>
              <w:fldChar w:fldCharType="begin"/>
            </w:r>
            <w:r>
              <w:instrText xml:space="preserve"> PAGEREF _Toc207098259 \h </w:instrText>
            </w:r>
            <w:r/>
            <w:r>
              <w:fldChar w:fldCharType="separate"/>
            </w:r>
            <w:r>
              <w:t xml:space="preserve">8</w:t>
            </w:r>
            <w:r>
              <w:fldChar w:fldCharType="end"/>
            </w:r>
          </w:hyperlink>
          <w:r/>
          <w:r/>
        </w:p>
        <w:p>
          <w:pPr>
            <w:pStyle w:val="1276"/>
            <w:pBdr/>
            <w:spacing/>
            <w:ind/>
            <w:rPr/>
          </w:pPr>
          <w:r/>
          <w:hyperlink w:tooltip="#_Toc207098260" w:anchor="_Toc207098260" w:history="1">
            <w:r>
              <w:rPr>
                <w:rStyle w:val="1249"/>
                <w:rFonts w:cstheme="minorHAnsi"/>
                <w:i/>
                <w:iCs/>
                <w:lang w:val="en"/>
              </w:rPr>
              <w:t xml:space="preserve">Electronic submission</w:t>
            </w:r>
            <w:r>
              <w:tab/>
            </w:r>
            <w:r>
              <w:fldChar w:fldCharType="begin"/>
            </w:r>
            <w:r>
              <w:instrText xml:space="preserve"> PAGEREF _Toc207098260 \h </w:instrText>
            </w:r>
            <w:r/>
            <w:r>
              <w:fldChar w:fldCharType="separate"/>
            </w:r>
            <w:r>
              <w:t xml:space="preserve">8</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61" w:anchor="_Toc207098261" w:history="1">
            <w:r>
              <w:rPr>
                <w:rStyle w:val="1249"/>
                <w:rFonts w:cstheme="minorHAnsi"/>
                <w:b/>
                <w:caps/>
              </w:rPr>
              <w:t xml:space="preserve">ARTICLE 5:</w:t>
            </w:r>
            <w:r>
              <w:rPr>
                <w:rFonts w:asciiTheme="minorHAnsi" w:hAnsiTheme="minorHAnsi" w:eastAsiaTheme="minorEastAsia" w:cstheme="minorBidi"/>
                <w:sz w:val="22"/>
                <w:szCs w:val="22"/>
              </w:rPr>
              <w:tab/>
            </w:r>
            <w:r>
              <w:rPr>
                <w:rStyle w:val="1249"/>
                <w:rFonts w:cstheme="minorHAnsi"/>
                <w:b/>
                <w:bCs/>
                <w:caps/>
                <w:lang w:val="en"/>
              </w:rPr>
              <w:t xml:space="preserve">Analysis of applications</w:t>
            </w:r>
            <w:r>
              <w:tab/>
            </w:r>
            <w:r>
              <w:fldChar w:fldCharType="begin"/>
            </w:r>
            <w:r>
              <w:instrText xml:space="preserve"> PAGEREF _Toc207098261 \h </w:instrText>
            </w:r>
            <w:r/>
            <w:r>
              <w:fldChar w:fldCharType="separate"/>
            </w:r>
            <w:r>
              <w:t xml:space="preserve">9</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62" w:anchor="_Toc207098262" w:history="1">
            <w:r>
              <w:rPr>
                <w:rStyle w:val="1249"/>
                <w:rFonts w:cstheme="minorHAnsi"/>
                <w:lang w:val="en"/>
              </w:rPr>
              <w:t xml:space="preserve">Application supplementary information requests</w:t>
            </w:r>
            <w:r>
              <w:tab/>
            </w:r>
            <w:r>
              <w:fldChar w:fldCharType="begin"/>
            </w:r>
            <w:r>
              <w:instrText xml:space="preserve"> PAGEREF _Toc207098262 \h </w:instrText>
            </w:r>
            <w:r/>
            <w:r>
              <w:fldChar w:fldCharType="separate"/>
            </w:r>
            <w:r>
              <w:t xml:space="preserve">9</w:t>
            </w:r>
            <w:r>
              <w:fldChar w:fldCharType="end"/>
            </w:r>
          </w:hyperlink>
          <w:r/>
          <w:r/>
        </w:p>
        <w:p>
          <w:pPr>
            <w:pStyle w:val="1276"/>
            <w:pBdr/>
            <w:spacing/>
            <w:ind/>
            <w:rPr/>
          </w:pPr>
          <w:r/>
          <w:hyperlink w:tooltip="#_Toc207098263" w:anchor="_Toc207098263" w:history="1">
            <w:r>
              <w:rPr>
                <w:rStyle w:val="1249"/>
                <w:rFonts w:cstheme="minorHAnsi"/>
                <w:lang w:val="en"/>
              </w:rPr>
              <w:t xml:space="preserve">Rejection of late applications - Opening bids</w:t>
            </w:r>
            <w:r>
              <w:tab/>
            </w:r>
            <w:r>
              <w:fldChar w:fldCharType="begin"/>
            </w:r>
            <w:r>
              <w:instrText xml:space="preserve"> PAGEREF _Toc207098263 \h </w:instrText>
            </w:r>
            <w:r/>
            <w:r>
              <w:fldChar w:fldCharType="separate"/>
            </w:r>
            <w:r>
              <w:t xml:space="preserve">9</w:t>
            </w:r>
            <w:r>
              <w:fldChar w:fldCharType="end"/>
            </w:r>
          </w:hyperlink>
          <w:r/>
          <w:r/>
        </w:p>
        <w:p>
          <w:pPr>
            <w:pStyle w:val="1276"/>
            <w:pBdr/>
            <w:spacing/>
            <w:ind/>
            <w:rPr/>
          </w:pPr>
          <w:r/>
          <w:hyperlink w:tooltip="#_Toc207098264" w:anchor="_Toc207098264" w:history="1">
            <w:r>
              <w:rPr>
                <w:rStyle w:val="1249"/>
                <w:rFonts w:cstheme="minorHAnsi"/>
                <w:lang w:val="en"/>
              </w:rPr>
              <w:t xml:space="preserve">Admissibility of applications</w:t>
            </w:r>
            <w:r>
              <w:tab/>
            </w:r>
            <w:r>
              <w:fldChar w:fldCharType="begin"/>
            </w:r>
            <w:r>
              <w:instrText xml:space="preserve"> PAGEREF _Toc207098264 \h </w:instrText>
            </w:r>
            <w:r/>
            <w:r>
              <w:fldChar w:fldCharType="separate"/>
            </w:r>
            <w:r>
              <w:t xml:space="preserve">9</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65" w:anchor="_Toc207098265" w:history="1">
            <w:r>
              <w:rPr>
                <w:rStyle w:val="1249"/>
                <w:rFonts w:cstheme="minorHAnsi"/>
                <w:b/>
                <w:caps/>
                <w:lang w:val="en-GB"/>
              </w:rPr>
              <w:t xml:space="preserve">ARTICLE 6:</w:t>
            </w:r>
            <w:r>
              <w:rPr>
                <w:rFonts w:asciiTheme="minorHAnsi" w:hAnsiTheme="minorHAnsi" w:eastAsiaTheme="minorEastAsia" w:cstheme="minorBidi"/>
                <w:sz w:val="22"/>
                <w:szCs w:val="22"/>
              </w:rPr>
              <w:tab/>
            </w:r>
            <w:r>
              <w:rPr>
                <w:rStyle w:val="1249"/>
                <w:rFonts w:cstheme="minorHAnsi"/>
                <w:b/>
                <w:bCs/>
                <w:caps/>
                <w:lang w:val="en"/>
              </w:rPr>
              <w:t xml:space="preserve">Bid evaluation, negotiations and award</w:t>
            </w:r>
            <w:r>
              <w:tab/>
            </w:r>
            <w:r>
              <w:fldChar w:fldCharType="begin"/>
            </w:r>
            <w:r>
              <w:instrText xml:space="preserve"> PAGEREF _Toc207098265 \h </w:instrText>
            </w:r>
            <w:r/>
            <w:r>
              <w:fldChar w:fldCharType="separate"/>
            </w:r>
            <w:r>
              <w:t xml:space="preserve">9</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66" w:anchor="_Toc207098266" w:history="1">
            <w:r>
              <w:rPr>
                <w:rStyle w:val="1249"/>
                <w:rFonts w:cstheme="minorHAnsi"/>
                <w:lang w:val="en"/>
              </w:rPr>
              <w:t xml:space="preserve">Rejection of late bids - Opening bids</w:t>
            </w:r>
            <w:r>
              <w:tab/>
            </w:r>
            <w:r>
              <w:fldChar w:fldCharType="begin"/>
            </w:r>
            <w:r>
              <w:instrText xml:space="preserve"> PAGEREF _Toc207098266 \h </w:instrText>
            </w:r>
            <w:r/>
            <w:r>
              <w:fldChar w:fldCharType="separate"/>
            </w:r>
            <w:r>
              <w:t xml:space="preserve">10</w:t>
            </w:r>
            <w:r>
              <w:fldChar w:fldCharType="end"/>
            </w:r>
          </w:hyperlink>
          <w:r/>
          <w:r/>
        </w:p>
        <w:p>
          <w:pPr>
            <w:pStyle w:val="1276"/>
            <w:pBdr/>
            <w:spacing/>
            <w:ind/>
            <w:rPr/>
          </w:pPr>
          <w:r/>
          <w:hyperlink w:tooltip="#_Toc207098267" w:anchor="_Toc207098267" w:history="1">
            <w:r>
              <w:rPr>
                <w:rStyle w:val="1249"/>
                <w:rFonts w:cstheme="minorHAnsi"/>
                <w:lang w:val="en"/>
              </w:rPr>
              <w:t xml:space="preserve">Bid analysis</w:t>
            </w:r>
            <w:r>
              <w:tab/>
            </w:r>
            <w:r>
              <w:fldChar w:fldCharType="begin"/>
            </w:r>
            <w:r>
              <w:instrText xml:space="preserve"> PAGEREF _Toc207098267 \h </w:instrText>
            </w:r>
            <w:r/>
            <w:r>
              <w:fldChar w:fldCharType="separate"/>
            </w:r>
            <w:r>
              <w:t xml:space="preserve">10</w:t>
            </w:r>
            <w:r>
              <w:fldChar w:fldCharType="end"/>
            </w:r>
          </w:hyperlink>
          <w:r/>
          <w:r/>
        </w:p>
        <w:p>
          <w:pPr>
            <w:pStyle w:val="1276"/>
            <w:pBdr/>
            <w:spacing/>
            <w:ind/>
            <w:rPr/>
          </w:pPr>
          <w:r/>
          <w:hyperlink w:tooltip="#_Toc207098268" w:anchor="_Toc207098268" w:history="1">
            <w:r>
              <w:rPr>
                <w:rStyle w:val="1249"/>
                <w:rFonts w:cstheme="minorHAnsi"/>
                <w:lang w:val="en"/>
              </w:rPr>
              <w:t xml:space="preserve">Rejection of non-conforming, inadmissible or inappropriate bids</w:t>
            </w:r>
            <w:r>
              <w:tab/>
            </w:r>
            <w:r>
              <w:fldChar w:fldCharType="begin"/>
            </w:r>
            <w:r>
              <w:instrText xml:space="preserve"> PAGEREF _Toc207098268 \h </w:instrText>
            </w:r>
            <w:r/>
            <w:r>
              <w:fldChar w:fldCharType="separate"/>
            </w:r>
            <w:r>
              <w:t xml:space="preserve">10</w:t>
            </w:r>
            <w:r>
              <w:fldChar w:fldCharType="end"/>
            </w:r>
          </w:hyperlink>
          <w:r/>
          <w:r/>
        </w:p>
        <w:p>
          <w:pPr>
            <w:pStyle w:val="1276"/>
            <w:pBdr/>
            <w:spacing/>
            <w:ind/>
            <w:rPr/>
          </w:pPr>
          <w:r/>
          <w:hyperlink w:tooltip="#_Toc207098269" w:anchor="_Toc207098269" w:history="1">
            <w:r>
              <w:rPr>
                <w:rStyle w:val="1249"/>
                <w:rFonts w:cstheme="minorHAnsi"/>
                <w:lang w:val="en"/>
              </w:rPr>
              <w:t xml:space="preserve">Comparison of bids for selection of the most economically beneficial bid</w:t>
            </w:r>
            <w:r>
              <w:tab/>
            </w:r>
            <w:r>
              <w:fldChar w:fldCharType="begin"/>
            </w:r>
            <w:r>
              <w:instrText xml:space="preserve"> PAGEREF _Toc207098269 \h </w:instrText>
            </w:r>
            <w:r/>
            <w:r>
              <w:fldChar w:fldCharType="separate"/>
            </w:r>
            <w:r>
              <w:t xml:space="preserve">10</w:t>
            </w:r>
            <w:r>
              <w:fldChar w:fldCharType="end"/>
            </w:r>
          </w:hyperlink>
          <w:r/>
          <w:r/>
        </w:p>
        <w:p>
          <w:pPr>
            <w:pStyle w:val="1276"/>
            <w:pBdr/>
            <w:spacing/>
            <w:ind/>
            <w:rPr/>
          </w:pPr>
          <w:r/>
          <w:hyperlink w:tooltip="#_Toc207098270" w:anchor="_Toc207098270" w:history="1">
            <w:r>
              <w:rPr>
                <w:rStyle w:val="1249"/>
                <w:rFonts w:cstheme="minorHAnsi"/>
                <w:i/>
                <w:iCs/>
                <w:lang w:val="en"/>
              </w:rPr>
              <w:t xml:space="preserve">Criterion 1: Price of the services</w:t>
            </w:r>
            <w:r>
              <w:tab/>
            </w:r>
            <w:r>
              <w:fldChar w:fldCharType="begin"/>
            </w:r>
            <w:r>
              <w:instrText xml:space="preserve"> PAGEREF _Toc207098270 \h </w:instrText>
            </w:r>
            <w:r/>
            <w:r>
              <w:fldChar w:fldCharType="separate"/>
            </w:r>
            <w:r>
              <w:t xml:space="preserve">10</w:t>
            </w:r>
            <w:r>
              <w:fldChar w:fldCharType="end"/>
            </w:r>
          </w:hyperlink>
          <w:r/>
          <w:r/>
        </w:p>
        <w:p>
          <w:pPr>
            <w:pStyle w:val="1276"/>
            <w:pBdr/>
            <w:spacing/>
            <w:ind/>
            <w:rPr/>
          </w:pPr>
          <w:r/>
          <w:hyperlink w:tooltip="#_Toc207098271" w:anchor="_Toc207098271" w:history="1">
            <w:r>
              <w:rPr>
                <w:rStyle w:val="1249"/>
                <w:rFonts w:cstheme="minorHAnsi"/>
                <w:i/>
                <w:iCs/>
                <w:lang w:val="en"/>
              </w:rPr>
              <w:t xml:space="preserve">Criterion 2: Technical offer</w:t>
            </w:r>
            <w:r>
              <w:tab/>
            </w:r>
            <w:r>
              <w:fldChar w:fldCharType="begin"/>
            </w:r>
            <w:r>
              <w:instrText xml:space="preserve"> PAGEREF _Toc207098271 \h </w:instrText>
            </w:r>
            <w:r/>
            <w:r>
              <w:fldChar w:fldCharType="separate"/>
            </w:r>
            <w:r>
              <w:t xml:space="preserve">10</w:t>
            </w:r>
            <w:r>
              <w:fldChar w:fldCharType="end"/>
            </w:r>
          </w:hyperlink>
          <w:r/>
          <w:r/>
        </w:p>
        <w:p>
          <w:pPr>
            <w:pStyle w:val="1276"/>
            <w:pBdr/>
            <w:spacing/>
            <w:ind/>
            <w:rPr/>
          </w:pPr>
          <w:r/>
          <w:hyperlink w:tooltip="#_Toc207098272" w:anchor="_Toc207098272" w:history="1">
            <w:r>
              <w:rPr>
                <w:rStyle w:val="1249"/>
                <w:rFonts w:cstheme="minorHAnsi"/>
                <w:lang w:val="en"/>
              </w:rPr>
              <w:t xml:space="preserve">Negotiations</w:t>
            </w:r>
            <w:r>
              <w:tab/>
            </w:r>
            <w:r>
              <w:fldChar w:fldCharType="begin"/>
            </w:r>
            <w:r>
              <w:instrText xml:space="preserve"> PAGEREF _Toc207098272 \h </w:instrText>
            </w:r>
            <w:r/>
            <w:r>
              <w:fldChar w:fldCharType="separate"/>
            </w:r>
            <w:r>
              <w:t xml:space="preserve">10</w:t>
            </w:r>
            <w:r>
              <w:fldChar w:fldCharType="end"/>
            </w:r>
          </w:hyperlink>
          <w:r/>
          <w:r/>
        </w:p>
        <w:p>
          <w:pPr>
            <w:pStyle w:val="1276"/>
            <w:pBdr/>
            <w:spacing/>
            <w:ind/>
            <w:rPr/>
          </w:pPr>
          <w:r/>
          <w:hyperlink w:tooltip="#_Toc207098273" w:anchor="_Toc207098273" w:history="1">
            <w:r>
              <w:rPr>
                <w:rStyle w:val="1249"/>
                <w:rFonts w:cstheme="minorHAnsi"/>
                <w:i/>
                <w:iCs/>
                <w:lang w:val="en"/>
              </w:rPr>
              <w:t xml:space="preserve">Bidder interviews – bid negotiations</w:t>
            </w:r>
            <w:r>
              <w:tab/>
            </w:r>
            <w:r>
              <w:fldChar w:fldCharType="begin"/>
            </w:r>
            <w:r>
              <w:instrText xml:space="preserve"> PAGEREF _Toc207098273 \h </w:instrText>
            </w:r>
            <w:r/>
            <w:r>
              <w:fldChar w:fldCharType="separate"/>
            </w:r>
            <w:r>
              <w:t xml:space="preserve">11</w:t>
            </w:r>
            <w:r>
              <w:fldChar w:fldCharType="end"/>
            </w:r>
          </w:hyperlink>
          <w:r/>
          <w:r/>
        </w:p>
        <w:p>
          <w:pPr>
            <w:pStyle w:val="1276"/>
            <w:pBdr/>
            <w:spacing/>
            <w:ind/>
            <w:rPr/>
          </w:pPr>
          <w:r/>
          <w:hyperlink w:tooltip="#_Toc207098274" w:anchor="_Toc207098274" w:history="1">
            <w:r>
              <w:rPr>
                <w:rStyle w:val="1249"/>
                <w:rFonts w:cstheme="minorHAnsi"/>
                <w:lang w:val="en"/>
              </w:rPr>
              <w:t xml:space="preserve">Award process</w:t>
            </w:r>
            <w:r>
              <w:tab/>
            </w:r>
            <w:r>
              <w:fldChar w:fldCharType="begin"/>
            </w:r>
            <w:r>
              <w:instrText xml:space="preserve"> PAGEREF _Toc207098274 \h </w:instrText>
            </w:r>
            <w:r/>
            <w:r>
              <w:fldChar w:fldCharType="separate"/>
            </w:r>
            <w:r>
              <w:t xml:space="preserve">11</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75" w:anchor="_Toc207098275" w:history="1">
            <w:r>
              <w:rPr>
                <w:rStyle w:val="1249"/>
                <w:rFonts w:cstheme="minorHAnsi"/>
                <w:b/>
                <w:caps/>
                <w:lang w:val="en-GB"/>
              </w:rPr>
              <w:t xml:space="preserve">ARTICLE 7:</w:t>
            </w:r>
            <w:r>
              <w:rPr>
                <w:rFonts w:asciiTheme="minorHAnsi" w:hAnsiTheme="minorHAnsi" w:eastAsiaTheme="minorEastAsia" w:cstheme="minorBidi"/>
                <w:sz w:val="22"/>
                <w:szCs w:val="22"/>
              </w:rPr>
              <w:tab/>
            </w:r>
            <w:r>
              <w:rPr>
                <w:rStyle w:val="1249"/>
                <w:rFonts w:cstheme="minorHAnsi"/>
                <w:b/>
                <w:bCs/>
                <w:caps/>
                <w:lang w:val="en"/>
              </w:rPr>
              <w:t xml:space="preserve">Processing of personal data in the context of this tender and for the purposes of contract monitoring</w:t>
            </w:r>
            <w:r>
              <w:tab/>
            </w:r>
            <w:r>
              <w:fldChar w:fldCharType="begin"/>
            </w:r>
            <w:r>
              <w:instrText xml:space="preserve"> PAGEREF _Toc207098275 \h </w:instrText>
            </w:r>
            <w:r/>
            <w:r>
              <w:fldChar w:fldCharType="separate"/>
            </w:r>
            <w:r>
              <w:t xml:space="preserve">11</w:t>
            </w:r>
            <w:r>
              <w:fldChar w:fldCharType="end"/>
            </w:r>
          </w:hyperlink>
          <w:r/>
          <w:r>
            <w:rPr>
              <w:rFonts w:asciiTheme="minorHAnsi" w:hAnsiTheme="minorHAnsi" w:eastAsiaTheme="minorEastAsia" w:cstheme="minorBidi"/>
              <w:sz w:val="22"/>
              <w:szCs w:val="22"/>
            </w:rPr>
          </w:r>
        </w:p>
        <w:p>
          <w:pPr>
            <w:pStyle w:val="1276"/>
            <w:pBdr/>
            <w:spacing/>
            <w:ind/>
            <w:rPr/>
          </w:pPr>
          <w:r/>
          <w:hyperlink w:tooltip="#_Toc207098276" w:anchor="_Toc207098276" w:history="1">
            <w:r>
              <w:rPr>
                <w:rStyle w:val="1249"/>
                <w:rFonts w:cstheme="minorHAnsi"/>
                <w:lang w:val="en"/>
              </w:rPr>
              <w:t xml:space="preserve">Identity and contact details of the data controller and its representative</w:t>
            </w:r>
            <w:r>
              <w:tab/>
            </w:r>
            <w:r>
              <w:fldChar w:fldCharType="begin"/>
            </w:r>
            <w:r>
              <w:instrText xml:space="preserve"> PAGEREF _Toc207098276 \h </w:instrText>
            </w:r>
            <w:r/>
            <w:r>
              <w:fldChar w:fldCharType="separate"/>
            </w:r>
            <w:r>
              <w:t xml:space="preserve">11</w:t>
            </w:r>
            <w:r>
              <w:fldChar w:fldCharType="end"/>
            </w:r>
          </w:hyperlink>
          <w:r/>
          <w:r/>
        </w:p>
        <w:p>
          <w:pPr>
            <w:pStyle w:val="1276"/>
            <w:pBdr/>
            <w:spacing/>
            <w:ind/>
            <w:rPr/>
          </w:pPr>
          <w:r/>
          <w:hyperlink w:tooltip="#_Toc207098277" w:anchor="_Toc207098277" w:history="1">
            <w:r>
              <w:rPr>
                <w:rStyle w:val="1249"/>
                <w:rFonts w:cstheme="minorHAnsi"/>
              </w:rPr>
              <w:t xml:space="preserve">For the PLACE platform:</w:t>
            </w:r>
            <w:r>
              <w:tab/>
            </w:r>
            <w:r>
              <w:fldChar w:fldCharType="begin"/>
            </w:r>
            <w:r>
              <w:instrText xml:space="preserve"> PAGEREF _Toc207098277 \h </w:instrText>
            </w:r>
            <w:r/>
            <w:r>
              <w:fldChar w:fldCharType="separate"/>
            </w:r>
            <w:r>
              <w:t xml:space="preserve">11</w:t>
            </w:r>
            <w:r>
              <w:fldChar w:fldCharType="end"/>
            </w:r>
          </w:hyperlink>
          <w:r/>
          <w:r/>
        </w:p>
        <w:p>
          <w:pPr>
            <w:pStyle w:val="1276"/>
            <w:pBdr/>
            <w:spacing/>
            <w:ind/>
            <w:rPr/>
          </w:pPr>
          <w:r/>
          <w:hyperlink w:tooltip="#_Toc207098278" w:anchor="_Toc207098278" w:history="1">
            <w:r>
              <w:rPr>
                <w:rStyle w:val="1249"/>
                <w:rFonts w:cstheme="minorHAnsi"/>
                <w:lang w:val="en"/>
              </w:rPr>
              <w:t xml:space="preserve">Contact details of the Data Protection Officer:</w:t>
            </w:r>
            <w:r>
              <w:tab/>
            </w:r>
            <w:r>
              <w:fldChar w:fldCharType="begin"/>
            </w:r>
            <w:r>
              <w:instrText xml:space="preserve"> PAGEREF _Toc207098278 \h </w:instrText>
            </w:r>
            <w:r/>
            <w:r>
              <w:fldChar w:fldCharType="separate"/>
            </w:r>
            <w:r>
              <w:t xml:space="preserve">11</w:t>
            </w:r>
            <w:r>
              <w:fldChar w:fldCharType="end"/>
            </w:r>
          </w:hyperlink>
          <w:r/>
          <w:r/>
        </w:p>
        <w:p>
          <w:pPr>
            <w:pStyle w:val="1276"/>
            <w:pBdr/>
            <w:spacing/>
            <w:ind/>
            <w:rPr/>
          </w:pPr>
          <w:r/>
          <w:hyperlink w:tooltip="#_Toc207098279" w:anchor="_Toc207098279" w:history="1">
            <w:r>
              <w:rPr>
                <w:rStyle w:val="1249"/>
                <w:rFonts w:cstheme="minorHAnsi"/>
                <w:lang w:val="en"/>
              </w:rPr>
              <w:t xml:space="preserve">For the contracting authority:</w:t>
            </w:r>
            <w:r>
              <w:tab/>
            </w:r>
            <w:r>
              <w:fldChar w:fldCharType="begin"/>
            </w:r>
            <w:r>
              <w:instrText xml:space="preserve"> PAGEREF _Toc207098279 \h </w:instrText>
            </w:r>
            <w:r/>
            <w:r>
              <w:fldChar w:fldCharType="separate"/>
            </w:r>
            <w:r>
              <w:t xml:space="preserve">11</w:t>
            </w:r>
            <w:r>
              <w:fldChar w:fldCharType="end"/>
            </w:r>
          </w:hyperlink>
          <w:r/>
          <w:r/>
        </w:p>
        <w:p>
          <w:pPr>
            <w:pStyle w:val="1276"/>
            <w:pBdr/>
            <w:spacing/>
            <w:ind/>
            <w:rPr/>
          </w:pPr>
          <w:r/>
          <w:hyperlink w:tooltip="#_Toc207098280" w:anchor="_Toc207098280" w:history="1">
            <w:r>
              <w:rPr>
                <w:rStyle w:val="1249"/>
                <w:rFonts w:cstheme="minorHAnsi"/>
                <w:lang w:val="en"/>
              </w:rPr>
              <w:t xml:space="preserve">Contact details of the Data Protection Officer:</w:t>
            </w:r>
            <w:r>
              <w:tab/>
            </w:r>
            <w:r>
              <w:fldChar w:fldCharType="begin"/>
            </w:r>
            <w:r>
              <w:instrText xml:space="preserve"> PAGEREF _Toc207098280 \h </w:instrText>
            </w:r>
            <w:r/>
            <w:r>
              <w:fldChar w:fldCharType="separate"/>
            </w:r>
            <w:r>
              <w:t xml:space="preserve">11</w:t>
            </w:r>
            <w:r>
              <w:fldChar w:fldCharType="end"/>
            </w:r>
          </w:hyperlink>
          <w: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81" w:anchor="_Toc207098281" w:history="1">
            <w:r>
              <w:rPr>
                <w:rStyle w:val="1249"/>
                <w:rFonts w:cstheme="minorHAnsi"/>
                <w:b/>
                <w:caps/>
              </w:rPr>
              <w:t xml:space="preserve">ARTICLE 8:</w:t>
            </w:r>
            <w:r>
              <w:rPr>
                <w:rFonts w:asciiTheme="minorHAnsi" w:hAnsiTheme="minorHAnsi" w:eastAsiaTheme="minorEastAsia" w:cstheme="minorBidi"/>
                <w:sz w:val="22"/>
                <w:szCs w:val="22"/>
              </w:rPr>
              <w:tab/>
            </w:r>
            <w:r>
              <w:rPr>
                <w:rStyle w:val="1249"/>
                <w:rFonts w:cstheme="minorHAnsi"/>
                <w:b/>
                <w:bCs/>
                <w:caps/>
                <w:lang w:val="en"/>
              </w:rPr>
              <w:t xml:space="preserve">ADDITIONAL INFORMATION</w:t>
            </w:r>
            <w:r>
              <w:tab/>
            </w:r>
            <w:r>
              <w:fldChar w:fldCharType="begin"/>
            </w:r>
            <w:r>
              <w:instrText xml:space="preserve"> PAGEREF _Toc207098281 \h </w:instrText>
            </w:r>
            <w:r/>
            <w:r>
              <w:fldChar w:fldCharType="separate"/>
            </w:r>
            <w:r>
              <w:t xml:space="preserve">12</w:t>
            </w:r>
            <w:r>
              <w:fldChar w:fldCharType="end"/>
            </w:r>
          </w:hyperlink>
          <w:r/>
          <w:r>
            <w:rPr>
              <w:rFonts w:asciiTheme="minorHAnsi" w:hAnsiTheme="minorHAnsi" w:eastAsiaTheme="minorEastAsia" w:cstheme="minorBidi"/>
              <w:sz w:val="22"/>
              <w:szCs w:val="22"/>
            </w:rPr>
          </w:r>
        </w:p>
        <w:p>
          <w:pPr>
            <w:pStyle w:val="1275"/>
            <w:pBdr/>
            <w:tabs>
              <w:tab w:val="left" w:leader="none" w:pos="1540"/>
              <w:tab w:val="right" w:leader="dot" w:pos="9329"/>
            </w:tabs>
            <w:spacing/>
            <w:ind/>
            <w:rPr>
              <w:rFonts w:asciiTheme="minorHAnsi" w:hAnsiTheme="minorHAnsi" w:eastAsiaTheme="minorEastAsia" w:cstheme="minorBidi"/>
              <w:sz w:val="22"/>
              <w:szCs w:val="22"/>
            </w:rPr>
          </w:pPr>
          <w:r/>
          <w:hyperlink w:tooltip="#_Toc207098282" w:anchor="_Toc207098282" w:history="1">
            <w:r>
              <w:rPr>
                <w:rStyle w:val="1249"/>
                <w:rFonts w:cstheme="minorHAnsi"/>
                <w:b/>
                <w:caps/>
              </w:rPr>
              <w:t xml:space="preserve">ARTICLE 9:</w:t>
            </w:r>
            <w:r>
              <w:rPr>
                <w:rFonts w:asciiTheme="minorHAnsi" w:hAnsiTheme="minorHAnsi" w:eastAsiaTheme="minorEastAsia" w:cstheme="minorBidi"/>
                <w:sz w:val="22"/>
                <w:szCs w:val="22"/>
              </w:rPr>
              <w:tab/>
            </w:r>
            <w:r>
              <w:rPr>
                <w:rStyle w:val="1249"/>
                <w:rFonts w:cstheme="minorHAnsi"/>
                <w:b/>
                <w:bCs/>
                <w:caps/>
                <w:lang w:val="en"/>
              </w:rPr>
              <w:t xml:space="preserve">Appeal channels and deadlines</w:t>
            </w:r>
            <w:r>
              <w:tab/>
            </w:r>
            <w:r>
              <w:fldChar w:fldCharType="begin"/>
            </w:r>
            <w:r>
              <w:instrText xml:space="preserve"> PAGEREF _Toc207098282 \h </w:instrText>
            </w:r>
            <w:r/>
            <w:r>
              <w:fldChar w:fldCharType="separate"/>
            </w:r>
            <w:r>
              <w:t xml:space="preserve">12</w:t>
            </w:r>
            <w:r>
              <w:fldChar w:fldCharType="end"/>
            </w:r>
          </w:hyperlink>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highlight w:val="yellow"/>
            </w:rPr>
            <w:fldChar w:fldCharType="end"/>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first" r:id="rId10"/>
          <w:footerReference w:type="default" r:id="rId13"/>
          <w:footerReference w:type="even" r:id="rId14"/>
          <w:footerReference w:type="first" r:id="rId15"/>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2" w:name="_Toc207098229"/>
      <w:r>
        <w:rPr>
          <w:rFonts w:asciiTheme="minorHAnsi" w:hAnsiTheme="minorHAnsi" w:cstheme="minorHAnsi"/>
          <w:b/>
          <w:bCs/>
          <w:caps/>
          <w:sz w:val="28"/>
          <w:szCs w:val="22"/>
          <w:u w:val="single"/>
          <w:lang w:val="en"/>
        </w:rPr>
        <w:t xml:space="preserve">Object and scope of the tender</w:t>
      </w:r>
      <w:bookmarkEnd w:id="2"/>
      <w:r/>
      <w:r>
        <w:rPr>
          <w:rFonts w:asciiTheme="minorHAnsi" w:hAnsiTheme="minorHAnsi" w:cstheme="minorHAnsi"/>
          <w:b/>
          <w:caps/>
          <w:sz w:val="28"/>
          <w:szCs w:val="22"/>
          <w:u w:val="single"/>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3" w:name="_Toc455768059"/>
      <w:r/>
      <w:bookmarkStart w:id="4" w:name="_Toc455679200"/>
      <w:r/>
      <w:bookmarkStart w:id="5" w:name="_Toc455587875"/>
      <w:r/>
      <w:bookmarkStart w:id="6" w:name="_Toc452049137"/>
      <w:r/>
      <w:bookmarkStart w:id="7" w:name="_Toc446628681"/>
      <w:r/>
      <w:bookmarkStart w:id="8" w:name="_Toc443657762"/>
      <w:r/>
      <w:bookmarkStart w:id="9" w:name="_Toc419212425"/>
      <w:r/>
      <w:bookmarkStart w:id="10" w:name="_Toc417653412"/>
      <w:r/>
      <w:bookmarkStart w:id="11" w:name="_Toc207098230"/>
      <w:r>
        <w:rPr>
          <w:rFonts w:asciiTheme="minorHAnsi" w:hAnsiTheme="minorHAnsi" w:cstheme="minorHAnsi"/>
          <w:sz w:val="22"/>
          <w:szCs w:val="22"/>
          <w:u w:val="single"/>
          <w:lang w:val="en"/>
        </w:rPr>
        <w:t xml:space="preserve">Object of the tender</w:t>
      </w:r>
      <w:bookmarkEnd w:id="3"/>
      <w:r/>
      <w:bookmarkEnd w:id="4"/>
      <w:r/>
      <w:bookmarkEnd w:id="5"/>
      <w:r/>
      <w:bookmarkEnd w:id="6"/>
      <w:r/>
      <w:bookmarkEnd w:id="7"/>
      <w:r/>
      <w:bookmarkEnd w:id="8"/>
      <w:r/>
      <w:bookmarkEnd w:id="9"/>
      <w:r/>
      <w:bookmarkEnd w:id="10"/>
      <w:r/>
      <w:bookmarkEnd w:id="11"/>
      <w:r/>
      <w:r>
        <w:rPr>
          <w:rFonts w:asciiTheme="minorHAnsi" w:hAnsiTheme="minorHAnsi" w:cstheme="minorHAnsi"/>
          <w:sz w:val="22"/>
          <w:szCs w:val="22"/>
          <w:u w:val="single"/>
          <w:lang w:val="en-GB"/>
        </w:rPr>
      </w:r>
    </w:p>
    <w:p>
      <w:p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The tender covers the award of supplies contracts covering </w:t>
      </w:r>
      <w:r>
        <w:rPr>
          <w:rFonts w:eastAsia="Times New Roman" w:asciiTheme="minorHAnsi" w:hAnsiTheme="minorHAnsi" w:cstheme="minorHAnsi"/>
          <w:b/>
          <w:bCs/>
          <w:sz w:val="22"/>
          <w:szCs w:val="22"/>
          <w:lang w:val="en"/>
        </w:rPr>
        <w:t xml:space="preserve">“</w:t>
      </w:r>
      <w:r>
        <w:rPr>
          <w:rFonts w:eastAsia="Times New Roman" w:asciiTheme="minorHAnsi" w:hAnsiTheme="minorHAnsi" w:cstheme="minorHAnsi"/>
          <w:b/>
          <w:bCs/>
          <w:sz w:val="22"/>
          <w:szCs w:val="22"/>
          <w:lang w:val="en"/>
        </w:rPr>
        <w:t xml:space="preserve">Supply of vehicles for 3 Hromadas in Chernihiv region” </w:t>
      </w:r>
      <w:r>
        <w:rPr>
          <w:rFonts w:eastAsia="Times New Roman" w:asciiTheme="minorHAnsi" w:hAnsiTheme="minorHAnsi" w:cstheme="minorHAnsi"/>
          <w:sz w:val="22"/>
          <w:szCs w:val="22"/>
          <w:lang w:val="en"/>
        </w:rPr>
        <w:t xml:space="preserve">and includes 3 Lots:</w:t>
      </w:r>
      <w:r>
        <w:rPr>
          <w:rFonts w:eastAsia="Times New Roman" w:asciiTheme="minorHAnsi" w:hAnsiTheme="minorHAnsi" w:cstheme="minorHAnsi"/>
          <w:sz w:val="22"/>
          <w:szCs w:val="22"/>
          <w:lang w:val="en"/>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1 - Supply of vehicle for Ichnia Hromada</w:t>
      </w:r>
      <w:r>
        <w:rPr>
          <w:rFonts w:eastAsia="Times New Roman" w:asciiTheme="minorHAnsi" w:hAnsiTheme="minorHAnsi" w:cstheme="minorHAnsi"/>
          <w:sz w:val="22"/>
          <w:szCs w:val="22"/>
          <w:lang w:val="en"/>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2 - Supply of vehicle for Semenivka Hromada</w:t>
      </w:r>
      <w:r>
        <w:rPr>
          <w:rFonts w:eastAsia="Times New Roman" w:asciiTheme="minorHAnsi" w:hAnsiTheme="minorHAnsi" w:cstheme="minorHAnsi"/>
          <w:sz w:val="22"/>
          <w:szCs w:val="22"/>
          <w:lang w:val="en"/>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3 - Supply of vehicle for Novhorod-Siverskyi Hromada </w:t>
      </w:r>
      <w:r>
        <w:rPr>
          <w:rFonts w:eastAsia="Times New Roman" w:asciiTheme="minorHAnsi" w:hAnsiTheme="minorHAnsi" w:cstheme="minorHAnsi"/>
          <w:sz w:val="22"/>
          <w:szCs w:val="22"/>
          <w:lang w:val="en"/>
        </w:rPr>
      </w:r>
    </w:p>
    <w:p>
      <w:p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The scope of the needs to be </w:t>
      </w:r>
      <w:r>
        <w:rPr>
          <w:rFonts w:eastAsia="Times New Roman" w:asciiTheme="minorHAnsi" w:hAnsiTheme="minorHAnsi" w:cstheme="minorHAnsi"/>
          <w:sz w:val="22"/>
          <w:szCs w:val="22"/>
          <w:lang w:val="en"/>
        </w:rPr>
        <w:t xml:space="preserve">satisfied is set out in the Specifications.</w:t>
      </w:r>
      <w:r>
        <w:rPr>
          <w:rFonts w:eastAsia="Times New Roman" w:asciiTheme="minorHAnsi" w:hAnsiTheme="minorHAnsi" w:cstheme="minorHAnsi"/>
          <w:sz w:val="22"/>
          <w:szCs w:val="22"/>
          <w:lang w:val="en"/>
        </w:rPr>
      </w:r>
    </w:p>
    <w:p>
      <w:pPr>
        <w:pStyle w:val="997"/>
        <w:pBdr/>
        <w:spacing w:after="120" w:before="120" w:line="240" w:lineRule="auto"/>
        <w:ind/>
        <w:jc w:val="both"/>
        <w:rPr>
          <w:rFonts w:asciiTheme="minorHAnsi" w:hAnsiTheme="minorHAnsi" w:cstheme="minorHAnsi"/>
          <w:sz w:val="22"/>
          <w:szCs w:val="22"/>
          <w:u w:val="single"/>
          <w:lang w:val="en-GB"/>
        </w:rPr>
      </w:pPr>
      <w:r/>
      <w:bookmarkStart w:id="12" w:name="_Toc207098231"/>
      <w:r>
        <w:rPr>
          <w:rFonts w:asciiTheme="minorHAnsi" w:hAnsiTheme="minorHAnsi" w:cstheme="minorHAnsi"/>
          <w:sz w:val="22"/>
          <w:szCs w:val="22"/>
          <w:u w:val="single"/>
          <w:lang w:val="en"/>
        </w:rPr>
        <w:t xml:space="preserve">Scope of the tender</w:t>
      </w:r>
      <w:bookmarkEnd w:id="12"/>
      <w:r/>
      <w:r>
        <w:rPr>
          <w:rFonts w:asciiTheme="minorHAnsi" w:hAnsiTheme="minorHAnsi" w:cstheme="minorHAnsi"/>
          <w:sz w:val="22"/>
          <w:szCs w:val="22"/>
          <w:u w:val="single"/>
          <w:lang w:val="en-GB"/>
        </w:rPr>
      </w:r>
    </w:p>
    <w:p>
      <w:pPr>
        <w:pStyle w:val="1253"/>
        <w:pBdr/>
        <w:spacing w:before="120"/>
        <w:ind w:left="0"/>
        <w:rPr>
          <w:rFonts w:asciiTheme="minorHAnsi" w:hAnsiTheme="minorHAnsi" w:cstheme="minorHAnsi"/>
          <w:szCs w:val="22"/>
          <w:highlight w:val="white"/>
        </w:rPr>
      </w:pPr>
      <w:r>
        <w:rPr>
          <w:rFonts w:asciiTheme="minorHAnsi" w:hAnsiTheme="minorHAnsi" w:cstheme="minorHAnsi"/>
          <w:szCs w:val="22"/>
          <w:lang w:val="en"/>
        </w:rPr>
        <w:t xml:space="preserve">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w:t>
      </w:r>
      <w:r>
        <w:rPr>
          <w:rFonts w:asciiTheme="minorHAnsi" w:hAnsiTheme="minorHAnsi" w:cstheme="minorHAnsi"/>
          <w:szCs w:val="22"/>
          <w:highlight w:val="white"/>
          <w:lang w:val="en"/>
        </w:rPr>
        <w:t xml:space="preserve">074 of 26 November 2018, establishing the legislative elements of Decre</w:t>
      </w:r>
      <w:r>
        <w:rPr>
          <w:rFonts w:asciiTheme="minorHAnsi" w:hAnsiTheme="minorHAnsi" w:cstheme="minorHAnsi"/>
          <w:szCs w:val="22"/>
          <w:highlight w:val="white"/>
          <w:lang w:val="en"/>
        </w:rPr>
        <w:t xml:space="preserve">e no. 2018-1075 of 3 December 2018, establishing the regulatory elements of the Public Procurement. </w:t>
      </w:r>
      <w:r>
        <w:rPr>
          <w:rFonts w:asciiTheme="minorHAnsi" w:hAnsiTheme="minorHAnsi" w:cstheme="minorHAnsi"/>
          <w:szCs w:val="22"/>
          <w:highlight w:val="white"/>
        </w:rPr>
      </w:r>
    </w:p>
    <w:p>
      <w:pPr>
        <w:pStyle w:val="1253"/>
        <w:pBdr/>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It is awarded by means of: </w:t>
      </w:r>
      <w:r>
        <w:rPr>
          <w:rFonts w:asciiTheme="minorHAnsi" w:hAnsiTheme="minorHAnsi" w:cstheme="minorHAnsi"/>
          <w:szCs w:val="22"/>
          <w:highlight w:val="white"/>
        </w:rPr>
      </w:r>
    </w:p>
    <w:p>
      <w:pPr>
        <w:pStyle w:val="1253"/>
        <w:pBdr/>
        <w:spacing w:before="120"/>
        <w:ind w:left="0"/>
        <w:rPr>
          <w:rFonts w:asciiTheme="minorHAnsi" w:hAnsiTheme="minorHAnsi" w:cstheme="minorHAnsi"/>
          <w:szCs w:val="22"/>
          <w:highlight w:val="white"/>
        </w:rPr>
      </w:pPr>
      <w:r>
        <w:rPr>
          <w:rFonts w:asciiTheme="minorHAnsi" w:hAnsiTheme="minorHAnsi" w:cstheme="minorHAnsi"/>
          <w:szCs w:val="22"/>
          <w:highlight w:val="white"/>
          <w:lang w:val="en"/>
        </w:rPr>
        <w:t xml:space="preserve">adapted procedure in application of Articles L. 2123-1 and R. 2123-1 to R. 2123-7 of CCP</w:t>
      </w:r>
      <w:r>
        <w:rPr>
          <w:rFonts w:asciiTheme="minorHAnsi" w:hAnsiTheme="minorHAnsi" w:cstheme="minorHAnsi"/>
          <w:szCs w:val="22"/>
          <w:highlight w:val="white"/>
        </w:rPr>
      </w:r>
    </w:p>
    <w:p>
      <w:pPr>
        <w:pStyle w:val="997"/>
        <w:pBdr/>
        <w:spacing w:after="120" w:before="120" w:line="240" w:lineRule="auto"/>
        <w:ind/>
        <w:jc w:val="both"/>
        <w:rPr>
          <w:rFonts w:asciiTheme="minorHAnsi" w:hAnsiTheme="minorHAnsi" w:cstheme="minorHAnsi"/>
          <w:sz w:val="22"/>
          <w:szCs w:val="22"/>
          <w:u w:val="single"/>
          <w:lang w:val="en"/>
        </w:rPr>
      </w:pPr>
      <w:r/>
      <w:bookmarkStart w:id="13" w:name="_Toc207098232"/>
      <w:r>
        <w:rPr>
          <w:rFonts w:asciiTheme="minorHAnsi" w:hAnsiTheme="minorHAnsi" w:cstheme="minorHAnsi"/>
          <w:sz w:val="22"/>
          <w:szCs w:val="22"/>
          <w:u w:val="single"/>
          <w:lang w:val="en"/>
        </w:rPr>
        <w:t xml:space="preserve">Provisional schedule of the tender</w:t>
      </w:r>
      <w:bookmarkEnd w:id="13"/>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
        </w:rPr>
      </w:r>
    </w:p>
    <w:tbl>
      <w:tblPr>
        <w:tblStyle w:val="1273"/>
        <w:tblW w:w="0" w:type="auto"/>
        <w:tblBorders/>
        <w:tblLook w:val="04A0" w:firstRow="1" w:lastRow="0" w:firstColumn="1" w:lastColumn="0" w:noHBand="0" w:noVBand="1"/>
      </w:tblPr>
      <w:tblGrid>
        <w:gridCol w:w="1696"/>
        <w:gridCol w:w="6237"/>
      </w:tblGrid>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Estimated date</w:t>
            </w:r>
            <w:r>
              <w:rPr>
                <w:rFonts w:asciiTheme="minorHAnsi" w:hAnsiTheme="minorHAnsi" w:cstheme="minorHAnsi"/>
                <w:b/>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Stage</w:t>
            </w:r>
            <w:r>
              <w:rPr>
                <w:rFonts w:asciiTheme="minorHAnsi" w:hAnsiTheme="minorHAnsi" w:cstheme="minorHAnsi"/>
                <w:b/>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10/09/2025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Bid submission deadline</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TBC</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Interviews/Negotiations and requests for optimised bids</w:t>
            </w:r>
            <w:r>
              <w:rPr>
                <w:rFonts w:asciiTheme="minorHAnsi" w:hAnsiTheme="minorHAnsi" w:cstheme="minorHAnsi"/>
                <w:sz w:val="22"/>
                <w:szCs w:val="22"/>
                <w:highlight w:val="white"/>
              </w:rPr>
            </w:r>
          </w:p>
        </w:tc>
      </w:tr>
      <w:tr>
        <w:trPr>
          <w:trHeight w:val="58"/>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TBC</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Optimised bid submission deadline</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17/09/2025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Rejection letters sent to non-selected candidates</w:t>
            </w:r>
            <w:r>
              <w:rPr>
                <w:rFonts w:asciiTheme="minorHAnsi" w:hAnsiTheme="minorHAnsi" w:cstheme="minorHAnsi"/>
                <w:sz w:val="22"/>
                <w:szCs w:val="22"/>
                <w:highlight w:val="white"/>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29/09/2025</w:t>
            </w:r>
            <w:r>
              <w:rPr>
                <w:rFonts w:asciiTheme="minorHAnsi" w:hAnsiTheme="minorHAnsi" w:cstheme="minorHAnsi"/>
                <w:sz w:val="22"/>
                <w:szCs w:val="22"/>
                <w:highlight w:val="white"/>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highlight w:val="white"/>
              </w:rPr>
            </w:pPr>
            <w:r>
              <w:rPr>
                <w:rFonts w:asciiTheme="minorHAnsi" w:hAnsiTheme="minorHAnsi" w:cstheme="minorHAnsi"/>
                <w:sz w:val="22"/>
                <w:szCs w:val="22"/>
                <w:highlight w:val="white"/>
                <w:lang w:val="en"/>
              </w:rPr>
              <w:t xml:space="preserve">Contract award</w:t>
            </w:r>
            <w:r>
              <w:rPr>
                <w:rFonts w:asciiTheme="minorHAnsi" w:hAnsiTheme="minorHAnsi" w:cstheme="minorHAnsi"/>
                <w:sz w:val="22"/>
                <w:szCs w:val="22"/>
                <w:highlight w:val="white"/>
              </w:rPr>
            </w:r>
          </w:p>
        </w:tc>
      </w:tr>
    </w:tbl>
    <w:p>
      <w:pPr>
        <w:pStyle w:val="997"/>
        <w:pBdr/>
        <w:spacing w:after="120" w:before="120" w:line="240" w:lineRule="auto"/>
        <w:ind/>
        <w:jc w:val="both"/>
        <w:rPr>
          <w:rFonts w:asciiTheme="minorHAnsi" w:hAnsiTheme="minorHAnsi" w:cstheme="minorHAnsi"/>
          <w:sz w:val="22"/>
          <w:szCs w:val="22"/>
          <w:u w:val="single"/>
        </w:rPr>
      </w:pPr>
      <w:r/>
      <w:bookmarkStart w:id="14" w:name="_Toc207098233"/>
      <w:r>
        <w:rPr>
          <w:rFonts w:asciiTheme="minorHAnsi" w:hAnsiTheme="minorHAnsi" w:cstheme="minorHAnsi"/>
          <w:sz w:val="22"/>
          <w:szCs w:val="22"/>
          <w:u w:val="single"/>
          <w:lang w:val="en"/>
        </w:rPr>
        <w:t xml:space="preserve">Tender language – currency</w:t>
      </w:r>
      <w:bookmarkEnd w:id="14"/>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English. </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UAH</w:t>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15" w:name="_Toc207098234"/>
      <w:r>
        <w:rPr>
          <w:rFonts w:asciiTheme="minorHAnsi" w:hAnsiTheme="minorHAnsi" w:cstheme="minorHAnsi"/>
          <w:sz w:val="22"/>
          <w:szCs w:val="22"/>
          <w:u w:val="single"/>
          <w:lang w:val="en"/>
        </w:rPr>
        <w:t xml:space="preserve">Composition of the tender documents</w:t>
      </w:r>
      <w:bookmarkEnd w:id="15"/>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tender documents are composed of the following:</w:t>
      </w:r>
      <w:r>
        <w:rPr>
          <w:rFonts w:asciiTheme="minorHAnsi" w:hAnsiTheme="minorHAnsi" w:cstheme="minorHAnsi"/>
          <w:sz w:val="22"/>
          <w:szCs w:val="22"/>
          <w:lang w:val="en-GB"/>
        </w:rPr>
      </w:r>
    </w:p>
    <w:p>
      <w:pPr>
        <w:pStyle w:val="1254"/>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These tender rules (the “Rules”);</w:t>
      </w:r>
      <w:r>
        <w:rPr>
          <w:rFonts w:asciiTheme="minorHAnsi" w:hAnsiTheme="minorHAnsi" w:cstheme="minorHAnsi"/>
          <w:szCs w:val="22"/>
          <w:lang w:val="en-GB"/>
        </w:rPr>
      </w:r>
    </w:p>
    <w:p>
      <w:pPr>
        <w:pStyle w:val="1280"/>
        <w:numPr>
          <w:ilvl w:val="0"/>
          <w:numId w:val="7"/>
        </w:numPr>
        <w:pBdr/>
        <w:spacing w:line="240" w:lineRule="auto"/>
        <w:ind w:hanging="357" w:left="714"/>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The draft contract (general conditions and special conditions) (for Lot 1, Lot 2, Lot 3); </w:t>
      </w:r>
      <w:r>
        <w:rPr>
          <w:rFonts w:asciiTheme="minorHAnsi" w:hAnsiTheme="minorHAnsi" w:cstheme="minorHAnsi"/>
          <w:color w:val="000000"/>
          <w:sz w:val="22"/>
          <w:szCs w:val="22"/>
          <w:lang w:val="en"/>
        </w:rPr>
      </w:r>
    </w:p>
    <w:p>
      <w:pPr>
        <w:pStyle w:val="1280"/>
        <w:numPr>
          <w:ilvl w:val="0"/>
          <w:numId w:val="7"/>
        </w:numPr>
        <w:pBdr/>
        <w:spacing w:line="240" w:lineRule="auto"/>
        <w:ind w:hanging="357" w:left="714"/>
        <w:jc w:val="both"/>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 xml:space="preserve">The draft of financial offer (for Lot 1, Lot 2, Lot 3);</w:t>
      </w:r>
      <w:r>
        <w:rPr>
          <w:rFonts w:asciiTheme="minorHAnsi" w:hAnsiTheme="minorHAnsi" w:cstheme="minorHAnsi"/>
          <w:color w:val="000000"/>
          <w:sz w:val="22"/>
          <w:szCs w:val="22"/>
          <w:lang w:val="en"/>
        </w:rPr>
      </w:r>
    </w:p>
    <w:p>
      <w:pPr>
        <w:pStyle w:val="1254"/>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
        </w:rPr>
        <w:t xml:space="preserve">The Specifications (for Lot 1, Lot 2, Lot 3) and annexes;</w:t>
      </w:r>
      <w:r>
        <w:rPr>
          <w:rFonts w:asciiTheme="minorHAnsi" w:hAnsiTheme="minorHAnsi" w:cstheme="minorHAnsi"/>
          <w:szCs w:val="22"/>
          <w:lang w:val="en-GB"/>
        </w:rPr>
      </w:r>
    </w:p>
    <w:p>
      <w:pPr>
        <w:pStyle w:val="1254"/>
        <w:widowControl w:val="false"/>
        <w:numPr>
          <w:ilvl w:val="0"/>
          <w:numId w:val="7"/>
        </w:numPr>
        <w:pBdr/>
        <w:spacing/>
        <w:ind/>
        <w:rPr>
          <w:rFonts w:asciiTheme="minorHAnsi" w:hAnsiTheme="minorHAnsi" w:cstheme="minorHAnsi"/>
          <w:szCs w:val="22"/>
        </w:rPr>
      </w:pPr>
      <w:r>
        <w:rPr>
          <w:rFonts w:asciiTheme="minorHAnsi" w:hAnsiTheme="minorHAnsi" w:cstheme="minorHAnsi"/>
          <w:szCs w:val="22"/>
          <w:lang w:val="en"/>
        </w:rPr>
        <w:t xml:space="preserve">The Expression of</w:t>
      </w:r>
      <w:r>
        <w:rPr>
          <w:rFonts w:asciiTheme="minorHAnsi" w:hAnsiTheme="minorHAnsi" w:cstheme="minorHAnsi"/>
          <w:szCs w:val="22"/>
          <w:lang w:val="en"/>
        </w:rPr>
        <w:t xml:space="preserve"> Interest form and Annexes (Sworn Statement, Third Party Identification form);</w:t>
      </w:r>
      <w:r>
        <w:rPr>
          <w:rFonts w:asciiTheme="minorHAnsi" w:hAnsiTheme="minorHAnsi" w:cstheme="minorHAnsi"/>
          <w:szCs w:val="22"/>
        </w:rPr>
      </w:r>
    </w:p>
    <w:p>
      <w:pPr>
        <w:pStyle w:val="1254"/>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The safety evaluation questionnaire, for any contract whose execution implies the movement of its personnel (or its subcontractor) in an orange or red zone (in accordance with t</w:t>
      </w:r>
      <w:r>
        <w:rPr>
          <w:rFonts w:asciiTheme="minorHAnsi" w:hAnsiTheme="minorHAnsi" w:cstheme="minorHAnsi"/>
          <w:szCs w:val="22"/>
          <w:lang w:val="en-GB"/>
        </w:rPr>
        <w:t xml:space="preserve">he regional vigilance maps made available by the Ministry of Europe and Foreign Affairs (</w:t>
      </w:r>
      <w:hyperlink r:id="rId20" w:tooltip="https://www.diplomatie.gouv.fr/fr/conseils-aux-voyageurs/" w:history="1">
        <w:r>
          <w:rPr>
            <w:rStyle w:val="1249"/>
            <w:rFonts w:asciiTheme="minorHAnsi" w:hAnsiTheme="minorHAnsi" w:cstheme="minorHAnsi"/>
            <w:szCs w:val="22"/>
            <w:lang w:val="en-GB"/>
          </w:rPr>
          <w:t xml:space="preserve">https://www.diplomatie.gouv.fr</w:t>
        </w:r>
        <w:r>
          <w:rPr>
            <w:rStyle w:val="1249"/>
            <w:rFonts w:asciiTheme="minorHAnsi" w:hAnsiTheme="minorHAnsi" w:cstheme="minorHAnsi"/>
            <w:szCs w:val="22"/>
            <w:lang w:val="en-GB"/>
          </w:rPr>
          <w:t xml:space="preserve">/fr/conseils-aux-voyageurs/</w:t>
        </w:r>
      </w:hyperlink>
      <w:r>
        <w:rPr>
          <w:rFonts w:asciiTheme="minorHAnsi" w:hAnsiTheme="minorHAnsi" w:cstheme="minorHAnsi"/>
          <w:szCs w:val="22"/>
          <w:lang w:val="en-GB"/>
        </w:rPr>
        <w:t xml:space="preserve">),</w:t>
      </w:r>
      <w:r>
        <w:rPr>
          <w:rFonts w:asciiTheme="minorHAnsi" w:hAnsiTheme="minorHAnsi" w:cstheme="minorHAnsi"/>
          <w:szCs w:val="22"/>
          <w:lang w:val="en-GB"/>
        </w:rPr>
      </w:r>
    </w:p>
    <w:p>
      <w:pPr>
        <w:pStyle w:val="1254"/>
        <w:widowControl w:val="false"/>
        <w:numPr>
          <w:ilvl w:val="0"/>
          <w:numId w:val="7"/>
        </w:numPr>
        <w:pBdr/>
        <w:spacing/>
        <w:ind/>
        <w:rPr>
          <w:rFonts w:asciiTheme="minorHAnsi" w:hAnsiTheme="minorHAnsi" w:cstheme="minorHAnsi"/>
          <w:szCs w:val="22"/>
          <w:lang w:val="en-GB"/>
        </w:rPr>
      </w:pPr>
      <w:r>
        <w:rPr>
          <w:rFonts w:asciiTheme="minorHAnsi" w:hAnsiTheme="minorHAnsi" w:cstheme="minorHAnsi"/>
          <w:szCs w:val="22"/>
          <w:lang w:val="en-GB"/>
        </w:rPr>
        <w:t xml:space="preserve">DAJ_GU006ENG_v01 - PLACE user guide for companies.</w:t>
      </w:r>
      <w:r>
        <w:rPr>
          <w:rFonts w:asciiTheme="minorHAnsi" w:hAnsiTheme="minorHAnsi" w:cstheme="minorHAnsi"/>
          <w:szCs w:val="22"/>
          <w:lang w:val="en-GB"/>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997"/>
        <w:pBdr/>
        <w:spacing w:after="120" w:before="120" w:line="240" w:lineRule="auto"/>
        <w:ind/>
        <w:jc w:val="both"/>
        <w:rPr>
          <w:rFonts w:asciiTheme="minorHAnsi" w:hAnsiTheme="minorHAnsi" w:cstheme="minorHAnsi"/>
          <w:sz w:val="22"/>
          <w:szCs w:val="22"/>
          <w:u w:val="single"/>
        </w:rPr>
      </w:pPr>
      <w:r/>
      <w:bookmarkStart w:id="16" w:name="_Toc207098235"/>
      <w:r>
        <w:rPr>
          <w:rFonts w:asciiTheme="minorHAnsi" w:hAnsiTheme="minorHAnsi" w:cstheme="minorHAnsi"/>
          <w:sz w:val="22"/>
          <w:szCs w:val="22"/>
          <w:u w:val="single"/>
          <w:lang w:val="en"/>
        </w:rPr>
        <w:t xml:space="preserve">Modification of the tender documents</w:t>
      </w:r>
      <w:bookmarkEnd w:id="16"/>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4 days prior to the bid submission deadline.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are only forwarded to the economic operators duly identified during the tender document consultation phase.</w:t>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rPr>
          <w:rFonts w:asciiTheme="minorHAnsi" w:hAnsiTheme="minorHAnsi" w:cstheme="minorHAnsi"/>
          <w:b/>
          <w:caps/>
          <w:sz w:val="28"/>
          <w:szCs w:val="22"/>
          <w:u w:val="single"/>
          <w:lang w:val="en-GB"/>
        </w:rPr>
      </w:pPr>
      <w:r>
        <w:rPr>
          <w:rFonts w:asciiTheme="minorHAnsi" w:hAnsiTheme="minorHAnsi" w:cstheme="minorHAnsi"/>
          <w:sz w:val="22"/>
          <w:szCs w:val="22"/>
          <w:lang w:val="en"/>
        </w:rPr>
        <w:t xml:space="preserve">Candidates/bidders must respond on the basis of the latest modified documents. Should any candidate/bidder have submitted any bid or </w:t>
      </w:r>
      <w:r>
        <w:rPr>
          <w:rFonts w:asciiTheme="minorHAnsi" w:hAnsiTheme="minorHAnsi" w:cstheme="minorHAnsi"/>
          <w:sz w:val="22"/>
          <w:szCs w:val="22"/>
          <w:lang w:val="en"/>
        </w:rPr>
        <w:t xml:space="preserve">offer prior to modification, they may resubmit based on the latest modified documents prior to the bid reception deadline.</w:t>
      </w:r>
      <w:r>
        <w:rPr>
          <w:rFonts w:asciiTheme="minorHAnsi" w:hAnsiTheme="minorHAnsi" w:cstheme="minorHAnsi"/>
          <w:b/>
          <w:caps/>
          <w:sz w:val="28"/>
          <w:szCs w:val="22"/>
          <w:u w:val="single"/>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17" w:name="_Toc207098236"/>
      <w:r>
        <w:rPr>
          <w:rFonts w:asciiTheme="minorHAnsi" w:hAnsiTheme="minorHAnsi" w:cstheme="minorHAnsi"/>
          <w:b/>
          <w:bCs/>
          <w:caps/>
          <w:sz w:val="28"/>
          <w:szCs w:val="22"/>
          <w:u w:val="single"/>
          <w:lang w:val="en"/>
        </w:rPr>
        <w:t xml:space="preserve">General characteristics of the proposed contract</w:t>
      </w:r>
      <w:bookmarkEnd w:id="17"/>
      <w:r/>
      <w:r>
        <w:rPr>
          <w:rFonts w:asciiTheme="minorHAnsi" w:hAnsiTheme="minorHAnsi" w:cstheme="minorHAnsi"/>
          <w:b/>
          <w:caps/>
          <w:sz w:val="28"/>
          <w:szCs w:val="22"/>
          <w:u w:val="single"/>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18" w:name="_Toc455587878"/>
      <w:r/>
      <w:bookmarkStart w:id="19" w:name="_Toc455679203"/>
      <w:r/>
      <w:bookmarkStart w:id="20" w:name="_Toc455768062"/>
      <w:r/>
      <w:bookmarkStart w:id="21" w:name="_Toc452049140"/>
      <w:r/>
      <w:bookmarkStart w:id="22" w:name="_Toc417653416"/>
      <w:r/>
      <w:bookmarkStart w:id="23" w:name="_Toc419212432"/>
      <w:r/>
      <w:bookmarkStart w:id="24" w:name="_Toc443657766"/>
      <w:r/>
      <w:bookmarkStart w:id="25" w:name="_Toc446628685"/>
      <w:r/>
      <w:bookmarkStart w:id="26" w:name="_Toc379270787"/>
      <w:r/>
      <w:bookmarkStart w:id="27" w:name="_Toc207098237"/>
      <w:r>
        <w:rPr>
          <w:rFonts w:asciiTheme="minorHAnsi" w:hAnsiTheme="minorHAnsi" w:cstheme="minorHAnsi"/>
          <w:sz w:val="22"/>
          <w:szCs w:val="22"/>
          <w:u w:val="single"/>
          <w:lang w:val="en"/>
        </w:rPr>
        <w:t xml:space="preserve">Form of the contract</w:t>
      </w:r>
      <w:bookmarkEnd w:id="27"/>
      <w:r/>
      <w:r>
        <w:rPr>
          <w:rFonts w:asciiTheme="minorHAnsi" w:hAnsiTheme="minorHAnsi" w:cstheme="minorHAnsi"/>
          <w:sz w:val="22"/>
          <w:szCs w:val="22"/>
          <w:u w:val="single"/>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constitutes public procurement composed of a singl</w:t>
      </w:r>
      <w:r>
        <w:rPr>
          <w:rFonts w:asciiTheme="minorHAnsi" w:hAnsiTheme="minorHAnsi" w:cstheme="minorHAnsi"/>
          <w:sz w:val="22"/>
          <w:szCs w:val="22"/>
          <w:lang w:val="en"/>
        </w:rPr>
        <w:t xml:space="preserve">e item subject to fixed pricing.</w:t>
      </w:r>
      <w:r>
        <w:rPr>
          <w:rFonts w:asciiTheme="minorHAnsi" w:hAnsiTheme="minorHAnsi" w:cstheme="minorHAnsi"/>
          <w:sz w:val="22"/>
          <w:szCs w:val="22"/>
          <w:lang w:val="en-GB"/>
        </w:rPr>
      </w:r>
    </w:p>
    <w:p>
      <w:pPr>
        <w:pBdr/>
        <w:spacing w:line="240" w:lineRule="auto"/>
        <w:ind/>
        <w:rPr>
          <w:rFonts w:asciiTheme="minorHAnsi" w:hAnsiTheme="minorHAnsi" w:cstheme="minorHAnsi"/>
          <w:sz w:val="22"/>
          <w:szCs w:val="22"/>
          <w:lang w:val="en-GB"/>
        </w:rPr>
      </w:pPr>
      <w:r>
        <w:rPr>
          <w:rFonts w:asciiTheme="minorHAnsi" w:hAnsiTheme="minorHAnsi" w:cstheme="minorHAnsi"/>
          <w:sz w:val="22"/>
          <w:szCs w:val="22"/>
          <w:lang w:val="en"/>
        </w:rPr>
        <w:t xml:space="preserve">It is entered into with a single operator.</w:t>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28" w:name="_Toc207098238"/>
      <w:r>
        <w:rPr>
          <w:rFonts w:asciiTheme="minorHAnsi" w:hAnsiTheme="minorHAnsi" w:cstheme="minorHAnsi"/>
          <w:sz w:val="22"/>
          <w:szCs w:val="22"/>
          <w:u w:val="single"/>
          <w:lang w:val="en"/>
        </w:rPr>
        <w:t xml:space="preserve">Estimated amount of the need</w:t>
      </w:r>
      <w:bookmarkEnd w:id="18"/>
      <w:r/>
      <w:bookmarkEnd w:id="19"/>
      <w:r/>
      <w:bookmarkEnd w:id="20"/>
      <w:r/>
      <w:bookmarkEnd w:id="21"/>
      <w:r/>
      <w:bookmarkEnd w:id="28"/>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amount of the contract depends on the prices offered by the selected candidate.</w:t>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29" w:name="_Toc207098239"/>
      <w:r>
        <w:rPr>
          <w:rFonts w:asciiTheme="minorHAnsi" w:hAnsiTheme="minorHAnsi" w:cstheme="minorHAnsi"/>
          <w:sz w:val="22"/>
          <w:szCs w:val="22"/>
          <w:u w:val="single"/>
          <w:lang w:val="en"/>
        </w:rPr>
        <w:t xml:space="preserve">Term of the contract</w:t>
      </w:r>
      <w:bookmarkEnd w:id="29"/>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w:t>
      </w:r>
      <w:bookmarkStart w:id="30" w:name="_GoBack"/>
      <w:r/>
      <w:bookmarkEnd w:id="30"/>
      <w:r>
        <w:rPr>
          <w:rFonts w:asciiTheme="minorHAnsi" w:hAnsiTheme="minorHAnsi" w:cstheme="minorHAnsi"/>
          <w:sz w:val="22"/>
          <w:szCs w:val="22"/>
          <w:lang w:val="en"/>
        </w:rPr>
        <w:t xml:space="preserve">term of the contract is 2 mont</w:t>
      </w:r>
      <w:r>
        <w:rPr>
          <w:rFonts w:asciiTheme="minorHAnsi" w:hAnsiTheme="minorHAnsi" w:cstheme="minorHAnsi"/>
          <w:sz w:val="22"/>
          <w:szCs w:val="22"/>
          <w:lang w:val="en"/>
        </w:rPr>
        <w:t xml:space="preserve">hs from its award date. For illustrative purposes only, the anticipated award date is 29/09/2025.</w:t>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31" w:name="_Toc207098240"/>
      <w:r>
        <w:rPr>
          <w:rFonts w:asciiTheme="minorHAnsi" w:hAnsiTheme="minorHAnsi" w:cstheme="minorHAnsi"/>
          <w:sz w:val="22"/>
          <w:szCs w:val="22"/>
          <w:u w:val="single"/>
          <w:lang w:val="en"/>
        </w:rPr>
        <w:t xml:space="preserve">Allotment</w:t>
      </w:r>
      <w:bookmarkEnd w:id="31"/>
      <w:r/>
      <w:r>
        <w:rPr>
          <w:rFonts w:asciiTheme="minorHAnsi" w:hAnsiTheme="minorHAnsi" w:cstheme="minorHAnsi"/>
          <w:sz w:val="22"/>
          <w:szCs w:val="22"/>
          <w:u w:val="single"/>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The tender is divided into 3 lots, broken down as follows:</w:t>
      </w:r>
      <w:r>
        <w:rPr>
          <w:rFonts w:asciiTheme="minorHAnsi" w:hAnsiTheme="minorHAnsi" w:cstheme="minorHAnsi"/>
          <w:sz w:val="22"/>
          <w:szCs w:val="22"/>
          <w:lang w:val="en-GB"/>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1 - Supply of vehicle for Ichnia Hromada</w:t>
      </w:r>
      <w:r>
        <w:rPr>
          <w:rFonts w:eastAsia="Times New Roman" w:asciiTheme="minorHAnsi" w:hAnsiTheme="minorHAnsi" w:cstheme="minorHAnsi"/>
          <w:sz w:val="22"/>
          <w:szCs w:val="22"/>
          <w:lang w:val="en"/>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2 - Supply of vehicle for Semenivka Hromada</w:t>
      </w:r>
      <w:r>
        <w:rPr>
          <w:rFonts w:eastAsia="Times New Roman" w:asciiTheme="minorHAnsi" w:hAnsiTheme="minorHAnsi" w:cstheme="minorHAnsi"/>
          <w:sz w:val="22"/>
          <w:szCs w:val="22"/>
          <w:lang w:val="en"/>
        </w:rPr>
      </w:r>
    </w:p>
    <w:p>
      <w:pPr>
        <w:pStyle w:val="1280"/>
        <w:numPr>
          <w:ilvl w:val="0"/>
          <w:numId w:val="14"/>
        </w:numPr>
        <w:pBdr/>
        <w:spacing w:before="120" w:line="240" w:lineRule="auto"/>
        <w:ind/>
        <w:jc w:val="both"/>
        <w:rPr>
          <w:rFonts w:eastAsia="Times New Roman" w:asciiTheme="minorHAnsi" w:hAnsiTheme="minorHAnsi" w:cstheme="minorHAnsi"/>
          <w:sz w:val="22"/>
          <w:szCs w:val="22"/>
          <w:lang w:val="en"/>
        </w:rPr>
      </w:pPr>
      <w:r>
        <w:rPr>
          <w:rFonts w:eastAsia="Times New Roman" w:asciiTheme="minorHAnsi" w:hAnsiTheme="minorHAnsi" w:cstheme="minorHAnsi"/>
          <w:sz w:val="22"/>
          <w:szCs w:val="22"/>
          <w:lang w:val="en"/>
        </w:rPr>
        <w:t xml:space="preserve">LOT 3 - Supply of vehicle for Novhorod-Siverskyi Hromada </w:t>
      </w:r>
      <w:r>
        <w:rPr>
          <w:rFonts w:eastAsia="Times New Roman" w:asciiTheme="minorHAnsi" w:hAnsiTheme="minorHAnsi" w:cstheme="minorHAnsi"/>
          <w:sz w:val="22"/>
          <w:szCs w:val="22"/>
          <w:lang w:val="en"/>
        </w:rPr>
      </w:r>
    </w:p>
    <w:p>
      <w:pPr>
        <w:pBdr/>
        <w:spacing w:line="240" w:lineRule="auto"/>
        <w:ind w:left="720"/>
        <w:rPr>
          <w:rFonts w:asciiTheme="minorHAnsi" w:hAnsiTheme="minorHAnsi" w:cstheme="minorHAnsi"/>
          <w:sz w:val="22"/>
          <w:szCs w:val="22"/>
          <w:lang w:val="en"/>
        </w:rPr>
      </w:pPr>
      <w:r>
        <w:rPr>
          <w:rFonts w:asciiTheme="minorHAnsi" w:hAnsiTheme="minorHAnsi" w:cstheme="minorHAnsi"/>
          <w:sz w:val="22"/>
          <w:szCs w:val="22"/>
          <w:lang w:val="en"/>
        </w:rPr>
      </w:r>
      <w:r>
        <w:rPr>
          <w:rFonts w:asciiTheme="minorHAnsi" w:hAnsiTheme="minorHAnsi" w:cstheme="minorHAnsi"/>
          <w:sz w:val="22"/>
          <w:szCs w:val="22"/>
          <w:lang w:val="en"/>
        </w:rPr>
      </w:r>
    </w:p>
    <w:p>
      <w:pPr>
        <w:pBdr/>
        <w:spacing w:line="240" w:lineRule="auto"/>
        <w:ind/>
        <w:jc w:val="both"/>
        <w:rPr>
          <w:rFonts w:asciiTheme="minorHAnsi" w:hAnsiTheme="minorHAnsi" w:cstheme="minorHAnsi"/>
          <w:b/>
          <w:bCs/>
          <w:sz w:val="22"/>
          <w:szCs w:val="22"/>
        </w:rPr>
      </w:pPr>
      <w:r>
        <w:rPr>
          <w:rFonts w:asciiTheme="minorHAnsi" w:hAnsiTheme="minorHAnsi" w:cstheme="minorHAnsi"/>
          <w:b/>
          <w:bCs/>
          <w:sz w:val="22"/>
          <w:szCs w:val="22"/>
          <w:lang w:val="en"/>
        </w:rPr>
        <w:t xml:space="preserve">Candidates must submit a separate bid for each Lot</w:t>
      </w:r>
      <w:bookmarkStart w:id="32" w:name="_Toc417653425"/>
      <w:r/>
      <w:bookmarkStart w:id="33" w:name="_Toc419212441"/>
      <w:r/>
      <w:bookmarkStart w:id="34" w:name="_Toc443657775"/>
      <w:r/>
      <w:bookmarkStart w:id="35" w:name="_Toc446628694"/>
      <w:r/>
      <w:bookmarkEnd w:id="22"/>
      <w:r/>
      <w:bookmarkEnd w:id="23"/>
      <w:r/>
      <w:bookmarkEnd w:id="24"/>
      <w:r/>
      <w:bookmarkEnd w:id="25"/>
      <w:r/>
      <w:bookmarkEnd w:id="26"/>
      <w:r>
        <w:rPr>
          <w:rFonts w:asciiTheme="minorHAnsi" w:hAnsiTheme="minorHAnsi" w:cstheme="minorHAnsi"/>
          <w:b/>
          <w:bCs/>
          <w:sz w:val="22"/>
          <w:szCs w:val="22"/>
          <w:lang w:val="en"/>
        </w:rPr>
        <w:t xml:space="preserve">. Candidates can submit for one, two, or all of the lots.</w:t>
      </w:r>
      <w:r>
        <w:rPr>
          <w:rFonts w:asciiTheme="minorHAnsi" w:hAnsiTheme="minorHAnsi" w:cstheme="minorHAnsi"/>
          <w:b/>
          <w:bCs/>
          <w:sz w:val="22"/>
          <w:szCs w:val="22"/>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36" w:name="_Toc207098241"/>
      <w:r>
        <w:rPr>
          <w:rFonts w:asciiTheme="minorHAnsi" w:hAnsiTheme="minorHAnsi"/>
          <w:sz w:val="22"/>
          <w:szCs w:val="22"/>
          <w:u w:val="single"/>
          <w:lang w:val="en"/>
        </w:rPr>
        <w:t xml:space="preserve">Options</w:t>
      </w:r>
      <w:bookmarkEnd w:id="36"/>
      <w:r/>
      <w:r>
        <w:rPr>
          <w:rFonts w:asciiTheme="minorHAnsi" w:hAnsiTheme="minorHAnsi" w:cstheme="minorHAnsi"/>
          <w:sz w:val="22"/>
          <w:szCs w:val="22"/>
          <w:u w:val="single"/>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37" w:name="_Toc207098242"/>
      <w:r>
        <w:rPr>
          <w:rFonts w:asciiTheme="minorHAnsi" w:hAnsiTheme="minorHAnsi" w:cstheme="minorHAnsi"/>
          <w:i/>
          <w:iCs/>
          <w:sz w:val="22"/>
          <w:szCs w:val="22"/>
          <w:lang w:val="en"/>
        </w:rPr>
        <w:t xml:space="preserve">Similar services</w:t>
      </w:r>
      <w:bookmarkEnd w:id="37"/>
      <w:r/>
      <w:r>
        <w:rPr>
          <w:rFonts w:asciiTheme="minorHAnsi" w:hAnsiTheme="minorHAnsi" w:cstheme="minorHAnsi"/>
          <w:i/>
          <w:sz w:val="22"/>
          <w:szCs w:val="22"/>
          <w:lang w:val="en-GB"/>
        </w:rPr>
      </w:r>
    </w:p>
    <w:p>
      <w:pPr>
        <w:pBdr/>
        <w:spacing/>
        <w:ind/>
        <w:jc w:val="both"/>
        <w:rPr>
          <w:rFonts w:asciiTheme="minorHAnsi" w:hAnsiTheme="minorHAnsi" w:cstheme="minorHAnsi"/>
          <w:bCs/>
          <w:iCs/>
          <w:sz w:val="22"/>
          <w:szCs w:val="22"/>
          <w:lang w:val="en-GB"/>
        </w:rPr>
      </w:pPr>
      <w:r>
        <w:rPr>
          <w:rFonts w:asciiTheme="minorHAnsi" w:hAnsiTheme="minorHAnsi"/>
          <w:sz w:val="22"/>
          <w:szCs w:val="22"/>
          <w:lang w:val="en"/>
        </w:rPr>
        <w:t xml:space="preserve">Under Article R.2122-7 of the French Public Procurement Code, in the context of a negotiated procedure without competitive bidding, the contractor may be awarded similar services to those of the initial contract. The period during which such contracts may </w:t>
      </w:r>
      <w:r>
        <w:rPr>
          <w:rFonts w:asciiTheme="minorHAnsi" w:hAnsiTheme="minorHAnsi"/>
          <w:sz w:val="22"/>
          <w:szCs w:val="22"/>
          <w:lang w:val="en"/>
        </w:rPr>
        <w:t xml:space="preserve">be entered into may not exceed three years from the award date of the initial contract.</w:t>
      </w:r>
      <w:r>
        <w:rPr>
          <w:rFonts w:asciiTheme="minorHAnsi" w:hAnsiTheme="minorHAnsi" w:cstheme="minorHAnsi"/>
          <w:bCs/>
          <w:iCs/>
          <w:sz w:val="22"/>
          <w:szCs w:val="22"/>
          <w:lang w:val="en-GB"/>
        </w:rPr>
      </w:r>
    </w:p>
    <w:p>
      <w:pPr>
        <w:pStyle w:val="1254"/>
        <w:widowControl w:val="false"/>
        <w:pBdr/>
        <w:spacing/>
        <w:ind w:firstLine="0" w:left="0"/>
        <w:rPr>
          <w:rFonts w:asciiTheme="minorHAnsi" w:hAnsiTheme="minorHAnsi" w:cstheme="minorHAnsi"/>
          <w:szCs w:val="22"/>
          <w:lang w:val="en-GB"/>
        </w:rPr>
      </w:pPr>
      <w:r/>
      <w:bookmarkStart w:id="38" w:name="_Toc491193961"/>
      <w:r/>
      <w:bookmarkEnd w:id="38"/>
      <w:r/>
      <w:r>
        <w:rPr>
          <w:rFonts w:asciiTheme="minorHAnsi" w:hAnsiTheme="minorHAnsi" w:cstheme="minorHAnsi"/>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39" w:name="_Toc207098243"/>
      <w:r>
        <w:rPr>
          <w:rFonts w:asciiTheme="minorHAnsi" w:hAnsiTheme="minorHAnsi" w:cstheme="minorHAnsi"/>
          <w:i/>
          <w:iCs/>
          <w:sz w:val="22"/>
          <w:szCs w:val="22"/>
          <w:lang w:val="en"/>
        </w:rPr>
        <w:t xml:space="preserve">Optional tranches</w:t>
      </w:r>
      <w:bookmarkEnd w:id="39"/>
      <w:r/>
      <w:r>
        <w:rPr>
          <w:rFonts w:asciiTheme="minorHAnsi" w:hAnsiTheme="minorHAnsi" w:cstheme="minorHAnsi"/>
          <w:i/>
          <w:sz w:val="22"/>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
        </w:rPr>
        <w:t xml:space="preserve">The contract does not contain any optional tranches.</w:t>
      </w:r>
      <w:r>
        <w:rPr>
          <w:rFonts w:asciiTheme="minorHAnsi" w:hAnsiTheme="minorHAnsi" w:cstheme="minorHAnsi"/>
          <w:sz w:val="22"/>
          <w:szCs w:val="22"/>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40" w:name="_Toc207098244"/>
      <w:r/>
      <w:bookmarkEnd w:id="32"/>
      <w:r/>
      <w:bookmarkEnd w:id="33"/>
      <w:r/>
      <w:bookmarkEnd w:id="34"/>
      <w:r/>
      <w:bookmarkEnd w:id="35"/>
      <w:r>
        <w:rPr>
          <w:rFonts w:asciiTheme="minorHAnsi" w:hAnsiTheme="minorHAnsi" w:cstheme="minorHAnsi"/>
          <w:b/>
          <w:bCs/>
          <w:caps/>
          <w:sz w:val="28"/>
          <w:szCs w:val="22"/>
          <w:u w:val="single"/>
          <w:lang w:val="en"/>
        </w:rPr>
        <w:t xml:space="preserve">Candidate participation conditions</w:t>
      </w:r>
      <w:bookmarkEnd w:id="40"/>
      <w:r/>
      <w:r>
        <w:rPr>
          <w:rFonts w:asciiTheme="minorHAnsi" w:hAnsiTheme="minorHAnsi" w:cstheme="minorHAnsi"/>
          <w:b/>
          <w:caps/>
          <w:sz w:val="28"/>
          <w:szCs w:val="22"/>
          <w:u w:val="single"/>
        </w:rPr>
      </w:r>
    </w:p>
    <w:p>
      <w:pPr>
        <w:pStyle w:val="997"/>
        <w:pBdr/>
        <w:spacing w:after="120" w:before="120" w:line="240" w:lineRule="auto"/>
        <w:ind/>
        <w:jc w:val="both"/>
        <w:rPr>
          <w:rFonts w:asciiTheme="minorHAnsi" w:hAnsiTheme="minorHAnsi" w:cstheme="minorHAnsi"/>
          <w:sz w:val="22"/>
          <w:szCs w:val="22"/>
          <w:u w:val="single"/>
        </w:rPr>
      </w:pPr>
      <w:r/>
      <w:bookmarkStart w:id="41" w:name="_Toc207098245"/>
      <w:r>
        <w:rPr>
          <w:rFonts w:asciiTheme="minorHAnsi" w:hAnsiTheme="minorHAnsi" w:cstheme="minorHAnsi"/>
          <w:sz w:val="22"/>
          <w:szCs w:val="22"/>
          <w:u w:val="single"/>
          <w:lang w:val="en"/>
        </w:rPr>
        <w:t xml:space="preserve">Candidate presentation conditions</w:t>
      </w:r>
      <w:bookmarkEnd w:id="41"/>
      <w:r/>
      <w:r>
        <w:rPr>
          <w:rFonts w:asciiTheme="minorHAnsi" w:hAnsiTheme="minorHAnsi" w:cstheme="minorHAnsi"/>
          <w:sz w:val="22"/>
          <w:szCs w:val="22"/>
          <w:u w:val="single"/>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single entity may not represent more than one candidate for any given tender (Article R. 2142-4 of the French Public Procurement Code). In the context of this tender, however, the contracting authority does not authorise the candidate to present multiple</w:t>
      </w:r>
      <w:r>
        <w:rPr>
          <w:rFonts w:asciiTheme="minorHAnsi" w:hAnsiTheme="minorHAnsi" w:cstheme="minorHAnsi"/>
          <w:sz w:val="22"/>
          <w:szCs w:val="22"/>
          <w:lang w:val="en"/>
        </w:rPr>
        <w:t xml:space="preserve"> offers when acting at the same time as:</w:t>
      </w:r>
      <w:r>
        <w:rPr>
          <w:rFonts w:asciiTheme="minorHAnsi" w:hAnsiTheme="minorHAnsi" w:cstheme="minorHAnsi"/>
          <w:bCs/>
          <w:iCs/>
          <w:sz w:val="22"/>
          <w:szCs w:val="22"/>
          <w:lang w:val="en-GB"/>
        </w:rPr>
      </w:r>
    </w:p>
    <w:p>
      <w:pPr>
        <w:pStyle w:val="1304"/>
        <w:numPr>
          <w:ilvl w:val="0"/>
          <w:numId w:val="10"/>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an individual candidate and member of one or more consortia of economic operators;</w:t>
      </w:r>
      <w:r>
        <w:rPr>
          <w:rFonts w:asciiTheme="minorHAnsi" w:hAnsiTheme="minorHAnsi" w:cstheme="minorHAnsi"/>
          <w:bCs/>
          <w:iCs/>
          <w:sz w:val="22"/>
          <w:szCs w:val="22"/>
          <w:lang w:val="en-GB"/>
        </w:rPr>
      </w:r>
    </w:p>
    <w:p>
      <w:pPr>
        <w:pStyle w:val="1304"/>
        <w:numPr>
          <w:ilvl w:val="0"/>
          <w:numId w:val="10"/>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a member of multiple consortia of economic operators.</w:t>
      </w:r>
      <w:r>
        <w:rPr>
          <w:rFonts w:asciiTheme="minorHAnsi" w:hAnsiTheme="minorHAnsi" w:cstheme="minorHAnsi"/>
          <w:bCs/>
          <w:iCs/>
          <w:sz w:val="22"/>
          <w:szCs w:val="22"/>
          <w:lang w:val="en-GB"/>
        </w:rPr>
      </w:r>
    </w:p>
    <w:p>
      <w:pPr>
        <w:pStyle w:val="1304"/>
        <w:pBdr/>
        <w:spacing/>
        <w:ind w:left="1066"/>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304"/>
        <w:pBdr/>
        <w:spacing/>
        <w:ind/>
        <w:rPr>
          <w:rFonts w:eastAsia="Times" w:asciiTheme="minorHAnsi" w:hAnsiTheme="minorHAnsi" w:cstheme="minorHAnsi"/>
          <w:bCs/>
          <w:iCs/>
          <w:sz w:val="22"/>
          <w:szCs w:val="22"/>
          <w:lang w:val="en-GB"/>
        </w:rPr>
      </w:pPr>
      <w:r>
        <w:rPr>
          <w:rFonts w:asciiTheme="minorHAnsi" w:hAnsiTheme="minorHAnsi" w:cstheme="minorHAnsi"/>
          <w:sz w:val="22"/>
          <w:szCs w:val="22"/>
          <w:lang w:val="en"/>
        </w:rPr>
        <w:t xml:space="preserve">In the event of an application being ma</w:t>
      </w:r>
      <w:r>
        <w:rPr>
          <w:rFonts w:asciiTheme="minorHAnsi" w:hAnsiTheme="minorHAnsi" w:cstheme="minorHAnsi"/>
          <w:sz w:val="22"/>
          <w:szCs w:val="22"/>
          <w:lang w:val="en"/>
        </w:rPr>
        <w:t xml:space="preserve">de by a consortium of economic operators, each member of the consortium must provide all the documents and information certifying their legal, professional, technical and financial capacity. The consortium's capacities will be assessed on an overall basis.</w:t>
      </w:r>
      <w:r>
        <w:rPr>
          <w:rFonts w:eastAsia="Times" w:asciiTheme="minorHAnsi" w:hAnsiTheme="minorHAnsi" w:cstheme="minorHAnsi"/>
          <w:bCs/>
          <w:iCs/>
          <w:sz w:val="22"/>
          <w:szCs w:val="22"/>
          <w:lang w:val="en-GB"/>
        </w:rPr>
      </w:r>
    </w:p>
    <w:p>
      <w:pPr>
        <w:pStyle w:val="1304"/>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42" w:name="_Toc207098246"/>
      <w:r>
        <w:rPr>
          <w:rFonts w:asciiTheme="minorHAnsi" w:hAnsiTheme="minorHAnsi" w:cstheme="minorHAnsi"/>
          <w:sz w:val="22"/>
          <w:szCs w:val="22"/>
          <w:u w:val="single"/>
          <w:lang w:val="en"/>
        </w:rPr>
        <w:t xml:space="preserve">Grounds and conditions of exclusion</w:t>
      </w:r>
      <w:bookmarkEnd w:id="42"/>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r>
        <w:rPr>
          <w:rFonts w:asciiTheme="minorHAnsi" w:hAnsiTheme="minorHAnsi" w:cstheme="minorHAnsi"/>
          <w:bCs/>
          <w:iCs/>
          <w:sz w:val="22"/>
          <w:szCs w:val="22"/>
          <w:lang w:val="en-GB"/>
        </w:rPr>
      </w:r>
    </w:p>
    <w:p>
      <w:pPr>
        <w:pStyle w:val="1304"/>
        <w:numPr>
          <w:ilvl w:val="0"/>
          <w:numId w:val="11"/>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French Law no. 2016-1691 of 9 December 2016 on transparency, anti-corruption and modernisation of the economy, the so-called “Sapin 2” law;</w:t>
      </w:r>
      <w:r>
        <w:rPr>
          <w:rFonts w:asciiTheme="minorHAnsi" w:hAnsiTheme="minorHAnsi" w:cstheme="minorHAnsi"/>
          <w:bCs/>
          <w:iCs/>
          <w:sz w:val="22"/>
          <w:szCs w:val="22"/>
          <w:lang w:val="en-GB"/>
        </w:rPr>
      </w:r>
    </w:p>
    <w:p>
      <w:pPr>
        <w:pStyle w:val="1304"/>
        <w:numPr>
          <w:ilvl w:val="0"/>
          <w:numId w:val="11"/>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Chapter II of the French Monetary and Financial Code setting out provisions for the freezing of assets and the prohibition of making funds available (notably Article L. 562-4 and Article L. 562-5);</w:t>
      </w:r>
      <w:r>
        <w:rPr>
          <w:rFonts w:asciiTheme="minorHAnsi" w:hAnsiTheme="minorHAnsi" w:cstheme="minorHAnsi"/>
          <w:bCs/>
          <w:iCs/>
          <w:sz w:val="22"/>
          <w:szCs w:val="22"/>
          <w:lang w:val="en-GB"/>
        </w:rPr>
      </w:r>
    </w:p>
    <w:p>
      <w:pPr>
        <w:pStyle w:val="1304"/>
        <w:numPr>
          <w:ilvl w:val="0"/>
          <w:numId w:val="11"/>
        </w:numPr>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Relevant requirements emanating from accreditation for man</w:t>
      </w:r>
      <w:r>
        <w:rPr>
          <w:rFonts w:asciiTheme="minorHAnsi" w:hAnsiTheme="minorHAnsi" w:cstheme="minorHAnsi"/>
          <w:sz w:val="22"/>
          <w:szCs w:val="22"/>
          <w:lang w:val="en"/>
        </w:rPr>
        <w:t xml:space="preserve">aging delegated EU funds (Pillar 7 relating to exclusion from accessing financing);</w:t>
      </w:r>
      <w:r>
        <w:rPr>
          <w:rFonts w:asciiTheme="minorHAnsi" w:hAnsiTheme="minorHAnsi" w:cstheme="minorHAnsi"/>
          <w:bCs/>
          <w:iCs/>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304"/>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eastAsia="Times" w:asciiTheme="minorHAnsi" w:hAnsiTheme="minorHAnsi" w:cstheme="minorHAnsi"/>
          <w:sz w:val="22"/>
          <w:szCs w:val="22"/>
          <w:lang w:val="en"/>
        </w:rPr>
        <w:t xml:space="preserve">Candidates or their representative in any of the situations set out in Articles L.2141-1 to L.2141-10 of the French Public Procurement Code, or which are on any official e</w:t>
      </w:r>
      <w:r>
        <w:rPr>
          <w:rFonts w:eastAsia="Times" w:asciiTheme="minorHAnsi" w:hAnsiTheme="minorHAnsi" w:cstheme="minorHAnsi"/>
          <w:sz w:val="22"/>
          <w:szCs w:val="22"/>
          <w:lang w:val="en"/>
        </w:rPr>
        <w:t xml:space="preserve">xclusion list, shall be excluded from the procedure, whether their situation is established by means of their own declarations or through the application of vigilance measures by the contracting authority.</w:t>
      </w:r>
      <w:r>
        <w:rPr>
          <w:rFonts w:asciiTheme="minorHAnsi" w:hAnsiTheme="minorHAnsi" w:cstheme="minorHAnsi"/>
          <w:bCs/>
          <w:iCs/>
          <w:sz w:val="22"/>
          <w:szCs w:val="22"/>
          <w:lang w:val="en-GB"/>
        </w:rPr>
      </w:r>
    </w:p>
    <w:p>
      <w:pPr>
        <w:pStyle w:val="1304"/>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304"/>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However, where the exclusion decision is at the d</w:t>
      </w:r>
      <w:r>
        <w:rPr>
          <w:rFonts w:asciiTheme="minorHAnsi" w:hAnsiTheme="minorHAnsi" w:cstheme="minorHAnsi"/>
          <w:sz w:val="22"/>
          <w:szCs w:val="22"/>
          <w:lang w:val="en"/>
        </w:rPr>
        <w:t xml:space="preserve">iscretion of the contracting authority, it shall invite the candidate(s) liable to exclusion to present their observations in order to establish, via all means and within a reasonable period not exceeding 10 days, that the measures required to rectify the </w:t>
      </w:r>
      <w:r>
        <w:rPr>
          <w:rFonts w:asciiTheme="minorHAnsi" w:hAnsiTheme="minorHAnsi" w:cstheme="minorHAnsi"/>
          <w:sz w:val="22"/>
          <w:szCs w:val="22"/>
          <w:lang w:val="en"/>
        </w:rPr>
        <w:t xml:space="preserve">failings laying behind exclusion have been taken and, as applicable, that their participation in the tender will not undermine equality of treatment among the bidders.</w:t>
      </w:r>
      <w:r>
        <w:rPr>
          <w:rFonts w:asciiTheme="minorHAnsi" w:hAnsiTheme="minorHAnsi" w:cstheme="minorHAnsi"/>
          <w:bCs/>
          <w:iCs/>
          <w:sz w:val="22"/>
          <w:szCs w:val="22"/>
          <w:lang w:val="en-GB"/>
        </w:rPr>
      </w:r>
    </w:p>
    <w:p>
      <w:pPr>
        <w:pStyle w:val="1304"/>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1304"/>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val="en-GB"/>
        </w:rPr>
      </w:pPr>
      <w:r>
        <w:rPr>
          <w:rFonts w:eastAsia="Times" w:asciiTheme="minorHAnsi" w:hAnsiTheme="minorHAnsi" w:cstheme="minorHAnsi"/>
          <w:sz w:val="22"/>
          <w:szCs w:val="22"/>
          <w:lang w:val="en"/>
        </w:rPr>
        <w:t xml:space="preserve">Where an operator finds itself to be in a position of exclusion during the procedure, i</w:t>
      </w:r>
      <w:r>
        <w:rPr>
          <w:rFonts w:eastAsia="Times" w:asciiTheme="minorHAnsi" w:hAnsiTheme="minorHAnsi" w:cstheme="minorHAnsi"/>
          <w:sz w:val="22"/>
          <w:szCs w:val="22"/>
          <w:lang w:val="en"/>
        </w:rPr>
        <w:t xml:space="preserve">t shall notify the contracting authority without delay, which shall apply exclusion on these grounds.</w:t>
      </w:r>
      <w:r>
        <w:rPr>
          <w:rFonts w:eastAsia="Times" w:asciiTheme="minorHAnsi" w:hAnsiTheme="minorHAnsi" w:cstheme="minorHAnsi"/>
          <w:bCs/>
          <w:iCs/>
          <w:sz w:val="22"/>
          <w:szCs w:val="22"/>
          <w:lang w:val="en-GB"/>
        </w:rPr>
      </w:r>
    </w:p>
    <w:p>
      <w:pPr>
        <w:pStyle w:val="1304"/>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43" w:name="_Toc207098247"/>
      <w:r>
        <w:rPr>
          <w:rFonts w:asciiTheme="minorHAnsi" w:hAnsiTheme="minorHAnsi"/>
          <w:sz w:val="22"/>
          <w:szCs w:val="22"/>
          <w:u w:val="single"/>
          <w:lang w:val="en"/>
        </w:rPr>
        <w:t xml:space="preserve">Minimum prerequisites in terms </w:t>
      </w:r>
      <w:r>
        <w:rPr>
          <w:u w:val="single"/>
          <w:lang w:val="en"/>
        </w:rPr>
        <w:t xml:space="preserve">of</w:t>
      </w:r>
      <w:r>
        <w:rPr>
          <w:rFonts w:asciiTheme="minorHAnsi" w:hAnsiTheme="minorHAnsi"/>
          <w:sz w:val="22"/>
          <w:szCs w:val="22"/>
          <w:u w:val="single"/>
          <w:lang w:val="en"/>
        </w:rPr>
        <w:t xml:space="preserve"> economic, technical and professional capacity</w:t>
      </w:r>
      <w:bookmarkEnd w:id="43"/>
      <w:r>
        <w:rPr>
          <w:rFonts w:asciiTheme="minorHAnsi" w:hAnsiTheme="minorHAnsi"/>
          <w:sz w:val="22"/>
          <w:szCs w:val="22"/>
          <w:u w:val="single"/>
          <w:lang w:val="en"/>
        </w:rPr>
        <w:t xml:space="preserve"> </w:t>
      </w:r>
      <w:r>
        <w:rPr>
          <w:rFonts w:asciiTheme="minorHAnsi" w:hAnsiTheme="minorHAnsi" w:cstheme="minorHAnsi"/>
          <w:sz w:val="22"/>
          <w:szCs w:val="22"/>
          <w:u w:val="single"/>
          <w:lang w:val="en-GB"/>
        </w:rPr>
      </w:r>
    </w:p>
    <w:p>
      <w:pPr>
        <w:pStyle w:val="1266"/>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imposes the following minimum capacity levels </w:t>
      </w:r>
      <w:r>
        <w:rPr>
          <w:rFonts w:asciiTheme="minorHAnsi" w:hAnsiTheme="minorHAnsi" w:cstheme="minorHAnsi"/>
          <w:sz w:val="22"/>
          <w:szCs w:val="22"/>
          <w:lang w:val="en"/>
        </w:rPr>
        <w:t xml:space="preserve">on candidates:</w:t>
      </w:r>
      <w:r>
        <w:rPr>
          <w:rFonts w:asciiTheme="minorHAnsi" w:hAnsiTheme="minorHAnsi" w:cstheme="minorHAnsi"/>
          <w:sz w:val="22"/>
          <w:szCs w:val="22"/>
          <w:lang w:val="en-GB"/>
        </w:rPr>
      </w:r>
    </w:p>
    <w:p>
      <w:pPr>
        <w:pStyle w:val="1266"/>
        <w:pBdr/>
        <w:spacing/>
        <w:ind/>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 The tenderer must be a legal entity.</w:t>
      </w:r>
      <w:r>
        <w:rPr>
          <w:rFonts w:asciiTheme="minorHAnsi" w:hAnsiTheme="minorHAnsi" w:cstheme="minorHAnsi"/>
          <w:sz w:val="22"/>
          <w:szCs w:val="22"/>
          <w:lang w:val="en-US"/>
        </w:rPr>
      </w:r>
    </w:p>
    <w:p>
      <w:pPr>
        <w:pStyle w:val="1266"/>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consortium member must provide all the documents required under these Rules. In order to demonstrate its professional, technical and financial capacity, the candidate may ask for due consideration</w:t>
      </w:r>
      <w:r>
        <w:rPr>
          <w:rFonts w:asciiTheme="minorHAnsi" w:hAnsiTheme="minorHAnsi" w:cstheme="minorHAnsi"/>
          <w:sz w:val="22"/>
          <w:szCs w:val="22"/>
          <w:lang w:val="en"/>
        </w:rPr>
        <w:t xml:space="preserve"> to be given to the professional, technical and financial capacity of one or more economic operators. In such cases, it must demonstrate the capacities of the other economic operator(s) from which it benefits for contract implementation.</w:t>
      </w:r>
      <w:r>
        <w:rPr>
          <w:rFonts w:asciiTheme="minorHAnsi" w:hAnsiTheme="minorHAnsi" w:cstheme="minorHAnsi"/>
          <w:sz w:val="22"/>
          <w:szCs w:val="22"/>
          <w:lang w:val="en-GB"/>
        </w:rPr>
      </w:r>
    </w:p>
    <w:p>
      <w:pPr>
        <w:pStyle w:val="1266"/>
        <w:pBdr/>
        <w:spacing/>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case of a t</w:t>
      </w:r>
      <w:r>
        <w:rPr>
          <w:rFonts w:asciiTheme="minorHAnsi" w:hAnsiTheme="minorHAnsi" w:cstheme="minorHAnsi"/>
          <w:sz w:val="22"/>
          <w:szCs w:val="22"/>
          <w:lang w:val="en"/>
        </w:rPr>
        <w:t xml:space="preserve">emporary consortium, the aforementioned participation conditions will be assessed on an overall basis; the application file must include authorisation of the lead company from its co-contractors, which may be issued via form DC1.</w:t>
      </w:r>
      <w:r>
        <w:rPr>
          <w:rFonts w:asciiTheme="minorHAnsi" w:hAnsiTheme="minorHAnsi" w:cstheme="minorHAnsi"/>
          <w:sz w:val="22"/>
          <w:szCs w:val="22"/>
          <w:lang w:val="en-GB"/>
        </w:rPr>
      </w:r>
    </w:p>
    <w:p>
      <w:pPr>
        <w:pStyle w:val="1304"/>
        <w:pBdr/>
        <w:spacing/>
        <w:ind/>
        <w:rPr>
          <w:rFonts w:eastAsia="Times" w:asciiTheme="minorHAnsi" w:hAnsiTheme="minorHAnsi" w:cstheme="minorHAnsi"/>
          <w:bCs/>
          <w:iCs/>
          <w:sz w:val="22"/>
          <w:szCs w:val="22"/>
          <w:lang w:val="en-GB"/>
        </w:rPr>
      </w:pPr>
      <w:r>
        <w:rPr>
          <w:rFonts w:eastAsia="Times" w:asciiTheme="minorHAnsi" w:hAnsiTheme="minorHAnsi" w:cstheme="minorHAnsi"/>
          <w:bCs/>
          <w:iCs/>
          <w:sz w:val="22"/>
          <w:szCs w:val="22"/>
          <w:lang w:val="en-GB"/>
        </w:rPr>
      </w:r>
      <w:r>
        <w:rPr>
          <w:rFonts w:eastAsia="Times" w:asciiTheme="minorHAnsi" w:hAnsiTheme="minorHAnsi" w:cstheme="minorHAnsi"/>
          <w:bCs/>
          <w:iCs/>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44" w:name="_Toc55543797"/>
      <w:r/>
      <w:bookmarkStart w:id="45" w:name="_Toc55543747"/>
      <w:r/>
      <w:bookmarkStart w:id="46" w:name="__RefHeading__47578_1391709442"/>
      <w:r/>
      <w:bookmarkStart w:id="47" w:name="_Toc207098248"/>
      <w:r>
        <w:rPr>
          <w:rFonts w:asciiTheme="minorHAnsi" w:hAnsiTheme="minorHAnsi" w:cstheme="minorHAnsi"/>
          <w:sz w:val="22"/>
          <w:szCs w:val="22"/>
          <w:u w:val="single"/>
          <w:lang w:val="en"/>
        </w:rPr>
        <w:t xml:space="preserve">Specific requirements for</w:t>
      </w:r>
      <w:r>
        <w:rPr>
          <w:rFonts w:asciiTheme="minorHAnsi" w:hAnsiTheme="minorHAnsi" w:cstheme="minorHAnsi"/>
          <w:sz w:val="22"/>
          <w:szCs w:val="22"/>
          <w:u w:val="single"/>
          <w:lang w:val="en"/>
        </w:rPr>
        <w:t xml:space="preserve"> consortia of economic operators</w:t>
      </w:r>
      <w:bookmarkEnd w:id="44"/>
      <w:r/>
      <w:bookmarkEnd w:id="45"/>
      <w:r/>
      <w:bookmarkEnd w:id="46"/>
      <w:r/>
      <w:bookmarkEnd w:id="47"/>
      <w:r/>
      <w:r>
        <w:rPr>
          <w:rFonts w:asciiTheme="minorHAnsi" w:hAnsiTheme="minorHAnsi" w:cstheme="minorHAnsi"/>
          <w:sz w:val="22"/>
          <w:szCs w:val="22"/>
          <w:u w:val="single"/>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48" w:name="_Toc55543798"/>
      <w:r/>
      <w:bookmarkStart w:id="49" w:name="_Toc207098249"/>
      <w:r>
        <w:rPr>
          <w:rFonts w:asciiTheme="minorHAnsi" w:hAnsiTheme="minorHAnsi" w:cstheme="minorHAnsi"/>
          <w:i/>
          <w:iCs/>
          <w:sz w:val="22"/>
          <w:szCs w:val="22"/>
          <w:lang w:val="en"/>
        </w:rPr>
        <w:t xml:space="preserve">Grounds for the exclusion of consortia</w:t>
      </w:r>
      <w:bookmarkEnd w:id="48"/>
      <w:r/>
      <w:bookmarkEnd w:id="49"/>
      <w:r/>
      <w:r>
        <w:rPr>
          <w:rFonts w:asciiTheme="minorHAnsi" w:hAnsiTheme="minorHAnsi" w:cstheme="minorHAnsi"/>
          <w:i/>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grounds for exclusion from the tender procedure concern one of the consortium m</w:t>
      </w:r>
      <w:r>
        <w:rPr>
          <w:rFonts w:asciiTheme="minorHAnsi" w:hAnsiTheme="minorHAnsi" w:cstheme="minorHAnsi"/>
          <w:sz w:val="22"/>
          <w:szCs w:val="22"/>
          <w:lang w:val="en"/>
        </w:rPr>
        <w:t xml:space="preserve">embers, the contracting authority shall demand its replacement by an entity not subject to the grounds for exclusion, to take place within 10 days of the lead company receiving said demand. Failing this, the consortium shall be excluded from the procedure;</w:t>
      </w:r>
      <w:r>
        <w:rPr>
          <w:rFonts w:asciiTheme="minorHAnsi" w:hAnsiTheme="minorHAnsi" w:cstheme="minorHAnsi"/>
          <w:bCs/>
          <w:iCs/>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bCs/>
          <w:iCs/>
          <w:sz w:val="22"/>
          <w:szCs w:val="22"/>
          <w:lang w:val="en-GB"/>
        </w:rPr>
      </w:r>
      <w:r>
        <w:rPr>
          <w:rFonts w:asciiTheme="minorHAnsi" w:hAnsiTheme="minorHAnsi" w:cstheme="minorHAnsi"/>
          <w:bCs/>
          <w:iCs/>
          <w:sz w:val="22"/>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50" w:name="_Toc55543800"/>
      <w:r/>
      <w:bookmarkStart w:id="51" w:name="_Toc207098250"/>
      <w:r>
        <w:rPr>
          <w:rFonts w:asciiTheme="minorHAnsi" w:hAnsiTheme="minorHAnsi" w:cstheme="minorHAnsi"/>
          <w:i/>
          <w:iCs/>
          <w:sz w:val="22"/>
          <w:szCs w:val="22"/>
          <w:lang w:val="en"/>
        </w:rPr>
        <w:t xml:space="preserve">Form of the consortium</w:t>
      </w:r>
      <w:bookmarkEnd w:id="50"/>
      <w:r/>
      <w:bookmarkEnd w:id="51"/>
      <w:r/>
      <w:r>
        <w:rPr>
          <w:rFonts w:asciiTheme="minorHAnsi" w:hAnsiTheme="minorHAnsi" w:cstheme="minorHAnsi"/>
          <w:i/>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consortium shall be jointly and severally liable.</w:t>
      </w:r>
      <w:r>
        <w:rPr>
          <w:rFonts w:asciiTheme="minorHAnsi" w:hAnsiTheme="minorHAnsi" w:cstheme="minorHAnsi"/>
          <w:bCs/>
          <w:iCs/>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The lead company is liable for execution of the contract by each of the consortium members with regard to </w:t>
      </w:r>
      <w:r>
        <w:rPr>
          <w:rFonts w:asciiTheme="minorHAnsi" w:hAnsiTheme="minorHAnsi" w:cstheme="minorHAnsi"/>
          <w:sz w:val="22"/>
          <w:szCs w:val="22"/>
          <w:lang w:val="en"/>
        </w:rPr>
        <w:t xml:space="preserve">their contractual obligations vis-à-vis Expertise France.</w:t>
      </w:r>
      <w:r>
        <w:rPr>
          <w:rFonts w:asciiTheme="minorHAnsi" w:hAnsiTheme="minorHAnsi" w:cstheme="minorHAnsi"/>
          <w:bCs/>
          <w:iCs/>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52" w:name="_Toc55543801"/>
      <w:r/>
      <w:bookmarkStart w:id="53" w:name="_Toc55543748"/>
      <w:r/>
      <w:bookmarkStart w:id="54" w:name="__RefHeading__47580_1391709442"/>
      <w:r/>
      <w:bookmarkStart w:id="55" w:name="_Toc207098251"/>
      <w:r>
        <w:rPr>
          <w:rFonts w:asciiTheme="minorHAnsi" w:hAnsiTheme="minorHAnsi" w:cstheme="minorHAnsi"/>
          <w:sz w:val="22"/>
          <w:szCs w:val="22"/>
          <w:u w:val="single"/>
          <w:lang w:val="en"/>
        </w:rPr>
        <w:t xml:space="preserve">Subcontracti</w:t>
      </w:r>
      <w:r>
        <w:rPr>
          <w:rFonts w:asciiTheme="minorHAnsi" w:hAnsiTheme="minorHAnsi" w:cstheme="minorHAnsi"/>
          <w:sz w:val="22"/>
          <w:szCs w:val="22"/>
          <w:u w:val="single"/>
          <w:lang w:val="en"/>
        </w:rPr>
        <w:t xml:space="preserve">ng</w:t>
      </w:r>
      <w:bookmarkEnd w:id="52"/>
      <w:r/>
      <w:bookmarkEnd w:id="53"/>
      <w:r/>
      <w:bookmarkEnd w:id="54"/>
      <w:r/>
      <w:bookmarkEnd w:id="55"/>
      <w:r/>
      <w:r>
        <w:rPr>
          <w:rFonts w:asciiTheme="minorHAnsi" w:hAnsiTheme="minorHAnsi" w:cstheme="minorHAnsi"/>
          <w:sz w:val="22"/>
          <w:szCs w:val="22"/>
          <w:u w:val="single"/>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56" w:name="_Toc55543802"/>
      <w:r/>
      <w:bookmarkStart w:id="57" w:name="_Toc207098252"/>
      <w:r>
        <w:rPr>
          <w:rFonts w:asciiTheme="minorHAnsi" w:hAnsiTheme="minorHAnsi" w:cstheme="minorHAnsi"/>
          <w:i/>
          <w:iCs/>
          <w:sz w:val="22"/>
          <w:szCs w:val="22"/>
          <w:lang w:val="en"/>
        </w:rPr>
        <w:t xml:space="preserve">Grounds for exclusion in the case of subcontracting</w:t>
      </w:r>
      <w:bookmarkEnd w:id="56"/>
      <w:r/>
      <w:bookmarkEnd w:id="57"/>
      <w:r/>
      <w:r>
        <w:rPr>
          <w:rFonts w:asciiTheme="minorHAnsi" w:hAnsiTheme="minorHAnsi" w:cstheme="minorHAnsi"/>
          <w:i/>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Entities subject to grounds for exclusion cannot be accepted as subcontractors.</w:t>
      </w:r>
      <w:r>
        <w:rPr>
          <w:rFonts w:asciiTheme="minorHAnsi" w:hAnsiTheme="minorHAnsi" w:cstheme="minorHAnsi"/>
          <w:bCs/>
          <w:iCs/>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subcontractor subject to grounds for exclusion is presented at the application phase, the contracting authority</w:t>
      </w:r>
      <w:r>
        <w:rPr>
          <w:rFonts w:asciiTheme="minorHAnsi" w:hAnsiTheme="minorHAnsi" w:cstheme="minorHAnsi"/>
          <w:sz w:val="22"/>
          <w:szCs w:val="22"/>
          <w:lang w:val="en"/>
        </w:rPr>
        <w:t xml:space="preserve"> shall demand its replacement by an entity not subject to the grounds for exclusion, to take place within 10 days of the candidate receiving said demand. Failing this, the candidate shall be excluded from the procedure.</w:t>
      </w:r>
      <w:r>
        <w:rPr>
          <w:rFonts w:asciiTheme="minorHAnsi" w:hAnsiTheme="minorHAnsi" w:cstheme="minorHAnsi"/>
          <w:bCs/>
          <w:iCs/>
          <w:sz w:val="22"/>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8" w:name="_Toc55543803"/>
      <w:r/>
      <w:bookmarkStart w:id="59" w:name="_Toc207098253"/>
      <w:r>
        <w:rPr>
          <w:rFonts w:asciiTheme="minorHAnsi" w:hAnsiTheme="minorHAnsi" w:cstheme="minorHAnsi"/>
          <w:i/>
          <w:iCs/>
          <w:sz w:val="22"/>
          <w:szCs w:val="22"/>
          <w:lang w:val="en"/>
        </w:rPr>
        <w:t xml:space="preserve">Presentation of a subcontractor</w:t>
      </w:r>
      <w:bookmarkEnd w:id="58"/>
      <w:r/>
      <w:bookmarkEnd w:id="59"/>
      <w:r/>
      <w:r>
        <w:rPr>
          <w:rFonts w:asciiTheme="minorHAnsi" w:hAnsiTheme="minorHAnsi" w:cstheme="minorHAnsi"/>
          <w:i/>
          <w:sz w:val="22"/>
          <w:szCs w:val="22"/>
          <w:lang w:val="en-GB"/>
        </w:rPr>
      </w:r>
    </w:p>
    <w:p>
      <w:pPr>
        <w:pStyle w:val="1304"/>
        <w:pBdr/>
        <w:spacing/>
        <w:ind/>
        <w:rPr>
          <w:rFonts w:asciiTheme="minorHAnsi" w:hAnsiTheme="minorHAnsi" w:cstheme="minorHAnsi"/>
          <w:bCs/>
          <w:iCs/>
          <w:sz w:val="22"/>
          <w:szCs w:val="22"/>
          <w:lang w:val="en-GB"/>
        </w:rPr>
      </w:pPr>
      <w:r>
        <w:rPr>
          <w:rFonts w:asciiTheme="minorHAnsi" w:hAnsiTheme="minorHAnsi" w:cstheme="minorHAnsi"/>
          <w:sz w:val="22"/>
          <w:szCs w:val="22"/>
          <w:lang w:val="en"/>
        </w:rPr>
        <w:t xml:space="preserve">Sub</w:t>
      </w:r>
      <w:r>
        <w:rPr>
          <w:rFonts w:asciiTheme="minorHAnsi" w:hAnsiTheme="minorHAnsi" w:cstheme="minorHAnsi"/>
          <w:sz w:val="22"/>
          <w:szCs w:val="22"/>
          <w:lang w:val="en"/>
        </w:rPr>
        <w:t xml:space="preserve">contractors are to be presented using form DC 4 (Subcontracting Declaration)</w:t>
      </w:r>
      <w:r>
        <w:rPr>
          <w:rStyle w:val="1279"/>
          <w:rFonts w:asciiTheme="minorHAnsi" w:hAnsiTheme="minorHAnsi" w:cstheme="minorHAnsi"/>
          <w:sz w:val="22"/>
          <w:szCs w:val="22"/>
          <w:lang w:val="en"/>
        </w:rPr>
        <w:footnoteReference w:id="2"/>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w:t>
      </w:r>
      <w:r>
        <w:rPr>
          <w:rFonts w:asciiTheme="minorHAnsi" w:hAnsiTheme="minorHAnsi" w:cstheme="minorHAnsi"/>
          <w:sz w:val="22"/>
          <w:szCs w:val="22"/>
          <w:lang w:val="en"/>
        </w:rPr>
        <w:t xml:space="preserve">laration that the subcontractor is not subject to any prohibition on participating in public procurement. </w:t>
      </w:r>
      <w:r>
        <w:rPr>
          <w:rFonts w:asciiTheme="minorHAnsi" w:hAnsiTheme="minorHAnsi" w:cstheme="minorHAnsi"/>
          <w:bCs/>
          <w:iCs/>
          <w:sz w:val="22"/>
          <w:szCs w:val="22"/>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60" w:name="_Toc63419888"/>
      <w:r/>
      <w:bookmarkStart w:id="61" w:name="_Toc56790441"/>
      <w:r/>
      <w:bookmarkStart w:id="62" w:name="_Toc56789984"/>
      <w:r/>
      <w:bookmarkStart w:id="63" w:name="_Toc56722965"/>
      <w:r/>
      <w:bookmarkStart w:id="64" w:name="_Toc207098254"/>
      <w:r/>
      <w:bookmarkEnd w:id="60"/>
      <w:r/>
      <w:bookmarkEnd w:id="61"/>
      <w:r/>
      <w:bookmarkEnd w:id="62"/>
      <w:r/>
      <w:bookmarkEnd w:id="63"/>
      <w:r>
        <w:rPr>
          <w:rFonts w:asciiTheme="minorHAnsi" w:hAnsiTheme="minorHAnsi" w:cstheme="minorHAnsi"/>
          <w:b/>
          <w:bCs/>
          <w:caps/>
          <w:sz w:val="28"/>
          <w:szCs w:val="22"/>
          <w:u w:val="single"/>
          <w:lang w:val="en"/>
        </w:rPr>
        <w:t xml:space="preserve">Presentation of bids and submission process</w:t>
      </w:r>
      <w:bookmarkEnd w:id="64"/>
      <w:r/>
      <w:r>
        <w:rPr>
          <w:rFonts w:asciiTheme="minorHAnsi" w:hAnsiTheme="minorHAnsi" w:cstheme="minorHAnsi"/>
          <w:b/>
          <w:caps/>
          <w:sz w:val="28"/>
          <w:szCs w:val="22"/>
          <w:u w:val="single"/>
          <w:lang w:val="en-GB"/>
        </w:rPr>
      </w:r>
    </w:p>
    <w:p>
      <w:pPr>
        <w:pStyle w:val="1254"/>
        <w:widowControl w:val="false"/>
        <w:pBdr/>
        <w:spacing/>
        <w:ind w:firstLine="0" w:left="0"/>
        <w:rPr>
          <w:rFonts w:asciiTheme="minorHAnsi" w:hAnsiTheme="minorHAnsi" w:cstheme="minorHAnsi"/>
          <w:szCs w:val="22"/>
          <w:lang w:val="en-GB"/>
        </w:rPr>
      </w:pPr>
      <w:r/>
      <w:bookmarkStart w:id="65" w:name="_Toc417653428"/>
      <w:r/>
      <w:bookmarkStart w:id="66" w:name="_Toc419212444"/>
      <w:r/>
      <w:bookmarkStart w:id="67" w:name="_Toc443657778"/>
      <w:r/>
      <w:bookmarkStart w:id="68" w:name="_Toc446628697"/>
      <w:r>
        <w:rPr>
          <w:rFonts w:asciiTheme="minorHAnsi" w:hAnsiTheme="minorHAnsi" w:cstheme="minorHAnsi"/>
          <w:szCs w:val="22"/>
          <w:lang w:val="en"/>
        </w:rPr>
        <w:t xml:space="preserve">Bidders must submit a complete bid incorporating the documents specified below. The requested documents must be signed by the bidder, the lead company of the temporary consortium or each of the members of the consortium.</w:t>
      </w:r>
      <w:r>
        <w:rPr>
          <w:rFonts w:asciiTheme="minorHAnsi" w:hAnsiTheme="minorHAnsi" w:cstheme="minorHAnsi"/>
          <w:szCs w:val="22"/>
          <w:lang w:val="en-GB"/>
        </w:rPr>
      </w:r>
    </w:p>
    <w:p>
      <w:pPr>
        <w:pStyle w:val="997"/>
        <w:pBdr/>
        <w:spacing w:after="120" w:before="120" w:line="240" w:lineRule="auto"/>
        <w:ind/>
        <w:jc w:val="both"/>
        <w:rPr>
          <w:rFonts w:asciiTheme="minorHAnsi" w:hAnsiTheme="minorHAnsi" w:cstheme="minorHAnsi"/>
          <w:sz w:val="22"/>
          <w:szCs w:val="22"/>
          <w:u w:val="single"/>
        </w:rPr>
      </w:pPr>
      <w:r/>
      <w:bookmarkStart w:id="69" w:name="_Toc455768072"/>
      <w:r/>
      <w:bookmarkStart w:id="70" w:name="_Toc455679215"/>
      <w:r/>
      <w:bookmarkStart w:id="71" w:name="_Toc455587889"/>
      <w:r/>
      <w:bookmarkStart w:id="72" w:name="_Toc452049149"/>
      <w:r/>
      <w:bookmarkStart w:id="73" w:name="_Toc207098255"/>
      <w:r/>
      <w:bookmarkEnd w:id="65"/>
      <w:r/>
      <w:bookmarkEnd w:id="66"/>
      <w:r/>
      <w:bookmarkEnd w:id="67"/>
      <w:r/>
      <w:bookmarkEnd w:id="68"/>
      <w:r>
        <w:rPr>
          <w:rFonts w:asciiTheme="minorHAnsi" w:hAnsiTheme="minorHAnsi" w:cstheme="minorHAnsi"/>
          <w:sz w:val="22"/>
          <w:szCs w:val="22"/>
          <w:u w:val="single"/>
          <w:lang w:val="en"/>
        </w:rPr>
        <w:t xml:space="preserve">Application documents</w:t>
      </w:r>
      <w:bookmarkEnd w:id="69"/>
      <w:r/>
      <w:bookmarkEnd w:id="70"/>
      <w:r/>
      <w:bookmarkEnd w:id="71"/>
      <w:r/>
      <w:bookmarkEnd w:id="72"/>
      <w:r/>
      <w:bookmarkEnd w:id="73"/>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lang w:val="en"/>
        </w:rPr>
        <w:t xml:space="preserve">Candidates mu</w:t>
      </w:r>
      <w:r>
        <w:rPr>
          <w:rFonts w:asciiTheme="minorHAnsi" w:hAnsiTheme="minorHAnsi" w:cstheme="minorHAnsi"/>
          <w:sz w:val="22"/>
          <w:szCs w:val="22"/>
          <w:lang w:val="en"/>
        </w:rPr>
        <w:t xml:space="preserve">st submit the following application documents:</w:t>
      </w:r>
      <w:r>
        <w:rPr>
          <w:rFonts w:asciiTheme="minorHAnsi" w:hAnsiTheme="minorHAnsi" w:cstheme="minorHAnsi"/>
          <w:sz w:val="22"/>
          <w:szCs w:val="22"/>
        </w:rPr>
      </w:r>
    </w:p>
    <w:p>
      <w:pPr>
        <w:numPr>
          <w:ilvl w:val="0"/>
          <w:numId w:val="15"/>
        </w:numPr>
        <w:pBdr>
          <w:top w:val="none" w:color="000000" w:sz="0" w:space="0"/>
          <w:left w:val="none" w:color="000000" w:sz="0" w:space="0"/>
          <w:bottom w:val="none" w:color="000000" w:sz="0" w:space="0"/>
          <w:right w:val="none" w:color="000000" w:sz="0" w:space="0"/>
          <w:between w:val="none" w:color="000000" w:sz="0" w:space="0"/>
        </w:pBdr>
        <w:spacing w:line="240" w:lineRule="auto"/>
        <w:ind w:hanging="294"/>
        <w:jc w:val="both"/>
        <w:rPr>
          <w:color w:val="000000"/>
          <w:sz w:val="22"/>
          <w:szCs w:val="22"/>
        </w:rPr>
      </w:pPr>
      <w:r>
        <w:rPr>
          <w:rFonts w:ascii="Calibri" w:hAnsi="Calibri" w:eastAsia="Calibri" w:cs="Calibri"/>
          <w:color w:val="000000"/>
          <w:sz w:val="22"/>
          <w:szCs w:val="22"/>
        </w:rPr>
        <w:t xml:space="preserve">Proof of registration at the trade and companies registry (“k-bis” or equivalent);</w:t>
      </w:r>
      <w:r>
        <w:rPr>
          <w:color w:val="000000"/>
          <w:sz w:val="22"/>
          <w:szCs w:val="22"/>
        </w:rPr>
      </w:r>
    </w:p>
    <w:p>
      <w:pPr>
        <w:numPr>
          <w:ilvl w:val="0"/>
          <w:numId w:val="15"/>
        </w:numPr>
        <w:pBdr>
          <w:top w:val="none" w:color="000000" w:sz="0" w:space="0"/>
          <w:left w:val="none" w:color="000000" w:sz="0" w:space="0"/>
          <w:bottom w:val="none" w:color="000000" w:sz="0" w:space="0"/>
          <w:right w:val="none" w:color="000000" w:sz="0" w:space="0"/>
          <w:between w:val="none" w:color="000000" w:sz="0" w:space="0"/>
        </w:pBdr>
        <w:spacing w:line="240" w:lineRule="auto"/>
        <w:ind w:hanging="294"/>
        <w:jc w:val="both"/>
        <w:rPr>
          <w:color w:val="000000"/>
          <w:sz w:val="22"/>
          <w:szCs w:val="22"/>
        </w:rPr>
      </w:pPr>
      <w:r>
        <w:rPr>
          <w:rFonts w:ascii="Calibri" w:hAnsi="Calibri" w:eastAsia="Calibri" w:cs="Calibri"/>
          <w:color w:val="000000"/>
          <w:sz w:val="22"/>
          <w:szCs w:val="22"/>
        </w:rPr>
        <w:t xml:space="preserve">The attached </w:t>
      </w:r>
      <w:r>
        <w:rPr>
          <w:rFonts w:ascii="Calibri" w:hAnsi="Calibri" w:eastAsia="Calibri" w:cs="Calibri"/>
          <w:sz w:val="22"/>
          <w:szCs w:val="22"/>
        </w:rPr>
        <w:t xml:space="preserve">expression of interest </w:t>
      </w:r>
      <w:r>
        <w:rPr>
          <w:rFonts w:ascii="Calibri" w:hAnsi="Calibri" w:eastAsia="Calibri" w:cs="Calibri"/>
          <w:color w:val="000000"/>
          <w:sz w:val="22"/>
          <w:szCs w:val="22"/>
        </w:rPr>
        <w:t xml:space="preserve">form;</w:t>
      </w:r>
      <w:r>
        <w:rPr>
          <w:color w:val="000000"/>
          <w:sz w:val="22"/>
          <w:szCs w:val="22"/>
        </w:rPr>
      </w:r>
    </w:p>
    <w:p>
      <w:pPr>
        <w:pBdr>
          <w:top w:val="none" w:color="000000" w:sz="0" w:space="0"/>
          <w:left w:val="none" w:color="000000" w:sz="0" w:space="0"/>
          <w:bottom w:val="none" w:color="000000" w:sz="0" w:space="0"/>
          <w:right w:val="none" w:color="000000" w:sz="0" w:space="0"/>
          <w:between w:val="none" w:color="000000" w:sz="0" w:space="0"/>
        </w:pBdr>
        <w:spacing/>
        <w:ind w:hanging="283" w:left="709"/>
        <w:jc w:val="both"/>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color w:val="000000"/>
          <w:sz w:val="22"/>
          <w:szCs w:val="22"/>
        </w:rPr>
        <w:tab/>
        <w:t xml:space="preserve">The safety evalua</w:t>
      </w:r>
      <w:r>
        <w:rPr>
          <w:rFonts w:ascii="Calibri" w:hAnsi="Calibri" w:eastAsia="Calibri" w:cs="Calibri"/>
          <w:color w:val="000000"/>
          <w:sz w:val="22"/>
          <w:szCs w:val="22"/>
        </w:rPr>
        <w:t xml:space="preserve">tion questionnaire, for any contract whose execution implies the movement of its personnel (or its subcontractor) in an orange or red zone (in accordance with the regional vigilance maps made available by the French Ministry of Europe and Foreign Affairs (</w:t>
      </w:r>
      <w:hyperlink r:id="rId21" w:tooltip="https://www.diplomatie.gouv.fr/fr/conseils-aux-voyageurs/" w:history="1">
        <w:r>
          <w:rPr>
            <w:rFonts w:ascii="Calibri" w:hAnsi="Calibri" w:eastAsia="Calibri" w:cs="Calibri"/>
            <w:color w:val="0000ff"/>
            <w:sz w:val="22"/>
            <w:szCs w:val="22"/>
            <w:u w:val="single"/>
          </w:rPr>
          <w:t xml:space="preserve">https://www.diplomatie.gouv.fr/fr/conseils-aux-voyageurs/</w:t>
        </w:r>
      </w:hyperlink>
      <w:r>
        <w:rPr>
          <w:rFonts w:ascii="Calibri" w:hAnsi="Calibri" w:eastAsia="Calibri" w:cs="Calibri"/>
          <w:color w:val="000000"/>
          <w:sz w:val="22"/>
          <w:szCs w:val="22"/>
        </w:rPr>
        <w:t xml:space="preserve">);</w:t>
      </w:r>
      <w:r>
        <w:rPr>
          <w:rFonts w:ascii="Calibri" w:hAnsi="Calibri" w:eastAsia="Calibri" w:cs="Calibri"/>
          <w:color w:val="000000"/>
          <w:sz w:val="22"/>
          <w:szCs w:val="22"/>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line="240" w:lineRule="auto"/>
        <w:ind/>
        <w:jc w:val="both"/>
        <w:rPr>
          <w:color w:val="000000"/>
          <w:sz w:val="22"/>
          <w:szCs w:val="22"/>
        </w:rPr>
      </w:pPr>
      <w:r>
        <w:rPr>
          <w:rFonts w:ascii="Calibri" w:hAnsi="Calibri" w:eastAsia="Calibri" w:cs="Calibri"/>
          <w:sz w:val="22"/>
          <w:szCs w:val="22"/>
        </w:rPr>
        <w:t xml:space="preserve">Bank statement in English about open bank accounts</w:t>
      </w:r>
      <w:r>
        <w:rPr>
          <w:color w:val="000000"/>
          <w:sz w:val="22"/>
          <w:szCs w:val="22"/>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line="240" w:lineRule="auto"/>
        <w:ind/>
        <w:jc w:val="both"/>
        <w:rPr>
          <w:rFonts w:ascii="Calibri" w:hAnsi="Calibri" w:eastAsia="Calibri" w:cs="Calibri"/>
          <w:sz w:val="22"/>
          <w:szCs w:val="22"/>
        </w:rPr>
      </w:pPr>
      <w:r>
        <w:rPr>
          <w:rFonts w:ascii="Calibri" w:hAnsi="Calibri" w:eastAsia="Calibri" w:cs="Calibri"/>
          <w:sz w:val="22"/>
          <w:szCs w:val="22"/>
        </w:rPr>
        <w:t xml:space="preserve">Certificate about absence of tax debt;</w:t>
      </w:r>
      <w:r>
        <w:rPr>
          <w:rFonts w:ascii="Calibri" w:hAnsi="Calibri" w:eastAsia="Calibri" w:cs="Calibri"/>
          <w:sz w:val="22"/>
          <w:szCs w:val="22"/>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line="240" w:lineRule="auto"/>
        <w:ind/>
        <w:jc w:val="both"/>
        <w:rPr>
          <w:rFonts w:ascii="Calibri" w:hAnsi="Calibri" w:eastAsia="Calibri" w:cs="Calibri"/>
          <w:sz w:val="22"/>
          <w:szCs w:val="22"/>
        </w:rPr>
      </w:pPr>
      <w:r>
        <w:rPr>
          <w:rFonts w:ascii="Calibri" w:hAnsi="Calibri" w:eastAsia="Calibri" w:cs="Calibri"/>
          <w:sz w:val="22"/>
          <w:szCs w:val="22"/>
        </w:rPr>
        <w:t xml:space="preserve">Proof of similar experience (at least 3 similar contracts or recommendation letters);</w:t>
      </w:r>
      <w:r>
        <w:rPr>
          <w:rFonts w:ascii="Calibri" w:hAnsi="Calibri" w:eastAsia="Calibri" w:cs="Calibri"/>
          <w:sz w:val="22"/>
          <w:szCs w:val="22"/>
        </w:rPr>
      </w:r>
    </w:p>
    <w:p>
      <w:pPr>
        <w:numPr>
          <w:ilvl w:val="0"/>
          <w:numId w:val="16"/>
        </w:numPr>
        <w:pBdr/>
        <w:spacing w:line="240" w:lineRule="auto"/>
        <w:ind/>
        <w:rPr>
          <w:sz w:val="22"/>
          <w:szCs w:val="22"/>
        </w:rPr>
      </w:pPr>
      <w:r>
        <w:rPr>
          <w:rFonts w:ascii="Calibri" w:hAnsi="Calibri" w:eastAsia="Calibri" w:cs="Calibri"/>
          <w:sz w:val="22"/>
          <w:szCs w:val="22"/>
        </w:rPr>
        <w:t xml:space="preserve">Dealer Authorization Document;</w:t>
      </w:r>
      <w:r>
        <w:rPr>
          <w:sz w:val="22"/>
          <w:szCs w:val="22"/>
        </w:rPr>
      </w:r>
    </w:p>
    <w:p>
      <w:pPr>
        <w:pStyle w:val="997"/>
        <w:pBdr/>
        <w:spacing w:after="120" w:before="240" w:line="240" w:lineRule="auto"/>
        <w:ind/>
        <w:jc w:val="both"/>
        <w:rPr>
          <w:rFonts w:asciiTheme="minorHAnsi" w:hAnsiTheme="minorHAnsi" w:cstheme="minorHAnsi"/>
          <w:sz w:val="22"/>
          <w:szCs w:val="22"/>
          <w:u w:val="single"/>
          <w:lang w:val="en-GB"/>
        </w:rPr>
      </w:pPr>
      <w:r/>
      <w:bookmarkStart w:id="74" w:name="_Toc207098256"/>
      <w:r>
        <w:rPr>
          <w:rFonts w:asciiTheme="minorHAnsi" w:hAnsiTheme="minorHAnsi" w:cstheme="minorHAnsi"/>
          <w:sz w:val="22"/>
          <w:szCs w:val="22"/>
          <w:u w:val="single"/>
          <w:lang w:val="en"/>
        </w:rPr>
        <w:t xml:space="preserve">Bid documents</w:t>
      </w:r>
      <w:bookmarkEnd w:id="74"/>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Candidates must submit a complete bid file containing the following documents:</w:t>
      </w:r>
      <w:r>
        <w:rPr>
          <w:rFonts w:asciiTheme="minorHAnsi" w:hAnsiTheme="minorHAnsi" w:cstheme="minorHAnsi"/>
          <w:sz w:val="22"/>
          <w:szCs w:val="22"/>
          <w:lang w:val="en-GB"/>
        </w:rPr>
      </w:r>
    </w:p>
    <w:p>
      <w:pPr>
        <w:pStyle w:val="1268"/>
        <w:numPr>
          <w:ilvl w:val="0"/>
          <w:numId w:val="17"/>
        </w:numPr>
        <w:pBdr/>
        <w:spacing w:after="100" w:afterAutospacing="1" w:before="100" w:beforeAutospacing="1" w:line="240" w:lineRule="auto"/>
        <w:ind/>
        <w:rPr>
          <w:rFonts w:ascii="Calibri" w:hAnsi="Calibri" w:cs="Calibri"/>
          <w:sz w:val="22"/>
          <w:szCs w:val="22"/>
        </w:rPr>
      </w:pPr>
      <w:r>
        <w:rPr>
          <w:rStyle w:val="1236"/>
          <w:rFonts w:ascii="Calibri" w:hAnsi="Calibri" w:cs="Calibri"/>
          <w:sz w:val="22"/>
          <w:szCs w:val="22"/>
        </w:rPr>
        <w:t xml:space="preserve">Technical offer</w:t>
      </w:r>
      <w:r>
        <w:rPr>
          <w:rFonts w:ascii="Calibri" w:hAnsi="Calibri" w:cs="Calibri"/>
          <w:sz w:val="22"/>
          <w:szCs w:val="22"/>
        </w:rPr>
        <w:t xml:space="preserve"> – including detailed specifications of the proposed vehicles and all installed options.</w:t>
      </w:r>
      <w:r>
        <w:rPr>
          <w:rFonts w:ascii="Calibri" w:hAnsi="Calibri" w:cs="Calibri"/>
          <w:sz w:val="22"/>
          <w:szCs w:val="22"/>
        </w:rPr>
      </w:r>
    </w:p>
    <w:p>
      <w:pPr>
        <w:pStyle w:val="1268"/>
        <w:numPr>
          <w:ilvl w:val="0"/>
          <w:numId w:val="17"/>
        </w:numPr>
        <w:pBdr/>
        <w:spacing w:after="100" w:afterAutospacing="1" w:before="100" w:beforeAutospacing="1" w:line="240" w:lineRule="auto"/>
        <w:ind/>
        <w:rPr>
          <w:rFonts w:ascii="Calibri" w:hAnsi="Calibri" w:cs="Calibri"/>
          <w:sz w:val="22"/>
          <w:szCs w:val="22"/>
        </w:rPr>
      </w:pPr>
      <w:r>
        <w:rPr>
          <w:rStyle w:val="1236"/>
          <w:rFonts w:ascii="Calibri" w:hAnsi="Calibri" w:cs="Calibri"/>
          <w:sz w:val="22"/>
          <w:szCs w:val="22"/>
        </w:rPr>
        <w:t xml:space="preserve">Draft contract</w:t>
      </w:r>
      <w:r>
        <w:rPr>
          <w:rFonts w:ascii="Calibri" w:hAnsi="Calibri" w:cs="Calibri"/>
          <w:sz w:val="22"/>
          <w:szCs w:val="22"/>
        </w:rPr>
        <w:t xml:space="preserve"> – duly completed, signed, and dated, together with annexes, including the duly completed financial annexes (please use </w:t>
      </w:r>
      <w:r>
        <w:rPr>
          <w:rStyle w:val="1269"/>
          <w:rFonts w:ascii="Calibri" w:hAnsi="Calibri" w:cs="Calibri"/>
          <w:sz w:val="22"/>
          <w:szCs w:val="22"/>
        </w:rPr>
        <w:t xml:space="preserve">Annex 2 – Financia</w:t>
      </w:r>
      <w:r>
        <w:rPr>
          <w:rStyle w:val="1269"/>
          <w:rFonts w:ascii="Calibri" w:hAnsi="Calibri" w:cs="Calibri"/>
          <w:sz w:val="22"/>
          <w:szCs w:val="22"/>
        </w:rPr>
        <w:t xml:space="preserve">l Proposal</w:t>
      </w:r>
      <w:r>
        <w:rPr>
          <w:rFonts w:ascii="Calibri" w:hAnsi="Calibri" w:cs="Calibri"/>
          <w:sz w:val="22"/>
          <w:szCs w:val="22"/>
        </w:rPr>
        <w:t xml:space="preserve">).</w:t>
      </w:r>
      <w:r>
        <w:rPr>
          <w:rFonts w:ascii="Calibri" w:hAnsi="Calibri" w:cs="Calibri"/>
          <w:sz w:val="22"/>
          <w:szCs w:val="22"/>
        </w:rPr>
      </w:r>
    </w:p>
    <w:p>
      <w:pPr>
        <w:pStyle w:val="1268"/>
        <w:numPr>
          <w:ilvl w:val="0"/>
          <w:numId w:val="17"/>
        </w:numPr>
        <w:pBdr/>
        <w:spacing w:after="100" w:afterAutospacing="1" w:before="100" w:beforeAutospacing="1" w:line="240" w:lineRule="auto"/>
        <w:ind/>
        <w:rPr>
          <w:rFonts w:ascii="Calibri" w:hAnsi="Calibri" w:cs="Calibri"/>
          <w:sz w:val="22"/>
          <w:szCs w:val="22"/>
        </w:rPr>
      </w:pPr>
      <w:r>
        <w:rPr>
          <w:rStyle w:val="1236"/>
          <w:rFonts w:ascii="Calibri" w:hAnsi="Calibri" w:cs="Calibri"/>
          <w:sz w:val="22"/>
          <w:szCs w:val="22"/>
        </w:rPr>
        <w:t xml:space="preserve">List of authorised service centres</w:t>
      </w:r>
      <w:r>
        <w:rPr>
          <w:rFonts w:ascii="Calibri" w:hAnsi="Calibri" w:cs="Calibri"/>
          <w:sz w:val="22"/>
          <w:szCs w:val="22"/>
        </w:rPr>
        <w:t xml:space="preserve"> – indicating coverage across Ukraine.</w:t>
      </w:r>
      <w:r>
        <w:rPr>
          <w:rFonts w:ascii="Calibri" w:hAnsi="Calibri" w:cs="Calibri"/>
          <w:sz w:val="22"/>
          <w:szCs w:val="22"/>
        </w:rPr>
      </w:r>
    </w:p>
    <w:p>
      <w:pPr>
        <w:pStyle w:val="1268"/>
        <w:numPr>
          <w:ilvl w:val="0"/>
          <w:numId w:val="17"/>
        </w:numPr>
        <w:pBdr/>
        <w:spacing w:after="100" w:afterAutospacing="1" w:before="100" w:beforeAutospacing="1" w:line="240" w:lineRule="auto"/>
        <w:ind/>
        <w:rPr>
          <w:rFonts w:ascii="Calibri" w:hAnsi="Calibri" w:cs="Calibri"/>
          <w:sz w:val="22"/>
          <w:szCs w:val="22"/>
        </w:rPr>
      </w:pPr>
      <w:r>
        <w:rPr>
          <w:rStyle w:val="1236"/>
          <w:rFonts w:ascii="Calibri" w:hAnsi="Calibri" w:cs="Calibri"/>
          <w:sz w:val="22"/>
          <w:szCs w:val="22"/>
        </w:rPr>
        <w:t xml:space="preserve">Vehicle warranty conditions</w:t>
      </w:r>
      <w:r>
        <w:rPr>
          <w:rFonts w:ascii="Calibri" w:hAnsi="Calibri" w:cs="Calibri"/>
          <w:sz w:val="22"/>
          <w:szCs w:val="22"/>
        </w:rPr>
        <w:t xml:space="preserve"> – providing clear information on scope, duration, and terms of warranty.</w:t>
      </w:r>
      <w:r>
        <w:rPr>
          <w:rFonts w:ascii="Calibri" w:hAnsi="Calibri" w:cs="Calibri"/>
          <w:sz w:val="22"/>
          <w:szCs w:val="22"/>
        </w:rPr>
      </w:r>
    </w:p>
    <w:p>
      <w:pPr>
        <w:pStyle w:val="997"/>
        <w:pBdr/>
        <w:spacing w:after="120" w:before="240" w:line="240" w:lineRule="auto"/>
        <w:ind/>
        <w:jc w:val="both"/>
        <w:rPr>
          <w:rFonts w:asciiTheme="minorHAnsi" w:hAnsiTheme="minorHAnsi" w:cstheme="minorHAnsi"/>
          <w:sz w:val="22"/>
          <w:szCs w:val="22"/>
          <w:u w:val="single"/>
        </w:rPr>
      </w:pPr>
      <w:r/>
      <w:bookmarkStart w:id="75" w:name="_Toc207098257"/>
      <w:r>
        <w:rPr>
          <w:rFonts w:asciiTheme="minorHAnsi" w:hAnsiTheme="minorHAnsi" w:cstheme="minorHAnsi"/>
          <w:sz w:val="22"/>
          <w:szCs w:val="22"/>
          <w:u w:val="single"/>
          <w:lang w:val="en"/>
        </w:rPr>
        <w:t xml:space="preserve">Bid validity period</w:t>
      </w:r>
      <w:bookmarkEnd w:id="75"/>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validity of bids submitted shall be at least 120 days from the submission deadline.</w:t>
      </w:r>
      <w:r>
        <w:rPr>
          <w:rFonts w:asciiTheme="minorHAnsi" w:hAnsiTheme="minorHAnsi" w:cstheme="minorHAnsi"/>
          <w:color w:val="000000"/>
          <w:sz w:val="22"/>
          <w:szCs w:val="22"/>
          <w:lang w:val="en-GB"/>
        </w:rPr>
      </w:r>
    </w:p>
    <w:p>
      <w:pPr>
        <w:pStyle w:val="997"/>
        <w:pBdr/>
        <w:spacing w:after="120" w:before="240" w:line="240" w:lineRule="auto"/>
        <w:ind/>
        <w:jc w:val="both"/>
        <w:rPr>
          <w:rFonts w:asciiTheme="minorHAnsi" w:hAnsiTheme="minorHAnsi" w:cstheme="minorHAnsi"/>
          <w:sz w:val="22"/>
          <w:szCs w:val="22"/>
          <w:u w:val="single"/>
          <w:lang w:val="en-GB"/>
        </w:rPr>
      </w:pPr>
      <w:r/>
      <w:bookmarkStart w:id="76" w:name="_Toc491193966"/>
      <w:r/>
      <w:bookmarkStart w:id="77" w:name="_Toc491193511"/>
      <w:r/>
      <w:bookmarkStart w:id="78" w:name="_Toc207098258"/>
      <w:r/>
      <w:bookmarkEnd w:id="76"/>
      <w:r/>
      <w:bookmarkEnd w:id="77"/>
      <w:r>
        <w:rPr>
          <w:rFonts w:asciiTheme="minorHAnsi" w:hAnsiTheme="minorHAnsi" w:cstheme="minorHAnsi"/>
          <w:sz w:val="22"/>
          <w:szCs w:val="22"/>
          <w:u w:val="single"/>
          <w:lang w:val="en"/>
        </w:rPr>
        <w:t xml:space="preserve">Bid submission process</w:t>
      </w:r>
      <w:bookmarkEnd w:id="78"/>
      <w:r/>
      <w:r>
        <w:rPr>
          <w:rFonts w:asciiTheme="minorHAnsi" w:hAnsiTheme="minorHAnsi" w:cstheme="minorHAnsi"/>
          <w:sz w:val="22"/>
          <w:szCs w:val="22"/>
          <w:u w:val="single"/>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79" w:name="_Toc207098259"/>
      <w:r>
        <w:rPr>
          <w:rFonts w:asciiTheme="minorHAnsi" w:hAnsiTheme="minorHAnsi" w:cstheme="minorHAnsi"/>
          <w:i/>
          <w:iCs/>
          <w:sz w:val="22"/>
          <w:szCs w:val="22"/>
          <w:lang w:val="en"/>
        </w:rPr>
        <w:t xml:space="preserve">Bids submitted in paper format</w:t>
      </w:r>
      <w:bookmarkEnd w:id="79"/>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submitted in paper format will be rejected.</w:t>
      </w:r>
      <w:r>
        <w:rPr>
          <w:rFonts w:asciiTheme="minorHAnsi" w:hAnsiTheme="minorHAnsi" w:cstheme="minorHAnsi"/>
          <w:sz w:val="22"/>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80" w:name="_Toc207098260"/>
      <w:r>
        <w:rPr>
          <w:rFonts w:asciiTheme="minorHAnsi" w:hAnsiTheme="minorHAnsi" w:cstheme="minorHAnsi"/>
          <w:i/>
          <w:iCs/>
          <w:sz w:val="22"/>
          <w:szCs w:val="22"/>
          <w:lang w:val="en"/>
        </w:rPr>
        <w:t xml:space="preserve">Electronic submission</w:t>
      </w:r>
      <w:bookmarkEnd w:id="80"/>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w:t>
      </w:r>
      <w:r>
        <w:rPr>
          <w:rFonts w:asciiTheme="minorHAnsi" w:hAnsiTheme="minorHAnsi" w:cstheme="minorHAnsi"/>
          <w:sz w:val="22"/>
          <w:szCs w:val="22"/>
          <w:lang w:val="en"/>
        </w:rPr>
        <w:t xml:space="preserve">on space or to submit their bid, bidders must connect to the French government procurement platform at: </w:t>
      </w:r>
      <w:r>
        <w:rPr>
          <w:rFonts w:asciiTheme="minorHAnsi" w:hAnsiTheme="minorHAnsi" w:cstheme="minorHAnsi"/>
          <w:sz w:val="22"/>
          <w:szCs w:val="22"/>
          <w:lang w:val="en-GB"/>
        </w:rPr>
      </w:r>
    </w:p>
    <w:p>
      <w:pPr>
        <w:pBdr/>
        <w:spacing w:line="240" w:lineRule="auto"/>
        <w:ind/>
        <w:jc w:val="both"/>
        <w:rPr>
          <w:rFonts w:asciiTheme="minorHAnsi" w:hAnsiTheme="minorHAnsi" w:cstheme="minorHAnsi"/>
          <w:sz w:val="22"/>
          <w:szCs w:val="22"/>
          <w:lang w:val="en-GB"/>
        </w:rPr>
      </w:pPr>
      <w:r/>
      <w:hyperlink w:history="1">
        <w:r>
          <w:rPr>
            <w:rStyle w:val="1249"/>
            <w:rFonts w:asciiTheme="minorHAnsi" w:hAnsiTheme="minorHAnsi" w:cstheme="minorHAnsi"/>
            <w:sz w:val="22"/>
            <w:szCs w:val="22"/>
            <w:lang w:val="en"/>
          </w:rPr>
          <w:t xml:space="preserve">https://www.marches-publics.gouv.fr </w:t>
        </w:r>
      </w:hyperlink>
      <w:r/>
      <w:r>
        <w:rPr>
          <w:rFonts w:asciiTheme="minorHAnsi" w:hAnsiTheme="minorHAnsi" w:cstheme="minorHAnsi"/>
          <w:sz w:val="22"/>
          <w:szCs w:val="22"/>
          <w:lang w:val="en-GB"/>
        </w:rPr>
      </w:r>
    </w:p>
    <w:p>
      <w:pPr>
        <w:pBdr/>
        <w:spacing w:before="120" w:line="240" w:lineRule="auto"/>
        <w:ind/>
        <w:jc w:val="both"/>
        <w:rPr>
          <w:rFonts w:eastAsia="Times New Roman" w:asciiTheme="minorHAnsi" w:hAnsiTheme="minorHAnsi" w:cstheme="minorHAnsi"/>
          <w:sz w:val="22"/>
          <w:szCs w:val="22"/>
          <w:lang w:val="en-GB"/>
        </w:rPr>
      </w:pPr>
      <w:r>
        <w:rPr>
          <w:rFonts w:eastAsia="Times New Roman" w:asciiTheme="minorHAnsi" w:hAnsiTheme="minorHAnsi" w:cstheme="minorHAnsi"/>
          <w:sz w:val="22"/>
          <w:szCs w:val="22"/>
          <w:lang w:val="en"/>
        </w:rPr>
        <w:t xml:space="preserve">Electronic submission is mandatory. Any submission via other means will be rejected.</w:t>
      </w:r>
      <w:r>
        <w:rPr>
          <w:rFonts w:eastAsia="Times New Roman" w:asciiTheme="minorHAnsi" w:hAnsiTheme="minorHAnsi" w:cstheme="minorHAnsi"/>
          <w:sz w:val="22"/>
          <w:szCs w:val="22"/>
          <w:lang w:val="en-GB"/>
        </w:rPr>
      </w:r>
    </w:p>
    <w:p>
      <w:pPr>
        <w:pBdr/>
        <w:spacing w:before="120" w:line="240" w:lineRule="auto"/>
        <w:ind/>
        <w:jc w:val="both"/>
        <w:rPr>
          <w:rStyle w:val="1249"/>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22" w:tooltip="http://www.marches-publics.gouv.fr" w:history="1">
        <w:r>
          <w:rPr>
            <w:rStyle w:val="1249"/>
            <w:rFonts w:asciiTheme="minorHAnsi" w:hAnsiTheme="minorHAnsi" w:cstheme="minorHAnsi"/>
            <w:sz w:val="22"/>
            <w:szCs w:val="22"/>
            <w:lang w:val="en"/>
          </w:rPr>
          <w:t xml:space="preserve">www.marches-publics.gouv.fr</w:t>
        </w:r>
      </w:hyperlink>
      <w:r>
        <w:rPr>
          <w:rStyle w:val="1249"/>
          <w:rFonts w:asciiTheme="minorHAnsi" w:hAnsiTheme="minorHAnsi" w:cstheme="minorHAnsi"/>
          <w:sz w:val="22"/>
          <w:szCs w:val="22"/>
          <w:lang w:val="en"/>
        </w:rPr>
        <w:t xml:space="preserve">. </w:t>
      </w:r>
      <w:r>
        <w:rPr>
          <w:rStyle w:val="1249"/>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Style w:val="1249"/>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 xml:space="preserve">available for download whi</w:t>
      </w:r>
      <w:r>
        <w:rPr>
          <w:rFonts w:asciiTheme="minorHAnsi" w:hAnsiTheme="minorHAnsi" w:cstheme="minorHAnsi"/>
          <w:sz w:val="22"/>
          <w:szCs w:val="22"/>
          <w:lang w:val="en"/>
        </w:rPr>
        <w:t xml:space="preserve">ch specifies the platform’s conditions of use, notably the technical prerequisites and electronic certificates.</w:t>
      </w:r>
      <w:r>
        <w:rPr>
          <w:rFonts w:asciiTheme="minorHAnsi" w:hAnsiTheme="minorHAnsi" w:cstheme="minorHAnsi"/>
          <w:sz w:val="22"/>
          <w:szCs w:val="22"/>
          <w:lang w:val="en-GB"/>
        </w:rPr>
      </w:r>
    </w:p>
    <w:p>
      <w:pPr>
        <w:pBdr/>
        <w:spacing w:before="120" w:line="240" w:lineRule="auto"/>
        <w:ind/>
        <w:jc w:val="both"/>
        <w:rPr>
          <w:rStyle w:val="1249"/>
          <w:rFonts w:asciiTheme="minorHAnsi" w:hAnsiTheme="minorHAnsi" w:cstheme="minorHAnsi"/>
          <w:color w:val="auto"/>
          <w:sz w:val="22"/>
          <w:szCs w:val="22"/>
          <w:u w:val="none"/>
          <w:lang w:val="en-GB"/>
        </w:rPr>
      </w:pPr>
      <w:r>
        <w:rPr>
          <w:rFonts w:asciiTheme="minorHAnsi" w:hAnsiTheme="minorHAnsi" w:cstheme="minorHAnsi"/>
          <w:sz w:val="22"/>
          <w:szCs w:val="22"/>
          <w:lang w:val="en"/>
        </w:rPr>
        <w:t xml:space="preserve">Should they so wish, bidders may make contact by phone on 01 76 64 74 07 on all business days between 9am and 7pm in order to obtain technical a</w:t>
      </w:r>
      <w:r>
        <w:rPr>
          <w:rFonts w:asciiTheme="minorHAnsi" w:hAnsiTheme="minorHAnsi" w:cstheme="minorHAnsi"/>
          <w:sz w:val="22"/>
          <w:szCs w:val="22"/>
          <w:lang w:val="en"/>
        </w:rPr>
        <w:t xml:space="preserve">ssistance with how to complete all the necessary tasks.</w:t>
      </w:r>
      <w:r>
        <w:rPr>
          <w:rStyle w:val="1249"/>
          <w:rFonts w:asciiTheme="minorHAnsi" w:hAnsiTheme="minorHAnsi" w:cstheme="minorHAnsi"/>
          <w:color w:val="auto"/>
          <w:sz w:val="22"/>
          <w:szCs w:val="22"/>
          <w:u w:val="non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the event of allotment, all lots must be covered by an electronic submission. However, it is possible to make a single electronic submission for multiple lots provided that the lots covered by a bi</w:t>
      </w:r>
      <w:r>
        <w:rPr>
          <w:rFonts w:asciiTheme="minorHAnsi" w:hAnsiTheme="minorHAnsi" w:cstheme="minorHAnsi"/>
          <w:sz w:val="22"/>
          <w:szCs w:val="22"/>
          <w:lang w:val="en"/>
        </w:rPr>
        <w:t xml:space="preserve">d can be identified without ambiguity.</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costs of accessing the network and of electronic signature shall be borne by the candidate.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u w:val="single"/>
          <w:lang w:val="en-GB"/>
        </w:rPr>
      </w:pPr>
      <w:r>
        <w:rPr>
          <w:rFonts w:asciiTheme="minorHAnsi" w:hAnsiTheme="minorHAnsi" w:cstheme="minorHAnsi"/>
          <w:sz w:val="22"/>
          <w:szCs w:val="22"/>
          <w:lang w:val="en"/>
        </w:rPr>
        <w:t xml:space="preserve">Bidders are invited to test the configuration of their work device and to perform a test tender to ensure that their technical environment is functioning as required.</w:t>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Bidders’ attention is drawn to the fact that they must at least have internet browser sof</w:t>
      </w:r>
      <w:r>
        <w:rPr>
          <w:rFonts w:asciiTheme="minorHAnsi" w:hAnsiTheme="minorHAnsi" w:cstheme="minorHAnsi"/>
          <w:sz w:val="22"/>
          <w:szCs w:val="22"/>
          <w:lang w:val="en"/>
        </w:rPr>
        <w:t xml:space="preserve">tware. It is not mandatory to have an electronic signature system.</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make an offer, bidders must forward files in the following computer formats: PDF, RTF, ZIP, suite Microsoft Office, LibreOffice or Open Office. Any computer file in a different </w:t>
      </w:r>
      <w:r>
        <w:rPr>
          <w:rFonts w:asciiTheme="minorHAnsi" w:hAnsiTheme="minorHAnsi" w:cstheme="minorHAnsi"/>
          <w:sz w:val="22"/>
          <w:szCs w:val="22"/>
          <w:lang w:val="en"/>
        </w:rPr>
        <w:t xml:space="preserve">format will be declared null and void.</w:t>
      </w:r>
      <w:r>
        <w:rPr>
          <w:rFonts w:asciiTheme="minorHAnsi" w:hAnsiTheme="minorHAnsi" w:cstheme="minorHAnsi"/>
          <w:sz w:val="22"/>
          <w:szCs w:val="22"/>
          <w:lang w:val="en-GB"/>
        </w:rPr>
      </w:r>
    </w:p>
    <w:p>
      <w:pPr>
        <w:pBdr/>
        <w:spacing w:before="240" w:line="240" w:lineRule="auto"/>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NOTE:</w:t>
      </w:r>
      <w:r>
        <w:rPr>
          <w:rFonts w:asciiTheme="minorHAnsi" w:hAnsiTheme="minorHAnsi" w:cstheme="minorHAnsi"/>
          <w:b/>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bid files must be free of computer viruses and must have been previously treated to this end by the bidder, using the latest version of an antivirus software. The same applies to all other files exchanged du</w:t>
      </w:r>
      <w:r>
        <w:rPr>
          <w:rFonts w:asciiTheme="minorHAnsi" w:hAnsiTheme="minorHAnsi" w:cstheme="minorHAnsi"/>
          <w:sz w:val="22"/>
          <w:szCs w:val="22"/>
          <w:lang w:val="en"/>
        </w:rPr>
        <w:t xml:space="preserve">ring this public procurement procedure.</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may place any file containing a virus in a security archive. It will therefore be deemed never to have been received.</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NB: Bidders’ attention is drawn to the time required to deliver large vo</w:t>
      </w:r>
      <w:r>
        <w:rPr>
          <w:rFonts w:asciiTheme="minorHAnsi" w:hAnsiTheme="minorHAnsi" w:cstheme="minorHAnsi"/>
          <w:sz w:val="22"/>
          <w:szCs w:val="22"/>
          <w:lang w:val="en"/>
        </w:rPr>
        <w:t xml:space="preserve">lume electronic files. The average downloading time may vary according to various parameters, such as the technical capacity of the device, the type of internet connection, traffic on the network, etc.</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To the extent that the date and time of completed uplo</w:t>
      </w:r>
      <w:r>
        <w:rPr>
          <w:rFonts w:asciiTheme="minorHAnsi" w:hAnsiTheme="minorHAnsi" w:cstheme="minorHAnsi"/>
          <w:sz w:val="22"/>
          <w:szCs w:val="22"/>
          <w:lang w:val="en"/>
        </w:rPr>
        <w:t xml:space="preserve">ad constitutes the legal reference for submission of electronic bids, bidders are invited to allow sufficient time for all electronic submissions.</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Even though its bid for this public procurement procedure will have been submitted electronically, the bidder</w:t>
      </w:r>
      <w:r>
        <w:rPr>
          <w:rFonts w:asciiTheme="minorHAnsi" w:hAnsiTheme="minorHAnsi" w:cstheme="minorHAnsi"/>
          <w:sz w:val="22"/>
          <w:szCs w:val="22"/>
          <w:lang w:val="en"/>
        </w:rPr>
        <w:t xml:space="preserve"> undertakes, notably if its bid has been accepted, to provide contractually valid paper documents. In this regard, it also undertakes that the natural person providing the electronic signature also provides their handwritten signature without making any mo</w:t>
      </w:r>
      <w:r>
        <w:rPr>
          <w:rFonts w:asciiTheme="minorHAnsi" w:hAnsiTheme="minorHAnsi" w:cstheme="minorHAnsi"/>
          <w:sz w:val="22"/>
          <w:szCs w:val="22"/>
          <w:lang w:val="en"/>
        </w:rPr>
        <w:t xml:space="preserve">difications to the documents, to be forwarded to the contracting authority in this format. Lastly, the bidder undertakes to accept notification in paper format, in accordance with standard practices.</w:t>
      </w:r>
      <w:r>
        <w:rPr>
          <w:rFonts w:asciiTheme="minorHAnsi" w:hAnsiTheme="minorHAnsi" w:cstheme="minorHAnsi"/>
          <w:sz w:val="22"/>
          <w:szCs w:val="22"/>
          <w:lang w:val="en"/>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br w:type="page" w:clear="all"/>
      </w:r>
      <w:r>
        <w:rPr>
          <w:rFonts w:asciiTheme="minorHAnsi" w:hAnsiTheme="minorHAnsi" w:cstheme="minorHAnsi"/>
          <w:sz w:val="22"/>
          <w:szCs w:val="22"/>
          <w:lang w:val="en"/>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1" w:name="_Toc63419905"/>
      <w:r/>
      <w:bookmarkStart w:id="82" w:name="_Toc63419901"/>
      <w:r/>
      <w:bookmarkEnd w:id="81"/>
      <w:r/>
      <w:bookmarkEnd w:id="82"/>
      <w:r>
        <w:rPr>
          <w:rFonts w:asciiTheme="minorHAnsi" w:hAnsiTheme="minorHAnsi" w:cstheme="minorHAnsi"/>
          <w:b/>
          <w:bCs/>
          <w:caps/>
          <w:sz w:val="28"/>
          <w:szCs w:val="22"/>
          <w:u w:val="single"/>
          <w:lang w:val="en"/>
        </w:rPr>
        <w:t xml:space="preserve"> </w:t>
      </w:r>
      <w:bookmarkStart w:id="83" w:name="_Toc207098261"/>
      <w:r>
        <w:rPr>
          <w:rFonts w:asciiTheme="minorHAnsi" w:hAnsiTheme="minorHAnsi" w:cstheme="minorHAnsi"/>
          <w:b/>
          <w:bCs/>
          <w:caps/>
          <w:sz w:val="28"/>
          <w:szCs w:val="22"/>
          <w:u w:val="single"/>
          <w:lang w:val="en"/>
        </w:rPr>
        <w:t xml:space="preserve">Analysis of applications</w:t>
      </w:r>
      <w:bookmarkEnd w:id="83"/>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are selected by the Evaluation Committee of Expertise France in accordance with the following procedure.</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Under Article R.2161-4 of the French Public Procurement Code, the Evaluation Committee may decide to examine offers before applications.</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w:t>
      </w:r>
      <w:r>
        <w:rPr>
          <w:rFonts w:asciiTheme="minorHAnsi" w:hAnsiTheme="minorHAnsi" w:cstheme="minorHAnsi"/>
          <w:color w:val="000000"/>
          <w:sz w:val="22"/>
          <w:szCs w:val="22"/>
          <w:lang w:val="en"/>
        </w:rPr>
        <w:t xml:space="preserve">n such cases, the supporting documentation for aptitude and capacity and the evidence relating to grounds for exclusion are only requested by the contracting authority from bidders preselected for award of the tender.</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84" w:name="_Toc207098262"/>
      <w:r>
        <w:rPr>
          <w:rFonts w:asciiTheme="minorHAnsi" w:hAnsiTheme="minorHAnsi" w:cstheme="minorHAnsi"/>
          <w:sz w:val="22"/>
          <w:szCs w:val="22"/>
          <w:u w:val="single"/>
          <w:lang w:val="en"/>
        </w:rPr>
        <w:t xml:space="preserve">Application supplementary information </w:t>
      </w:r>
      <w:r>
        <w:rPr>
          <w:rFonts w:asciiTheme="minorHAnsi" w:hAnsiTheme="minorHAnsi" w:cstheme="minorHAnsi"/>
          <w:sz w:val="22"/>
          <w:szCs w:val="22"/>
          <w:u w:val="single"/>
          <w:lang w:val="en"/>
        </w:rPr>
        <w:t xml:space="preserve">requests</w:t>
      </w:r>
      <w:bookmarkEnd w:id="84"/>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Before examining applications, should the contracting authority note that requested documents or information are missing or incomplete, it may ask the bidders concerned to complete their application pack within a deadline applicable to all such bi</w:t>
      </w:r>
      <w:r>
        <w:rPr>
          <w:rFonts w:asciiTheme="minorHAnsi" w:hAnsiTheme="minorHAnsi" w:cstheme="minorHAnsi"/>
          <w:color w:val="000000"/>
          <w:sz w:val="22"/>
          <w:szCs w:val="22"/>
          <w:lang w:val="en"/>
        </w:rPr>
        <w:t xml:space="preserve">dders. The deadline will be specified in the request for supplementary information.</w:t>
      </w:r>
      <w:r>
        <w:rPr>
          <w:rFonts w:asciiTheme="minorHAnsi" w:hAnsiTheme="minorHAnsi" w:cstheme="minorHAnsi"/>
          <w:color w:val="000000"/>
          <w:sz w:val="22"/>
          <w:szCs w:val="22"/>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Applications that are incomplete or which remain incomplete following a request for additional information will be eliminated.</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85" w:name="_Toc207098263"/>
      <w:r>
        <w:rPr>
          <w:rFonts w:asciiTheme="minorHAnsi" w:hAnsiTheme="minorHAnsi" w:cstheme="minorHAnsi"/>
          <w:sz w:val="22"/>
          <w:szCs w:val="22"/>
          <w:u w:val="single"/>
          <w:lang w:val="en"/>
        </w:rPr>
        <w:t xml:space="preserve">Rejection of late applications - Opening bids</w:t>
      </w:r>
      <w:bookmarkEnd w:id="85"/>
      <w:r/>
      <w:r>
        <w:rPr>
          <w:rFonts w:asciiTheme="minorHAnsi" w:hAnsiTheme="minorHAnsi" w:cstheme="minorHAnsi"/>
          <w:sz w:val="22"/>
          <w:szCs w:val="22"/>
          <w:u w:val="single"/>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86" w:name="_Toc207098264"/>
      <w:r>
        <w:rPr>
          <w:rFonts w:asciiTheme="minorHAnsi" w:hAnsiTheme="minorHAnsi" w:cstheme="minorHAnsi"/>
          <w:sz w:val="22"/>
          <w:szCs w:val="22"/>
          <w:u w:val="single"/>
          <w:lang w:val="en"/>
        </w:rPr>
        <w:t xml:space="preserve">Admissibility of applications</w:t>
      </w:r>
      <w:bookmarkEnd w:id="86"/>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In accor</w:t>
      </w:r>
      <w:r>
        <w:rPr>
          <w:rFonts w:asciiTheme="minorHAnsi" w:hAnsiTheme="minorHAnsi" w:cstheme="minorHAnsi"/>
          <w:color w:val="000000"/>
          <w:sz w:val="22"/>
          <w:szCs w:val="22"/>
          <w:lang w:val="en"/>
        </w:rPr>
        <w:t xml:space="preserve">dance with Article 3 of this document covering the conditions for participation, the Evaluation Committee of Expertise France analyses the admissibility of applications based on the following criteria:</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registration at the trade and companies registry (or equivalent)</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social security obligations</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Candidate's compliance with its tax obligations</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w:t>
      </w:r>
      <w:r>
        <w:rPr>
          <w:rFonts w:asciiTheme="minorHAnsi" w:hAnsiTheme="minorHAnsi" w:cstheme="minorHAnsi"/>
          <w:color w:val="000000"/>
          <w:sz w:val="22"/>
          <w:szCs w:val="22"/>
          <w:lang w:val="en"/>
        </w:rPr>
        <w:t xml:space="preserve">L. 2141-1 to L. 2141-6 and L. 2141-7 to L. 2141-11 of the French Public Procurement Code, nor be on any </w:t>
      </w:r>
      <w:r>
        <w:rPr>
          <w:rFonts w:asciiTheme="minorHAnsi" w:hAnsiTheme="minorHAnsi" w:cstheme="minorHAnsi"/>
          <w:sz w:val="22"/>
          <w:szCs w:val="22"/>
          <w:lang w:val="en"/>
        </w:rPr>
        <w:t xml:space="preserve">official exclusion list, whether their situation is established by means of their own declarations or through the application of vigilance measures by t</w:t>
      </w:r>
      <w:r>
        <w:rPr>
          <w:rFonts w:asciiTheme="minorHAnsi" w:hAnsiTheme="minorHAnsi" w:cstheme="minorHAnsi"/>
          <w:sz w:val="22"/>
          <w:szCs w:val="22"/>
          <w:lang w:val="en"/>
        </w:rPr>
        <w:t xml:space="preserve">he contracting authority</w:t>
      </w:r>
      <w:r>
        <w:rPr>
          <w:rFonts w:asciiTheme="minorHAnsi" w:hAnsiTheme="minorHAnsi" w:cstheme="minorHAnsi"/>
          <w:bCs/>
          <w:iCs/>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or its representative must not be in a situation of conflict of interest vis-à-vis the contracting authority and/or any beneficiary of the procurement contract</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w:t>
      </w:r>
      <w:r>
        <w:rPr>
          <w:rFonts w:asciiTheme="minorHAnsi" w:hAnsiTheme="minorHAnsi" w:cstheme="minorHAnsi"/>
          <w:color w:val="000000"/>
          <w:sz w:val="22"/>
          <w:szCs w:val="22"/>
          <w:lang w:val="en"/>
        </w:rPr>
        <w:t xml:space="preserve">entation of appropriate technical and organisational measures such that data processing conforms with relevant data protection laws and regulations (GDPR and French data protection legislation), thereby guaranteeing the rights of data subjects </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Application</w:t>
      </w:r>
      <w:r>
        <w:rPr>
          <w:rFonts w:asciiTheme="minorHAnsi" w:hAnsiTheme="minorHAnsi" w:cstheme="minorHAnsi"/>
          <w:color w:val="000000"/>
          <w:sz w:val="22"/>
          <w:szCs w:val="22"/>
          <w:lang w:val="en"/>
        </w:rPr>
        <w:t xml:space="preserve">s not demonstrating professional capacity and/or which do not meet the minimum capacity levels will be eliminated.</w:t>
      </w:r>
      <w:r>
        <w:rPr>
          <w:rFonts w:asciiTheme="minorHAnsi" w:hAnsiTheme="minorHAnsi" w:cstheme="minorHAnsi"/>
          <w:color w:val="000000"/>
          <w:sz w:val="22"/>
          <w:szCs w:val="22"/>
          <w:lang w:val="en-GB"/>
        </w:rPr>
      </w:r>
    </w:p>
    <w:p>
      <w:pPr>
        <w:pStyle w:val="1280"/>
        <w:numPr>
          <w:ilvl w:val="0"/>
          <w:numId w:val="9"/>
        </w:num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candidate must provide evidence of a reliable internal security system to guarantee the safety of the persons involved in the implementat</w:t>
      </w:r>
      <w:r>
        <w:rPr>
          <w:rFonts w:asciiTheme="minorHAnsi" w:hAnsiTheme="minorHAnsi" w:cstheme="minorHAnsi"/>
          <w:color w:val="000000"/>
          <w:sz w:val="22"/>
          <w:szCs w:val="22"/>
          <w:lang w:val="en-GB"/>
        </w:rPr>
        <w:t xml:space="preserve">ion of the contract when travel is planned in an organ or red zone (in accordance with the regional vigilance maps made available by the French Ministry of Europe and Foreign Affairs </w:t>
      </w:r>
      <w:hyperlink r:id="rId23" w:tooltip="https://www.diplomatie.gouv.fr/fr/conseils-aux-voyageurs/" w:history="1">
        <w:r>
          <w:rPr>
            <w:rStyle w:val="1249"/>
            <w:rFonts w:asciiTheme="minorHAnsi" w:hAnsiTheme="minorHAnsi" w:cstheme="minorHAnsi"/>
            <w:sz w:val="22"/>
            <w:szCs w:val="22"/>
            <w:lang w:val="en-GB"/>
          </w:rPr>
          <w:t xml:space="preserve">https://www.diplomatie.gouv.fr/fr/conseils-aux-voyageurs/</w:t>
        </w:r>
      </w:hyperlink>
      <w:r>
        <w:rPr>
          <w:rFonts w:asciiTheme="minorHAnsi" w:hAnsiTheme="minorHAnsi" w:cstheme="minorHAnsi"/>
          <w:color w:val="000000"/>
          <w:sz w:val="22"/>
          <w:szCs w:val="22"/>
          <w:lang w:val="en-GB"/>
        </w:rPr>
        <w:t xml:space="preserve">).</w:t>
      </w:r>
      <w:r>
        <w:rPr>
          <w:rFonts w:asciiTheme="minorHAnsi" w:hAnsiTheme="minorHAnsi" w:cstheme="minorHAnsi"/>
          <w:color w:val="000000"/>
          <w:sz w:val="22"/>
          <w:szCs w:val="22"/>
          <w:lang w:val="en-GB"/>
        </w:rPr>
      </w:r>
    </w:p>
    <w:p>
      <w:pPr>
        <w:pBdr/>
        <w:spacing/>
        <w:ind/>
        <w:rPr>
          <w:lang w:val="en-GB"/>
        </w:rPr>
      </w:pPr>
      <w:r>
        <w:rPr>
          <w:lang w:val="en-GB"/>
        </w:rPr>
      </w:r>
      <w:r>
        <w:rPr>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87" w:name="_Toc207098265"/>
      <w:r>
        <w:rPr>
          <w:rFonts w:asciiTheme="minorHAnsi" w:hAnsiTheme="minorHAnsi" w:cstheme="minorHAnsi"/>
          <w:b/>
          <w:bCs/>
          <w:caps/>
          <w:sz w:val="28"/>
          <w:szCs w:val="22"/>
          <w:u w:val="single"/>
          <w:lang w:val="en"/>
        </w:rPr>
        <w:t xml:space="preserve">Bid evaluation, negotiations and award</w:t>
      </w:r>
      <w:bookmarkEnd w:id="87"/>
      <w:r/>
      <w:r>
        <w:rPr>
          <w:rFonts w:asciiTheme="minorHAnsi" w:hAnsiTheme="minorHAnsi" w:cstheme="minorHAnsi"/>
          <w:b/>
          <w:caps/>
          <w:sz w:val="28"/>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selection pro</w:t>
      </w:r>
      <w:r>
        <w:rPr>
          <w:rFonts w:asciiTheme="minorHAnsi" w:hAnsiTheme="minorHAnsi" w:cstheme="minorHAnsi"/>
          <w:color w:val="000000"/>
          <w:sz w:val="22"/>
          <w:szCs w:val="22"/>
          <w:lang w:val="en"/>
        </w:rPr>
        <w:t xml:space="preserve">cedure is conducted by the Evaluation Committee of Expertise France in accordance with the following procedure:</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88" w:name="_Toc207098266"/>
      <w:r>
        <w:rPr>
          <w:rFonts w:asciiTheme="minorHAnsi" w:hAnsiTheme="minorHAnsi" w:cstheme="minorHAnsi"/>
          <w:sz w:val="22"/>
          <w:szCs w:val="22"/>
          <w:u w:val="single"/>
          <w:lang w:val="en"/>
        </w:rPr>
        <w:t xml:space="preserve">Rejection of late bids - Opening bids</w:t>
      </w:r>
      <w:bookmarkEnd w:id="88"/>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w:t>
      </w:r>
      <w:r>
        <w:rPr>
          <w:rFonts w:asciiTheme="minorHAnsi" w:hAnsiTheme="minorHAnsi" w:cstheme="minorHAnsi"/>
          <w:color w:val="000000"/>
          <w:sz w:val="22"/>
          <w:szCs w:val="22"/>
          <w:lang w:val="en"/>
        </w:rPr>
        <w:t xml:space="preserve">nts and the composition of the bids submitted.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received after the deadline will be immediately rejected.</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89" w:name="_Toc207098267"/>
      <w:r>
        <w:rPr>
          <w:rFonts w:asciiTheme="minorHAnsi" w:hAnsiTheme="minorHAnsi" w:cstheme="minorHAnsi"/>
          <w:sz w:val="22"/>
          <w:szCs w:val="22"/>
          <w:u w:val="single"/>
          <w:lang w:val="en"/>
        </w:rPr>
        <w:t xml:space="preserve">Bid analysis</w:t>
      </w:r>
      <w:bookmarkEnd w:id="89"/>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having verified that the bids received are conforming, admissible and appropriate, the Evaluation Committee of Expertise Franc</w:t>
      </w:r>
      <w:r>
        <w:rPr>
          <w:rFonts w:asciiTheme="minorHAnsi" w:hAnsiTheme="minorHAnsi" w:cstheme="minorHAnsi"/>
          <w:color w:val="000000"/>
          <w:sz w:val="22"/>
          <w:szCs w:val="22"/>
          <w:lang w:val="en"/>
        </w:rPr>
        <w:t xml:space="preserve">e analyses the bids from selected bidders in accordance with the following criteria.</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90" w:name="_Toc207098268"/>
      <w:r>
        <w:rPr>
          <w:rFonts w:asciiTheme="minorHAnsi" w:hAnsiTheme="minorHAnsi" w:cstheme="minorHAnsi"/>
          <w:sz w:val="22"/>
          <w:szCs w:val="22"/>
          <w:u w:val="single"/>
          <w:lang w:val="en"/>
        </w:rPr>
        <w:t xml:space="preserve">Rejection of non-conforming, inadmissible or inappropriate bids</w:t>
      </w:r>
      <w:bookmarkEnd w:id="90"/>
      <w:r/>
      <w:r>
        <w:rPr>
          <w:rFonts w:asciiTheme="minorHAnsi" w:hAnsiTheme="minorHAnsi" w:cstheme="minorHAnsi"/>
          <w:sz w:val="22"/>
          <w:szCs w:val="22"/>
          <w:u w:val="single"/>
          <w:lang w:val="en-GB"/>
        </w:rPr>
      </w:r>
    </w:p>
    <w:p>
      <w:pPr>
        <w:pBdr/>
        <w:spacing/>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Evaluation Committee examines all bids received and, in accordance with Article R.2152-1 of the French </w:t>
      </w:r>
      <w:r>
        <w:rPr>
          <w:rFonts w:asciiTheme="minorHAnsi" w:hAnsiTheme="minorHAnsi" w:cstheme="minorHAnsi"/>
          <w:color w:val="000000"/>
          <w:sz w:val="22"/>
          <w:szCs w:val="22"/>
          <w:lang w:val="en"/>
        </w:rPr>
        <w:t xml:space="preserve">Public Procurement Code, rejects bids judged to be non-conforming, inadmissible or inappropriate, as applicable, after having implemented the regularisation procedure set out in Article R.2152-2 of said code.</w:t>
      </w:r>
      <w:r>
        <w:rPr>
          <w:rFonts w:asciiTheme="minorHAnsi" w:hAnsiTheme="minorHAnsi" w:cstheme="minorHAnsi"/>
          <w:color w:val="000000"/>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91" w:name="_Toc207098269"/>
      <w:r>
        <w:rPr>
          <w:rFonts w:asciiTheme="minorHAnsi" w:hAnsiTheme="minorHAnsi" w:cstheme="minorHAnsi"/>
          <w:sz w:val="22"/>
          <w:szCs w:val="22"/>
          <w:u w:val="single"/>
          <w:lang w:val="en"/>
        </w:rPr>
        <w:t xml:space="preserve">Comparison of bids for selection of the most ec</w:t>
      </w:r>
      <w:r>
        <w:rPr>
          <w:rFonts w:asciiTheme="minorHAnsi" w:hAnsiTheme="minorHAnsi" w:cstheme="minorHAnsi"/>
          <w:sz w:val="22"/>
          <w:szCs w:val="22"/>
          <w:u w:val="single"/>
          <w:lang w:val="en"/>
        </w:rPr>
        <w:t xml:space="preserve">onomically beneficial bid</w:t>
      </w:r>
      <w:bookmarkEnd w:id="91"/>
      <w:r/>
      <w:r>
        <w:rPr>
          <w:rFonts w:asciiTheme="minorHAnsi" w:hAnsiTheme="minorHAnsi" w:cstheme="minorHAnsi"/>
          <w:sz w:val="22"/>
          <w:szCs w:val="22"/>
          <w:u w:val="single"/>
          <w:lang w:val="en-GB"/>
        </w:rPr>
      </w:r>
    </w:p>
    <w:p>
      <w:pPr>
        <w:pBdr/>
        <w:spacing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Bids will be assessed separately in accordance with the following criteria by awarding a score up to the maximum number of points per criterion as set out below:</w:t>
      </w:r>
      <w:r>
        <w:rPr>
          <w:rFonts w:asciiTheme="minorHAnsi" w:hAnsiTheme="minorHAnsi" w:cstheme="minorHAnsi"/>
          <w:color w:val="000000"/>
          <w:sz w:val="22"/>
          <w:szCs w:val="22"/>
          <w:lang w:val="en-GB"/>
        </w:rPr>
      </w:r>
    </w:p>
    <w:p>
      <w:pPr>
        <w:pStyle w:val="997"/>
        <w:pBdr/>
        <w:spacing w:after="120" w:before="120" w:line="240" w:lineRule="auto"/>
        <w:ind w:left="708"/>
        <w:jc w:val="both"/>
        <w:rPr>
          <w:rFonts w:asciiTheme="minorHAnsi" w:hAnsiTheme="minorHAnsi" w:cstheme="minorHAnsi"/>
          <w:i/>
          <w:sz w:val="22"/>
          <w:szCs w:val="22"/>
          <w:lang w:val="en-GB"/>
        </w:rPr>
      </w:pPr>
      <w:r/>
      <w:bookmarkStart w:id="92" w:name="_Toc207098270"/>
      <w:r>
        <w:rPr>
          <w:rFonts w:asciiTheme="minorHAnsi" w:hAnsiTheme="minorHAnsi" w:cstheme="minorHAnsi"/>
          <w:i/>
          <w:iCs/>
          <w:sz w:val="22"/>
          <w:szCs w:val="22"/>
          <w:lang w:val="en"/>
        </w:rPr>
        <w:t xml:space="preserve">Criterion 1: P</w:t>
      </w:r>
      <w:r>
        <w:rPr>
          <w:rFonts w:asciiTheme="minorHAnsi" w:hAnsiTheme="minorHAnsi" w:cstheme="minorHAnsi"/>
          <w:i/>
          <w:iCs/>
          <w:sz w:val="22"/>
          <w:szCs w:val="22"/>
          <w:lang w:val="en"/>
        </w:rPr>
        <w:t xml:space="preserve">rice of the services</w:t>
      </w:r>
      <w:bookmarkEnd w:id="92"/>
      <w:r>
        <w:rPr>
          <w:rFonts w:asciiTheme="minorHAnsi" w:hAnsiTheme="minorHAnsi" w:cstheme="minorHAnsi"/>
          <w:i/>
          <w:iCs/>
          <w:sz w:val="22"/>
          <w:szCs w:val="22"/>
          <w:lang w:val="en"/>
        </w:rPr>
        <w:t xml:space="preserve"> </w:t>
      </w:r>
      <w:r>
        <w:rPr>
          <w:rFonts w:asciiTheme="minorHAnsi" w:hAnsiTheme="minorHAnsi" w:cstheme="minorHAnsi"/>
          <w:i/>
          <w:sz w:val="22"/>
          <w:szCs w:val="22"/>
          <w:lang w:val="en-GB"/>
        </w:rPr>
      </w:r>
    </w:p>
    <w:p>
      <w:pPr>
        <w:pBdr/>
        <w:spacing w:before="120"/>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w:t>
      </w:r>
      <w:r>
        <w:rPr>
          <w:rFonts w:asciiTheme="minorHAnsi" w:hAnsiTheme="minorHAnsi" w:cstheme="minorHAnsi"/>
          <w:b/>
          <w:bCs/>
          <w:sz w:val="22"/>
          <w:szCs w:val="22"/>
          <w:highlight w:val="white"/>
          <w:lang w:val="en"/>
        </w:rPr>
        <w:t xml:space="preserve">f 8</w:t>
      </w:r>
      <w:r>
        <w:rPr>
          <w:rFonts w:asciiTheme="minorHAnsi" w:hAnsiTheme="minorHAnsi" w:cstheme="minorHAnsi"/>
          <w:b/>
          <w:bCs/>
          <w:sz w:val="22"/>
          <w:szCs w:val="22"/>
          <w:highlight w:val="white"/>
          <w:lang w:val="en"/>
        </w:rPr>
        <w:t xml:space="preserve">0 p</w:t>
      </w:r>
      <w:r>
        <w:rPr>
          <w:rFonts w:asciiTheme="minorHAnsi" w:hAnsiTheme="minorHAnsi" w:cstheme="minorHAnsi"/>
          <w:b/>
          <w:bCs/>
          <w:sz w:val="22"/>
          <w:szCs w:val="22"/>
          <w:lang w:val="en"/>
        </w:rPr>
        <w:t xml:space="preserve">oints)</w:t>
      </w:r>
      <w:r>
        <w:rPr>
          <w:rFonts w:asciiTheme="minorHAnsi" w:hAnsiTheme="minorHAnsi" w:cstheme="minorHAnsi"/>
          <w:sz w:val="22"/>
          <w:szCs w:val="22"/>
          <w:lang w:val="en"/>
        </w:rPr>
        <w:t xml:space="preserve"> will cover the comparison of the financial offers of all candidates having submitted a conforming bid.</w:t>
      </w:r>
      <w:r>
        <w:rPr>
          <w:rFonts w:asciiTheme="minorHAnsi" w:hAnsiTheme="minorHAnsi" w:cstheme="minorHAnsi"/>
          <w:sz w:val="22"/>
          <w:szCs w:val="22"/>
          <w:lang w:val="en"/>
        </w:rPr>
      </w:r>
    </w:p>
    <w:p>
      <w:pPr>
        <w:pStyle w:val="997"/>
        <w:pBdr/>
        <w:spacing w:after="120" w:before="120" w:line="240" w:lineRule="auto"/>
        <w:ind w:left="708"/>
        <w:jc w:val="both"/>
        <w:rPr>
          <w:rFonts w:asciiTheme="minorHAnsi" w:hAnsiTheme="minorHAnsi" w:cstheme="minorHAnsi"/>
          <w:i/>
          <w:sz w:val="22"/>
          <w:szCs w:val="22"/>
        </w:rPr>
      </w:pPr>
      <w:r/>
      <w:bookmarkStart w:id="93" w:name="_Toc207098271"/>
      <w:r>
        <w:rPr>
          <w:rFonts w:asciiTheme="minorHAnsi" w:hAnsiTheme="minorHAnsi" w:cstheme="minorHAnsi"/>
          <w:i/>
          <w:iCs/>
          <w:sz w:val="22"/>
          <w:szCs w:val="22"/>
          <w:lang w:val="en"/>
        </w:rPr>
        <w:t xml:space="preserve">Criterion 2: Technical offer</w:t>
      </w:r>
      <w:bookmarkEnd w:id="93"/>
      <w:r/>
      <w:r>
        <w:rPr>
          <w:rFonts w:asciiTheme="minorHAnsi" w:hAnsiTheme="minorHAnsi" w:cstheme="minorHAnsi"/>
          <w:i/>
          <w:sz w:val="22"/>
          <w:szCs w:val="22"/>
        </w:rPr>
      </w:r>
    </w:p>
    <w:tbl>
      <w:tblPr>
        <w:tblStyle w:val="1273"/>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Sub-criteria for assessing the technical quality</w:t>
            </w:r>
            <w:r>
              <w:rPr>
                <w:rFonts w:asciiTheme="minorHAnsi" w:hAnsiTheme="minorHAnsi" w:cstheme="minorHAnsi"/>
                <w:b/>
                <w:sz w:val="22"/>
                <w:szCs w:val="22"/>
                <w:lang w:val="en-GB"/>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bCs/>
                <w:sz w:val="22"/>
                <w:szCs w:val="22"/>
                <w:lang w:val="en"/>
              </w:rPr>
              <w:t xml:space="preserve">Maximum number of point</w:t>
            </w:r>
            <w:r>
              <w:rPr>
                <w:rFonts w:asciiTheme="minorHAnsi" w:hAnsiTheme="minorHAnsi" w:cstheme="minorHAnsi"/>
                <w:b/>
                <w:bCs/>
                <w:sz w:val="22"/>
                <w:szCs w:val="22"/>
                <w:lang w:val="en"/>
              </w:rPr>
              <w:t xml:space="preserve">s</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Calibri" w:hAnsi="Calibri" w:cs="Calibri"/>
                <w:b/>
                <w:sz w:val="22"/>
                <w:szCs w:val="22"/>
                <w:highlight w:val="white"/>
              </w:rPr>
            </w:pPr>
            <w:r>
              <w:rPr>
                <w:rFonts w:ascii="Calibri" w:hAnsi="Calibri" w:eastAsia="Calibri" w:cs="Calibri"/>
                <w:b/>
                <w:bCs/>
                <w:sz w:val="22"/>
                <w:szCs w:val="22"/>
                <w:highlight w:val="white"/>
                <w:lang w:val="en"/>
              </w:rPr>
              <w:t xml:space="preserve">Sub-criterion 1: </w:t>
            </w:r>
            <w:r>
              <w:rPr>
                <w:rFonts w:ascii="Calibri" w:hAnsi="Calibri" w:eastAsia="Calibri" w:cs="Calibri"/>
                <w:color w:val="000000"/>
                <w:sz w:val="22"/>
                <w:szCs w:val="22"/>
              </w:rPr>
              <w:t xml:space="preserve">Offered timelines.</w:t>
            </w:r>
            <w:r>
              <w:rPr>
                <w:rFonts w:ascii="Calibri" w:hAnsi="Calibri" w:eastAsia="Calibri" w:cs="Calibri"/>
                <w:color w:val="000000"/>
                <w:sz w:val="22"/>
                <w:szCs w:val="22"/>
              </w:rPr>
              <w:t xml:space="preserve"> To be evaluated based on the provided details of the timelines and their responsiveness to Expertise France’s expectations. Delivery of the vehicle earlier than stipulated in this ToR is preferred.</w:t>
            </w:r>
            <w:r>
              <w:rPr>
                <w:rFonts w:ascii="Calibri" w:hAnsi="Calibri" w:cs="Calibri"/>
                <w:b/>
                <w:sz w:val="22"/>
                <w:szCs w:val="22"/>
                <w:highlight w:val="white"/>
              </w:rPr>
            </w:r>
          </w:p>
        </w:tc>
        <w:tc>
          <w:tcPr>
            <w:tcBorders/>
            <w:tcW w:w="2692" w:type="dxa"/>
            <w:textDirection w:val="lrTb"/>
            <w:noWrap w:val="false"/>
          </w:tcPr>
          <w:p>
            <w:pPr>
              <w:pBdr/>
              <w:spacing/>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10</w:t>
            </w:r>
            <w:r>
              <w:rPr>
                <w:rFonts w:asciiTheme="minorHAnsi" w:hAnsiTheme="minorHAnsi" w:cstheme="minorHAnsi"/>
                <w:b/>
                <w:sz w:val="22"/>
                <w:szCs w:val="22"/>
                <w:highlight w:val="white"/>
              </w:rPr>
            </w:r>
          </w:p>
        </w:tc>
      </w:tr>
      <w:tr>
        <w:trPr/>
        <w:tc>
          <w:tcPr>
            <w:tcBorders/>
            <w:tcW w:w="6654"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cs="Calibri"/>
                <w:color w:val="000000"/>
                <w:sz w:val="22"/>
                <w:szCs w:val="22"/>
              </w:rPr>
            </w:pPr>
            <w:r>
              <w:rPr>
                <w:rFonts w:ascii="Calibri" w:hAnsi="Calibri" w:eastAsia="Calibri" w:cs="Calibri"/>
                <w:b/>
                <w:bCs/>
                <w:sz w:val="22"/>
                <w:szCs w:val="22"/>
                <w:highlight w:val="white"/>
                <w:lang w:val="en"/>
              </w:rPr>
              <w:t xml:space="preserve">Sub-criterion 2: </w:t>
            </w:r>
            <w:r>
              <w:rPr>
                <w:rFonts w:ascii="Calibri" w:hAnsi="Calibri" w:eastAsia="Calibri" w:cs="Calibri"/>
                <w:color w:val="000000"/>
                <w:sz w:val="22"/>
                <w:szCs w:val="22"/>
              </w:rPr>
              <w:t xml:space="preserve">Availability of service centers in Chernihiv</w:t>
            </w:r>
            <w:r>
              <w:rPr>
                <w:rFonts w:ascii="Calibri" w:hAnsi="Calibri" w:cs="Calibri"/>
                <w:color w:val="000000"/>
                <w:sz w:val="22"/>
                <w:szCs w:val="22"/>
              </w:rPr>
            </w:r>
          </w:p>
        </w:tc>
        <w:tc>
          <w:tcPr>
            <w:tcBorders/>
            <w:tcW w:w="2692" w:type="dxa"/>
            <w:textDirection w:val="lrTb"/>
            <w:noWrap w:val="false"/>
          </w:tcPr>
          <w:p>
            <w:pPr>
              <w:pBdr/>
              <w:spacing/>
              <w:ind/>
              <w:jc w:val="center"/>
              <w:rPr>
                <w:rFonts w:asciiTheme="minorHAnsi" w:hAnsiTheme="minorHAnsi" w:cstheme="minorHAnsi"/>
                <w:b/>
                <w:sz w:val="22"/>
                <w:szCs w:val="22"/>
                <w:highlight w:val="white"/>
              </w:rPr>
            </w:pPr>
            <w:r>
              <w:rPr>
                <w:rFonts w:asciiTheme="minorHAnsi" w:hAnsiTheme="minorHAnsi" w:cstheme="minorHAnsi"/>
                <w:b/>
                <w:bCs/>
                <w:sz w:val="22"/>
                <w:szCs w:val="22"/>
                <w:highlight w:val="white"/>
                <w:lang w:val="en"/>
              </w:rPr>
              <w:t xml:space="preserve">5</w:t>
            </w:r>
            <w:r>
              <w:rPr>
                <w:rFonts w:asciiTheme="minorHAnsi" w:hAnsiTheme="minorHAnsi" w:cstheme="minorHAnsi"/>
                <w:b/>
                <w:sz w:val="22"/>
                <w:szCs w:val="22"/>
                <w:highlight w:val="white"/>
              </w:rPr>
            </w:r>
          </w:p>
        </w:tc>
      </w:tr>
      <w:tr>
        <w:trPr/>
        <w:tc>
          <w:tcPr>
            <w:tcBorders/>
            <w:tcW w:w="6654"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line="240" w:lineRule="auto"/>
              <w:ind/>
              <w:rPr>
                <w:rFonts w:ascii="Calibri" w:hAnsi="Calibri" w:eastAsia="Calibri" w:cs="Calibri"/>
                <w:b/>
                <w:bCs/>
                <w:sz w:val="22"/>
                <w:szCs w:val="22"/>
                <w:highlight w:val="white"/>
                <w:lang w:val="en"/>
              </w:rPr>
            </w:pPr>
            <w:r>
              <w:rPr>
                <w:rFonts w:ascii="Calibri" w:hAnsi="Calibri" w:eastAsia="Calibri" w:cs="Calibri"/>
                <w:b/>
                <w:bCs/>
                <w:sz w:val="22"/>
                <w:szCs w:val="22"/>
                <w:highlight w:val="white"/>
                <w:lang w:val="en"/>
              </w:rPr>
              <w:t xml:space="preserve">Sub-criterion 3: </w:t>
            </w:r>
            <w:r>
              <w:rPr>
                <w:rFonts w:ascii="Calibri" w:hAnsi="Calibri" w:eastAsia="Calibri" w:cs="Calibri"/>
                <w:color w:val="000000"/>
                <w:sz w:val="22"/>
                <w:szCs w:val="22"/>
              </w:rPr>
              <w:t xml:space="preserve">Warranty period (will be awarded if the offered warranty period exceeds the required minimum).</w:t>
            </w:r>
            <w:r>
              <w:rPr>
                <w:rFonts w:ascii="Calibri" w:hAnsi="Calibri" w:eastAsia="Calibri" w:cs="Calibri"/>
                <w:b/>
                <w:bCs/>
                <w:sz w:val="22"/>
                <w:szCs w:val="22"/>
                <w:highlight w:val="white"/>
                <w:lang w:val="en"/>
              </w:rPr>
            </w:r>
          </w:p>
        </w:tc>
        <w:tc>
          <w:tcPr>
            <w:tcBorders/>
            <w:tcW w:w="2692" w:type="dxa"/>
            <w:textDirection w:val="lrTb"/>
            <w:noWrap w:val="false"/>
          </w:tcPr>
          <w:p>
            <w:pPr>
              <w:pBdr/>
              <w:spacing/>
              <w:ind/>
              <w:jc w:val="center"/>
              <w:rPr>
                <w:rFonts w:asciiTheme="minorHAnsi" w:hAnsiTheme="minorHAnsi" w:cstheme="minorHAnsi"/>
                <w:b/>
                <w:bCs/>
                <w:sz w:val="22"/>
                <w:szCs w:val="22"/>
                <w:highlight w:val="white"/>
                <w:lang w:val="en"/>
              </w:rPr>
            </w:pPr>
            <w:r>
              <w:rPr>
                <w:rFonts w:asciiTheme="minorHAnsi" w:hAnsiTheme="minorHAnsi" w:cstheme="minorHAnsi"/>
                <w:b/>
                <w:bCs/>
                <w:sz w:val="22"/>
                <w:szCs w:val="22"/>
                <w:highlight w:val="white"/>
                <w:lang w:val="en"/>
              </w:rPr>
              <w:t xml:space="preserve">5</w:t>
            </w:r>
            <w:r>
              <w:rPr>
                <w:rFonts w:asciiTheme="minorHAnsi" w:hAnsiTheme="minorHAnsi" w:cstheme="minorHAnsi"/>
                <w:b/>
                <w:bCs/>
                <w:sz w:val="22"/>
                <w:szCs w:val="22"/>
                <w:highlight w:val="white"/>
                <w:lang w:val="en"/>
              </w:rPr>
            </w:r>
          </w:p>
        </w:tc>
      </w:tr>
    </w:tbl>
    <w:p>
      <w:pPr>
        <w:pBdr/>
        <w:spacing w:before="120"/>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w:t>
      </w:r>
      <w:r>
        <w:rPr>
          <w:rFonts w:asciiTheme="minorHAnsi" w:hAnsiTheme="minorHAnsi" w:cstheme="minorHAnsi"/>
          <w:b/>
          <w:bCs/>
          <w:sz w:val="22"/>
          <w:szCs w:val="22"/>
          <w:highlight w:val="white"/>
          <w:lang w:val="en"/>
        </w:rPr>
        <w:t xml:space="preserve">f 2</w:t>
      </w:r>
      <w:r>
        <w:rPr>
          <w:rFonts w:asciiTheme="minorHAnsi" w:hAnsiTheme="minorHAnsi" w:cstheme="minorHAnsi"/>
          <w:b/>
          <w:bCs/>
          <w:sz w:val="22"/>
          <w:szCs w:val="22"/>
          <w:highlight w:val="white"/>
          <w:lang w:val="en"/>
        </w:rPr>
        <w:t xml:space="preserve">0 p</w:t>
      </w:r>
      <w:r>
        <w:rPr>
          <w:rFonts w:asciiTheme="minorHAnsi" w:hAnsiTheme="minorHAnsi" w:cstheme="minorHAnsi"/>
          <w:b/>
          <w:bCs/>
          <w:sz w:val="22"/>
          <w:szCs w:val="22"/>
          <w:lang w:val="en"/>
        </w:rPr>
        <w:t xml:space="preserve">oints) </w:t>
      </w:r>
      <w:r>
        <w:rPr>
          <w:rFonts w:asciiTheme="minorHAnsi" w:hAnsiTheme="minorHAnsi" w:cstheme="minorHAnsi"/>
          <w:sz w:val="22"/>
          <w:szCs w:val="22"/>
          <w:lang w:val="en"/>
        </w:rPr>
        <w:t xml:space="preserve">by adding up the weighted scores obtained for each sub-criterion.</w:t>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94" w:name="_Toc207098272"/>
      <w:r>
        <w:rPr>
          <w:rFonts w:asciiTheme="minorHAnsi" w:hAnsiTheme="minorHAnsi" w:cstheme="minorHAnsi"/>
          <w:sz w:val="22"/>
          <w:szCs w:val="22"/>
          <w:u w:val="single"/>
          <w:lang w:val="en"/>
        </w:rPr>
        <w:t xml:space="preserve">Negotiations</w:t>
      </w:r>
      <w:bookmarkEnd w:id="94"/>
      <w:r/>
      <w:r>
        <w:rPr>
          <w:rFonts w:asciiTheme="minorHAnsi" w:hAnsiTheme="minorHAnsi" w:cstheme="minorHAnsi"/>
          <w:sz w:val="22"/>
          <w:szCs w:val="22"/>
          <w:u w:val="single"/>
          <w:lang w:val="en-GB"/>
        </w:rPr>
      </w:r>
    </w:p>
    <w:p>
      <w:pPr>
        <w:pBdr/>
        <w:spacing w:before="120"/>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w:t>
      </w:r>
      <w:r>
        <w:rPr>
          <w:rFonts w:asciiTheme="minorHAnsi" w:hAnsiTheme="minorHAnsi" w:cstheme="minorHAnsi"/>
          <w:color w:val="000000"/>
          <w:sz w:val="22"/>
          <w:szCs w:val="22"/>
          <w:lang w:val="en"/>
        </w:rPr>
        <w:t xml:space="preserve">cordance with the principle of equality of treatment. </w:t>
      </w:r>
      <w:r>
        <w:rPr>
          <w:rFonts w:asciiTheme="minorHAnsi" w:hAnsiTheme="minorHAnsi" w:cstheme="minorHAnsi"/>
          <w:color w:val="000000"/>
          <w:sz w:val="22"/>
          <w:szCs w:val="22"/>
          <w:lang w:val="en-GB"/>
        </w:rPr>
      </w:r>
    </w:p>
    <w:p>
      <w:pPr>
        <w:pBdr/>
        <w:spacing w:before="120"/>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However, the contracting authority reserves the right to award the tender without negotiation.</w:t>
      </w:r>
      <w:r>
        <w:rPr>
          <w:rFonts w:asciiTheme="minorHAnsi" w:hAnsiTheme="minorHAnsi" w:cstheme="minorHAnsi"/>
          <w:sz w:val="22"/>
          <w:szCs w:val="22"/>
          <w:lang w:val="en"/>
        </w:rPr>
      </w:r>
    </w:p>
    <w:p>
      <w:pPr>
        <w:pBdr/>
        <w:spacing w:line="240" w:lineRule="auto"/>
        <w:ind/>
        <w:rPr>
          <w:rFonts w:asciiTheme="minorHAnsi" w:hAnsiTheme="minorHAnsi" w:cstheme="minorHAnsi"/>
          <w:sz w:val="22"/>
          <w:szCs w:val="22"/>
          <w:lang w:val="en"/>
        </w:rPr>
      </w:pPr>
      <w:r>
        <w:rPr>
          <w:rFonts w:asciiTheme="minorHAnsi" w:hAnsiTheme="minorHAnsi" w:cstheme="minorHAnsi"/>
          <w:sz w:val="22"/>
          <w:szCs w:val="22"/>
          <w:lang w:val="en"/>
        </w:rPr>
        <w:br w:type="page" w:clear="all"/>
      </w:r>
      <w:r>
        <w:rPr>
          <w:rFonts w:asciiTheme="minorHAnsi" w:hAnsiTheme="minorHAnsi" w:cstheme="minorHAnsi"/>
          <w:sz w:val="22"/>
          <w:szCs w:val="22"/>
          <w:lang w:val="en"/>
        </w:rPr>
      </w:r>
    </w:p>
    <w:p>
      <w:pPr>
        <w:pStyle w:val="997"/>
        <w:pBdr/>
        <w:spacing w:after="120" w:before="120" w:line="240" w:lineRule="auto"/>
        <w:ind w:left="708"/>
        <w:jc w:val="both"/>
        <w:rPr>
          <w:rFonts w:asciiTheme="minorHAnsi" w:hAnsiTheme="minorHAnsi" w:cstheme="minorHAnsi"/>
          <w:i/>
          <w:sz w:val="22"/>
          <w:szCs w:val="22"/>
          <w:lang w:val="en-GB"/>
        </w:rPr>
      </w:pPr>
      <w:r/>
      <w:bookmarkStart w:id="95" w:name="_Toc207098273"/>
      <w:r>
        <w:rPr>
          <w:rFonts w:asciiTheme="minorHAnsi" w:hAnsiTheme="minorHAnsi" w:cstheme="minorHAnsi"/>
          <w:i/>
          <w:iCs/>
          <w:sz w:val="22"/>
          <w:szCs w:val="22"/>
          <w:lang w:val="en"/>
        </w:rPr>
        <w:t xml:space="preserve">Bidder interviews – bid negotiations</w:t>
      </w:r>
      <w:bookmarkEnd w:id="95"/>
      <w:r/>
      <w:r>
        <w:rPr>
          <w:rFonts w:asciiTheme="minorHAnsi" w:hAnsiTheme="minorHAnsi" w:cstheme="minorHAnsi"/>
          <w: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Negotiations may take place remotely.</w:t>
      </w:r>
      <w:r>
        <w:rPr>
          <w:rFonts w:asciiTheme="minorHAnsi" w:hAnsiTheme="minorHAnsi" w:cstheme="minorHAnsi"/>
          <w:sz w:val="22"/>
          <w:szCs w:val="22"/>
          <w:lang w:val="en-GB"/>
        </w:rPr>
      </w:r>
    </w:p>
    <w:p>
      <w:pPr>
        <w:pStyle w:val="997"/>
        <w:pBdr/>
        <w:spacing w:after="120" w:before="120" w:line="240" w:lineRule="auto"/>
        <w:ind/>
        <w:jc w:val="both"/>
        <w:rPr>
          <w:rFonts w:asciiTheme="minorHAnsi" w:hAnsiTheme="minorHAnsi" w:cstheme="minorHAnsi"/>
          <w:caps/>
          <w:sz w:val="28"/>
          <w:szCs w:val="22"/>
          <w:u w:val="single"/>
          <w:lang w:val="en-GB"/>
        </w:rPr>
      </w:pPr>
      <w:r/>
      <w:bookmarkStart w:id="96" w:name="_Toc207098274"/>
      <w:r>
        <w:rPr>
          <w:rFonts w:asciiTheme="minorHAnsi" w:hAnsiTheme="minorHAnsi" w:cstheme="minorHAnsi"/>
          <w:sz w:val="22"/>
          <w:szCs w:val="22"/>
          <w:u w:val="single"/>
          <w:lang w:val="en"/>
        </w:rPr>
        <w:t xml:space="preserve">Award process</w:t>
      </w:r>
      <w:bookmarkEnd w:id="96"/>
      <w:r>
        <w:rPr>
          <w:rFonts w:asciiTheme="minorHAnsi" w:hAnsiTheme="minorHAnsi" w:cstheme="minorHAnsi"/>
          <w:b w:val="0"/>
          <w:bCs w:val="0"/>
          <w:caps/>
          <w:sz w:val="28"/>
          <w:szCs w:val="22"/>
          <w:u w:val="single"/>
          <w:lang w:val="en"/>
        </w:rPr>
        <w:t xml:space="preserve"> </w:t>
      </w:r>
      <w:r>
        <w:rPr>
          <w:rFonts w:asciiTheme="minorHAnsi" w:hAnsiTheme="minorHAnsi" w:cstheme="minorHAnsi"/>
          <w:caps/>
          <w:sz w:val="28"/>
          <w:szCs w:val="22"/>
          <w:u w:val="single"/>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 xml:space="preserve">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 xml:space="preserve">OS=FS+TS</w:t>
      </w:r>
      <w:r>
        <w:rPr>
          <w:rFonts w:asciiTheme="minorHAnsi" w:hAnsiTheme="minorHAnsi" w:cstheme="minorHAnsi"/>
          <w:sz w:val="22"/>
          <w:szCs w:val="22"/>
          <w:lang w:val="en"/>
        </w:rPr>
        <w:t xml:space="preserve">) will be attributed to each bid that has been assessed for its technical and financial content.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bidder who obtains the highest ov</w:t>
      </w:r>
      <w:r>
        <w:rPr>
          <w:rFonts w:asciiTheme="minorHAnsi" w:hAnsiTheme="minorHAnsi" w:cstheme="minorHAnsi"/>
          <w:sz w:val="22"/>
          <w:szCs w:val="22"/>
          <w:lang w:val="en"/>
        </w:rPr>
        <w:t xml:space="preserve">erall score will be deemed to have made the most beneficial economic offer and will be awarded the contract.</w:t>
      </w:r>
      <w:r>
        <w:rPr>
          <w:rFonts w:asciiTheme="minorHAnsi" w:hAnsiTheme="minorHAnsi" w:cstheme="minorHAnsi"/>
          <w:sz w:val="22"/>
          <w:szCs w:val="22"/>
          <w:lang w:val="en-GB"/>
        </w:rPr>
      </w:r>
    </w:p>
    <w:p>
      <w:pPr>
        <w:pBdr/>
        <w:spacing w:before="120" w:line="240" w:lineRule="auto"/>
        <w:ind/>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contracting authority may decide not to pursue the tender for reasons of public interest.</w:t>
      </w:r>
      <w:r>
        <w:rPr>
          <w:rFonts w:asciiTheme="minorHAnsi" w:hAnsiTheme="minorHAnsi" w:cstheme="minorHAnsi"/>
          <w:color w:val="000000"/>
          <w:sz w:val="22"/>
          <w:szCs w:val="22"/>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lang w:val="en-GB"/>
        </w:rPr>
      </w:pPr>
      <w:r/>
      <w:bookmarkStart w:id="97" w:name="_Toc491193970"/>
      <w:r/>
      <w:bookmarkStart w:id="98" w:name="_Toc491193515"/>
      <w:r/>
      <w:bookmarkStart w:id="99" w:name="_Toc207098275"/>
      <w:r/>
      <w:bookmarkEnd w:id="97"/>
      <w:r/>
      <w:bookmarkEnd w:id="98"/>
      <w:r>
        <w:rPr>
          <w:rFonts w:asciiTheme="minorHAnsi" w:hAnsiTheme="minorHAnsi" w:cstheme="minorHAnsi"/>
          <w:b/>
          <w:bCs/>
          <w:caps/>
          <w:sz w:val="28"/>
          <w:szCs w:val="22"/>
          <w:u w:val="single"/>
          <w:lang w:val="en"/>
        </w:rPr>
        <w:t xml:space="preserve">Processing of personal data in the context of this te</w:t>
      </w:r>
      <w:r>
        <w:rPr>
          <w:rFonts w:asciiTheme="minorHAnsi" w:hAnsiTheme="minorHAnsi" w:cstheme="minorHAnsi"/>
          <w:b/>
          <w:bCs/>
          <w:caps/>
          <w:sz w:val="28"/>
          <w:szCs w:val="22"/>
          <w:u w:val="single"/>
          <w:lang w:val="en"/>
        </w:rPr>
        <w:t xml:space="preserve">nder and for the purposes of contract monitoring</w:t>
      </w:r>
      <w:bookmarkEnd w:id="99"/>
      <w:r/>
      <w:r>
        <w:rPr>
          <w:rFonts w:asciiTheme="minorHAnsi" w:hAnsiTheme="minorHAnsi" w:cstheme="minorHAnsi"/>
          <w:b/>
          <w:caps/>
          <w:sz w:val="28"/>
          <w:szCs w:val="22"/>
          <w:u w:val="single"/>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 13 or Regulation (EU) no. 2016/679 of the European Parliament and of the Council of 27 April 2016 on the protection of natural persons with regard to the processing of personal data and on the </w:t>
      </w:r>
      <w:r>
        <w:rPr>
          <w:rFonts w:asciiTheme="minorHAnsi" w:hAnsiTheme="minorHAnsi" w:cstheme="minorHAnsi"/>
          <w:color w:val="auto"/>
          <w:sz w:val="22"/>
          <w:szCs w:val="22"/>
          <w:lang w:val="en"/>
        </w:rPr>
        <w:t xml:space="preserve">free movement of such data (GDPR), the applicants/bidders are notified that personal data, notably name, first name and e-mail address collected when using under the French government procurement platform (https://www.marches-publics.gouv.fr) in the contex</w:t>
      </w:r>
      <w:r>
        <w:rPr>
          <w:rFonts w:asciiTheme="minorHAnsi" w:hAnsiTheme="minorHAnsi" w:cstheme="minorHAnsi"/>
          <w:color w:val="auto"/>
          <w:sz w:val="22"/>
          <w:szCs w:val="22"/>
          <w:lang w:val="en"/>
        </w:rPr>
        <w:t xml:space="preserve">t of this tender procedure and execution of the associated contract, may be processed.</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 xml:space="preserve">Ministère de l’action et des comptes publics</w:t>
      </w:r>
      <w:r>
        <w:rPr>
          <w:rFonts w:asciiTheme="minorHAnsi" w:hAnsiTheme="minorHAnsi" w:cstheme="minorHAnsi"/>
          <w:color w:val="auto"/>
          <w:sz w:val="22"/>
          <w:szCs w:val="22"/>
          <w:lang w:val="en"/>
        </w:rPr>
        <w:t xml:space="preserve"> (Ministry of Public Accounts) – the procurement department of the State an</w:t>
      </w:r>
      <w:r>
        <w:rPr>
          <w:rFonts w:asciiTheme="minorHAnsi" w:hAnsiTheme="minorHAnsi" w:cstheme="minorHAnsi"/>
          <w:color w:val="auto"/>
          <w:sz w:val="22"/>
          <w:szCs w:val="22"/>
          <w:lang w:val="en"/>
        </w:rPr>
        <w:t xml:space="preserve">d of Expertise France, the contracting authority, are co-controllers of personal data.</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outside the scope of PLACE services, Expertise France, the contracting authority, is the controller of personal data.</w:t>
      </w:r>
      <w:r>
        <w:rPr>
          <w:rFonts w:asciiTheme="minorHAnsi" w:hAnsiTheme="minorHAnsi" w:cstheme="minorHAnsi"/>
          <w:color w:val="auto"/>
          <w:sz w:val="22"/>
          <w:szCs w:val="22"/>
          <w:lang w:val="en-GB"/>
        </w:rPr>
      </w:r>
    </w:p>
    <w:p>
      <w:pPr>
        <w:pStyle w:val="997"/>
        <w:pBdr/>
        <w:spacing w:after="120" w:before="120" w:line="240" w:lineRule="auto"/>
        <w:ind/>
        <w:jc w:val="both"/>
        <w:rPr>
          <w:rFonts w:asciiTheme="minorHAnsi" w:hAnsiTheme="minorHAnsi" w:cstheme="minorHAnsi"/>
          <w:sz w:val="22"/>
          <w:szCs w:val="22"/>
          <w:u w:val="single"/>
          <w:lang w:val="en-GB"/>
        </w:rPr>
      </w:pPr>
      <w:r/>
      <w:bookmarkStart w:id="100" w:name="_Toc207098276"/>
      <w:r>
        <w:rPr>
          <w:rFonts w:asciiTheme="minorHAnsi" w:hAnsiTheme="minorHAnsi" w:cstheme="minorHAnsi"/>
          <w:sz w:val="22"/>
          <w:szCs w:val="22"/>
          <w:u w:val="single"/>
          <w:lang w:val="en"/>
        </w:rPr>
        <w:t xml:space="preserve">Identity and contact details of the data controller and its representative</w:t>
      </w:r>
      <w:bookmarkEnd w:id="100"/>
      <w:r/>
      <w:r>
        <w:rPr>
          <w:rFonts w:asciiTheme="minorHAnsi" w:hAnsiTheme="minorHAnsi" w:cstheme="minorHAnsi"/>
          <w:sz w:val="22"/>
          <w:szCs w:val="22"/>
          <w:u w:val="single"/>
          <w:lang w:val="en-GB"/>
        </w:rPr>
      </w:r>
    </w:p>
    <w:p>
      <w:pPr>
        <w:pStyle w:val="997"/>
        <w:pBdr/>
        <w:spacing w:after="120" w:before="120" w:line="240" w:lineRule="auto"/>
        <w:ind w:left="708"/>
        <w:jc w:val="both"/>
        <w:rPr>
          <w:rFonts w:asciiTheme="minorHAnsi" w:hAnsiTheme="minorHAnsi" w:cstheme="minorHAnsi"/>
          <w:sz w:val="22"/>
          <w:szCs w:val="22"/>
          <w:u w:val="single"/>
        </w:rPr>
      </w:pPr>
      <w:r/>
      <w:bookmarkStart w:id="101" w:name="_Toc207098277"/>
      <w:r>
        <w:rPr>
          <w:rFonts w:asciiTheme="minorHAnsi" w:hAnsiTheme="minorHAnsi" w:cstheme="minorHAnsi"/>
          <w:sz w:val="22"/>
          <w:szCs w:val="22"/>
          <w:u w:val="single"/>
        </w:rPr>
        <w:t xml:space="preserve">For the PLACE platform:</w:t>
      </w:r>
      <w:bookmarkEnd w:id="101"/>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266"/>
        <w:pBdr/>
        <w:spacing w:before="120"/>
        <w:ind/>
        <w:jc w:val="both"/>
        <w:rPr>
          <w:rFonts w:asciiTheme="minorHAnsi" w:hAnsiTheme="minorHAnsi" w:cstheme="minorHAnsi"/>
          <w:color w:val="auto"/>
          <w:sz w:val="22"/>
          <w:szCs w:val="22"/>
        </w:rPr>
      </w:pPr>
      <w:r>
        <w:rPr>
          <w:rFonts w:asciiTheme="minorHAnsi" w:hAnsiTheme="minorHAnsi" w:cstheme="minorHAnsi"/>
          <w:i/>
          <w:iCs/>
          <w:color w:val="auto"/>
          <w:sz w:val="22"/>
          <w:szCs w:val="22"/>
        </w:rPr>
        <w:t xml:space="preserve">Ministère de l'action et des comptes publics</w:t>
      </w:r>
      <w:r>
        <w:rPr>
          <w:rFonts w:asciiTheme="minorHAnsi" w:hAnsiTheme="minorHAnsi" w:cstheme="minorHAnsi"/>
          <w:color w:val="auto"/>
          <w:sz w:val="22"/>
          <w:szCs w:val="22"/>
        </w:rPr>
        <w:t xml:space="preserve"> (Ministry of Public Accounts)</w:t>
      </w:r>
      <w:r>
        <w:rPr>
          <w:rFonts w:asciiTheme="minorHAnsi" w:hAnsiTheme="minorHAnsi" w:cstheme="minorHAnsi"/>
          <w:color w:val="auto"/>
          <w:sz w:val="22"/>
          <w:szCs w:val="22"/>
        </w:rPr>
      </w:r>
    </w:p>
    <w:p>
      <w:pPr>
        <w:pStyle w:val="1266"/>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p>
    <w:p>
      <w:pPr>
        <w:pStyle w:val="1266"/>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Director of </w:t>
      </w:r>
      <w:r>
        <w:rPr>
          <w:rFonts w:asciiTheme="minorHAnsi" w:hAnsiTheme="minorHAnsi" w:cstheme="minorHAnsi"/>
          <w:color w:val="auto"/>
          <w:sz w:val="22"/>
          <w:szCs w:val="22"/>
          <w:lang w:val="en"/>
        </w:rPr>
        <w:t xml:space="preserve">Public Procurement</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Department of Public Procurement, represented by its director.</w:t>
      </w:r>
      <w:r>
        <w:rPr>
          <w:rFonts w:asciiTheme="minorHAnsi" w:hAnsiTheme="minorHAnsi" w:cstheme="minorHAnsi"/>
          <w:color w:val="auto"/>
          <w:sz w:val="22"/>
          <w:szCs w:val="22"/>
          <w:lang w:val="en-GB"/>
        </w:rPr>
      </w:r>
    </w:p>
    <w:p>
      <w:pPr>
        <w:pStyle w:val="997"/>
        <w:pBdr/>
        <w:spacing w:after="120" w:before="120" w:line="240" w:lineRule="auto"/>
        <w:ind w:left="708"/>
        <w:jc w:val="both"/>
        <w:rPr>
          <w:rFonts w:asciiTheme="minorHAnsi" w:hAnsiTheme="minorHAnsi" w:cstheme="minorHAnsi"/>
          <w:sz w:val="22"/>
          <w:szCs w:val="22"/>
          <w:u w:val="single"/>
          <w:lang w:val="en-GB"/>
        </w:rPr>
      </w:pPr>
      <w:r/>
      <w:bookmarkStart w:id="102" w:name="_Toc207098278"/>
      <w:r>
        <w:rPr>
          <w:rFonts w:asciiTheme="minorHAnsi" w:hAnsiTheme="minorHAnsi" w:cstheme="minorHAnsi"/>
          <w:sz w:val="22"/>
          <w:szCs w:val="22"/>
          <w:u w:val="single"/>
          <w:lang w:val="en"/>
        </w:rPr>
        <w:t xml:space="preserve">Contact details of the Data Protection Officer:</w:t>
      </w:r>
      <w:bookmarkEnd w:id="102"/>
      <w:r/>
      <w:r>
        <w:rPr>
          <w:rFonts w:asciiTheme="minorHAnsi" w:hAnsiTheme="minorHAnsi" w:cstheme="minorHAnsi"/>
          <w:sz w:val="22"/>
          <w:szCs w:val="22"/>
          <w:u w:val="single"/>
          <w:lang w:val="en-GB"/>
        </w:rPr>
      </w:r>
    </w:p>
    <w:p>
      <w:pPr>
        <w:pStyle w:val="1266"/>
        <w:pBdr/>
        <w:spacing w:before="120"/>
        <w:ind/>
        <w:jc w:val="both"/>
        <w:rPr>
          <w:rFonts w:asciiTheme="minorHAnsi" w:hAnsiTheme="minorHAnsi" w:cstheme="minorHAnsi"/>
          <w:color w:val="auto"/>
          <w:sz w:val="22"/>
          <w:szCs w:val="22"/>
          <w:lang w:val="en-GB"/>
        </w:rPr>
      </w:pPr>
      <w:r/>
      <w:hyperlink r:id="rId24" w:tooltip="mailto:le-delegue-a-la-protection-des-donnees-personnelles@finances.gouv.fr" w:history="1">
        <w:r>
          <w:rPr>
            <w:rFonts w:asciiTheme="minorHAnsi" w:hAnsiTheme="minorHAnsi" w:cstheme="minorHAnsi"/>
            <w:color w:val="auto"/>
            <w:sz w:val="22"/>
            <w:szCs w:val="22"/>
            <w:lang w:val="en"/>
          </w:rPr>
          <w:t xml:space="preserve">le-delegue-a-la-protection-des-donnees-personnelles@finances.gouv.fr</w:t>
        </w:r>
      </w:hyperlink>
      <w:r/>
      <w:r>
        <w:rPr>
          <w:rFonts w:asciiTheme="minorHAnsi" w:hAnsiTheme="minorHAnsi" w:cstheme="minorHAnsi"/>
          <w:color w:val="auto"/>
          <w:sz w:val="22"/>
          <w:szCs w:val="22"/>
          <w:lang w:val="en-GB"/>
        </w:rPr>
      </w:r>
    </w:p>
    <w:p>
      <w:pPr>
        <w:pStyle w:val="997"/>
        <w:pBdr/>
        <w:spacing w:after="120" w:before="120" w:line="240" w:lineRule="auto"/>
        <w:ind w:left="708"/>
        <w:jc w:val="both"/>
        <w:rPr>
          <w:rFonts w:asciiTheme="minorHAnsi" w:hAnsiTheme="minorHAnsi" w:cstheme="minorHAnsi"/>
          <w:sz w:val="22"/>
          <w:szCs w:val="22"/>
          <w:u w:val="single"/>
          <w:lang w:val="en-GB"/>
        </w:rPr>
      </w:pPr>
      <w:r/>
      <w:bookmarkStart w:id="103" w:name="_Toc207098279"/>
      <w:r>
        <w:rPr>
          <w:rFonts w:asciiTheme="minorHAnsi" w:hAnsiTheme="minorHAnsi" w:cstheme="minorHAnsi"/>
          <w:sz w:val="22"/>
          <w:szCs w:val="22"/>
          <w:u w:val="single"/>
          <w:lang w:val="en"/>
        </w:rPr>
        <w:t xml:space="preserve">For the contracting authority:</w:t>
      </w:r>
      <w:bookmarkEnd w:id="103"/>
      <w:r>
        <w:rPr>
          <w:rFonts w:asciiTheme="minorHAnsi" w:hAnsiTheme="minorHAnsi" w:cstheme="minorHAnsi"/>
          <w:sz w:val="22"/>
          <w:szCs w:val="22"/>
          <w:u w:val="single"/>
          <w:lang w:val="en"/>
        </w:rPr>
        <w:t xml:space="preserve"> </w:t>
      </w:r>
      <w:r>
        <w:rPr>
          <w:rFonts w:asciiTheme="minorHAnsi" w:hAnsiTheme="minorHAnsi" w:cstheme="minorHAnsi"/>
          <w:sz w:val="22"/>
          <w:szCs w:val="22"/>
          <w:u w:val="single"/>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40, Boulevard de Port Royal</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75005 Paris</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Represented by the Managing Director,</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IT Department, represented by its director</w:t>
      </w:r>
      <w:r>
        <w:rPr>
          <w:rFonts w:asciiTheme="minorHAnsi" w:hAnsiTheme="minorHAnsi" w:cstheme="minorHAnsi"/>
          <w:color w:val="auto"/>
          <w:sz w:val="22"/>
          <w:szCs w:val="22"/>
          <w:lang w:val="en-GB"/>
        </w:rPr>
      </w:r>
    </w:p>
    <w:p>
      <w:pPr>
        <w:pStyle w:val="997"/>
        <w:pBdr/>
        <w:spacing w:after="120" w:before="120" w:line="240" w:lineRule="auto"/>
        <w:ind w:left="708"/>
        <w:jc w:val="both"/>
        <w:rPr>
          <w:rFonts w:asciiTheme="minorHAnsi" w:hAnsiTheme="minorHAnsi" w:cstheme="minorHAnsi"/>
          <w:sz w:val="22"/>
          <w:szCs w:val="22"/>
          <w:u w:val="single"/>
          <w:lang w:val="en-GB"/>
        </w:rPr>
      </w:pPr>
      <w:r/>
      <w:bookmarkStart w:id="104" w:name="_Toc207098280"/>
      <w:r>
        <w:rPr>
          <w:rFonts w:asciiTheme="minorHAnsi" w:hAnsiTheme="minorHAnsi" w:cstheme="minorHAnsi"/>
          <w:sz w:val="22"/>
          <w:szCs w:val="22"/>
          <w:u w:val="single"/>
          <w:lang w:val="en"/>
        </w:rPr>
        <w:t xml:space="preserve">Contact details of the Data Protection Officer:</w:t>
      </w:r>
      <w:bookmarkEnd w:id="104"/>
      <w:r/>
      <w:r>
        <w:rPr>
          <w:rFonts w:asciiTheme="minorHAnsi" w:hAnsiTheme="minorHAnsi" w:cstheme="minorHAnsi"/>
          <w:sz w:val="22"/>
          <w:szCs w:val="22"/>
          <w:u w:val="single"/>
          <w:lang w:val="en-GB"/>
        </w:rPr>
      </w:r>
    </w:p>
    <w:p>
      <w:pPr>
        <w:pStyle w:val="1266"/>
        <w:pBdr/>
        <w:spacing w:before="120"/>
        <w:ind/>
        <w:jc w:val="both"/>
        <w:rPr>
          <w:rFonts w:asciiTheme="minorHAnsi" w:hAnsiTheme="minorHAnsi" w:cstheme="minorHAnsi"/>
          <w:color w:val="auto"/>
          <w:sz w:val="22"/>
          <w:szCs w:val="22"/>
          <w:lang w:val="en-GB"/>
        </w:rPr>
      </w:pPr>
      <w:r/>
      <w:hyperlink r:id="rId25" w:tooltip="mailto:informatique.libertes@expertisefrance.fr" w:history="1">
        <w:r>
          <w:rPr>
            <w:rFonts w:asciiTheme="minorHAnsi" w:hAnsiTheme="minorHAnsi" w:cstheme="minorHAnsi"/>
            <w:color w:val="auto"/>
            <w:sz w:val="22"/>
            <w:szCs w:val="22"/>
            <w:lang w:val="en"/>
          </w:rPr>
          <w:t xml:space="preserve">informatique.libertes@expertisefrance.fr</w:t>
        </w:r>
      </w:hyperlink>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legal basis under which such processing is performed are set out in c) and e) of Article 6.1 of</w:t>
      </w:r>
      <w:r>
        <w:rPr>
          <w:rFonts w:asciiTheme="minorHAnsi" w:hAnsiTheme="minorHAnsi" w:cstheme="minorHAnsi"/>
          <w:color w:val="auto"/>
          <w:sz w:val="22"/>
          <w:szCs w:val="22"/>
          <w:lang w:val="en"/>
        </w:rPr>
        <w:t xml:space="preserve"> the GDPR, namely:</w:t>
      </w:r>
      <w:r>
        <w:rPr>
          <w:rFonts w:asciiTheme="minorHAnsi" w:hAnsiTheme="minorHAnsi" w:cstheme="minorHAnsi"/>
          <w:color w:val="auto"/>
          <w:sz w:val="22"/>
          <w:szCs w:val="22"/>
          <w:lang w:val="en-GB"/>
        </w:rPr>
      </w:r>
    </w:p>
    <w:p>
      <w:pPr>
        <w:pStyle w:val="1266"/>
        <w:numPr>
          <w:ilvl w:val="0"/>
          <w:numId w:val="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in order to comply with a legal obligation by which Expertise France is bound;</w:t>
      </w:r>
      <w:r>
        <w:rPr>
          <w:rFonts w:asciiTheme="minorHAnsi" w:hAnsiTheme="minorHAnsi" w:cstheme="minorHAnsi"/>
          <w:color w:val="auto"/>
          <w:sz w:val="22"/>
          <w:szCs w:val="22"/>
          <w:lang w:val="en-GB"/>
        </w:rPr>
      </w:r>
    </w:p>
    <w:p>
      <w:pPr>
        <w:pStyle w:val="1266"/>
        <w:numPr>
          <w:ilvl w:val="0"/>
          <w:numId w:val="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processing is necessary for performance of a public-interest assignment or which falls within the scope of the public authorit</w:t>
      </w:r>
      <w:r>
        <w:rPr>
          <w:rFonts w:asciiTheme="minorHAnsi" w:hAnsiTheme="minorHAnsi" w:cstheme="minorHAnsi"/>
          <w:color w:val="auto"/>
          <w:sz w:val="22"/>
          <w:szCs w:val="22"/>
          <w:lang w:val="en"/>
        </w:rPr>
        <w:t xml:space="preserve">y entrusted to Expertise France.</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r>
        <w:rPr>
          <w:rFonts w:asciiTheme="minorHAnsi" w:hAnsiTheme="minorHAnsi" w:cstheme="minorHAnsi"/>
          <w:color w:val="auto"/>
          <w:sz w:val="22"/>
          <w:szCs w:val="22"/>
          <w:lang w:val="en-GB"/>
        </w:rPr>
      </w:r>
    </w:p>
    <w:p>
      <w:pPr>
        <w:pStyle w:val="1266"/>
        <w:numPr>
          <w:ilvl w:val="0"/>
          <w:numId w:val="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r>
        <w:rPr>
          <w:rFonts w:asciiTheme="minorHAnsi" w:hAnsiTheme="minorHAnsi" w:cstheme="minorHAnsi"/>
          <w:color w:val="auto"/>
          <w:sz w:val="22"/>
          <w:szCs w:val="22"/>
          <w:lang w:val="en-GB"/>
        </w:rPr>
      </w:r>
    </w:p>
    <w:p>
      <w:pPr>
        <w:pStyle w:val="1266"/>
        <w:numPr>
          <w:ilvl w:val="0"/>
          <w:numId w:val="8"/>
        </w:numPr>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recipients or category of recipients</w:t>
      </w:r>
      <w:r>
        <w:rPr>
          <w:rFonts w:asciiTheme="minorHAnsi" w:hAnsiTheme="minorHAnsi" w:cstheme="minorHAnsi"/>
          <w:color w:val="auto"/>
          <w:sz w:val="22"/>
          <w:szCs w:val="22"/>
          <w:lang w:val="en"/>
        </w:rPr>
        <w:t xml:space="preserve"> of the personal data are exclusively authorised personnel of the Contracting Authority, ministries and state operators responsible for awarding and executing this contract, including any service providers assisting them with their activities.</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Retention pe</w:t>
      </w:r>
      <w:r>
        <w:rPr>
          <w:rFonts w:asciiTheme="minorHAnsi" w:hAnsiTheme="minorHAnsi" w:cstheme="minorHAnsi"/>
          <w:color w:val="auto"/>
          <w:sz w:val="22"/>
          <w:szCs w:val="22"/>
          <w:lang w:val="en"/>
        </w:rPr>
        <w:t xml:space="preserve">riod: the data will be held throughout the award process and execution of the contract, including the DUA (duration of administrative usefulness) applicable to the contract.</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Under Articles 15 to 21 of the GDPR, persons whose personal data is collected enjo</w:t>
      </w:r>
      <w:r>
        <w:rPr>
          <w:rFonts w:asciiTheme="minorHAnsi" w:hAnsiTheme="minorHAnsi" w:cstheme="minorHAnsi"/>
          <w:color w:val="auto"/>
          <w:sz w:val="22"/>
          <w:szCs w:val="22"/>
          <w:lang w:val="en"/>
        </w:rPr>
        <w:t xml:space="preserve">y a right of access, rectification and deletion with regard to such data. They also enjoy the right to restrict and refuse processing on legitimate grounds. The information and other rights of data subjects may be exercised by contacting the Data Protectio</w:t>
      </w:r>
      <w:r>
        <w:rPr>
          <w:rFonts w:asciiTheme="minorHAnsi" w:hAnsiTheme="minorHAnsi" w:cstheme="minorHAnsi"/>
          <w:color w:val="auto"/>
          <w:sz w:val="22"/>
          <w:szCs w:val="22"/>
          <w:lang w:val="en"/>
        </w:rPr>
        <w:t xml:space="preserve">n Officer of Expertise France.</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Persons whose personal data is collected under this procedure may submit a complaint to CNIL.</w:t>
      </w:r>
      <w:r>
        <w:rPr>
          <w:rFonts w:asciiTheme="minorHAnsi" w:hAnsiTheme="minorHAnsi" w:cstheme="minorHAnsi"/>
          <w:color w:val="auto"/>
          <w:sz w:val="22"/>
          <w:szCs w:val="22"/>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5" w:name="_Toc207098281"/>
      <w:r>
        <w:rPr>
          <w:rFonts w:asciiTheme="minorHAnsi" w:hAnsiTheme="minorHAnsi" w:cstheme="minorHAnsi"/>
          <w:b/>
          <w:bCs/>
          <w:caps/>
          <w:sz w:val="28"/>
          <w:szCs w:val="22"/>
          <w:u w:val="single"/>
          <w:lang w:val="en"/>
        </w:rPr>
        <w:t xml:space="preserve">ADDITIONAL INFORMATION</w:t>
      </w:r>
      <w:bookmarkEnd w:id="105"/>
      <w:r/>
      <w:r>
        <w:rPr>
          <w:rFonts w:asciiTheme="minorHAnsi" w:hAnsiTheme="minorHAnsi" w:cstheme="minorHAnsi"/>
          <w:b/>
          <w:caps/>
          <w:sz w:val="28"/>
          <w:szCs w:val="22"/>
          <w:u w:val="single"/>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Any request for additional information about technical or administrative matters must be forwarded via the </w:t>
      </w:r>
      <w:r>
        <w:rPr>
          <w:rFonts w:asciiTheme="minorHAnsi" w:hAnsiTheme="minorHAnsi" w:cstheme="minorHAnsi"/>
          <w:color w:val="auto"/>
          <w:sz w:val="22"/>
          <w:szCs w:val="22"/>
          <w:lang w:val="en"/>
        </w:rPr>
        <w:t xml:space="preserve">government procurement platform at least 5 business days prior to the bid submission deadline.</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Expertise France undertakes to provide a response 2 business days at most before the bid submission deadline.</w:t>
      </w:r>
      <w:r>
        <w:rPr>
          <w:rFonts w:asciiTheme="minorHAnsi" w:hAnsiTheme="minorHAnsi" w:cstheme="minorHAnsi"/>
          <w:color w:val="auto"/>
          <w:sz w:val="22"/>
          <w:szCs w:val="22"/>
          <w:lang w:val="en-GB"/>
        </w:rPr>
      </w:r>
    </w:p>
    <w:p>
      <w:pPr>
        <w:pStyle w:val="1266"/>
        <w:pBdr/>
        <w:spacing w:before="120"/>
        <w:ind/>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If a candidate asks any questions, all candidates will receive an e-mail asking them to consider one or more documents provided in response to the questions concerned.</w:t>
      </w:r>
      <w:r>
        <w:rPr>
          <w:rFonts w:asciiTheme="minorHAnsi" w:hAnsiTheme="minorHAnsi" w:cstheme="minorHAnsi"/>
          <w:color w:val="auto"/>
          <w:sz w:val="22"/>
          <w:szCs w:val="22"/>
          <w:lang w:val="en-GB"/>
        </w:rPr>
      </w:r>
    </w:p>
    <w:p>
      <w:pPr>
        <w:pStyle w:val="1254"/>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6" w:name="_Toc410899708"/>
      <w:r/>
      <w:bookmarkStart w:id="107" w:name="_Toc207098282"/>
      <w:r>
        <w:rPr>
          <w:rFonts w:asciiTheme="minorHAnsi" w:hAnsiTheme="minorHAnsi" w:cstheme="minorHAnsi"/>
          <w:b/>
          <w:bCs/>
          <w:caps/>
          <w:sz w:val="28"/>
          <w:szCs w:val="22"/>
          <w:u w:val="single"/>
          <w:lang w:val="en"/>
        </w:rPr>
        <w:t xml:space="preserve">Appeal channels and deadlines</w:t>
      </w:r>
      <w:bookmarkEnd w:id="106"/>
      <w:r/>
      <w:bookmarkEnd w:id="107"/>
      <w:r/>
      <w:r>
        <w:rPr>
          <w:rFonts w:asciiTheme="minorHAnsi" w:hAnsiTheme="minorHAnsi" w:cstheme="minorHAnsi"/>
          <w:b/>
          <w:caps/>
          <w:sz w:val="28"/>
          <w:szCs w:val="22"/>
          <w:u w:val="single"/>
        </w:rPr>
      </w:r>
    </w:p>
    <w:p>
      <w:pPr>
        <w:pBdr/>
        <w:spacing w:before="120" w:line="240" w:lineRule="auto"/>
        <w:ind/>
        <w:jc w:val="both"/>
        <w:rPr>
          <w:rFonts w:asciiTheme="minorHAnsi" w:hAnsiTheme="minorHAnsi" w:cstheme="minorHAnsi"/>
          <w:sz w:val="22"/>
          <w:szCs w:val="22"/>
          <w:lang w:val="en"/>
        </w:rPr>
      </w:pPr>
      <w:r>
        <w:rPr>
          <w:rFonts w:asciiTheme="minorHAnsi" w:hAnsiTheme="minorHAnsi" w:cstheme="minorHAnsi"/>
          <w:sz w:val="22"/>
          <w:szCs w:val="22"/>
          <w:lang w:val="en"/>
        </w:rPr>
        <w:t xml:space="preserve">The body responsible for the appeals process is:</w:t>
      </w:r>
      <w:r>
        <w:rPr>
          <w:rFonts w:asciiTheme="minorHAnsi" w:hAnsiTheme="minorHAnsi" w:cstheme="minorHAnsi"/>
          <w:sz w:val="22"/>
          <w:szCs w:val="22"/>
          <w:lang w:val="en"/>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Paris Judicial Court,</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Parvis du Tribunal de Paris 75 859 PARIS Cedex 17</w:t>
      </w:r>
      <w:r>
        <w:rPr>
          <w:rFonts w:asciiTheme="minorHAnsi" w:hAnsiTheme="minorHAnsi" w:cstheme="minorHAnsi"/>
          <w:sz w:val="22"/>
          <w:szCs w:val="22"/>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Email: </w:t>
      </w:r>
      <w:hyperlink r:id="rId26" w:tooltip="mailto:tj-paris@justice.fr" w:history="1">
        <w:r>
          <w:rPr>
            <w:rStyle w:val="1249"/>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 w:val="22"/>
          <w:szCs w:val="22"/>
          <w:lang w:val="en-US"/>
        </w:rPr>
      </w:r>
    </w:p>
    <w:p>
      <w:pPr>
        <w:pBdr/>
        <w:spacing w:before="120" w:line="240" w:lineRule="auto"/>
        <w:ind/>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Tel: 0144325151.</w:t>
      </w:r>
      <w:r>
        <w:rPr>
          <w:rFonts w:asciiTheme="minorHAnsi" w:hAnsiTheme="minorHAnsi" w:cstheme="minorHAnsi"/>
          <w:sz w:val="22"/>
          <w:szCs w:val="22"/>
          <w:lang w:val="en-US"/>
        </w:rPr>
      </w:r>
    </w:p>
    <w:p>
      <w:pPr>
        <w:pBdr/>
        <w:spacing w:before="120" w:line="240" w:lineRule="auto"/>
        <w:ind/>
        <w:jc w:val="both"/>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p>
      <w:pPr>
        <w:pBdr/>
        <w:spacing/>
        <w:ind/>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w:t>
      </w:r>
      <w:hyperlink r:id="rId27" w:tooltip="mailto:tj-paris@justice.fr" w:history="1">
        <w:r>
          <w:rPr>
            <w:rStyle w:val="1249"/>
            <w:rFonts w:asciiTheme="minorHAnsi" w:hAnsiTheme="minorHAnsi" w:cstheme="minorHAnsi"/>
            <w:sz w:val="22"/>
            <w:szCs w:val="22"/>
            <w:lang w:val="en-US"/>
          </w:rPr>
          <w:t xml:space="preserve">tj-paris@justice.fr</w:t>
        </w:r>
      </w:hyperlink>
      <w:r>
        <w:rPr>
          <w:rFonts w:asciiTheme="minorHAnsi" w:hAnsiTheme="minorHAnsi" w:cstheme="minorHAnsi"/>
          <w:sz w:val="22"/>
          <w:szCs w:val="22"/>
          <w:lang w:val="en-US"/>
        </w:rPr>
        <w:t xml:space="preserve">.</w:t>
      </w:r>
      <w:r>
        <w:rPr>
          <w:rFonts w:asciiTheme="minorHAnsi" w:hAnsiTheme="minorHAnsi" w:cstheme="minorHAnsi"/>
          <w:szCs w:val="22"/>
          <w:lang w:val="en-GB"/>
        </w:rPr>
      </w:r>
    </w:p>
    <w:p>
      <w:pPr>
        <w:pBdr/>
        <w:spacing/>
        <w:ind/>
        <w:rPr>
          <w:rFonts w:asciiTheme="minorHAnsi" w:hAnsiTheme="minorHAnsi" w:cstheme="minorHAnsi"/>
          <w:sz w:val="22"/>
          <w:szCs w:val="22"/>
          <w:lang w:val="en-GB"/>
        </w:rPr>
      </w:pPr>
      <w:r>
        <w:rPr>
          <w:rFonts w:asciiTheme="minorHAnsi" w:hAnsiTheme="minorHAnsi" w:cstheme="minorHAnsi"/>
          <w:sz w:val="22"/>
          <w:szCs w:val="22"/>
          <w:lang w:val="en-GB"/>
        </w:rPr>
      </w:r>
      <w:r>
        <w:rPr>
          <w:rFonts w:asciiTheme="minorHAnsi" w:hAnsiTheme="minorHAnsi" w:cstheme="minorHAnsi"/>
          <w:sz w:val="22"/>
          <w:szCs w:val="22"/>
          <w:lang w:val="en-GB"/>
        </w:rPr>
      </w:r>
    </w:p>
    <w:sectPr>
      <w:headerReference w:type="default" r:id="rId11"/>
      <w:headerReference w:type="first" r:id="rId12"/>
      <w:footerReference w:type="default" r:id="rId16"/>
      <w:footerReference w:type="even" r:id="rId17"/>
      <w:footerReference w:type="first" r:id="rId18"/>
      <w:footnotePr/>
      <w:endnotePr/>
      <w:type w:val="nextPage"/>
      <w:pgSz w:h="16838" w:orient="portrait" w:w="11906"/>
      <w:pgMar w:top="845" w:right="1009" w:bottom="142" w:left="1151" w:header="431" w:footer="385" w:gutter="0"/>
      <w:cols w:num="1" w:sep="0" w:space="708" w:equalWidth="1"/>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ncent LECOMTE" w:date="2017-11-21T18:13:00Z" w:initials="VL">
    <w:p w14:paraId="00000001" w14:textId="00000001">
      <w:pPr>
        <w:spacing w:line="240" w:after="0" w:lineRule="auto" w:before="0"/>
        <w:ind w:firstLine="0" w:left="0" w:right="0"/>
        <w:jc w:val="left"/>
      </w:pPr>
      <w:r>
        <w:rPr>
          <w:rFonts w:eastAsia="Arial" w:ascii="Arial" w:hAnsi="Arial" w:cs="Arial"/>
          <w:sz w:val="22"/>
        </w:rPr>
        <w:t xml:space="preserve">Article à supprimer en cas de procédure non-négociée.</w:t>
      </w:r>
    </w:p>
    <w:p w14:paraId="00000002" w14:textId="00000002">
      <w:pPr>
        <w:spacing w:line="240" w:after="0" w:lineRule="auto" w:before="0"/>
        <w:ind w:firstLine="0" w:left="0" w:right="0"/>
        <w:jc w:val="left"/>
      </w:pPr>
      <w:r>
        <w:rPr>
          <w:rFonts w:eastAsia="Arial" w:ascii="Arial" w:hAnsi="Arial" w:cs="Arial"/>
          <w:sz w:val="22"/>
        </w:rPr>
        <w:t xml:space="preserve">Et à adapter dans le cas d’une procédure négociée</w:t>
      </w:r>
    </w:p>
  </w:comment>
  <w:comment w:id="1" w:author="Haoudjati OUSSOUFA" w:date="2020-11-12T11:15:00Z" w:initials="HO">
    <w:p w14:paraId="00000003" w14:textId="00000003">
      <w:pPr>
        <w:spacing w:line="240" w:after="0" w:lineRule="auto" w:before="0"/>
        <w:ind w:firstLine="0" w:left="0" w:right="0"/>
        <w:jc w:val="left"/>
      </w:pPr>
      <w:r>
        <w:rPr>
          <w:rFonts w:eastAsia="Arial" w:ascii="Arial" w:hAnsi="Arial" w:cs="Arial"/>
          <w:sz w:val="22"/>
        </w:rPr>
        <w:t xml:space="preserve">Uniquement pour les projets et marchés dont l’objet porte sur la collecte et le traitement de DCP</w:t>
      </w:r>
    </w:p>
  </w:comment>
  <w:comment w:id="2" w:author="Vincent LECOMTE" w:date="2017-08-22T20:18:00Z" w:initials="VL">
    <w:p w14:paraId="00000004" w14:textId="00000004">
      <w:pPr>
        <w:spacing w:line="240" w:after="0" w:lineRule="auto" w:before="0"/>
        <w:ind w:firstLine="0" w:left="0" w:right="0"/>
        <w:jc w:val="left"/>
      </w:pPr>
      <w:r>
        <w:rPr>
          <w:rFonts w:eastAsia="Arial" w:ascii="Arial" w:hAnsi="Arial" w:cs="Arial"/>
          <w:sz w:val="22"/>
        </w:rPr>
        <w:t xml:space="preserve">A adapter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Ex w15:paraId="00000003" w15:done="0"/>
  <w15:commentEx w15:paraId="00000004" w15:done="0"/>
</w15:commentsEx>
</file>

<file path=word/commentsIdsDocument.xml><?xml version="1.0" encoding="utf-8"?>
<w16cid:commentsIds xmlns:mc="http://schemas.openxmlformats.org/markup-compatibility/2006" xmlns:w16cid="http://schemas.microsoft.com/office/word/2016/wordml/cid" mc:Ignorable="w16cid">
  <w16cid:commentId w16cid:paraId="00000002" w16cid:durableId="4DE57790"/>
  <w16cid:commentId w16cid:paraId="00000003" w16cid:durableId="0D818FB5"/>
  <w16cid:commentId w16cid:paraId="00000004" w16cid:durableId="0875A0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20702060506020403"/>
  </w:font>
  <w:font w:name="Symbol">
    <w:panose1 w:val="05010000000000000000"/>
  </w:font>
  <w:font w:name="Wingdings">
    <w:panose1 w:val="05000000000000000000"/>
  </w:font>
  <w:font w:name="Courier New">
    <w:panose1 w:val="02070309020205020404"/>
  </w:font>
  <w:font w:name="Calibri">
    <w:panose1 w:val="020F0502020204030204"/>
  </w:font>
  <w:font w:name="MS Mincho">
    <w:panose1 w:val="02020503050405090304"/>
  </w:font>
  <w:font w:name="Tahoma">
    <w:panose1 w:val="020B0604030504040204"/>
  </w:font>
  <w:font w:name="SimSun">
    <w:panose1 w:val="02020603050405020304"/>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79648002"/>
      <w:docPartObj>
        <w:docPartGallery w:val="Page Numbers (Top of Page)"/>
        <w:docPartUnique w:val="true"/>
      </w:docPartObj>
      <w:rPr>
        <w:rFonts w:asciiTheme="minorHAnsi" w:hAnsiTheme="minorHAnsi"/>
        <w:sz w:val="22"/>
        <w:szCs w:val="22"/>
        <w:u w:val="single"/>
      </w:rPr>
    </w:sdtPr>
    <w:sdtContent>
      <w:p>
        <w:pPr>
          <w:pStyle w:val="1248"/>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8"/>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p>
    <w:pPr>
      <w:pStyle w:val="1248"/>
      <w:pBdr/>
      <w:tabs>
        <w:tab w:val="clear" w:leader="none" w:pos="4536"/>
        <w:tab w:val="clear" w:leader="none" w:pos="9072"/>
        <w:tab w:val="right" w:leader="none" w:pos="9746"/>
      </w:tabs>
      <w:spacing/>
      <w:ind/>
      <w:jc w:val="right"/>
      <w:rPr>
        <w:rFonts w:asciiTheme="minorHAnsi" w:hAnsiTheme="minorHAnsi"/>
        <w:sz w:val="22"/>
        <w:szCs w:val="22"/>
        <w:lang w:val="en-GB"/>
      </w:rPr>
    </w:pPr>
    <w:r>
      <w:rPr>
        <w:rFonts w:asciiTheme="minorHAnsi" w:hAnsiTheme="minorHAnsi"/>
        <w:sz w:val="22"/>
        <w:szCs w:val="22"/>
        <w:lang w:val="en-GB"/>
      </w:rPr>
    </w:r>
    <w:r>
      <w:rPr>
        <w:rFonts w:asciiTheme="minorHAnsi" w:hAnsiTheme="minorHAnsi"/>
        <w:sz w:val="22"/>
        <w:szCs w:val="22"/>
        <w:lang w:val="en-GB"/>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8"/>
      <w:framePr w:hAnchor="margin" w:vAnchor="text" w:wrap="around" w:xAlign="right" w:y="1"/>
      <w:pBdr/>
      <w:spacing/>
      <w:ind/>
      <w:rPr>
        <w:rStyle w:val="1258"/>
      </w:rPr>
    </w:pPr>
    <w:r>
      <w:rPr>
        <w:rStyle w:val="1258"/>
        <w:lang w:val="en"/>
      </w:rPr>
      <w:fldChar w:fldCharType="begin"/>
    </w:r>
    <w:r>
      <w:rPr>
        <w:rStyle w:val="1258"/>
        <w:lang w:val="en"/>
      </w:rPr>
      <w:instrText xml:space="preserve">PAGE  </w:instrText>
    </w:r>
    <w:r>
      <w:rPr>
        <w:rStyle w:val="1258"/>
        <w:lang w:val="en"/>
      </w:rPr>
      <w:fldChar w:fldCharType="separate"/>
    </w:r>
    <w:r>
      <w:rPr>
        <w:rStyle w:val="1258"/>
        <w:lang w:val="en"/>
      </w:rPr>
      <w:t xml:space="preserve">6</w:t>
    </w:r>
    <w:r>
      <w:rPr>
        <w:rStyle w:val="1258"/>
        <w:lang w:val="en"/>
      </w:rPr>
      <w:fldChar w:fldCharType="end"/>
    </w:r>
    <w:r>
      <w:rPr>
        <w:rStyle w:val="1258"/>
      </w:rPr>
    </w:r>
  </w:p>
  <w:p>
    <w:pPr>
      <w:pStyle w:val="1248"/>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sdt>
            <w:sdtPr>
              <w15:appearance w15:val="boundingBox"/>
              <w:id w:val="-2098236126"/>
              <w:docPartObj>
                <w:docPartGallery w:val="Page Numbers (Bottom of Page)"/>
                <w:docPartUnique w:val="true"/>
              </w:docPartObj>
              <w:rPr>
                <w:rFonts w:asciiTheme="minorHAnsi" w:hAnsiTheme="minorHAnsi" w:cstheme="minorHAnsi"/>
                <w:sz w:val="22"/>
                <w:szCs w:val="22"/>
              </w:rPr>
            </w:sdtPr>
            <w:sdtContent>
              <w:sdt>
                <w:sdtPr>
                  <w15:appearance w15:val="boundingBox"/>
                  <w:id w:val="30927149"/>
                  <w:docPartObj>
                    <w:docPartGallery w:val="Page Numbers (Top of Page)"/>
                    <w:docPartUnique w:val="true"/>
                  </w:docPartObj>
                  <w:rPr>
                    <w:rFonts w:asciiTheme="minorHAnsi" w:hAnsiTheme="minorHAnsi" w:cstheme="minorHAnsi"/>
                    <w:sz w:val="22"/>
                    <w:szCs w:val="22"/>
                  </w:rPr>
                </w:sdtPr>
                <w:sdtContent>
                  <w:p>
                    <w:pPr>
                      <w:pStyle w:val="1248"/>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p>
                  <w:p>
                    <w:pPr>
                      <w:pStyle w:val="1248"/>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DAJ_M009ENG_v07</w:t>
                        </w:r>
                        <w:r>
                          <w:rPr>
                            <w:rFonts w:asciiTheme="minorHAnsi" w:hAnsiTheme="minorHAnsi" w:cstheme="minorHAnsi"/>
                            <w:sz w:val="22"/>
                            <w:szCs w:val="22"/>
                          </w:rPr>
                          <w:tab/>
                        </w:r>
                      </w:sdtContent>
                    </w:sdt>
                    <w:r/>
                    <w:r>
                      <w:rPr>
                        <w:rFonts w:asciiTheme="minorHAnsi" w:hAnsiTheme="minorHAnsi" w:cstheme="minorHAnsi"/>
                        <w:sz w:val="22"/>
                        <w:szCs w:val="22"/>
                      </w:rPr>
                    </w:r>
                  </w:p>
                  <w:p>
                    <w:pPr>
                      <w:pStyle w:val="1248"/>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November 2024</w:t>
                    </w:r>
                    <w:r>
                      <w:rPr>
                        <w:rFonts w:asciiTheme="minorHAnsi" w:hAnsiTheme="minorHAnsi" w:cstheme="minorHAnsi"/>
                        <w:b/>
                        <w:sz w:val="22"/>
                        <w:szCs w:val="22"/>
                      </w:rPr>
                    </w:r>
                  </w:p>
                  <w:p>
                    <w:pPr>
                      <w:pStyle w:val="1248"/>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1248"/>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 xml:space="preserve">SIRET : 808 734 792 00035</w:t>
                    </w:r>
                    <w:r>
                      <w:rPr>
                        <w:rFonts w:asciiTheme="minorHAnsi" w:hAnsiTheme="minorHAnsi" w:cstheme="minorHAnsi"/>
                        <w:sz w:val="22"/>
                        <w:szCs w:val="22"/>
                      </w:rPr>
                    </w:r>
                  </w:p>
                </w:sdtContent>
              </w:sdt>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4134587"/>
      <w:docPartObj>
        <w:docPartGallery w:val="Page Numbers (Top of Page)"/>
        <w:docPartUnique w:val="true"/>
      </w:docPartObj>
      <w:rPr>
        <w:rFonts w:asciiTheme="minorHAnsi" w:hAnsiTheme="minorHAnsi"/>
        <w:sz w:val="22"/>
        <w:szCs w:val="22"/>
        <w:u w:val="single"/>
      </w:rPr>
    </w:sdtPr>
    <w:sdtContent>
      <w:p>
        <w:pPr>
          <w:pStyle w:val="1248"/>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8"/>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6</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8"/>
      <w:pBdr/>
      <w:spacing/>
      <w:ind w:right="360"/>
      <w:rPr/>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48231886"/>
      <w:docPartObj>
        <w:docPartGallery w:val="Page Numbers (Bottom of Page)"/>
        <w:docPartUnique w:val="true"/>
      </w:docPartObj>
      <w:rPr>
        <w:rFonts w:asciiTheme="minorHAnsi" w:hAnsiTheme="minorHAnsi" w:cstheme="minorHAnsi"/>
        <w:sz w:val="22"/>
        <w:szCs w:val="22"/>
      </w:rPr>
    </w:sdtPr>
    <w:sdtContent>
      <w:sdt>
        <w:sdtPr>
          <w15:appearance w15:val="boundingBox"/>
          <w:id w:val="-596406306"/>
          <w:docPartObj>
            <w:docPartGallery w:val="Page Numbers (Top of Page)"/>
            <w:docPartUnique w:val="true"/>
          </w:docPartObj>
          <w:rPr>
            <w:rFonts w:asciiTheme="minorHAnsi" w:hAnsiTheme="minorHAnsi" w:cstheme="minorHAnsi"/>
            <w:sz w:val="22"/>
            <w:szCs w:val="22"/>
          </w:rPr>
        </w:sdtPr>
        <w:sdtContent>
          <w:sdt>
            <w:sdtPr>
              <w15:appearance w15:val="boundingBox"/>
              <w:id w:val="-1912601536"/>
              <w:docPartObj>
                <w:docPartGallery w:val="Page Numbers (Top of Page)"/>
                <w:docPartUnique w:val="true"/>
              </w:docPartObj>
              <w:rPr>
                <w:rFonts w:asciiTheme="minorHAnsi" w:hAnsiTheme="minorHAnsi"/>
                <w:sz w:val="22"/>
                <w:szCs w:val="22"/>
                <w:u w:val="single"/>
              </w:rPr>
            </w:sdtPr>
            <w:sdtContent>
              <w:p>
                <w:pPr>
                  <w:pStyle w:val="1248"/>
                  <w:pBdr/>
                  <w:tabs>
                    <w:tab w:val="clear" w:leader="none" w:pos="4536"/>
                    <w:tab w:val="clear" w:leader="none" w:pos="9072"/>
                    <w:tab w:val="right" w:leader="none" w:pos="9746"/>
                  </w:tabs>
                  <w:spacing/>
                  <w:ind/>
                  <w:jc w:val="right"/>
                  <w:rPr>
                    <w:rFonts w:asciiTheme="minorHAnsi" w:hAnsiTheme="minorHAnsi"/>
                    <w:sz w:val="22"/>
                    <w:szCs w:val="22"/>
                    <w:u w:val="single"/>
                    <w:lang w:val="en"/>
                  </w:rPr>
                </w:pPr>
                <w:r>
                  <w:rPr>
                    <w:rFonts w:asciiTheme="minorHAnsi" w:hAnsiTheme="minorHAnsi"/>
                    <w:sz w:val="22"/>
                    <w:szCs w:val="22"/>
                    <w:u w:val="single"/>
                    <w:lang w:val="en"/>
                  </w:rPr>
                  <w:tab/>
                </w:r>
                <w:r>
                  <w:rPr>
                    <w:rFonts w:asciiTheme="minorHAnsi" w:hAnsiTheme="minorHAnsi"/>
                    <w:sz w:val="22"/>
                    <w:szCs w:val="22"/>
                    <w:u w:val="single"/>
                    <w:lang w:val="en"/>
                  </w:rPr>
                </w:r>
              </w:p>
              <w:p>
                <w:pPr>
                  <w:pStyle w:val="1248"/>
                  <w:pBdr/>
                  <w:tabs>
                    <w:tab w:val="clear" w:leader="none" w:pos="4536"/>
                    <w:tab w:val="clear" w:leader="none" w:pos="9072"/>
                    <w:tab w:val="right" w:leader="none" w:pos="9746"/>
                  </w:tabs>
                  <w:spacing/>
                  <w:ind/>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 xml:space="preserve">PAGE</w:instrText>
                </w:r>
                <w:r>
                  <w:rPr>
                    <w:rFonts w:asciiTheme="minorHAnsi" w:hAnsiTheme="minorHAnsi"/>
                    <w:sz w:val="22"/>
                    <w:szCs w:val="22"/>
                    <w:lang w:val="en"/>
                  </w:rPr>
                  <w:fldChar w:fldCharType="separate"/>
                </w:r>
                <w:r>
                  <w:rPr>
                    <w:rFonts w:asciiTheme="minorHAnsi" w:hAnsiTheme="minorHAnsi"/>
                    <w:sz w:val="22"/>
                    <w:szCs w:val="22"/>
                    <w:lang w:val="en"/>
                  </w:rPr>
                  <w:t xml:space="preserve">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 xml:space="preserve">NUMPAGES</w:instrText>
                </w:r>
                <w:r>
                  <w:rPr>
                    <w:rFonts w:asciiTheme="minorHAnsi" w:hAnsiTheme="minorHAnsi"/>
                    <w:sz w:val="22"/>
                    <w:szCs w:val="22"/>
                    <w:lang w:val="en"/>
                  </w:rPr>
                  <w:fldChar w:fldCharType="separate"/>
                </w:r>
                <w:r>
                  <w:rPr>
                    <w:rFonts w:asciiTheme="minorHAnsi" w:hAnsiTheme="minorHAnsi"/>
                    <w:sz w:val="22"/>
                    <w:szCs w:val="22"/>
                    <w:lang w:val="en"/>
                  </w:rPr>
                  <w:t xml:space="preserve">12</w:t>
                </w:r>
                <w:r>
                  <w:rPr>
                    <w:rFonts w:asciiTheme="minorHAnsi" w:hAnsiTheme="minorHAnsi"/>
                    <w:sz w:val="22"/>
                    <w:szCs w:val="22"/>
                    <w:lang w:val="en"/>
                  </w:rPr>
                  <w:fldChar w:fldCharType="end"/>
                </w:r>
                <w:r>
                  <w:rPr>
                    <w:rFonts w:asciiTheme="minorHAnsi" w:hAnsiTheme="minorHAnsi"/>
                    <w:sz w:val="22"/>
                    <w:szCs w:val="22"/>
                  </w:rPr>
                </w:r>
              </w:p>
            </w:sdtContent>
          </w:sdt>
          <w:p>
            <w:pPr>
              <w:pStyle w:val="1248"/>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77"/>
        <w:pBdr/>
        <w:spacing/>
        <w:ind/>
        <w:rPr>
          <w:rFonts w:asciiTheme="minorHAnsi" w:hAnsiTheme="minorHAnsi" w:cstheme="minorHAnsi"/>
          <w:lang w:val="en-GB"/>
        </w:rPr>
      </w:pPr>
      <w:r>
        <w:rPr>
          <w:rStyle w:val="1279"/>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r>
        <w:rPr>
          <w:rFonts w:asciiTheme="minorHAnsi" w:hAnsiTheme="minorHAnsi" w:cstheme="minorHAnsi"/>
          <w:lang w:val="en-GB"/>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7"/>
      <w:pBdr/>
      <w:tabs>
        <w:tab w:val="clear" w:leader="none" w:pos="9072"/>
        <w:tab w:val="right" w:leader="none" w:pos="9339"/>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47"/>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7"/>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7"/>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247"/>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7"/>
      <w:pBdr/>
      <w:tabs>
        <w:tab w:val="right" w:leader="none" w:pos="9214"/>
      </w:tabs>
      <w:spacing/>
      <w:ind/>
      <w:rPr>
        <w:rFonts w:ascii="Calibri" w:hAnsi="Calibri"/>
        <w:bCs/>
        <w:sz w:val="22"/>
        <w:szCs w:val="28"/>
        <w:u w:val="single"/>
      </w:rPr>
    </w:pPr>
    <w:r>
      <w:rPr>
        <w:rFonts w:ascii="Calibri" w:hAnsi="Calibri"/>
        <w:bCs/>
        <w:sz w:val="22"/>
        <w:szCs w:val="28"/>
        <w:u w:val="single"/>
      </w:rPr>
    </w:r>
    <w:r>
      <w:rPr>
        <w:rFonts w:ascii="Calibri" w:hAnsi="Calibri"/>
        <w:bCs/>
        <w:sz w:val="22"/>
        <w:szCs w:val="28"/>
        <w:u w:val="single"/>
      </w:rPr>
    </w:r>
  </w:p>
  <w:p>
    <w:pPr>
      <w:pStyle w:val="1247"/>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7"/>
      <w:pBdr/>
      <w:tabs>
        <w:tab w:val="clear" w:leader="none" w:pos="4536"/>
        <w:tab w:val="clear" w:leader="none" w:pos="9072"/>
        <w:tab w:val="right" w:leader="none" w:pos="9781"/>
      </w:tabs>
      <w:spacing w:line="240" w:lineRule="auto"/>
      <w:ind/>
      <w:rPr>
        <w:rFonts w:cs="Arial" w:asciiTheme="minorHAnsi" w:hAnsiTheme="minorHAnsi"/>
        <w:sz w:val="24"/>
        <w:lang w:val="en-GB"/>
      </w:rPr>
    </w:pPr>
    <w:r>
      <w:rPr>
        <w:rFonts w:cs="Arial" w:asciiTheme="minorHAnsi" w:hAnsiTheme="minorHAnsi"/>
        <w:sz w:val="24"/>
        <w:lang w:val="en-GB"/>
      </w:rPr>
    </w:r>
    <w:r>
      <w:rPr>
        <w:rFonts w:cs="Arial" w:asciiTheme="minorHAnsi" w:hAnsiTheme="minorHAnsi"/>
        <w:sz w:val="24"/>
        <w:lang w:val="en-GB"/>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7"/>
      <w:pBdr/>
      <w:spacing/>
      <w:ind/>
      <w:rPr/>
    </w:pPr>
    <w:r/>
    <w:r/>
  </w:p>
  <w:p>
    <w:pPr>
      <w:pStyle w:val="1247"/>
      <w:pBdr>
        <w:bottom w:val="single" w:color="000000" w:sz="4" w:space="1"/>
      </w:pBdr>
      <w:tabs>
        <w:tab w:val="clear" w:leader="none" w:pos="4536"/>
        <w:tab w:val="clear" w:leader="none" w:pos="9072"/>
        <w:tab w:val="right" w:leader="none" w:pos="9639"/>
      </w:tabs>
      <w:spacing/>
      <w:ind/>
      <w:rPr>
        <w:rFonts w:ascii="Calibri" w:hAnsi="Calibri"/>
        <w:smallCaps/>
      </w:rPr>
    </w:pPr>
    <w:r>
      <w:rPr>
        <w:rFonts w:ascii="Calibri" w:hAnsi="Calibri"/>
        <w:smallCaps/>
        <w:sz w:val="22"/>
        <w:szCs w:val="28"/>
        <w:lang w:val="en"/>
      </w:rPr>
      <w:t xml:space="preserve">Tender Rules</w:t>
    </w:r>
    <w:r>
      <w:rPr>
        <w:rFonts w:ascii="Calibri" w:hAnsi="Calibri"/>
        <w:smallCaps/>
        <w:sz w:val="22"/>
        <w:szCs w:val="28"/>
        <w:lang w:val="en"/>
      </w:rPr>
      <w:tab/>
    </w:r>
    <w:r>
      <w:rPr>
        <w:rFonts w:ascii="Calibri" w:hAnsi="Calibri"/>
        <w:smallCaps/>
      </w:rPr>
    </w:r>
  </w:p>
  <w:p>
    <w:pPr>
      <w:pStyle w:val="124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ARTICLE %1:"/>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2">
    <w:lvl w:ilvl="0">
      <w:isLgl w:val="false"/>
      <w:lvlJc w:val="left"/>
      <w:lvlText w:val=""/>
      <w:numFmt w:val="bullet"/>
      <w:pPr>
        <w:pBdr/>
        <w:tabs>
          <w:tab w:val="num" w:leader="none" w:pos="360"/>
        </w:tabs>
        <w:spacing/>
        <w:ind w:hanging="360" w:left="360"/>
      </w:pPr>
      <w:pStyle w:val="1259"/>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922"/>
        </w:tabs>
        <w:spacing/>
        <w:ind w:hanging="360" w:left="922"/>
      </w:pPr>
      <w:pStyle w:val="1261"/>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ascii="Calibri" w:hAnsi="Calibri" w:eastAsia="Calibri" w:cs="Calibri"/>
      </w:rPr>
      <w:start w:val="15"/>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7">
    <w:lvl w:ilvl="0">
      <w:isLgl w:val="false"/>
      <w:lvlJc w:val="left"/>
      <w:lvlText w:val="•"/>
      <w:numFmt w:val="bullet"/>
      <w:pPr>
        <w:pBdr/>
        <w:tabs>
          <w:tab w:val="num" w:leader="none" w:pos="360"/>
        </w:tabs>
        <w:spacing/>
        <w:ind w:firstLine="0" w:left="0"/>
      </w:pPr>
      <w:pStyle w:val="1250"/>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val="⬱翽⧚翽䅠Ë蚠町ȹË䄸Ë"/>
      <w:numFmt w:val="bullet"/>
      <w:pPr>
        <w:pBdr/>
        <w:spacing/>
        <w:ind/>
      </w:pPr>
      <w:rPr/>
      <w:start w:val="0"/>
      <w:suff w:val="tab"/>
    </w:lvl>
    <w:lvl w:ilvl="2">
      <w:isLgl w:val="false"/>
      <w:lvlJc w:val="left"/>
      <w:lvlText w:val="⬱翽⧚翽䅠Ë蚠町ȹË䄸Ë"/>
      <w:numFmt w:val="bullet"/>
      <w:pPr>
        <w:pBdr/>
        <w:spacing/>
        <w:ind/>
      </w:pPr>
      <w:rPr/>
      <w:start w:val="0"/>
      <w:suff w:val="tab"/>
    </w:lvl>
    <w:lvl w:ilvl="3">
      <w:isLgl w:val="false"/>
      <w:lvlJc w:val="left"/>
      <w:lvlText w:val="⬱翽⧚翽䅠Ë蚠町ȹË䄸Ë"/>
      <w:numFmt w:val="bullet"/>
      <w:pPr>
        <w:pBdr/>
        <w:spacing/>
        <w:ind/>
      </w:pPr>
      <w:rPr/>
      <w:start w:val="0"/>
      <w:suff w:val="tab"/>
    </w:lvl>
    <w:lvl w:ilvl="4">
      <w:isLgl w:val="false"/>
      <w:lvlJc w:val="left"/>
      <w:lvlText w:val="⬱翽⧚翽䅠Ë蚠町ȹË䄸Ë"/>
      <w:numFmt w:val="bullet"/>
      <w:pPr>
        <w:pBdr/>
        <w:spacing/>
        <w:ind/>
      </w:pPr>
      <w:rPr/>
      <w:start w:val="0"/>
      <w:suff w:val="tab"/>
    </w:lvl>
    <w:lvl w:ilvl="5">
      <w:isLgl w:val="false"/>
      <w:lvlJc w:val="left"/>
      <w:lvlText w:val="⬱翽⧚翽䅠Ë蚠町ȹË䄸Ë"/>
      <w:numFmt w:val="bullet"/>
      <w:pPr>
        <w:pBdr/>
        <w:spacing/>
        <w:ind/>
      </w:pPr>
      <w:rPr/>
      <w:start w:val="0"/>
      <w:suff w:val="tab"/>
    </w:lvl>
    <w:lvl w:ilvl="6">
      <w:isLgl w:val="false"/>
      <w:lvlJc w:val="left"/>
      <w:lvlText w:val="⬱翽⧚翽䅠Ë蚠町ȹË䄸Ë"/>
      <w:numFmt w:val="bullet"/>
      <w:pPr>
        <w:pBdr/>
        <w:spacing/>
        <w:ind/>
      </w:pPr>
      <w:rPr/>
      <w:start w:val="0"/>
      <w:suff w:val="tab"/>
    </w:lvl>
    <w:lvl w:ilvl="7">
      <w:isLgl w:val="false"/>
      <w:lvlJc w:val="left"/>
      <w:lvlText w:val="⬱翽⧚翽䅠Ë蚠町ȹË䄸Ë"/>
      <w:numFmt w:val="bullet"/>
      <w:pPr>
        <w:pBdr/>
        <w:spacing/>
        <w:ind/>
      </w:pPr>
      <w:rPr/>
      <w:start w:val="0"/>
      <w:suff w:val="tab"/>
    </w:lvl>
    <w:lvl w:ilvl="8">
      <w:isLgl w:val="false"/>
      <w:lvlJc w:val="left"/>
      <w:lvlText w:val="⬱翽⧚翽䅠Ë蚠町ȹË䄸Ë"/>
      <w:numFmt w:val="bullet"/>
      <w:pPr>
        <w:pBdr/>
        <w:spacing/>
        <w:ind/>
      </w:pPr>
      <w:rPr/>
      <w:start w:val="0"/>
      <w:suff w:val="tab"/>
    </w:lvl>
  </w:abstractNum>
  <w:abstractNum w:abstractNumId="8">
    <w:lvl w:ilvl="0">
      <w:isLgl w:val="false"/>
      <w:lvlJc w:val="left"/>
      <w:lvlText w:val=""/>
      <w:numFmt w:val="bullet"/>
      <w:pPr>
        <w:pBdr/>
        <w:tabs>
          <w:tab w:val="num" w:leader="none" w:pos="360"/>
        </w:tabs>
        <w:spacing/>
        <w:ind w:firstLine="0" w:left="0"/>
      </w:pPr>
      <w:pStyle w:val="1270"/>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9">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pStyle w:val="1305"/>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1">
    <w:lvl w:ilvl="0">
      <w:isLgl w:val="false"/>
      <w:lvlJc w:val="left"/>
      <w:lvlText w:val="-"/>
      <w:numFmt w:val="bullet"/>
      <w:pPr>
        <w:pBdr/>
        <w:spacing/>
        <w:ind w:hanging="360" w:left="1146"/>
      </w:pPr>
      <w:rPr>
        <w:rFonts w:ascii="Calibri" w:hAnsi="Calibri" w:eastAsia="Calibri" w:cs="Calibri"/>
      </w:rPr>
      <w:start w:val="0"/>
      <w:suff w:val="tab"/>
    </w:lvl>
    <w:lvl w:ilvl="1">
      <w:isLgl w:val="false"/>
      <w:lvlJc w:val="left"/>
      <w:lvlText w:val="o"/>
      <w:numFmt w:val="bullet"/>
      <w:pPr>
        <w:pBdr/>
        <w:spacing/>
        <w:ind w:hanging="360" w:left="1866"/>
      </w:pPr>
      <w:rPr>
        <w:rFonts w:ascii="Courier New" w:hAnsi="Courier New" w:eastAsia="Courier New" w:cs="Courier New"/>
      </w:rPr>
      <w:start w:val="1"/>
      <w:suff w:val="tab"/>
    </w:lvl>
    <w:lvl w:ilvl="2">
      <w:isLgl w:val="false"/>
      <w:lvlJc w:val="left"/>
      <w:lvlText w:val="▪"/>
      <w:numFmt w:val="bullet"/>
      <w:pPr>
        <w:pBdr/>
        <w:spacing/>
        <w:ind w:hanging="360" w:left="2586"/>
      </w:pPr>
      <w:rPr>
        <w:rFonts w:ascii="Noto Sans Symbols" w:hAnsi="Noto Sans Symbols" w:eastAsia="Noto Sans Symbols" w:cs="Noto Sans Symbols"/>
      </w:rPr>
      <w:start w:val="1"/>
      <w:suff w:val="tab"/>
    </w:lvl>
    <w:lvl w:ilvl="3">
      <w:isLgl w:val="false"/>
      <w:lvlJc w:val="left"/>
      <w:lvlText w:val="●"/>
      <w:numFmt w:val="bullet"/>
      <w:pPr>
        <w:pBdr/>
        <w:spacing/>
        <w:ind w:hanging="360" w:left="3306"/>
      </w:pPr>
      <w:rPr>
        <w:rFonts w:ascii="Noto Sans Symbols" w:hAnsi="Noto Sans Symbols" w:eastAsia="Noto Sans Symbols" w:cs="Noto Sans Symbols"/>
      </w:rPr>
      <w:start w:val="1"/>
      <w:suff w:val="tab"/>
    </w:lvl>
    <w:lvl w:ilvl="4">
      <w:isLgl w:val="false"/>
      <w:lvlJc w:val="left"/>
      <w:lvlText w:val="o"/>
      <w:numFmt w:val="bullet"/>
      <w:pPr>
        <w:pBdr/>
        <w:spacing/>
        <w:ind w:hanging="360" w:left="4026"/>
      </w:pPr>
      <w:rPr>
        <w:rFonts w:ascii="Courier New" w:hAnsi="Courier New" w:eastAsia="Courier New" w:cs="Courier New"/>
      </w:rPr>
      <w:start w:val="1"/>
      <w:suff w:val="tab"/>
    </w:lvl>
    <w:lvl w:ilvl="5">
      <w:isLgl w:val="false"/>
      <w:lvlJc w:val="left"/>
      <w:lvlText w:val="▪"/>
      <w:numFmt w:val="bullet"/>
      <w:pPr>
        <w:pBdr/>
        <w:spacing/>
        <w:ind w:hanging="360" w:left="4746"/>
      </w:pPr>
      <w:rPr>
        <w:rFonts w:ascii="Noto Sans Symbols" w:hAnsi="Noto Sans Symbols" w:eastAsia="Noto Sans Symbols" w:cs="Noto Sans Symbols"/>
      </w:rPr>
      <w:start w:val="1"/>
      <w:suff w:val="tab"/>
    </w:lvl>
    <w:lvl w:ilvl="6">
      <w:isLgl w:val="false"/>
      <w:lvlJc w:val="left"/>
      <w:lvlText w:val="●"/>
      <w:numFmt w:val="bullet"/>
      <w:pPr>
        <w:pBdr/>
        <w:spacing/>
        <w:ind w:hanging="360" w:left="5466"/>
      </w:pPr>
      <w:rPr>
        <w:rFonts w:ascii="Noto Sans Symbols" w:hAnsi="Noto Sans Symbols" w:eastAsia="Noto Sans Symbols" w:cs="Noto Sans Symbols"/>
      </w:rPr>
      <w:start w:val="1"/>
      <w:suff w:val="tab"/>
    </w:lvl>
    <w:lvl w:ilvl="7">
      <w:isLgl w:val="false"/>
      <w:lvlJc w:val="left"/>
      <w:lvlText w:val="o"/>
      <w:numFmt w:val="bullet"/>
      <w:pPr>
        <w:pBdr/>
        <w:spacing/>
        <w:ind w:hanging="360" w:left="6186"/>
      </w:pPr>
      <w:rPr>
        <w:rFonts w:ascii="Courier New" w:hAnsi="Courier New" w:eastAsia="Courier New" w:cs="Courier New"/>
      </w:rPr>
      <w:start w:val="1"/>
      <w:suff w:val="tab"/>
    </w:lvl>
    <w:lvl w:ilvl="8">
      <w:isLgl w:val="false"/>
      <w:lvlJc w:val="left"/>
      <w:lvlText w:val="▪"/>
      <w:numFmt w:val="bullet"/>
      <w:pPr>
        <w:pBdr/>
        <w:spacing/>
        <w:ind w:hanging="360" w:left="6906"/>
      </w:pPr>
      <w:rPr>
        <w:rFonts w:ascii="Noto Sans Symbols" w:hAnsi="Noto Sans Symbols" w:eastAsia="Noto Sans Symbols" w:cs="Noto Sans Symbols"/>
      </w:rPr>
      <w:start w:val="1"/>
      <w:suff w:val="tab"/>
    </w:lvl>
  </w:abstractNum>
  <w:abstractNum w:abstractNumId="12">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13">
    <w:lvl w:ilvl="0">
      <w:isLgl w:val="false"/>
      <w:lvlJc w:val="left"/>
      <w:lvlText w:val="●"/>
      <w:numFmt w:val="bullet"/>
      <w:pPr>
        <w:pBdr/>
        <w:spacing/>
        <w:ind w:hanging="360" w:left="720"/>
      </w:pPr>
      <w:pStyle w:val="1306"/>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4">
    <w:lvl w:ilvl="0">
      <w:isLgl w:val="false"/>
      <w:lvlJc w:val="left"/>
      <w:lvlText w:val=""/>
      <w:numFmt w:val="bullet"/>
      <w:pPr>
        <w:pBdr/>
        <w:tabs>
          <w:tab w:val="num" w:leader="none" w:pos="994"/>
        </w:tabs>
        <w:spacing/>
        <w:ind w:hanging="432" w:left="994"/>
      </w:pPr>
      <w:pStyle w:val="1256"/>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7"/>
  </w:num>
  <w:num w:numId="2">
    <w:abstractNumId w:val="14"/>
  </w:num>
  <w:num w:numId="3">
    <w:abstractNumId w:val="2"/>
  </w:num>
  <w:num w:numId="4">
    <w:abstractNumId w:val="4"/>
  </w:num>
  <w:num w:numId="5">
    <w:abstractNumId w:val="8"/>
  </w:num>
  <w:num w:numId="6">
    <w:abstractNumId w:val="1"/>
  </w:num>
  <w:num w:numId="7">
    <w:abstractNumId w:val="0"/>
  </w:num>
  <w:num w:numId="8">
    <w:abstractNumId w:val="3"/>
  </w:num>
  <w:num w:numId="9">
    <w:abstractNumId w:val="5"/>
  </w:num>
  <w:num w:numId="10">
    <w:abstractNumId w:val="12"/>
  </w:num>
  <w:num w:numId="11">
    <w:abstractNumId w:val="9"/>
  </w:num>
  <w:num w:numId="12">
    <w:abstractNumId w:val="10"/>
  </w:num>
  <w:num w:numId="13">
    <w:abstractNumId w:val="13"/>
  </w:num>
  <w:num w:numId="14">
    <w:abstractNumId w:val="16"/>
  </w:num>
  <w:num w:numId="15">
    <w:abstractNumId w:val="6"/>
  </w:num>
  <w:num w:numId="16">
    <w:abstractNumId w:val="11"/>
  </w:num>
  <w:num w:numId="17">
    <w:abstractNumId w:val="1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udjati OUSSOUFA">
    <w15:presenceInfo w15:providerId="AD" w15:userId="S-1-5-21-3406572209-2354835200-999462638-8315"/>
  </w15:person>
  <w15:person w15:author="Vincent LECOMTE">
    <w15:presenceInfo w15:providerId="AD" w15:userId="S-1-5-21-3406572209-2354835200-999462638-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9">
    <w:name w:val="Heading 1 Char"/>
    <w:basedOn w:val="1005"/>
    <w:link w:val="996"/>
    <w:uiPriority w:val="9"/>
    <w:pPr>
      <w:pBdr/>
      <w:spacing/>
      <w:ind/>
    </w:pPr>
    <w:rPr>
      <w:rFonts w:ascii="Arial" w:hAnsi="Arial" w:eastAsia="Arial" w:cs="Arial"/>
      <w:color w:val="0f4761" w:themeColor="accent1" w:themeShade="BF"/>
      <w:sz w:val="40"/>
      <w:szCs w:val="40"/>
    </w:rPr>
  </w:style>
  <w:style w:type="character" w:styleId="151">
    <w:name w:val="Heading 3 Char"/>
    <w:basedOn w:val="1005"/>
    <w:link w:val="998"/>
    <w:uiPriority w:val="9"/>
    <w:pPr>
      <w:pBdr/>
      <w:spacing/>
      <w:ind/>
    </w:pPr>
    <w:rPr>
      <w:rFonts w:ascii="Arial" w:hAnsi="Arial" w:eastAsia="Arial" w:cs="Arial"/>
      <w:color w:val="0f4761" w:themeColor="accent1" w:themeShade="BF"/>
      <w:sz w:val="28"/>
      <w:szCs w:val="28"/>
    </w:rPr>
  </w:style>
  <w:style w:type="character" w:styleId="152">
    <w:name w:val="Heading 4 Char"/>
    <w:basedOn w:val="1005"/>
    <w:link w:val="999"/>
    <w:uiPriority w:val="9"/>
    <w:pPr>
      <w:pBdr/>
      <w:spacing/>
      <w:ind/>
    </w:pPr>
    <w:rPr>
      <w:rFonts w:ascii="Arial" w:hAnsi="Arial" w:eastAsia="Arial" w:cs="Arial"/>
      <w:i/>
      <w:iCs/>
      <w:color w:val="0f4761" w:themeColor="accent1" w:themeShade="BF"/>
    </w:rPr>
  </w:style>
  <w:style w:type="character" w:styleId="153">
    <w:name w:val="Heading 5 Char"/>
    <w:basedOn w:val="1005"/>
    <w:link w:val="1000"/>
    <w:uiPriority w:val="9"/>
    <w:pPr>
      <w:pBdr/>
      <w:spacing/>
      <w:ind/>
    </w:pPr>
    <w:rPr>
      <w:rFonts w:ascii="Arial" w:hAnsi="Arial" w:eastAsia="Arial" w:cs="Arial"/>
      <w:color w:val="0f4761" w:themeColor="accent1" w:themeShade="BF"/>
    </w:rPr>
  </w:style>
  <w:style w:type="character" w:styleId="154">
    <w:name w:val="Heading 6 Char"/>
    <w:basedOn w:val="1005"/>
    <w:link w:val="1001"/>
    <w:uiPriority w:val="9"/>
    <w:pPr>
      <w:pBdr/>
      <w:spacing/>
      <w:ind/>
    </w:pPr>
    <w:rPr>
      <w:rFonts w:ascii="Arial" w:hAnsi="Arial" w:eastAsia="Arial" w:cs="Arial"/>
      <w:i/>
      <w:iCs/>
      <w:color w:val="595959" w:themeColor="text1" w:themeTint="A6"/>
    </w:rPr>
  </w:style>
  <w:style w:type="character" w:styleId="155">
    <w:name w:val="Heading 7 Char"/>
    <w:basedOn w:val="1005"/>
    <w:link w:val="1002"/>
    <w:uiPriority w:val="9"/>
    <w:pPr>
      <w:pBdr/>
      <w:spacing/>
      <w:ind/>
    </w:pPr>
    <w:rPr>
      <w:rFonts w:ascii="Arial" w:hAnsi="Arial" w:eastAsia="Arial" w:cs="Arial"/>
      <w:color w:val="595959" w:themeColor="text1" w:themeTint="A6"/>
    </w:rPr>
  </w:style>
  <w:style w:type="character" w:styleId="156">
    <w:name w:val="Heading 8 Char"/>
    <w:basedOn w:val="1005"/>
    <w:link w:val="1003"/>
    <w:uiPriority w:val="9"/>
    <w:pPr>
      <w:pBdr/>
      <w:spacing/>
      <w:ind/>
    </w:pPr>
    <w:rPr>
      <w:rFonts w:ascii="Arial" w:hAnsi="Arial" w:eastAsia="Arial" w:cs="Arial"/>
      <w:i/>
      <w:iCs/>
      <w:color w:val="272727" w:themeColor="text1" w:themeTint="D8"/>
    </w:rPr>
  </w:style>
  <w:style w:type="character" w:styleId="157">
    <w:name w:val="Heading 9 Char"/>
    <w:basedOn w:val="1005"/>
    <w:link w:val="1004"/>
    <w:uiPriority w:val="9"/>
    <w:pPr>
      <w:pBdr/>
      <w:spacing/>
      <w:ind/>
    </w:pPr>
    <w:rPr>
      <w:rFonts w:ascii="Arial" w:hAnsi="Arial" w:eastAsia="Arial" w:cs="Arial"/>
      <w:i/>
      <w:iCs/>
      <w:color w:val="272727" w:themeColor="text1" w:themeTint="D8"/>
    </w:rPr>
  </w:style>
  <w:style w:type="character" w:styleId="159">
    <w:name w:val="Title Char"/>
    <w:basedOn w:val="1005"/>
    <w:link w:val="1265"/>
    <w:uiPriority w:val="10"/>
    <w:pPr>
      <w:pBdr/>
      <w:spacing/>
      <w:ind/>
    </w:pPr>
    <w:rPr>
      <w:rFonts w:ascii="Arial" w:hAnsi="Arial" w:eastAsia="Arial" w:cs="Arial"/>
      <w:spacing w:val="-10"/>
      <w:sz w:val="56"/>
      <w:szCs w:val="56"/>
    </w:rPr>
  </w:style>
  <w:style w:type="character" w:styleId="161">
    <w:name w:val="Subtitle Char"/>
    <w:basedOn w:val="1005"/>
    <w:link w:val="1226"/>
    <w:uiPriority w:val="11"/>
    <w:pPr>
      <w:pBdr/>
      <w:spacing/>
      <w:ind/>
    </w:pPr>
    <w:rPr>
      <w:color w:val="595959" w:themeColor="text1" w:themeTint="A6"/>
      <w:spacing w:val="15"/>
      <w:sz w:val="28"/>
      <w:szCs w:val="28"/>
    </w:rPr>
  </w:style>
  <w:style w:type="character" w:styleId="163">
    <w:name w:val="Quote Char"/>
    <w:basedOn w:val="1005"/>
    <w:link w:val="1228"/>
    <w:uiPriority w:val="29"/>
    <w:pPr>
      <w:pBdr/>
      <w:spacing/>
      <w:ind/>
    </w:pPr>
    <w:rPr>
      <w:i/>
      <w:iCs/>
      <w:color w:val="404040" w:themeColor="text1" w:themeTint="BF"/>
    </w:rPr>
  </w:style>
  <w:style w:type="character" w:styleId="167">
    <w:name w:val="Intense Quote Char"/>
    <w:basedOn w:val="1005"/>
    <w:link w:val="1231"/>
    <w:uiPriority w:val="30"/>
    <w:pPr>
      <w:pBdr/>
      <w:spacing/>
      <w:ind/>
    </w:pPr>
    <w:rPr>
      <w:i/>
      <w:iCs/>
      <w:color w:val="0f4761" w:themeColor="accent1" w:themeShade="BF"/>
    </w:rPr>
  </w:style>
  <w:style w:type="character" w:styleId="184">
    <w:name w:val="Endnote Text Char"/>
    <w:basedOn w:val="1005"/>
    <w:link w:val="1242"/>
    <w:uiPriority w:val="99"/>
    <w:semiHidden/>
    <w:pPr>
      <w:pBdr/>
      <w:spacing/>
      <w:ind/>
    </w:pPr>
    <w:rPr>
      <w:sz w:val="20"/>
      <w:szCs w:val="20"/>
    </w:rPr>
  </w:style>
  <w:style w:type="paragraph" w:styleId="995" w:default="1">
    <w:name w:val="Normal"/>
    <w:qFormat/>
    <w:pPr>
      <w:pBdr/>
      <w:spacing w:line="300" w:lineRule="atLeast"/>
      <w:ind/>
    </w:pPr>
    <w:rPr>
      <w:rFonts w:ascii="Arial" w:hAnsi="Arial"/>
    </w:rPr>
  </w:style>
  <w:style w:type="paragraph" w:styleId="996">
    <w:name w:val="Heading 1"/>
    <w:basedOn w:val="995"/>
    <w:next w:val="995"/>
    <w:link w:val="1216"/>
    <w:qFormat/>
    <w:pPr>
      <w:keepNext w:val="true"/>
      <w:pBdr/>
      <w:spacing w:line="440" w:lineRule="exact"/>
      <w:ind/>
      <w:outlineLvl w:val="0"/>
    </w:pPr>
    <w:rPr>
      <w:rFonts w:cs="Arial"/>
      <w:b/>
      <w:bCs/>
      <w:caps/>
    </w:rPr>
  </w:style>
  <w:style w:type="paragraph" w:styleId="997">
    <w:name w:val="Heading 2"/>
    <w:basedOn w:val="995"/>
    <w:next w:val="995"/>
    <w:link w:val="1290"/>
    <w:qFormat/>
    <w:pPr>
      <w:keepNext w:val="true"/>
      <w:widowControl w:val="false"/>
      <w:pBdr/>
      <w:spacing/>
      <w:ind/>
      <w:outlineLvl w:val="1"/>
    </w:pPr>
    <w:rPr>
      <w:rFonts w:cs="Arial"/>
      <w:b/>
      <w:bCs/>
      <w:sz w:val="18"/>
    </w:rPr>
  </w:style>
  <w:style w:type="paragraph" w:styleId="998">
    <w:name w:val="Heading 3"/>
    <w:basedOn w:val="995"/>
    <w:next w:val="995"/>
    <w:link w:val="1218"/>
    <w:qFormat/>
    <w:pPr>
      <w:keepNext w:val="true"/>
      <w:pBdr/>
      <w:spacing w:after="60" w:before="240"/>
      <w:ind/>
      <w:outlineLvl w:val="2"/>
    </w:pPr>
    <w:rPr>
      <w:rFonts w:ascii="Helvetica" w:hAnsi="Helvetica"/>
      <w:sz w:val="24"/>
    </w:rPr>
  </w:style>
  <w:style w:type="paragraph" w:styleId="999">
    <w:name w:val="Heading 4"/>
    <w:basedOn w:val="995"/>
    <w:next w:val="995"/>
    <w:link w:val="1219"/>
    <w:qFormat/>
    <w:pPr>
      <w:keepNext w:val="true"/>
      <w:widowControl w:val="false"/>
      <w:pBdr/>
      <w:spacing/>
      <w:ind/>
      <w:jc w:val="both"/>
      <w:outlineLvl w:val="3"/>
    </w:pPr>
    <w:rPr>
      <w:rFonts w:cs="Arial"/>
      <w:b/>
      <w:bCs/>
      <w:i/>
      <w:iCs/>
      <w:color w:val="0000ff"/>
    </w:rPr>
  </w:style>
  <w:style w:type="paragraph" w:styleId="1000">
    <w:name w:val="Heading 5"/>
    <w:basedOn w:val="995"/>
    <w:next w:val="995"/>
    <w:link w:val="1220"/>
    <w:qFormat/>
    <w:pPr>
      <w:keepNext w:val="true"/>
      <w:widowControl w:val="false"/>
      <w:pBdr/>
      <w:spacing/>
      <w:ind/>
      <w:jc w:val="both"/>
      <w:outlineLvl w:val="4"/>
    </w:pPr>
    <w:rPr>
      <w:rFonts w:cs="Arial"/>
      <w:b/>
      <w:bCs/>
    </w:rPr>
  </w:style>
  <w:style w:type="paragraph" w:styleId="1001">
    <w:name w:val="Heading 6"/>
    <w:basedOn w:val="995"/>
    <w:next w:val="995"/>
    <w:link w:val="1221"/>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002">
    <w:name w:val="Heading 7"/>
    <w:basedOn w:val="995"/>
    <w:next w:val="995"/>
    <w:link w:val="1222"/>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03">
    <w:name w:val="Heading 8"/>
    <w:basedOn w:val="995"/>
    <w:next w:val="995"/>
    <w:link w:val="1223"/>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paragraph" w:styleId="1004">
    <w:name w:val="Heading 9"/>
    <w:basedOn w:val="995"/>
    <w:next w:val="995"/>
    <w:link w:val="1224"/>
    <w:uiPriority w:val="9"/>
    <w:unhideWhenUsed/>
    <w:qFormat/>
    <w:pPr>
      <w:keepNext w:val="true"/>
      <w:keepLines w:val="true"/>
      <w:pBdr/>
      <w:spacing/>
      <w:ind/>
      <w:outlineLvl w:val="8"/>
    </w:pPr>
    <w:rPr>
      <w:rFonts w:eastAsia="Arial" w:cs="Arial"/>
      <w:i/>
      <w:iCs/>
      <w:color w:val="272727" w:themeColor="text1" w:themeTint="D8"/>
    </w:rPr>
  </w:style>
  <w:style w:type="character" w:styleId="1005" w:default="1">
    <w:name w:val="Default Paragraph Font"/>
    <w:uiPriority w:val="1"/>
    <w:semiHidden/>
    <w:unhideWhenUsed/>
    <w:pPr>
      <w:pBdr/>
      <w:spacing/>
      <w:ind/>
    </w:pPr>
  </w:style>
  <w:style w:type="table" w:styleId="100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07" w:default="1">
    <w:name w:val="No List"/>
    <w:uiPriority w:val="99"/>
    <w:semiHidden/>
    <w:unhideWhenUsed/>
    <w:pPr>
      <w:pBdr/>
      <w:spacing/>
      <w:ind/>
    </w:pPr>
  </w:style>
  <w:style w:type="table" w:styleId="1008" w:customStyle="1">
    <w:name w:val="Table Grid Light"/>
    <w:basedOn w:val="100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Grid Table 1 Light - Accent 1"/>
    <w:basedOn w:val="100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customStyle="1">
    <w:name w:val="Grid Table 1 Light - Accent 2"/>
    <w:basedOn w:val="100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customStyle="1">
    <w:name w:val="Grid Table 1 Light - Accent 3"/>
    <w:basedOn w:val="100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customStyle="1">
    <w:name w:val="Grid Table 1 Light - Accent 4"/>
    <w:basedOn w:val="100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customStyle="1">
    <w:name w:val="Grid Table 1 Light - Accent 5"/>
    <w:basedOn w:val="100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customStyle="1">
    <w:name w:val="Grid Table 1 Light - Accent 6"/>
    <w:basedOn w:val="100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customStyle="1">
    <w:name w:val="Grid Table 2 - Accent 1"/>
    <w:basedOn w:val="100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customStyle="1">
    <w:name w:val="Grid Table 2 - Accent 2"/>
    <w:basedOn w:val="100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customStyle="1">
    <w:name w:val="Grid Table 2 - Accent 3"/>
    <w:basedOn w:val="100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customStyle="1">
    <w:name w:val="Grid Table 2 - Accent 4"/>
    <w:basedOn w:val="100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customStyle="1">
    <w:name w:val="Grid Table 2 - Accent 5"/>
    <w:basedOn w:val="100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customStyle="1">
    <w:name w:val="Grid Table 2 - Accent 6"/>
    <w:basedOn w:val="100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customStyle="1">
    <w:name w:val="Grid Table 3 - Accent 1"/>
    <w:basedOn w:val="100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customStyle="1">
    <w:name w:val="Grid Table 3 - Accent 2"/>
    <w:basedOn w:val="100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customStyle="1">
    <w:name w:val="Grid Table 3 - Accent 3"/>
    <w:basedOn w:val="100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customStyle="1">
    <w:name w:val="Grid Table 3 - Accent 4"/>
    <w:basedOn w:val="100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customStyle="1">
    <w:name w:val="Grid Table 3 - Accent 5"/>
    <w:basedOn w:val="100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customStyle="1">
    <w:name w:val="Grid Table 3 - Accent 6"/>
    <w:basedOn w:val="100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customStyle="1">
    <w:name w:val="Grid Table 4 - Accent 1"/>
    <w:basedOn w:val="1006"/>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customStyle="1">
    <w:name w:val="Grid Table 4 - Accent 2"/>
    <w:basedOn w:val="1006"/>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customStyle="1">
    <w:name w:val="Grid Table 4 - Accent 3"/>
    <w:basedOn w:val="1006"/>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customStyle="1">
    <w:name w:val="Grid Table 4 - Accent 4"/>
    <w:basedOn w:val="1006"/>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customStyle="1">
    <w:name w:val="Grid Table 4 - Accent 5"/>
    <w:basedOn w:val="1006"/>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customStyle="1">
    <w:name w:val="Grid Table 4 - Accent 6"/>
    <w:basedOn w:val="1006"/>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customStyle="1">
    <w:name w:val="Grid Table 5 Dark - Accent 2"/>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customStyle="1">
    <w:name w:val="Grid Table 5 Dark - Accent 3"/>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customStyle="1">
    <w:name w:val="Grid Table 5 Dark - Accent 5"/>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customStyle="1">
    <w:name w:val="Grid Table 5 Dark - Accent 6"/>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customStyle="1">
    <w:name w:val="Grid Table 6 Colorful - Accent 1"/>
    <w:basedOn w:val="1006"/>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customStyle="1">
    <w:name w:val="Grid Table 6 Colorful - Accent 2"/>
    <w:basedOn w:val="100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customStyle="1">
    <w:name w:val="Grid Table 6 Colorful - Accent 3"/>
    <w:basedOn w:val="1006"/>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customStyle="1">
    <w:name w:val="Grid Table 6 Colorful - Accent 4"/>
    <w:basedOn w:val="100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customStyle="1">
    <w:name w:val="Grid Table 6 Colorful - Accent 5"/>
    <w:basedOn w:val="1006"/>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customStyle="1">
    <w:name w:val="Grid Table 6 Colorful - Accent 6"/>
    <w:basedOn w:val="1006"/>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customStyle="1">
    <w:name w:val="Grid Table 7 Colorful - Accent 1"/>
    <w:basedOn w:val="1006"/>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customStyle="1">
    <w:name w:val="Grid Table 7 Colorful - Accent 2"/>
    <w:basedOn w:val="1006"/>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customStyle="1">
    <w:name w:val="Grid Table 7 Colorful - Accent 3"/>
    <w:basedOn w:val="1006"/>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customStyle="1">
    <w:name w:val="Grid Table 7 Colorful - Accent 4"/>
    <w:basedOn w:val="1006"/>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customStyle="1">
    <w:name w:val="Grid Table 7 Colorful - Accent 5"/>
    <w:basedOn w:val="1006"/>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customStyle="1">
    <w:name w:val="Grid Table 7 Colorful - Accent 6"/>
    <w:basedOn w:val="1006"/>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customStyle="1">
    <w:name w:val="List Table 1 Light - Accent 1"/>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customStyle="1">
    <w:name w:val="List Table 1 Light - Accent 2"/>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customStyle="1">
    <w:name w:val="List Table 1 Light - Accent 3"/>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customStyle="1">
    <w:name w:val="List Table 1 Light - Accent 4"/>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customStyle="1">
    <w:name w:val="List Table 1 Light - Accent 5"/>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customStyle="1">
    <w:name w:val="List Table 1 Light - Accent 6"/>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customStyle="1">
    <w:name w:val="List Table 2 - Accent 1"/>
    <w:basedOn w:val="1006"/>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customStyle="1">
    <w:name w:val="List Table 2 - Accent 2"/>
    <w:basedOn w:val="1006"/>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customStyle="1">
    <w:name w:val="List Table 2 - Accent 3"/>
    <w:basedOn w:val="1006"/>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customStyle="1">
    <w:name w:val="List Table 2 - Accent 4"/>
    <w:basedOn w:val="1006"/>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customStyle="1">
    <w:name w:val="List Table 2 - Accent 5"/>
    <w:basedOn w:val="1006"/>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customStyle="1">
    <w:name w:val="List Table 2 - Accent 6"/>
    <w:basedOn w:val="1006"/>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customStyle="1">
    <w:name w:val="List Table 3 - Accent 1"/>
    <w:basedOn w:val="1006"/>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customStyle="1">
    <w:name w:val="List Table 3 - Accent 2"/>
    <w:basedOn w:val="100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customStyle="1">
    <w:name w:val="List Table 3 - Accent 3"/>
    <w:basedOn w:val="1006"/>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customStyle="1">
    <w:name w:val="List Table 3 - Accent 4"/>
    <w:basedOn w:val="100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customStyle="1">
    <w:name w:val="List Table 3 - Accent 5"/>
    <w:basedOn w:val="1006"/>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customStyle="1">
    <w:name w:val="List Table 3 - Accent 6"/>
    <w:basedOn w:val="1006"/>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customStyle="1">
    <w:name w:val="List Table 4 - Accent 1"/>
    <w:basedOn w:val="1006"/>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customStyle="1">
    <w:name w:val="List Table 4 - Accent 2"/>
    <w:basedOn w:val="1006"/>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customStyle="1">
    <w:name w:val="List Table 4 - Accent 3"/>
    <w:basedOn w:val="1006"/>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customStyle="1">
    <w:name w:val="List Table 4 - Accent 4"/>
    <w:basedOn w:val="1006"/>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customStyle="1">
    <w:name w:val="List Table 4 - Accent 5"/>
    <w:basedOn w:val="1006"/>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customStyle="1">
    <w:name w:val="List Table 4 - Accent 6"/>
    <w:basedOn w:val="1006"/>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customStyle="1">
    <w:name w:val="List Table 5 Dark - Accent 1"/>
    <w:basedOn w:val="1006"/>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customStyle="1">
    <w:name w:val="List Table 5 Dark - Accent 2"/>
    <w:basedOn w:val="1006"/>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customStyle="1">
    <w:name w:val="List Table 5 Dark - Accent 3"/>
    <w:basedOn w:val="1006"/>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customStyle="1">
    <w:name w:val="List Table 5 Dark - Accent 4"/>
    <w:basedOn w:val="1006"/>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customStyle="1">
    <w:name w:val="List Table 5 Dark - Accent 5"/>
    <w:basedOn w:val="1006"/>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customStyle="1">
    <w:name w:val="List Table 5 Dark - Accent 6"/>
    <w:basedOn w:val="1006"/>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customStyle="1">
    <w:name w:val="List Table 6 Colorful - Accent 1"/>
    <w:basedOn w:val="1006"/>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customStyle="1">
    <w:name w:val="List Table 6 Colorful - Accent 2"/>
    <w:basedOn w:val="1006"/>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customStyle="1">
    <w:name w:val="List Table 6 Colorful - Accent 3"/>
    <w:basedOn w:val="1006"/>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customStyle="1">
    <w:name w:val="List Table 6 Colorful - Accent 4"/>
    <w:basedOn w:val="1006"/>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customStyle="1">
    <w:name w:val="List Table 6 Colorful - Accent 5"/>
    <w:basedOn w:val="1006"/>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customStyle="1">
    <w:name w:val="List Table 6 Colorful - Accent 6"/>
    <w:basedOn w:val="1006"/>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customStyle="1">
    <w:name w:val="List Table 7 Colorful - Accent 1"/>
    <w:basedOn w:val="1006"/>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customStyle="1">
    <w:name w:val="List Table 7 Colorful - Accent 2"/>
    <w:basedOn w:val="1006"/>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customStyle="1">
    <w:name w:val="List Table 7 Colorful - Accent 3"/>
    <w:basedOn w:val="1006"/>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customStyle="1">
    <w:name w:val="List Table 7 Colorful - Accent 4"/>
    <w:basedOn w:val="1006"/>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customStyle="1">
    <w:name w:val="List Table 7 Colorful - Accent 5"/>
    <w:basedOn w:val="1006"/>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customStyle="1">
    <w:name w:val="List Table 7 Colorful - Accent 6"/>
    <w:basedOn w:val="1006"/>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Light"/>
    <w:basedOn w:val="100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Plain Table 1"/>
    <w:basedOn w:val="100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Plain Table 2"/>
    <w:basedOn w:val="1006"/>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Plain Table 3"/>
    <w:basedOn w:val="100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Plain Table 4"/>
    <w:basedOn w:val="100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Plain Table 5"/>
    <w:basedOn w:val="100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1 Light"/>
    <w:basedOn w:val="1006"/>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1 Light Accent 1"/>
    <w:basedOn w:val="100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Grid Table 1 Light Accent 2"/>
    <w:basedOn w:val="100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Grid Table 1 Light Accent 3"/>
    <w:basedOn w:val="100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Grid Table 1 Light Accent 4"/>
    <w:basedOn w:val="100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Grid Table 1 Light Accent 5"/>
    <w:basedOn w:val="100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1 Light Accent 6"/>
    <w:basedOn w:val="100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Grid Table 2"/>
    <w:basedOn w:val="100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2 Accent 1"/>
    <w:basedOn w:val="100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Grid Table 2 Accent 2"/>
    <w:basedOn w:val="100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name w:val="Grid Table 2 Accent 3"/>
    <w:basedOn w:val="100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Grid Table 2 Accent 4"/>
    <w:basedOn w:val="100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Grid Table 2 Accent 5"/>
    <w:basedOn w:val="100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Grid Table 2 Accent 6"/>
    <w:basedOn w:val="100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Grid Table 3"/>
    <w:basedOn w:val="100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Grid Table 3 Accent 1"/>
    <w:basedOn w:val="100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Grid Table 3 Accent 2"/>
    <w:basedOn w:val="100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Grid Table 3 Accent 3"/>
    <w:basedOn w:val="100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Grid Table 3 Accent 4"/>
    <w:basedOn w:val="100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Grid Table 3 Accent 5"/>
    <w:basedOn w:val="100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Grid Table 3 Accent 6"/>
    <w:basedOn w:val="100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name w:val="Grid Table 4"/>
    <w:basedOn w:val="1006"/>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name w:val="Grid Table 4 Accent 1"/>
    <w:basedOn w:val="1006"/>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name w:val="Grid Table 4 Accent 2"/>
    <w:basedOn w:val="1006"/>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name w:val="Grid Table 4 Accent 3"/>
    <w:basedOn w:val="1006"/>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Grid Table 4 Accent 4"/>
    <w:basedOn w:val="1006"/>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Grid Table 4 Accent 5"/>
    <w:basedOn w:val="1006"/>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Grid Table 4 Accent 6"/>
    <w:basedOn w:val="1006"/>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Grid Table 5 Dark"/>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customStyle="1">
    <w:name w:val="Grid Table 5 Dark- Accent 1"/>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Grid Table 5 Dark Accent 2"/>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Grid Table 5 Dark Accent 3"/>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customStyle="1">
    <w:name w:val="Grid Table 5 Dark- Accent 4"/>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Grid Table 5 Dark Accent 5"/>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Grid Table 5 Dark Accent 6"/>
    <w:basedOn w:val="100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name w:val="Grid Table 6 Colorful"/>
    <w:basedOn w:val="1006"/>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Grid Table 6 Colorful Accent 1"/>
    <w:basedOn w:val="1006"/>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Grid Table 6 Colorful Accent 2"/>
    <w:basedOn w:val="100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Grid Table 6 Colorful Accent 3"/>
    <w:basedOn w:val="1006"/>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Grid Table 6 Colorful Accent 4"/>
    <w:basedOn w:val="100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Grid Table 6 Colorful Accent 5"/>
    <w:basedOn w:val="1006"/>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Grid Table 6 Colorful Accent 6"/>
    <w:basedOn w:val="1006"/>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Grid Table 7 Colorful"/>
    <w:basedOn w:val="1006"/>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Grid Table 7 Colorful Accent 1"/>
    <w:basedOn w:val="1006"/>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name w:val="Grid Table 7 Colorful Accent 2"/>
    <w:basedOn w:val="1006"/>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name w:val="Grid Table 7 Colorful Accent 3"/>
    <w:basedOn w:val="1006"/>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Grid Table 7 Colorful Accent 4"/>
    <w:basedOn w:val="1006"/>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Grid Table 7 Colorful Accent 5"/>
    <w:basedOn w:val="1006"/>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Grid Table 7 Colorful Accent 6"/>
    <w:basedOn w:val="1006"/>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name w:val="List Table 1 Light"/>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1 Light Accent 1"/>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name w:val="List Table 1 Light Accent 2"/>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name w:val="List Table 1 Light Accent 3"/>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name w:val="List Table 1 Light Accent 4"/>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name w:val="List Table 1 Light Accent 5"/>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name w:val="List Table 1 Light Accent 6"/>
    <w:basedOn w:val="1006"/>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name w:val="List Table 2"/>
    <w:basedOn w:val="1006"/>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name w:val="List Table 2 Accent 1"/>
    <w:basedOn w:val="1006"/>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name w:val="List Table 2 Accent 2"/>
    <w:basedOn w:val="1006"/>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name w:val="List Table 2 Accent 3"/>
    <w:basedOn w:val="1006"/>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name w:val="List Table 2 Accent 4"/>
    <w:basedOn w:val="1006"/>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name w:val="List Table 2 Accent 5"/>
    <w:basedOn w:val="1006"/>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name w:val="List Table 2 Accent 6"/>
    <w:basedOn w:val="1006"/>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name w:val="List Table 3"/>
    <w:basedOn w:val="100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name w:val="List Table 3 Accent 1"/>
    <w:basedOn w:val="1006"/>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name w:val="List Table 3 Accent 2"/>
    <w:basedOn w:val="100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name w:val="List Table 3 Accent 3"/>
    <w:basedOn w:val="1006"/>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name w:val="List Table 3 Accent 4"/>
    <w:basedOn w:val="100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name w:val="List Table 3 Accent 5"/>
    <w:basedOn w:val="1006"/>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name w:val="List Table 3 Accent 6"/>
    <w:basedOn w:val="1006"/>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name w:val="List Table 4"/>
    <w:basedOn w:val="100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name w:val="List Table 4 Accent 1"/>
    <w:basedOn w:val="1006"/>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name w:val="List Table 4 Accent 2"/>
    <w:basedOn w:val="1006"/>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name w:val="List Table 4 Accent 3"/>
    <w:basedOn w:val="1006"/>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name w:val="List Table 4 Accent 4"/>
    <w:basedOn w:val="1006"/>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name w:val="List Table 4 Accent 5"/>
    <w:basedOn w:val="1006"/>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name w:val="List Table 4 Accent 6"/>
    <w:basedOn w:val="1006"/>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name w:val="List Table 5 Dark"/>
    <w:basedOn w:val="1006"/>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name w:val="List Table 5 Dark Accent 1"/>
    <w:basedOn w:val="1006"/>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name w:val="List Table 5 Dark Accent 2"/>
    <w:basedOn w:val="1006"/>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name w:val="List Table 5 Dark Accent 3"/>
    <w:basedOn w:val="1006"/>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name w:val="List Table 5 Dark Accent 4"/>
    <w:basedOn w:val="1006"/>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name w:val="List Table 5 Dark Accent 5"/>
    <w:basedOn w:val="1006"/>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name w:val="List Table 5 Dark Accent 6"/>
    <w:basedOn w:val="1006"/>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name w:val="List Table 6 Colorful"/>
    <w:basedOn w:val="1006"/>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name w:val="List Table 6 Colorful Accent 1"/>
    <w:basedOn w:val="1006"/>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name w:val="List Table 6 Colorful Accent 2"/>
    <w:basedOn w:val="1006"/>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name w:val="List Table 6 Colorful Accent 3"/>
    <w:basedOn w:val="1006"/>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name w:val="List Table 6 Colorful Accent 4"/>
    <w:basedOn w:val="1006"/>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name w:val="List Table 6 Colorful Accent 5"/>
    <w:basedOn w:val="1006"/>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name w:val="List Table 6 Colorful Accent 6"/>
    <w:basedOn w:val="1006"/>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name w:val="List Table 7 Colorful"/>
    <w:basedOn w:val="1006"/>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name w:val="List Table 7 Colorful Accent 1"/>
    <w:basedOn w:val="1006"/>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name w:val="List Table 7 Colorful Accent 2"/>
    <w:basedOn w:val="1006"/>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name w:val="List Table 7 Colorful Accent 3"/>
    <w:basedOn w:val="1006"/>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name w:val="List Table 7 Colorful Accent 4"/>
    <w:basedOn w:val="1006"/>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name w:val="List Table 7 Colorful Accent 5"/>
    <w:basedOn w:val="1006"/>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name w:val="List Table 7 Colorful Accent 6"/>
    <w:basedOn w:val="1006"/>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customStyle="1">
    <w:name w:val="Lined - Accent"/>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customStyle="1">
    <w:name w:val="Lined - Accent 1"/>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customStyle="1">
    <w:name w:val="Lined - Accent 2"/>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Lined - Accent 3"/>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9" w:customStyle="1">
    <w:name w:val="Lined - Accent 4"/>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0" w:customStyle="1">
    <w:name w:val="Lined - Accent 5"/>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1" w:customStyle="1">
    <w:name w:val="Lined - Accent 6"/>
    <w:basedOn w:val="1006"/>
    <w:uiPriority w:val="99"/>
    <w:pPr>
      <w:pBdr/>
      <w:spacing/>
      <w:ind/>
    </w:pPr>
    <w:rPr>
      <w:color w:val="404040"/>
      <w:lang w:val="en-US" w:eastAsia="en-US"/>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2" w:customStyle="1">
    <w:name w:val="Bordered &amp; Lined - Accent"/>
    <w:basedOn w:val="1006"/>
    <w:uiPriority w:val="99"/>
    <w:pPr>
      <w:pBdr/>
      <w:spacing/>
      <w:ind/>
    </w:pPr>
    <w:rPr>
      <w:color w:val="404040"/>
      <w:lang w:val="en-US" w:eastAsia="en-U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3" w:customStyle="1">
    <w:name w:val="Bordered &amp; Lined - Accent 1"/>
    <w:basedOn w:val="1006"/>
    <w:uiPriority w:val="99"/>
    <w:pPr>
      <w:pBdr/>
      <w:spacing/>
      <w:ind/>
    </w:pPr>
    <w:rPr>
      <w:color w:val="404040"/>
      <w:lang w:val="en-US" w:eastAsia="en-US"/>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4" w:customStyle="1">
    <w:name w:val="Bordered &amp; Lined - Accent 2"/>
    <w:basedOn w:val="1006"/>
    <w:uiPriority w:val="99"/>
    <w:pPr>
      <w:pBdr/>
      <w:spacing/>
      <w:ind/>
    </w:pPr>
    <w:rPr>
      <w:color w:val="404040"/>
      <w:lang w:val="en-US" w:eastAsia="en-US"/>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5" w:customStyle="1">
    <w:name w:val="Bordered &amp; Lined - Accent 3"/>
    <w:basedOn w:val="1006"/>
    <w:uiPriority w:val="99"/>
    <w:pPr>
      <w:pBdr/>
      <w:spacing/>
      <w:ind/>
    </w:pPr>
    <w:rPr>
      <w:color w:val="404040"/>
      <w:lang w:val="en-US" w:eastAsia="en-US"/>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6" w:customStyle="1">
    <w:name w:val="Bordered &amp; Lined - Accent 4"/>
    <w:basedOn w:val="1006"/>
    <w:uiPriority w:val="99"/>
    <w:pPr>
      <w:pBdr/>
      <w:spacing/>
      <w:ind/>
    </w:pPr>
    <w:rPr>
      <w:color w:val="404040"/>
      <w:lang w:val="en-US" w:eastAsia="en-US"/>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7" w:customStyle="1">
    <w:name w:val="Bordered &amp; Lined - Accent 5"/>
    <w:basedOn w:val="1006"/>
    <w:uiPriority w:val="99"/>
    <w:pPr>
      <w:pBdr/>
      <w:spacing/>
      <w:ind/>
    </w:pPr>
    <w:rPr>
      <w:color w:val="404040"/>
      <w:lang w:val="en-US" w:eastAsia="en-US"/>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8" w:customStyle="1">
    <w:name w:val="Bordered &amp; Lined - Accent 6"/>
    <w:basedOn w:val="1006"/>
    <w:uiPriority w:val="99"/>
    <w:pPr>
      <w:pBdr/>
      <w:spacing/>
      <w:ind/>
    </w:pPr>
    <w:rPr>
      <w:color w:val="404040"/>
      <w:lang w:val="en-US" w:eastAsia="en-US"/>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9" w:customStyle="1">
    <w:name w:val="Bordered"/>
    <w:basedOn w:val="1006"/>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0" w:customStyle="1">
    <w:name w:val="Bordered - Accent 1"/>
    <w:basedOn w:val="100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1" w:customStyle="1">
    <w:name w:val="Bordered - Accent 2"/>
    <w:basedOn w:val="100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2" w:customStyle="1">
    <w:name w:val="Bordered - Accent 3"/>
    <w:basedOn w:val="100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3" w:customStyle="1">
    <w:name w:val="Bordered - Accent 4"/>
    <w:basedOn w:val="100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4" w:customStyle="1">
    <w:name w:val="Bordered - Accent 5"/>
    <w:basedOn w:val="100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5" w:customStyle="1">
    <w:name w:val="Bordered - Accent 6"/>
    <w:basedOn w:val="100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216" w:customStyle="1">
    <w:name w:val="Titre 1 Car"/>
    <w:basedOn w:val="1005"/>
    <w:link w:val="996"/>
    <w:uiPriority w:val="9"/>
    <w:pPr>
      <w:pBdr/>
      <w:spacing/>
      <w:ind/>
    </w:pPr>
    <w:rPr>
      <w:rFonts w:ascii="Arial" w:hAnsi="Arial" w:eastAsia="Arial" w:cs="Arial"/>
      <w:color w:val="365f91" w:themeColor="accent1" w:themeShade="BF"/>
      <w:sz w:val="40"/>
      <w:szCs w:val="40"/>
    </w:rPr>
  </w:style>
  <w:style w:type="character" w:styleId="1217" w:customStyle="1">
    <w:name w:val="Heading 2 Char"/>
    <w:basedOn w:val="1005"/>
    <w:uiPriority w:val="9"/>
    <w:pPr>
      <w:pBdr/>
      <w:spacing/>
      <w:ind/>
    </w:pPr>
    <w:rPr>
      <w:rFonts w:ascii="Arial" w:hAnsi="Arial" w:eastAsia="Arial" w:cs="Arial"/>
      <w:color w:val="365f91" w:themeColor="accent1" w:themeShade="BF"/>
      <w:sz w:val="32"/>
      <w:szCs w:val="32"/>
    </w:rPr>
  </w:style>
  <w:style w:type="character" w:styleId="1218" w:customStyle="1">
    <w:name w:val="Titre 3 Car"/>
    <w:basedOn w:val="1005"/>
    <w:link w:val="998"/>
    <w:uiPriority w:val="9"/>
    <w:pPr>
      <w:pBdr/>
      <w:spacing/>
      <w:ind/>
    </w:pPr>
    <w:rPr>
      <w:rFonts w:ascii="Arial" w:hAnsi="Arial" w:eastAsia="Arial" w:cs="Arial"/>
      <w:color w:val="365f91" w:themeColor="accent1" w:themeShade="BF"/>
      <w:sz w:val="28"/>
      <w:szCs w:val="28"/>
    </w:rPr>
  </w:style>
  <w:style w:type="character" w:styleId="1219" w:customStyle="1">
    <w:name w:val="Titre 4 Car"/>
    <w:basedOn w:val="1005"/>
    <w:link w:val="999"/>
    <w:uiPriority w:val="9"/>
    <w:pPr>
      <w:pBdr/>
      <w:spacing/>
      <w:ind/>
    </w:pPr>
    <w:rPr>
      <w:rFonts w:ascii="Arial" w:hAnsi="Arial" w:eastAsia="Arial" w:cs="Arial"/>
      <w:i/>
      <w:iCs/>
      <w:color w:val="365f91" w:themeColor="accent1" w:themeShade="BF"/>
    </w:rPr>
  </w:style>
  <w:style w:type="character" w:styleId="1220" w:customStyle="1">
    <w:name w:val="Titre 5 Car"/>
    <w:basedOn w:val="1005"/>
    <w:link w:val="1000"/>
    <w:uiPriority w:val="9"/>
    <w:pPr>
      <w:pBdr/>
      <w:spacing/>
      <w:ind/>
    </w:pPr>
    <w:rPr>
      <w:rFonts w:ascii="Arial" w:hAnsi="Arial" w:eastAsia="Arial" w:cs="Arial"/>
      <w:color w:val="365f91" w:themeColor="accent1" w:themeShade="BF"/>
    </w:rPr>
  </w:style>
  <w:style w:type="character" w:styleId="1221" w:customStyle="1">
    <w:name w:val="Titre 6 Car"/>
    <w:basedOn w:val="1005"/>
    <w:link w:val="1001"/>
    <w:uiPriority w:val="9"/>
    <w:pPr>
      <w:pBdr/>
      <w:spacing/>
      <w:ind/>
    </w:pPr>
    <w:rPr>
      <w:rFonts w:ascii="Arial" w:hAnsi="Arial" w:eastAsia="Arial" w:cs="Arial"/>
      <w:i/>
      <w:iCs/>
      <w:color w:val="595959" w:themeColor="text1" w:themeTint="A6"/>
    </w:rPr>
  </w:style>
  <w:style w:type="character" w:styleId="1222" w:customStyle="1">
    <w:name w:val="Titre 7 Car"/>
    <w:basedOn w:val="1005"/>
    <w:link w:val="1002"/>
    <w:uiPriority w:val="9"/>
    <w:pPr>
      <w:pBdr/>
      <w:spacing/>
      <w:ind/>
    </w:pPr>
    <w:rPr>
      <w:rFonts w:ascii="Arial" w:hAnsi="Arial" w:eastAsia="Arial" w:cs="Arial"/>
      <w:color w:val="595959" w:themeColor="text1" w:themeTint="A6"/>
    </w:rPr>
  </w:style>
  <w:style w:type="character" w:styleId="1223" w:customStyle="1">
    <w:name w:val="Titre 8 Car"/>
    <w:basedOn w:val="1005"/>
    <w:link w:val="1003"/>
    <w:uiPriority w:val="9"/>
    <w:pPr>
      <w:pBdr/>
      <w:spacing/>
      <w:ind/>
    </w:pPr>
    <w:rPr>
      <w:rFonts w:ascii="Arial" w:hAnsi="Arial" w:eastAsia="Arial" w:cs="Arial"/>
      <w:i/>
      <w:iCs/>
      <w:color w:val="272727" w:themeColor="text1" w:themeTint="D8"/>
    </w:rPr>
  </w:style>
  <w:style w:type="character" w:styleId="1224" w:customStyle="1">
    <w:name w:val="Titre 9 Car"/>
    <w:basedOn w:val="1005"/>
    <w:link w:val="1004"/>
    <w:uiPriority w:val="9"/>
    <w:pPr>
      <w:pBdr/>
      <w:spacing/>
      <w:ind/>
    </w:pPr>
    <w:rPr>
      <w:rFonts w:ascii="Arial" w:hAnsi="Arial" w:eastAsia="Arial" w:cs="Arial"/>
      <w:i/>
      <w:iCs/>
      <w:color w:val="272727" w:themeColor="text1" w:themeTint="D8"/>
    </w:rPr>
  </w:style>
  <w:style w:type="character" w:styleId="1225" w:customStyle="1">
    <w:name w:val="Titre Car"/>
    <w:basedOn w:val="1005"/>
    <w:link w:val="1265"/>
    <w:uiPriority w:val="10"/>
    <w:pPr>
      <w:pBdr/>
      <w:spacing/>
      <w:ind/>
    </w:pPr>
    <w:rPr>
      <w:rFonts w:ascii="Arial" w:hAnsi="Arial" w:eastAsia="Arial" w:cs="Arial"/>
      <w:spacing w:val="-10"/>
      <w:sz w:val="56"/>
      <w:szCs w:val="56"/>
    </w:rPr>
  </w:style>
  <w:style w:type="paragraph" w:styleId="1226">
    <w:name w:val="Subtitle"/>
    <w:basedOn w:val="995"/>
    <w:next w:val="995"/>
    <w:link w:val="1227"/>
    <w:uiPriority w:val="11"/>
    <w:qFormat/>
    <w:pPr>
      <w:numPr>
        <w:ilvl w:val="1"/>
      </w:numPr>
      <w:pBdr/>
      <w:spacing/>
      <w:ind/>
    </w:pPr>
    <w:rPr>
      <w:color w:val="595959" w:themeColor="text1" w:themeTint="A6"/>
      <w:spacing w:val="15"/>
      <w:sz w:val="28"/>
      <w:szCs w:val="28"/>
    </w:rPr>
  </w:style>
  <w:style w:type="character" w:styleId="1227" w:customStyle="1">
    <w:name w:val="Sous-titre Car"/>
    <w:basedOn w:val="1005"/>
    <w:link w:val="1226"/>
    <w:uiPriority w:val="11"/>
    <w:pPr>
      <w:pBdr/>
      <w:spacing/>
      <w:ind/>
    </w:pPr>
    <w:rPr>
      <w:color w:val="595959" w:themeColor="text1" w:themeTint="A6"/>
      <w:spacing w:val="15"/>
      <w:sz w:val="28"/>
      <w:szCs w:val="28"/>
    </w:rPr>
  </w:style>
  <w:style w:type="paragraph" w:styleId="1228">
    <w:name w:val="Quote"/>
    <w:basedOn w:val="995"/>
    <w:next w:val="995"/>
    <w:link w:val="1229"/>
    <w:uiPriority w:val="29"/>
    <w:qFormat/>
    <w:pPr>
      <w:pBdr/>
      <w:spacing w:before="160"/>
      <w:ind/>
      <w:jc w:val="center"/>
    </w:pPr>
    <w:rPr>
      <w:i/>
      <w:iCs/>
      <w:color w:val="404040" w:themeColor="text1" w:themeTint="BF"/>
    </w:rPr>
  </w:style>
  <w:style w:type="character" w:styleId="1229" w:customStyle="1">
    <w:name w:val="Citation Car"/>
    <w:basedOn w:val="1005"/>
    <w:link w:val="1228"/>
    <w:uiPriority w:val="29"/>
    <w:pPr>
      <w:pBdr/>
      <w:spacing/>
      <w:ind/>
    </w:pPr>
    <w:rPr>
      <w:i/>
      <w:iCs/>
      <w:color w:val="404040" w:themeColor="text1" w:themeTint="BF"/>
    </w:rPr>
  </w:style>
  <w:style w:type="character" w:styleId="1230">
    <w:name w:val="Intense Emphasis"/>
    <w:basedOn w:val="1005"/>
    <w:uiPriority w:val="21"/>
    <w:qFormat/>
    <w:pPr>
      <w:pBdr/>
      <w:spacing/>
      <w:ind/>
    </w:pPr>
    <w:rPr>
      <w:i/>
      <w:iCs/>
      <w:color w:val="365f91" w:themeColor="accent1" w:themeShade="BF"/>
    </w:rPr>
  </w:style>
  <w:style w:type="paragraph" w:styleId="1231">
    <w:name w:val="Intense Quote"/>
    <w:basedOn w:val="995"/>
    <w:next w:val="995"/>
    <w:link w:val="1232"/>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1232" w:customStyle="1">
    <w:name w:val="Citation intense Car"/>
    <w:basedOn w:val="1005"/>
    <w:link w:val="1231"/>
    <w:uiPriority w:val="30"/>
    <w:pPr>
      <w:pBdr/>
      <w:spacing/>
      <w:ind/>
    </w:pPr>
    <w:rPr>
      <w:i/>
      <w:iCs/>
      <w:color w:val="365f91" w:themeColor="accent1" w:themeShade="BF"/>
    </w:rPr>
  </w:style>
  <w:style w:type="character" w:styleId="1233">
    <w:name w:val="Intense Reference"/>
    <w:basedOn w:val="1005"/>
    <w:uiPriority w:val="32"/>
    <w:qFormat/>
    <w:pPr>
      <w:pBdr/>
      <w:spacing/>
      <w:ind/>
    </w:pPr>
    <w:rPr>
      <w:b/>
      <w:bCs/>
      <w:smallCaps/>
      <w:color w:val="365f91" w:themeColor="accent1" w:themeShade="BF"/>
      <w:spacing w:val="5"/>
    </w:rPr>
  </w:style>
  <w:style w:type="paragraph" w:styleId="1234">
    <w:name w:val="No Spacing"/>
    <w:basedOn w:val="995"/>
    <w:uiPriority w:val="1"/>
    <w:qFormat/>
    <w:pPr>
      <w:pBdr/>
      <w:spacing w:line="240" w:lineRule="auto"/>
      <w:ind/>
    </w:pPr>
  </w:style>
  <w:style w:type="character" w:styleId="1235">
    <w:name w:val="Subtle Emphasis"/>
    <w:basedOn w:val="1005"/>
    <w:uiPriority w:val="19"/>
    <w:qFormat/>
    <w:pPr>
      <w:pBdr/>
      <w:spacing/>
      <w:ind/>
    </w:pPr>
    <w:rPr>
      <w:i/>
      <w:iCs/>
      <w:color w:val="404040" w:themeColor="text1" w:themeTint="BF"/>
    </w:rPr>
  </w:style>
  <w:style w:type="character" w:styleId="1236">
    <w:name w:val="Strong"/>
    <w:basedOn w:val="1005"/>
    <w:uiPriority w:val="22"/>
    <w:qFormat/>
    <w:pPr>
      <w:pBdr/>
      <w:spacing/>
      <w:ind/>
    </w:pPr>
    <w:rPr>
      <w:b/>
      <w:bCs/>
    </w:rPr>
  </w:style>
  <w:style w:type="character" w:styleId="1237">
    <w:name w:val="Subtle Reference"/>
    <w:basedOn w:val="1005"/>
    <w:uiPriority w:val="31"/>
    <w:qFormat/>
    <w:pPr>
      <w:pBdr/>
      <w:spacing/>
      <w:ind/>
    </w:pPr>
    <w:rPr>
      <w:smallCaps/>
      <w:color w:val="5a5a5a" w:themeColor="text1" w:themeTint="A5"/>
    </w:rPr>
  </w:style>
  <w:style w:type="character" w:styleId="1238" w:customStyle="1">
    <w:name w:val="Header Char"/>
    <w:basedOn w:val="1005"/>
    <w:uiPriority w:val="99"/>
    <w:pPr>
      <w:pBdr/>
      <w:spacing/>
      <w:ind/>
    </w:pPr>
  </w:style>
  <w:style w:type="character" w:styleId="1239" w:customStyle="1">
    <w:name w:val="Footer Char"/>
    <w:basedOn w:val="1005"/>
    <w:uiPriority w:val="99"/>
    <w:pPr>
      <w:pBdr/>
      <w:spacing/>
      <w:ind/>
    </w:pPr>
  </w:style>
  <w:style w:type="paragraph" w:styleId="1240">
    <w:name w:val="Caption"/>
    <w:basedOn w:val="995"/>
    <w:next w:val="995"/>
    <w:uiPriority w:val="35"/>
    <w:unhideWhenUsed/>
    <w:qFormat/>
    <w:pPr>
      <w:pBdr/>
      <w:spacing w:after="200" w:line="240" w:lineRule="auto"/>
      <w:ind/>
    </w:pPr>
    <w:rPr>
      <w:i/>
      <w:iCs/>
      <w:color w:val="1f497d" w:themeColor="text2"/>
      <w:sz w:val="18"/>
      <w:szCs w:val="18"/>
    </w:rPr>
  </w:style>
  <w:style w:type="character" w:styleId="1241" w:customStyle="1">
    <w:name w:val="Footnote Text Char"/>
    <w:basedOn w:val="1005"/>
    <w:uiPriority w:val="99"/>
    <w:semiHidden/>
    <w:pPr>
      <w:pBdr/>
      <w:spacing/>
      <w:ind/>
    </w:pPr>
    <w:rPr>
      <w:sz w:val="20"/>
      <w:szCs w:val="20"/>
    </w:rPr>
  </w:style>
  <w:style w:type="paragraph" w:styleId="1242">
    <w:name w:val="endnote text"/>
    <w:basedOn w:val="995"/>
    <w:link w:val="1243"/>
    <w:uiPriority w:val="99"/>
    <w:semiHidden/>
    <w:unhideWhenUsed/>
    <w:pPr>
      <w:pBdr/>
      <w:spacing w:line="240" w:lineRule="auto"/>
      <w:ind/>
    </w:pPr>
  </w:style>
  <w:style w:type="character" w:styleId="1243" w:customStyle="1">
    <w:name w:val="Note de fin Car"/>
    <w:basedOn w:val="1005"/>
    <w:link w:val="1242"/>
    <w:uiPriority w:val="99"/>
    <w:semiHidden/>
    <w:pPr>
      <w:pBdr/>
      <w:spacing/>
      <w:ind/>
    </w:pPr>
    <w:rPr>
      <w:sz w:val="20"/>
      <w:szCs w:val="20"/>
    </w:rPr>
  </w:style>
  <w:style w:type="character" w:styleId="1244">
    <w:name w:val="endnote reference"/>
    <w:basedOn w:val="1005"/>
    <w:uiPriority w:val="99"/>
    <w:semiHidden/>
    <w:unhideWhenUsed/>
    <w:pPr>
      <w:pBdr/>
      <w:spacing/>
      <w:ind/>
    </w:pPr>
    <w:rPr>
      <w:vertAlign w:val="superscript"/>
    </w:rPr>
  </w:style>
  <w:style w:type="character" w:styleId="1245">
    <w:name w:val="FollowedHyperlink"/>
    <w:basedOn w:val="1005"/>
    <w:uiPriority w:val="99"/>
    <w:semiHidden/>
    <w:unhideWhenUsed/>
    <w:pPr>
      <w:pBdr/>
      <w:spacing/>
      <w:ind/>
    </w:pPr>
    <w:rPr>
      <w:color w:val="800080" w:themeColor="followedHyperlink"/>
      <w:u w:val="single"/>
    </w:rPr>
  </w:style>
  <w:style w:type="paragraph" w:styleId="1246">
    <w:name w:val="table of figures"/>
    <w:basedOn w:val="995"/>
    <w:next w:val="995"/>
    <w:uiPriority w:val="99"/>
    <w:unhideWhenUsed/>
    <w:pPr>
      <w:pBdr/>
      <w:spacing/>
      <w:ind/>
    </w:pPr>
  </w:style>
  <w:style w:type="paragraph" w:styleId="1247">
    <w:name w:val="Header"/>
    <w:basedOn w:val="995"/>
    <w:link w:val="1302"/>
    <w:pPr>
      <w:pBdr/>
      <w:tabs>
        <w:tab w:val="center" w:leader="none" w:pos="4536"/>
        <w:tab w:val="right" w:leader="none" w:pos="9072"/>
      </w:tabs>
      <w:spacing/>
      <w:ind/>
    </w:pPr>
  </w:style>
  <w:style w:type="paragraph" w:styleId="1248">
    <w:name w:val="Footer"/>
    <w:basedOn w:val="995"/>
    <w:link w:val="1287"/>
    <w:uiPriority w:val="99"/>
    <w:pPr>
      <w:pBdr/>
      <w:tabs>
        <w:tab w:val="center" w:leader="none" w:pos="4536"/>
        <w:tab w:val="right" w:leader="none" w:pos="9072"/>
      </w:tabs>
      <w:spacing/>
      <w:ind/>
    </w:pPr>
  </w:style>
  <w:style w:type="character" w:styleId="1249">
    <w:name w:val="Hyperlink"/>
    <w:basedOn w:val="1005"/>
    <w:uiPriority w:val="99"/>
    <w:pPr>
      <w:pBdr/>
      <w:spacing/>
      <w:ind/>
    </w:pPr>
    <w:rPr>
      <w:color w:val="0000ff"/>
      <w:u w:val="single"/>
    </w:rPr>
  </w:style>
  <w:style w:type="paragraph" w:styleId="1250" w:customStyle="1">
    <w:name w:val="texte puce2"/>
    <w:basedOn w:val="995"/>
    <w:pPr>
      <w:numPr>
        <w:numId w:val="1"/>
      </w:numPr>
      <w:pBdr/>
      <w:spacing/>
      <w:ind/>
    </w:pPr>
  </w:style>
  <w:style w:type="paragraph" w:styleId="1251" w:customStyle="1">
    <w:name w:val="Texte de bulles1"/>
    <w:basedOn w:val="995"/>
    <w:semiHidden/>
    <w:pPr>
      <w:pBdr/>
      <w:spacing/>
      <w:ind/>
    </w:pPr>
    <w:rPr>
      <w:rFonts w:ascii="Tahoma" w:hAnsi="Tahoma" w:cs="Tahoma"/>
      <w:sz w:val="16"/>
      <w:szCs w:val="16"/>
    </w:rPr>
  </w:style>
  <w:style w:type="paragraph" w:styleId="1252" w:customStyle="1">
    <w:name w:val="a"/>
    <w:basedOn w:val="995"/>
    <w:pPr>
      <w:pBdr/>
      <w:spacing w:line="240" w:lineRule="auto"/>
      <w:ind/>
      <w:jc w:val="both"/>
    </w:pPr>
    <w:rPr>
      <w:rFonts w:eastAsia="Times New Roman"/>
      <w:sz w:val="22"/>
    </w:rPr>
  </w:style>
  <w:style w:type="paragraph" w:styleId="1253" w:customStyle="1">
    <w:name w:val="u"/>
    <w:basedOn w:val="995"/>
    <w:pPr>
      <w:pBdr/>
      <w:spacing w:line="240" w:lineRule="auto"/>
      <w:ind w:left="562"/>
      <w:jc w:val="both"/>
    </w:pPr>
    <w:rPr>
      <w:rFonts w:eastAsia="Times New Roman"/>
      <w:sz w:val="22"/>
    </w:rPr>
  </w:style>
  <w:style w:type="paragraph" w:styleId="1254" w:customStyle="1">
    <w:name w:val="v"/>
    <w:basedOn w:val="1253"/>
    <w:pPr>
      <w:pBdr/>
      <w:spacing/>
      <w:ind w:hanging="562"/>
    </w:pPr>
  </w:style>
  <w:style w:type="paragraph" w:styleId="1255" w:customStyle="1">
    <w:name w:val="TITF1"/>
    <w:basedOn w:val="995"/>
    <w:pPr>
      <w:widowControl w:val="false"/>
      <w:numPr>
        <w:ilvl w:val="12"/>
      </w:numPr>
      <w:pBdr/>
      <w:spacing w:after="540" w:line="240" w:lineRule="auto"/>
      <w:ind/>
      <w:jc w:val="both"/>
    </w:pPr>
    <w:rPr>
      <w:rFonts w:eastAsia="Times New Roman" w:cs="Arial"/>
      <w:b/>
      <w:caps/>
    </w:rPr>
  </w:style>
  <w:style w:type="paragraph" w:styleId="1256" w:customStyle="1">
    <w:name w:val="w"/>
    <w:basedOn w:val="995"/>
    <w:pPr>
      <w:numPr>
        <w:numId w:val="2"/>
      </w:numPr>
      <w:pBdr/>
      <w:spacing w:line="240" w:lineRule="auto"/>
      <w:ind/>
      <w:jc w:val="both"/>
    </w:pPr>
    <w:rPr>
      <w:rFonts w:eastAsia="Times New Roman"/>
      <w:sz w:val="22"/>
      <w:szCs w:val="24"/>
    </w:rPr>
  </w:style>
  <w:style w:type="paragraph" w:styleId="1257" w:customStyle="1">
    <w:name w:val="TITF2"/>
    <w:basedOn w:val="995"/>
    <w:pPr>
      <w:keepNext w:val="true"/>
      <w:pBdr/>
      <w:spacing w:after="270" w:line="240" w:lineRule="auto"/>
      <w:ind w:hanging="562" w:left="562"/>
    </w:pPr>
    <w:rPr>
      <w:rFonts w:eastAsia="Times New Roman"/>
      <w:b/>
      <w:sz w:val="22"/>
    </w:rPr>
  </w:style>
  <w:style w:type="character" w:styleId="1258">
    <w:name w:val="page number"/>
    <w:basedOn w:val="1005"/>
    <w:semiHidden/>
    <w:pPr>
      <w:pBdr/>
      <w:spacing/>
      <w:ind/>
    </w:pPr>
  </w:style>
  <w:style w:type="paragraph" w:styleId="1259" w:customStyle="1">
    <w:name w:val="b"/>
    <w:basedOn w:val="995"/>
    <w:pPr>
      <w:numPr>
        <w:numId w:val="3"/>
      </w:numPr>
      <w:pBdr/>
      <w:spacing w:line="240" w:lineRule="auto"/>
      <w:ind/>
      <w:jc w:val="both"/>
    </w:pPr>
    <w:rPr>
      <w:rFonts w:eastAsia="Times New Roman"/>
      <w:sz w:val="22"/>
      <w:szCs w:val="24"/>
    </w:rPr>
  </w:style>
  <w:style w:type="paragraph" w:styleId="1260" w:customStyle="1">
    <w:name w:val="e"/>
    <w:basedOn w:val="1259"/>
    <w:pPr>
      <w:pBdr/>
      <w:spacing/>
      <w:ind/>
    </w:pPr>
    <w:rPr>
      <w:lang w:val="en-GB"/>
    </w:rPr>
  </w:style>
  <w:style w:type="paragraph" w:styleId="1261" w:customStyle="1">
    <w:name w:val="q"/>
    <w:basedOn w:val="995"/>
    <w:pPr>
      <w:numPr>
        <w:numId w:val="4"/>
      </w:numPr>
      <w:pBdr/>
      <w:spacing w:line="240" w:lineRule="auto"/>
      <w:ind/>
      <w:jc w:val="both"/>
    </w:pPr>
    <w:rPr>
      <w:rFonts w:eastAsia="Times New Roman"/>
      <w:sz w:val="22"/>
      <w:szCs w:val="24"/>
    </w:rPr>
  </w:style>
  <w:style w:type="paragraph" w:styleId="1262">
    <w:name w:val="Body Text"/>
    <w:basedOn w:val="995"/>
    <w:semiHidden/>
    <w:pPr>
      <w:widowControl w:val="false"/>
      <w:pBdr/>
      <w:spacing w:line="240" w:lineRule="auto"/>
      <w:ind/>
      <w:jc w:val="center"/>
    </w:pPr>
    <w:rPr>
      <w:rFonts w:eastAsia="Times New Roman" w:cs="Arial"/>
      <w:b/>
      <w:caps/>
      <w:sz w:val="24"/>
      <w:szCs w:val="24"/>
    </w:rPr>
  </w:style>
  <w:style w:type="paragraph" w:styleId="1263" w:customStyle="1">
    <w:name w:val="TITF3"/>
    <w:basedOn w:val="995"/>
    <w:pPr>
      <w:keepNext w:val="true"/>
      <w:pBdr/>
      <w:spacing w:after="270" w:line="240" w:lineRule="auto"/>
      <w:ind w:hanging="562" w:left="562"/>
    </w:pPr>
    <w:rPr>
      <w:rFonts w:eastAsia="Times New Roman"/>
      <w:b/>
      <w:sz w:val="22"/>
    </w:rPr>
  </w:style>
  <w:style w:type="character" w:styleId="1264" w:customStyle="1">
    <w:name w:val="Retrait corps de texte Car"/>
    <w:basedOn w:val="1005"/>
    <w:pPr>
      <w:pBdr/>
      <w:spacing/>
      <w:ind/>
    </w:pPr>
    <w:rPr>
      <w:rFonts w:ascii="Garamond" w:hAnsi="Garamond"/>
      <w:sz w:val="22"/>
      <w:lang w:val="en-GB" w:eastAsia="fr-FR" w:bidi="ar-SA"/>
    </w:rPr>
  </w:style>
  <w:style w:type="paragraph" w:styleId="1265">
    <w:name w:val="Title"/>
    <w:basedOn w:val="995"/>
    <w:link w:val="1225"/>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266" w:customStyle="1">
    <w:name w:val="Default"/>
    <w:pPr>
      <w:pBdr/>
      <w:spacing/>
      <w:ind/>
    </w:pPr>
    <w:rPr>
      <w:rFonts w:ascii="Arial" w:hAnsi="Arial" w:eastAsia="Times New Roman" w:cs="Arial"/>
      <w:color w:val="000000"/>
      <w:sz w:val="24"/>
      <w:szCs w:val="24"/>
    </w:rPr>
  </w:style>
  <w:style w:type="character" w:styleId="1267">
    <w:name w:val="HTML Cite"/>
    <w:basedOn w:val="1005"/>
    <w:semiHidden/>
    <w:pPr>
      <w:pBdr/>
      <w:spacing/>
      <w:ind/>
    </w:pPr>
    <w:rPr>
      <w:i w:val="0"/>
      <w:iCs w:val="0"/>
      <w:color w:val="008000"/>
    </w:rPr>
  </w:style>
  <w:style w:type="paragraph" w:styleId="1268">
    <w:name w:val="Normal (Web)"/>
    <w:basedOn w:val="995"/>
    <w:uiPriority w:val="99"/>
    <w:semiHidden/>
    <w:pPr>
      <w:pBdr/>
      <w:spacing w:after="120" w:before="120"/>
      <w:ind/>
    </w:pPr>
    <w:rPr>
      <w:rFonts w:ascii="Arial Unicode MS" w:hAnsi="Arial Unicode MS" w:eastAsia="Arial Unicode MS" w:cs="Arial Unicode MS"/>
      <w:sz w:val="24"/>
      <w:szCs w:val="24"/>
    </w:rPr>
  </w:style>
  <w:style w:type="character" w:styleId="1269">
    <w:name w:val="Emphasis"/>
    <w:basedOn w:val="1005"/>
    <w:uiPriority w:val="20"/>
    <w:qFormat/>
    <w:pPr>
      <w:pBdr/>
      <w:spacing/>
      <w:ind/>
    </w:pPr>
    <w:rPr>
      <w:b/>
      <w:bCs/>
      <w:i w:val="0"/>
      <w:iCs w:val="0"/>
    </w:rPr>
  </w:style>
  <w:style w:type="paragraph" w:styleId="1270">
    <w:name w:val="toc 3"/>
    <w:basedOn w:val="995"/>
    <w:next w:val="995"/>
    <w:uiPriority w:val="39"/>
    <w:semiHidden/>
    <w:qFormat/>
    <w:pPr>
      <w:numPr>
        <w:numId w:val="5"/>
      </w:numPr>
      <w:pBdr/>
      <w:spacing/>
      <w:ind/>
    </w:pPr>
  </w:style>
  <w:style w:type="paragraph" w:styleId="1271">
    <w:name w:val="Balloon Text"/>
    <w:basedOn w:val="995"/>
    <w:link w:val="1272"/>
    <w:uiPriority w:val="99"/>
    <w:semiHidden/>
    <w:unhideWhenUsed/>
    <w:pPr>
      <w:pBdr/>
      <w:spacing w:line="240" w:lineRule="auto"/>
      <w:ind/>
    </w:pPr>
    <w:rPr>
      <w:rFonts w:ascii="Tahoma" w:hAnsi="Tahoma" w:cs="Tahoma"/>
      <w:sz w:val="16"/>
      <w:szCs w:val="16"/>
    </w:rPr>
  </w:style>
  <w:style w:type="character" w:styleId="1272" w:customStyle="1">
    <w:name w:val="Texte de bulles Car"/>
    <w:basedOn w:val="1005"/>
    <w:link w:val="1271"/>
    <w:uiPriority w:val="99"/>
    <w:semiHidden/>
    <w:pPr>
      <w:pBdr/>
      <w:spacing/>
      <w:ind/>
    </w:pPr>
    <w:rPr>
      <w:rFonts w:ascii="Tahoma" w:hAnsi="Tahoma" w:cs="Tahoma"/>
      <w:sz w:val="16"/>
      <w:szCs w:val="16"/>
    </w:rPr>
  </w:style>
  <w:style w:type="table" w:styleId="1273">
    <w:name w:val="Table Grid"/>
    <w:basedOn w:val="100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74">
    <w:name w:val="TOC Heading"/>
    <w:basedOn w:val="996"/>
    <w:next w:val="995"/>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275">
    <w:name w:val="toc 1"/>
    <w:basedOn w:val="995"/>
    <w:next w:val="995"/>
    <w:uiPriority w:val="39"/>
    <w:unhideWhenUsed/>
    <w:qFormat/>
    <w:pPr>
      <w:pBdr/>
      <w:spacing w:after="100"/>
      <w:ind/>
    </w:pPr>
  </w:style>
  <w:style w:type="paragraph" w:styleId="1276">
    <w:name w:val="toc 2"/>
    <w:basedOn w:val="995"/>
    <w:next w:val="995"/>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277">
    <w:name w:val="footnote text"/>
    <w:basedOn w:val="995"/>
    <w:link w:val="1278"/>
    <w:unhideWhenUsed/>
    <w:pPr>
      <w:pBdr/>
      <w:spacing w:before="240" w:line="240" w:lineRule="auto"/>
      <w:ind/>
      <w:jc w:val="both"/>
    </w:pPr>
    <w:rPr>
      <w:rFonts w:ascii="Times" w:hAnsi="Times" w:eastAsia="Times New Roman" w:cs="Times"/>
    </w:rPr>
  </w:style>
  <w:style w:type="character" w:styleId="1278" w:customStyle="1">
    <w:name w:val="Note de bas de page Car"/>
    <w:basedOn w:val="1005"/>
    <w:link w:val="1277"/>
    <w:pPr>
      <w:pBdr/>
      <w:spacing/>
      <w:ind/>
    </w:pPr>
    <w:rPr>
      <w:rFonts w:eastAsia="Times New Roman" w:cs="Times"/>
    </w:rPr>
  </w:style>
  <w:style w:type="character" w:styleId="1279">
    <w:name w:val="footnote reference"/>
    <w:unhideWhenUsed/>
    <w:pPr>
      <w:pBdr/>
      <w:spacing/>
      <w:ind/>
    </w:pPr>
    <w:rPr>
      <w:rFonts w:hint="default" w:ascii="Times New Roman" w:hAnsi="Times New Roman" w:cs="Times New Roman"/>
      <w:vertAlign w:val="superscript"/>
    </w:rPr>
  </w:style>
  <w:style w:type="paragraph" w:styleId="1280">
    <w:name w:val="List Paragraph"/>
    <w:basedOn w:val="995"/>
    <w:uiPriority w:val="34"/>
    <w:qFormat/>
    <w:pPr>
      <w:pBdr/>
      <w:spacing/>
      <w:ind w:left="720"/>
      <w:contextualSpacing w:val="true"/>
    </w:pPr>
  </w:style>
  <w:style w:type="character" w:styleId="1281">
    <w:name w:val="annotation reference"/>
    <w:basedOn w:val="1005"/>
    <w:unhideWhenUsed/>
    <w:pPr>
      <w:pBdr/>
      <w:spacing/>
      <w:ind/>
    </w:pPr>
    <w:rPr>
      <w:sz w:val="16"/>
      <w:szCs w:val="16"/>
    </w:rPr>
  </w:style>
  <w:style w:type="paragraph" w:styleId="1282">
    <w:name w:val="annotation text"/>
    <w:basedOn w:val="995"/>
    <w:link w:val="1283"/>
    <w:uiPriority w:val="99"/>
    <w:unhideWhenUsed/>
    <w:pPr>
      <w:pBdr/>
      <w:spacing w:line="240" w:lineRule="auto"/>
      <w:ind/>
    </w:pPr>
  </w:style>
  <w:style w:type="character" w:styleId="1283" w:customStyle="1">
    <w:name w:val="Commentaire Car"/>
    <w:basedOn w:val="1005"/>
    <w:link w:val="1282"/>
    <w:uiPriority w:val="99"/>
    <w:pPr>
      <w:pBdr/>
      <w:spacing/>
      <w:ind/>
    </w:pPr>
    <w:rPr>
      <w:rFonts w:ascii="Arial" w:hAnsi="Arial"/>
    </w:rPr>
  </w:style>
  <w:style w:type="paragraph" w:styleId="1284">
    <w:name w:val="annotation subject"/>
    <w:basedOn w:val="1282"/>
    <w:next w:val="1282"/>
    <w:link w:val="1285"/>
    <w:uiPriority w:val="99"/>
    <w:semiHidden/>
    <w:unhideWhenUsed/>
    <w:pPr>
      <w:pBdr/>
      <w:spacing/>
      <w:ind/>
    </w:pPr>
    <w:rPr>
      <w:b/>
      <w:bCs/>
    </w:rPr>
  </w:style>
  <w:style w:type="character" w:styleId="1285" w:customStyle="1">
    <w:name w:val="Objet du commentaire Car"/>
    <w:basedOn w:val="1283"/>
    <w:link w:val="1284"/>
    <w:uiPriority w:val="99"/>
    <w:semiHidden/>
    <w:pPr>
      <w:pBdr/>
      <w:spacing/>
      <w:ind/>
    </w:pPr>
    <w:rPr>
      <w:rFonts w:ascii="Arial" w:hAnsi="Arial"/>
      <w:b/>
      <w:bCs/>
    </w:rPr>
  </w:style>
  <w:style w:type="paragraph" w:styleId="1286" w:customStyle="1">
    <w:name w:val="Normal A"/>
    <w:basedOn w:val="995"/>
    <w:uiPriority w:val="99"/>
    <w:pPr>
      <w:pBdr/>
      <w:spacing w:before="240" w:line="240" w:lineRule="auto"/>
      <w:ind/>
      <w:jc w:val="both"/>
    </w:pPr>
    <w:rPr>
      <w:rFonts w:ascii="Times New Roman" w:hAnsi="Times New Roman" w:eastAsia="Times New Roman"/>
      <w:sz w:val="22"/>
      <w:szCs w:val="22"/>
    </w:rPr>
  </w:style>
  <w:style w:type="character" w:styleId="1287" w:customStyle="1">
    <w:name w:val="Pied de page Car"/>
    <w:basedOn w:val="1005"/>
    <w:link w:val="1248"/>
    <w:uiPriority w:val="99"/>
    <w:pPr>
      <w:pBdr/>
      <w:spacing/>
      <w:ind/>
    </w:pPr>
    <w:rPr>
      <w:rFonts w:ascii="Arial" w:hAnsi="Arial"/>
    </w:rPr>
  </w:style>
  <w:style w:type="paragraph" w:styleId="1288">
    <w:name w:val="Body Text 2"/>
    <w:basedOn w:val="995"/>
    <w:link w:val="1289"/>
    <w:uiPriority w:val="99"/>
    <w:semiHidden/>
    <w:unhideWhenUsed/>
    <w:pPr>
      <w:pBdr/>
      <w:spacing w:after="120" w:line="480" w:lineRule="auto"/>
      <w:ind/>
    </w:pPr>
  </w:style>
  <w:style w:type="character" w:styleId="1289" w:customStyle="1">
    <w:name w:val="Corps de texte 2 Car"/>
    <w:basedOn w:val="1005"/>
    <w:link w:val="1288"/>
    <w:uiPriority w:val="99"/>
    <w:semiHidden/>
    <w:pPr>
      <w:pBdr/>
      <w:spacing/>
      <w:ind/>
    </w:pPr>
    <w:rPr>
      <w:rFonts w:ascii="Arial" w:hAnsi="Arial"/>
    </w:rPr>
  </w:style>
  <w:style w:type="character" w:styleId="1290" w:customStyle="1">
    <w:name w:val="Titre 2 Car"/>
    <w:basedOn w:val="1005"/>
    <w:link w:val="997"/>
    <w:pPr>
      <w:pBdr/>
      <w:spacing/>
      <w:ind/>
    </w:pPr>
    <w:rPr>
      <w:rFonts w:ascii="Arial" w:hAnsi="Arial" w:cs="Arial"/>
      <w:b/>
      <w:bCs/>
      <w:sz w:val="18"/>
    </w:rPr>
  </w:style>
  <w:style w:type="character" w:styleId="1291">
    <w:name w:val="Book Title"/>
    <w:basedOn w:val="1005"/>
    <w:uiPriority w:val="33"/>
    <w:qFormat/>
    <w:pPr>
      <w:pBdr/>
      <w:spacing/>
      <w:ind/>
    </w:pPr>
    <w:rPr>
      <w:b/>
      <w:bCs/>
      <w:smallCaps/>
      <w:spacing w:val="5"/>
    </w:rPr>
  </w:style>
  <w:style w:type="character" w:styleId="1292" w:customStyle="1">
    <w:name w:val="Caractères de note de bas de page"/>
    <w:basedOn w:val="1005"/>
    <w:pPr>
      <w:pBdr/>
      <w:spacing/>
      <w:ind/>
    </w:pPr>
    <w:rPr>
      <w:rFonts w:hint="default" w:ascii="Times New Roman" w:hAnsi="Times New Roman" w:cs="Times New Roman"/>
      <w:vertAlign w:val="superscript"/>
    </w:rPr>
  </w:style>
  <w:style w:type="paragraph" w:styleId="1293">
    <w:name w:val="Revision"/>
    <w:hidden/>
    <w:uiPriority w:val="99"/>
    <w:semiHidden/>
    <w:pPr>
      <w:pBdr/>
      <w:spacing/>
      <w:ind/>
    </w:pPr>
    <w:rPr>
      <w:rFonts w:ascii="Arial" w:hAnsi="Arial"/>
    </w:rPr>
  </w:style>
  <w:style w:type="paragraph" w:styleId="1294">
    <w:name w:val="Body Text 3"/>
    <w:basedOn w:val="995"/>
    <w:link w:val="1295"/>
    <w:uiPriority w:val="99"/>
    <w:unhideWhenUsed/>
    <w:pPr>
      <w:pBdr/>
      <w:spacing w:after="120"/>
      <w:ind/>
    </w:pPr>
    <w:rPr>
      <w:sz w:val="16"/>
      <w:szCs w:val="16"/>
    </w:rPr>
  </w:style>
  <w:style w:type="character" w:styleId="1295" w:customStyle="1">
    <w:name w:val="Corps de texte 3 Car"/>
    <w:basedOn w:val="1005"/>
    <w:link w:val="1294"/>
    <w:uiPriority w:val="99"/>
    <w:pPr>
      <w:pBdr/>
      <w:spacing/>
      <w:ind/>
    </w:pPr>
    <w:rPr>
      <w:rFonts w:ascii="Arial" w:hAnsi="Arial"/>
      <w:sz w:val="16"/>
      <w:szCs w:val="16"/>
    </w:rPr>
  </w:style>
  <w:style w:type="paragraph" w:styleId="1296" w:customStyle="1">
    <w:name w:val="RedTxt"/>
    <w:basedOn w:val="995"/>
    <w:pPr>
      <w:keepLines w:val="true"/>
      <w:widowControl w:val="false"/>
      <w:pBdr/>
      <w:spacing w:line="240" w:lineRule="auto"/>
      <w:ind/>
    </w:pPr>
    <w:rPr>
      <w:rFonts w:eastAsia="Times New Roman" w:cs="Arial"/>
      <w:sz w:val="18"/>
      <w:szCs w:val="18"/>
    </w:rPr>
  </w:style>
  <w:style w:type="paragraph" w:styleId="1297" w:customStyle="1">
    <w:name w:val="Normal1"/>
    <w:basedOn w:val="995"/>
    <w:link w:val="1298"/>
    <w:qFormat/>
    <w:pPr>
      <w:pBdr/>
      <w:spacing w:line="360" w:lineRule="auto"/>
      <w:ind/>
      <w:jc w:val="both"/>
    </w:pPr>
    <w:rPr>
      <w:rFonts w:ascii="Times New Roman" w:hAnsi="Times New Roman" w:eastAsia="Times New Roman"/>
      <w:sz w:val="22"/>
      <w:szCs w:val="22"/>
    </w:rPr>
  </w:style>
  <w:style w:type="character" w:styleId="1298" w:customStyle="1">
    <w:name w:val="normal Car"/>
    <w:basedOn w:val="1005"/>
    <w:link w:val="1297"/>
    <w:pPr>
      <w:pBdr/>
      <w:spacing/>
      <w:ind/>
    </w:pPr>
    <w:rPr>
      <w:rFonts w:ascii="Times New Roman" w:hAnsi="Times New Roman" w:eastAsia="Times New Roman"/>
      <w:sz w:val="22"/>
      <w:szCs w:val="22"/>
    </w:rPr>
  </w:style>
  <w:style w:type="table" w:styleId="1299">
    <w:name w:val="Medium Shading 1 Accent 1"/>
    <w:basedOn w:val="1006"/>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00" w:customStyle="1">
    <w:name w:val="Normal2"/>
    <w:basedOn w:val="995"/>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301" w:customStyle="1">
    <w:name w:val="Normal DGA"/>
    <w:basedOn w:val="995"/>
    <w:pPr>
      <w:pBdr/>
      <w:spacing w:before="120" w:line="240" w:lineRule="auto"/>
      <w:ind/>
      <w:jc w:val="both"/>
    </w:pPr>
    <w:rPr>
      <w:rFonts w:ascii="Times New Roman" w:hAnsi="Times New Roman" w:eastAsia="Times New Roman"/>
      <w:sz w:val="22"/>
      <w:szCs w:val="22"/>
    </w:rPr>
  </w:style>
  <w:style w:type="character" w:styleId="1302" w:customStyle="1">
    <w:name w:val="En-tête Car"/>
    <w:link w:val="1247"/>
    <w:pPr>
      <w:pBdr/>
      <w:spacing/>
      <w:ind/>
    </w:pPr>
    <w:rPr>
      <w:rFonts w:ascii="Arial" w:hAnsi="Arial"/>
    </w:rPr>
  </w:style>
  <w:style w:type="paragraph" w:styleId="1303" w:customStyle="1">
    <w:name w:val="Text 1"/>
    <w:basedOn w:val="995"/>
    <w:pPr>
      <w:pBdr/>
      <w:spacing w:after="120" w:before="120" w:line="240" w:lineRule="auto"/>
      <w:ind w:left="850"/>
      <w:jc w:val="both"/>
    </w:pPr>
    <w:rPr>
      <w:rFonts w:ascii="Times New Roman" w:hAnsi="Times New Roman" w:eastAsia="Times New Roman"/>
      <w:sz w:val="24"/>
      <w:szCs w:val="24"/>
      <w:lang w:val="en-GB" w:eastAsia="en-GB"/>
    </w:rPr>
  </w:style>
  <w:style w:type="paragraph" w:styleId="1304" w:customStyle="1">
    <w:name w:val="Standard"/>
    <w:pPr>
      <w:widowControl w:val="false"/>
      <w:pBdr/>
      <w:spacing w:before="57"/>
      <w:ind/>
      <w:jc w:val="both"/>
    </w:pPr>
    <w:rPr>
      <w:rFonts w:ascii="Calibri" w:hAnsi="Calibri" w:eastAsia="MS Mincho" w:cs="Calibri"/>
      <w:szCs w:val="24"/>
      <w:lang w:eastAsia="ja-JP" w:bidi="fa-IR"/>
    </w:rPr>
  </w:style>
  <w:style w:type="paragraph" w:styleId="1305" w:customStyle="1">
    <w:name w:val="retrait 2"/>
    <w:pPr>
      <w:numPr>
        <w:numId w:val="12"/>
      </w:numPr>
      <w:pBdr>
        <w:top w:val="none" w:color="000000" w:sz="4" w:space="0"/>
        <w:left w:val="none" w:color="000000" w:sz="4" w:space="0"/>
        <w:bottom w:val="none" w:color="000000" w:sz="4" w:space="0"/>
        <w:right w:val="none" w:color="000000" w:sz="4" w:space="0"/>
        <w:between w:val="none" w:color="000000" w:sz="4" w:space="0"/>
      </w:pBdr>
      <w:spacing w:after="60"/>
      <w:ind/>
      <w:jc w:val="both"/>
    </w:pPr>
    <w:rPr>
      <w:rFonts w:ascii="Times New Roman" w:hAnsi="Times New Roman" w:eastAsia="Times New Roman" w:cs="Arial"/>
      <w:sz w:val="22"/>
      <w:szCs w:val="18"/>
      <w:lang w:val="en-US"/>
    </w:rPr>
  </w:style>
  <w:style w:type="paragraph" w:styleId="1306" w:customStyle="1">
    <w:name w:val="retrait 0"/>
    <w:pPr>
      <w:numPr>
        <w:numId w:val="13"/>
      </w:numPr>
      <w:pBdr>
        <w:top w:val="none" w:color="000000" w:sz="4" w:space="0"/>
        <w:left w:val="none" w:color="000000" w:sz="4" w:space="0"/>
        <w:bottom w:val="none" w:color="000000" w:sz="4" w:space="0"/>
        <w:right w:val="none" w:color="000000" w:sz="4" w:space="0"/>
        <w:between w:val="none" w:color="000000" w:sz="4" w:space="0"/>
      </w:pBdr>
      <w:tabs>
        <w:tab w:val="num" w:leader="none" w:pos="360"/>
      </w:tabs>
      <w:spacing w:after="120"/>
      <w:ind w:firstLine="0" w:left="0"/>
    </w:pPr>
    <w:rPr>
      <w:rFonts w:ascii="Times New Roman" w:hAnsi="Times New Roman" w:eastAsia="Times New Roman"/>
      <w:sz w:val="22"/>
      <w:szCs w:val="24"/>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 Id="rId20" Type="http://schemas.openxmlformats.org/officeDocument/2006/relationships/hyperlink" Target="https://www.diplomatie.gouv.fr/fr/conseils-aux-voyageurs/" TargetMode="External"/><Relationship Id="rId21" Type="http://schemas.openxmlformats.org/officeDocument/2006/relationships/hyperlink" Target="https://www.diplomatie.gouv.fr/fr/conseils-aux-voyageurs/" TargetMode="External"/><Relationship Id="rId22" Type="http://schemas.openxmlformats.org/officeDocument/2006/relationships/hyperlink" Target="http://www.marches-publics.gouv.fr" TargetMode="External"/><Relationship Id="rId23" Type="http://schemas.openxmlformats.org/officeDocument/2006/relationships/hyperlink" Target="https://www.diplomatie.gouv.fr/fr/conseils-aux-voyageurs/" TargetMode="External"/><Relationship Id="rId24" Type="http://schemas.openxmlformats.org/officeDocument/2006/relationships/hyperlink" Target="mailto:le-delegue-a-la-protection-des-donnees-personnelles@finances.gouv.fr" TargetMode="External"/><Relationship Id="rId25" Type="http://schemas.openxmlformats.org/officeDocument/2006/relationships/hyperlink" Target="mailto:informatique.libertes@expertisefrance.fr" TargetMode="External"/><Relationship Id="rId26" Type="http://schemas.openxmlformats.org/officeDocument/2006/relationships/hyperlink" Target="mailto:tj-paris@justice.fr" TargetMode="External"/><Relationship Id="rId27" Type="http://schemas.openxmlformats.org/officeDocument/2006/relationships/hyperlink" Target="mailto:tj-paris@justice.fr" TargetMode="External"/><Relationship Id="rId28" Type="http://schemas.onlyoffice.com/commentsDocument" Target="commentsDocument.xml" /><Relationship Id="rId29" Type="http://schemas.onlyoffice.com/commentsExtendedDocument" Target="commentsExtendedDocument.xml" /><Relationship Id="rId30" Type="http://schemas.onlyoffice.com/commentsIdsDocument" Target="commentsIdsDocument.xml" /><Relationship Id="rId31"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1033-5166-4A78-B78B-A34758CE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all Liubov BOIARKINA-BILAN</cp:lastModifiedBy>
  <cp:revision>6</cp:revision>
  <dcterms:created xsi:type="dcterms:W3CDTF">2025-08-26T08:54:00Z</dcterms:created>
  <dcterms:modified xsi:type="dcterms:W3CDTF">2025-08-26T13:26:15Z</dcterms:modified>
</cp:coreProperties>
</file>