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10" w:rsidRDefault="00F90710">
      <w:pPr>
        <w:pStyle w:val="Standard"/>
        <w:rPr>
          <w:rFonts w:cs="Arial"/>
          <w:b/>
          <w:bCs/>
          <w:color w:val="000000"/>
          <w:szCs w:val="20"/>
          <w:u w:val="single"/>
        </w:rPr>
      </w:pPr>
    </w:p>
    <w:p w:rsidR="00F90710" w:rsidRDefault="00F90710">
      <w:pPr>
        <w:pStyle w:val="Standard"/>
        <w:rPr>
          <w:rFonts w:cs="Arial"/>
          <w:b/>
          <w:bCs/>
          <w:color w:val="000000"/>
          <w:szCs w:val="20"/>
          <w:u w:val="single"/>
        </w:rPr>
      </w:pPr>
    </w:p>
    <w:p w:rsidR="00F90710" w:rsidRDefault="005A6303">
      <w:pPr>
        <w:pStyle w:val="Standard"/>
        <w:rPr>
          <w:color w:val="000000"/>
          <w:szCs w:val="20"/>
        </w:rPr>
      </w:pPr>
      <w:r>
        <w:rPr>
          <w:rFonts w:cs="Arial"/>
          <w:b/>
          <w:bCs/>
          <w:color w:val="000000"/>
          <w:szCs w:val="20"/>
          <w:u w:val="single"/>
        </w:rPr>
        <w:t>Acheteur public :</w:t>
      </w:r>
      <w:r>
        <w:rPr>
          <w:rFonts w:cs="Arial"/>
          <w:color w:val="000000"/>
          <w:szCs w:val="20"/>
        </w:rPr>
        <w:t xml:space="preserve"> </w:t>
      </w:r>
      <w:r>
        <w:rPr>
          <w:rFonts w:cs="Arial"/>
          <w:color w:val="4472C4" w:themeColor="accent1"/>
          <w:szCs w:val="20"/>
        </w:rPr>
        <w:t>Etablissements de Santé et Médico-sociaux</w:t>
      </w:r>
    </w:p>
    <w:p w:rsidR="00F90710" w:rsidRDefault="00F90710">
      <w:pPr>
        <w:pStyle w:val="Standard"/>
        <w:rPr>
          <w:rFonts w:cs="Arial"/>
          <w:color w:val="000000"/>
          <w:szCs w:val="20"/>
        </w:rPr>
      </w:pPr>
    </w:p>
    <w:p w:rsidR="00F90710" w:rsidRDefault="005A6303">
      <w:pPr>
        <w:pStyle w:val="Standard"/>
        <w:rPr>
          <w:rFonts w:cs="Arial"/>
          <w:shd w:val="clear" w:color="auto" w:fill="C0C0C0"/>
        </w:rPr>
      </w:pPr>
      <w:r>
        <w:rPr>
          <w:rFonts w:cs="Arial"/>
          <w:b/>
          <w:bCs/>
          <w:color w:val="000000"/>
          <w:szCs w:val="20"/>
          <w:u w:val="single"/>
        </w:rPr>
        <w:t>Direction service </w:t>
      </w:r>
      <w:r>
        <w:rPr>
          <w:rFonts w:cs="Arial"/>
          <w:b/>
          <w:color w:val="000000"/>
          <w:szCs w:val="20"/>
          <w:u w:val="single"/>
        </w:rPr>
        <w:t>:</w:t>
      </w:r>
      <w:r>
        <w:rPr>
          <w:rFonts w:cs="Arial"/>
          <w:color w:val="000000"/>
          <w:szCs w:val="20"/>
        </w:rPr>
        <w:t xml:space="preserve"> </w:t>
      </w:r>
      <w:r>
        <w:rPr>
          <w:rFonts w:cs="Arial"/>
          <w:color w:val="4472C4" w:themeColor="accent1"/>
          <w:szCs w:val="20"/>
        </w:rPr>
        <w:t>CHU CLERMONT FERRAND</w:t>
      </w:r>
    </w:p>
    <w:p w:rsidR="00F90710" w:rsidRDefault="00F90710">
      <w:pPr>
        <w:pStyle w:val="Standard"/>
        <w:rPr>
          <w:rFonts w:cs="Arial"/>
          <w:szCs w:val="20"/>
        </w:rPr>
      </w:pPr>
    </w:p>
    <w:p w:rsidR="00F90710" w:rsidRDefault="00F90710">
      <w:pPr>
        <w:pStyle w:val="Standard"/>
        <w:rPr>
          <w:rFonts w:cs="Arial"/>
          <w:szCs w:val="20"/>
        </w:rPr>
      </w:pPr>
    </w:p>
    <w:p w:rsidR="00F90710" w:rsidRDefault="00F90710">
      <w:pPr>
        <w:pStyle w:val="Standard"/>
        <w:rPr>
          <w:rFonts w:cs="Arial"/>
          <w:szCs w:val="20"/>
        </w:rPr>
      </w:pPr>
    </w:p>
    <w:p w:rsidR="00F90710" w:rsidRDefault="00F90710">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F90710" w:rsidRDefault="00F90710">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F90710" w:rsidRDefault="005A6303">
      <w:pPr>
        <w:pStyle w:val="Titre10"/>
        <w:pBdr>
          <w:top w:val="single" w:sz="18" w:space="1" w:color="000000"/>
          <w:left w:val="single" w:sz="18" w:space="4" w:color="000000"/>
          <w:bottom w:val="single" w:sz="18" w:space="1" w:color="000000"/>
          <w:right w:val="single" w:sz="18" w:space="16" w:color="000000"/>
        </w:pBdr>
        <w:rPr>
          <w:rFonts w:cs="Arial"/>
          <w:color w:val="5B9BD5"/>
          <w:sz w:val="44"/>
          <w:szCs w:val="44"/>
          <w:shd w:val="clear" w:color="auto" w:fill="FFFFFF"/>
        </w:rPr>
      </w:pPr>
      <w:r>
        <w:rPr>
          <w:rFonts w:cs="Arial"/>
          <w:color w:val="5B9BD5" w:themeColor="accent5"/>
          <w:sz w:val="44"/>
          <w:szCs w:val="44"/>
          <w:shd w:val="clear" w:color="auto" w:fill="FFFFFF"/>
        </w:rPr>
        <w:t>Règlement de consultation</w:t>
      </w:r>
    </w:p>
    <w:p w:rsidR="00F90710" w:rsidRDefault="00F90710">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F90710" w:rsidRDefault="00F90710">
      <w:pPr>
        <w:pStyle w:val="Titre10"/>
        <w:pBdr>
          <w:top w:val="single" w:sz="18" w:space="1" w:color="000000"/>
          <w:left w:val="single" w:sz="18" w:space="4" w:color="000000"/>
          <w:bottom w:val="single" w:sz="18" w:space="1" w:color="000000"/>
          <w:right w:val="single" w:sz="18" w:space="16" w:color="000000"/>
        </w:pBdr>
        <w:rPr>
          <w:rFonts w:cs="Arial"/>
          <w:sz w:val="20"/>
          <w:szCs w:val="20"/>
        </w:rPr>
      </w:pPr>
    </w:p>
    <w:p w:rsidR="00F90710" w:rsidRDefault="00F90710">
      <w:pPr>
        <w:pStyle w:val="Standard"/>
        <w:rPr>
          <w:rFonts w:cs="Arial"/>
          <w:szCs w:val="20"/>
        </w:rPr>
      </w:pPr>
    </w:p>
    <w:p w:rsidR="00F90710" w:rsidRDefault="00F90710">
      <w:pPr>
        <w:pStyle w:val="Standard"/>
        <w:rPr>
          <w:rFonts w:cs="Arial"/>
          <w:szCs w:val="20"/>
        </w:rPr>
      </w:pPr>
    </w:p>
    <w:p w:rsidR="00F90710" w:rsidRDefault="00F90710">
      <w:pPr>
        <w:pStyle w:val="Standard"/>
        <w:rPr>
          <w:rFonts w:cs="Arial"/>
          <w:color w:val="000000"/>
          <w:szCs w:val="20"/>
        </w:rPr>
      </w:pPr>
    </w:p>
    <w:p w:rsidR="00F90710" w:rsidRDefault="005A6303">
      <w:pPr>
        <w:pStyle w:val="Standard"/>
        <w:tabs>
          <w:tab w:val="left" w:pos="3600"/>
        </w:tabs>
        <w:ind w:left="3600" w:hanging="3600"/>
        <w:rPr>
          <w:color w:val="000000"/>
          <w:szCs w:val="20"/>
        </w:rPr>
      </w:pPr>
      <w:r>
        <w:rPr>
          <w:rFonts w:cs="Arial"/>
          <w:b/>
          <w:bCs/>
          <w:color w:val="000000"/>
          <w:szCs w:val="20"/>
          <w:u w:val="single"/>
        </w:rPr>
        <w:t>Numéro de la consultation :</w:t>
      </w:r>
      <w:r>
        <w:rPr>
          <w:rFonts w:cs="Arial"/>
          <w:color w:val="4472C4" w:themeColor="accent1"/>
          <w:szCs w:val="20"/>
        </w:rPr>
        <w:t xml:space="preserve"> 25-GHTA-0082</w:t>
      </w:r>
    </w:p>
    <w:p w:rsidR="00F90710" w:rsidRDefault="00F90710">
      <w:pPr>
        <w:pStyle w:val="Standard"/>
        <w:rPr>
          <w:rFonts w:cs="Arial"/>
          <w:color w:val="000000"/>
          <w:szCs w:val="20"/>
        </w:rPr>
      </w:pPr>
    </w:p>
    <w:p w:rsidR="00F90710" w:rsidRDefault="005A6303">
      <w:pPr>
        <w:pStyle w:val="Standard"/>
        <w:rPr>
          <w:color w:val="000000"/>
          <w:szCs w:val="20"/>
        </w:rPr>
      </w:pPr>
      <w:r>
        <w:rPr>
          <w:rFonts w:cs="Arial"/>
          <w:b/>
          <w:color w:val="000000"/>
          <w:szCs w:val="20"/>
          <w:u w:val="single"/>
        </w:rPr>
        <w:t>Objet de la consultation :</w:t>
      </w:r>
      <w:r>
        <w:rPr>
          <w:rFonts w:cs="Arial"/>
          <w:color w:val="4472C4" w:themeColor="accent1"/>
          <w:szCs w:val="20"/>
        </w:rPr>
        <w:t xml:space="preserve"> Fourniture et livraison en liaison froide de la composante chaude du repas (Externalisation du plat chaud) des repas normaux et des repas hachés/faciles à mastiquer</w:t>
      </w:r>
      <w:r w:rsidR="009C620C">
        <w:rPr>
          <w:rFonts w:cs="Arial"/>
          <w:color w:val="4472C4" w:themeColor="accent1"/>
          <w:szCs w:val="20"/>
        </w:rPr>
        <w:t xml:space="preserve"> pour le Centre </w:t>
      </w:r>
      <w:r w:rsidR="001F0F5D">
        <w:rPr>
          <w:rFonts w:cs="Arial"/>
          <w:color w:val="4472C4" w:themeColor="accent1"/>
          <w:szCs w:val="20"/>
        </w:rPr>
        <w:t>Hospitalier de Billom</w:t>
      </w:r>
      <w:r>
        <w:rPr>
          <w:rFonts w:cs="Arial"/>
          <w:color w:val="4472C4" w:themeColor="accent1"/>
          <w:szCs w:val="20"/>
        </w:rPr>
        <w:t>.</w:t>
      </w:r>
    </w:p>
    <w:p w:rsidR="00F90710" w:rsidRDefault="005A6303">
      <w:pPr>
        <w:pStyle w:val="Standard"/>
        <w:tabs>
          <w:tab w:val="left" w:pos="6792"/>
        </w:tabs>
        <w:rPr>
          <w:color w:val="000000"/>
          <w:szCs w:val="20"/>
        </w:rPr>
      </w:pPr>
      <w:r>
        <w:rPr>
          <w:color w:val="000000"/>
          <w:szCs w:val="20"/>
        </w:rPr>
        <w:tab/>
      </w:r>
    </w:p>
    <w:p w:rsidR="00F90710" w:rsidRDefault="005A6303">
      <w:pPr>
        <w:pStyle w:val="Standard"/>
        <w:tabs>
          <w:tab w:val="left" w:pos="3600"/>
        </w:tabs>
        <w:ind w:left="3600" w:hanging="3600"/>
        <w:rPr>
          <w:rFonts w:cs="Arial"/>
          <w:color w:val="4472C4"/>
          <w:szCs w:val="20"/>
        </w:rPr>
      </w:pPr>
      <w:r>
        <w:rPr>
          <w:rFonts w:cs="Arial"/>
          <w:b/>
          <w:bCs/>
          <w:color w:val="000000"/>
          <w:szCs w:val="20"/>
          <w:u w:val="single"/>
        </w:rPr>
        <w:t>Procédure de passation :</w:t>
      </w:r>
      <w:r>
        <w:rPr>
          <w:rFonts w:cs="Arial"/>
          <w:color w:val="4472C4" w:themeColor="accent1"/>
          <w:szCs w:val="20"/>
        </w:rPr>
        <w:t xml:space="preserve"> Appel d'offres ouvert</w:t>
      </w:r>
    </w:p>
    <w:p w:rsidR="00F90710" w:rsidRDefault="00F90710">
      <w:pPr>
        <w:pStyle w:val="Standard"/>
        <w:tabs>
          <w:tab w:val="left" w:pos="3600"/>
        </w:tabs>
        <w:rPr>
          <w:rFonts w:cs="Arial"/>
          <w:b/>
          <w:color w:val="000000"/>
          <w:szCs w:val="20"/>
          <w:u w:val="single"/>
        </w:rPr>
      </w:pPr>
    </w:p>
    <w:p w:rsidR="00F90710" w:rsidRDefault="005A6303">
      <w:pPr>
        <w:pStyle w:val="Standard"/>
        <w:tabs>
          <w:tab w:val="left" w:pos="3600"/>
        </w:tabs>
        <w:ind w:left="3600" w:hanging="3600"/>
        <w:rPr>
          <w:color w:val="000000"/>
          <w:szCs w:val="20"/>
        </w:rPr>
      </w:pPr>
      <w:r>
        <w:rPr>
          <w:rFonts w:cs="Arial"/>
          <w:b/>
          <w:color w:val="000000"/>
          <w:szCs w:val="20"/>
          <w:u w:val="single"/>
        </w:rPr>
        <w:t xml:space="preserve">Date </w:t>
      </w:r>
      <w:r>
        <w:rPr>
          <w:rFonts w:cs="Arial"/>
          <w:b/>
          <w:bCs/>
          <w:color w:val="000000"/>
          <w:szCs w:val="20"/>
          <w:u w:val="single"/>
        </w:rPr>
        <w:t>limite</w:t>
      </w:r>
      <w:r>
        <w:rPr>
          <w:rFonts w:cs="Arial"/>
          <w:b/>
          <w:color w:val="000000"/>
          <w:szCs w:val="20"/>
          <w:u w:val="single"/>
        </w:rPr>
        <w:t> :</w:t>
      </w:r>
      <w:r>
        <w:rPr>
          <w:rFonts w:cs="Arial"/>
          <w:b/>
          <w:color w:val="000000"/>
          <w:szCs w:val="20"/>
        </w:rPr>
        <w:t xml:space="preserve"> </w:t>
      </w:r>
      <w:r>
        <w:rPr>
          <w:rFonts w:cs="Arial"/>
          <w:color w:val="4472C4" w:themeColor="accent1"/>
          <w:szCs w:val="20"/>
        </w:rPr>
        <w:t>13/10/2025 - 12:00</w:t>
      </w:r>
    </w:p>
    <w:p w:rsidR="00F90710" w:rsidRDefault="00F90710">
      <w:pPr>
        <w:pStyle w:val="Standard"/>
      </w:pPr>
    </w:p>
    <w:p w:rsidR="00F90710" w:rsidRDefault="005A6303">
      <w:pPr>
        <w:widowControl w:val="0"/>
        <w:spacing w:before="0"/>
        <w:jc w:val="left"/>
      </w:pPr>
      <w:r>
        <w:br w:type="page" w:clear="all"/>
      </w:r>
    </w:p>
    <w:sdt>
      <w:sdtPr>
        <w:rPr>
          <w:b w:val="0"/>
          <w:bCs w:val="0"/>
          <w:sz w:val="20"/>
          <w:szCs w:val="24"/>
        </w:rPr>
        <w:id w:val="4844945"/>
        <w:placeholder>
          <w:docPart w:val="DefaultPlaceholder_TEXT"/>
        </w:placeholder>
        <w:docPartObj>
          <w:docPartGallery w:val="Table of Contents"/>
          <w:docPartUnique/>
        </w:docPartObj>
      </w:sdtPr>
      <w:sdtEndPr/>
      <w:sdtContent>
        <w:p w:rsidR="00F90710" w:rsidRDefault="005A6303">
          <w:pPr>
            <w:pStyle w:val="ContentsHeading"/>
          </w:pPr>
          <w:r>
            <w:t>Sommaire</w:t>
          </w:r>
        </w:p>
        <w:p w:rsidR="00F90710" w:rsidRDefault="005A6303">
          <w:pPr>
            <w:pStyle w:val="TM1"/>
          </w:pPr>
          <w:r>
            <w:fldChar w:fldCharType="begin"/>
          </w:r>
          <w:r>
            <w:instrText xml:space="preserve">TOC \o &amp;quot;1-9&amp;quot; \h </w:instrText>
          </w:r>
          <w:r>
            <w:fldChar w:fldCharType="separate"/>
          </w:r>
          <w:hyperlink w:anchor="_Toc1" w:tooltip="Lien vers Article 1 - ACHETEUR" w:history="1">
            <w:r>
              <w:t>Article 1 - ACHETEUR</w:t>
            </w:r>
            <w:r>
              <w:tab/>
            </w:r>
            <w:r>
              <w:fldChar w:fldCharType="begin"/>
            </w:r>
            <w:r>
              <w:instrText xml:space="preserve"> PAGEREF _Toc1 \h </w:instrText>
            </w:r>
            <w:r>
              <w:fldChar w:fldCharType="separate"/>
            </w:r>
            <w:r>
              <w:t>4</w:t>
            </w:r>
            <w:r>
              <w:fldChar w:fldCharType="end"/>
            </w:r>
          </w:hyperlink>
        </w:p>
        <w:p w:rsidR="00F90710" w:rsidRDefault="0062522B">
          <w:pPr>
            <w:pStyle w:val="TM1"/>
          </w:pPr>
          <w:hyperlink w:anchor="_Toc2" w:tooltip="Lien vers Article 2 - OBJET DE LA CONSULTATION" w:history="1">
            <w:r w:rsidR="005A6303">
              <w:t>Article 2 - OBJET DE LA CONSULTATION</w:t>
            </w:r>
            <w:r w:rsidR="005A6303">
              <w:tab/>
            </w:r>
            <w:r w:rsidR="005A6303">
              <w:fldChar w:fldCharType="begin"/>
            </w:r>
            <w:r w:rsidR="005A6303">
              <w:instrText xml:space="preserve"> PAGEREF _Toc2 \h </w:instrText>
            </w:r>
            <w:r w:rsidR="005A6303">
              <w:fldChar w:fldCharType="separate"/>
            </w:r>
            <w:r w:rsidR="005A6303">
              <w:t>4</w:t>
            </w:r>
            <w:r w:rsidR="005A6303">
              <w:fldChar w:fldCharType="end"/>
            </w:r>
          </w:hyperlink>
        </w:p>
        <w:p w:rsidR="00F90710" w:rsidRDefault="0062522B">
          <w:pPr>
            <w:pStyle w:val="TM1"/>
          </w:pPr>
          <w:hyperlink w:anchor="_Toc3" w:tooltip="Lien vers Article 3 - PERIMETRE DE LA CONSULTATION" w:history="1">
            <w:r w:rsidR="005A6303">
              <w:t>Article 3 - PERIMETRE DE LA CONSULTATION</w:t>
            </w:r>
            <w:r w:rsidR="005A6303">
              <w:tab/>
            </w:r>
            <w:r w:rsidR="005A6303">
              <w:fldChar w:fldCharType="begin"/>
            </w:r>
            <w:r w:rsidR="005A6303">
              <w:instrText xml:space="preserve"> PAGEREF _Toc3 \h </w:instrText>
            </w:r>
            <w:r w:rsidR="005A6303">
              <w:fldChar w:fldCharType="separate"/>
            </w:r>
            <w:r w:rsidR="005A6303">
              <w:t>4</w:t>
            </w:r>
            <w:r w:rsidR="005A6303">
              <w:fldChar w:fldCharType="end"/>
            </w:r>
          </w:hyperlink>
        </w:p>
        <w:p w:rsidR="00F90710" w:rsidRDefault="0062522B">
          <w:pPr>
            <w:pStyle w:val="TM1"/>
          </w:pPr>
          <w:hyperlink w:anchor="_Toc4" w:tooltip="Lien vers Article 4 - CONDITIONS DE LA CONSULTATION" w:history="1">
            <w:r w:rsidR="005A6303">
              <w:t>Article 4 - CONDITIONS DE LA CONSULTATION</w:t>
            </w:r>
            <w:r w:rsidR="005A6303">
              <w:tab/>
            </w:r>
            <w:r w:rsidR="005A6303">
              <w:fldChar w:fldCharType="begin"/>
            </w:r>
            <w:r w:rsidR="005A6303">
              <w:instrText xml:space="preserve"> PAGEREF _Toc4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5" w:tooltip="Lien vers 4.1 Procédure de passation" w:history="1">
            <w:r w:rsidR="005A6303">
              <w:t>4.1 Procédure de passation</w:t>
            </w:r>
            <w:r w:rsidR="005A6303">
              <w:tab/>
            </w:r>
            <w:r w:rsidR="005A6303">
              <w:fldChar w:fldCharType="begin"/>
            </w:r>
            <w:r w:rsidR="005A6303">
              <w:instrText xml:space="preserve"> PAGEREF _Toc5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6" w:tooltip="Lien vers 4.2 Allotissement" w:history="1">
            <w:r w:rsidR="005A6303">
              <w:t>4.2 Allotissement</w:t>
            </w:r>
            <w:r w:rsidR="005A6303">
              <w:tab/>
            </w:r>
            <w:r w:rsidR="005A6303">
              <w:fldChar w:fldCharType="begin"/>
            </w:r>
            <w:r w:rsidR="005A6303">
              <w:instrText xml:space="preserve"> PAGEREF _Toc6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7" w:tooltip="Lien vers 4.3 Forme et étendue de l'accord-cadre" w:history="1">
            <w:r w:rsidR="005A6303">
              <w:t>4.3 Forme et étendue de l'accord-cadre</w:t>
            </w:r>
            <w:r w:rsidR="005A6303">
              <w:tab/>
            </w:r>
            <w:r w:rsidR="005A6303">
              <w:fldChar w:fldCharType="begin"/>
            </w:r>
            <w:r w:rsidR="005A6303">
              <w:instrText xml:space="preserve"> PAGEREF _Toc7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8" w:tooltip="Lien vers 4.4 Tranches" w:history="1">
            <w:r w:rsidR="005A6303">
              <w:t>4.4 Tranches</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9" w:tooltip="Lien vers 4.5 Durée du marché" w:history="1">
            <w:r w:rsidR="005A6303">
              <w:t>4.5 Durée du marché</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0" w:tooltip="Lien vers 4.6 Lieu de livraison" w:history="1">
            <w:r w:rsidR="005A6303">
              <w:t>4.6 Lieu de livraison</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1" w:tooltip="Lien vers 4.7 Variantes" w:history="1">
            <w:r w:rsidR="005A6303">
              <w:t>4.7 Variantes</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3"/>
          </w:pPr>
          <w:hyperlink w:anchor="_Toc12" w:tooltip="Lien vers 4.7.1 Variantes obligatoires" w:history="1">
            <w:r w:rsidR="005A6303">
              <w:t>4.7.1 Variantes obligatoires</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3"/>
          </w:pPr>
          <w:hyperlink w:anchor="_Toc13" w:tooltip="Lien vers 4.7.2 Variantes à l'initiative des soumissionnaires" w:history="1">
            <w:r w:rsidR="005A6303">
              <w:t>4.7.2 Variantes à l'initiative des soumissionnaires</w:t>
            </w:r>
            <w:r w:rsidR="005A6303">
              <w:tab/>
            </w:r>
            <w:r w:rsidR="005A6303">
              <w:fldChar w:fldCharType="begin"/>
            </w:r>
            <w:r w:rsidR="005A6303">
              <w:instrText xml:space="preserve"> PAGEREF _Toc13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2" w:tooltip="Lien vers 4.8 Prestations supplémentaires éventuelles" w:history="1">
            <w:r w:rsidR="005A6303">
              <w:t>4.8 Prestations supplémentaires éventuelles</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3" w:tooltip="Lien vers 4.9 Considérations sociales" w:history="1">
            <w:r w:rsidR="005A6303">
              <w:t>4.9 Considérations sociales</w:t>
            </w:r>
            <w:r w:rsidR="005A6303">
              <w:tab/>
            </w:r>
            <w:r w:rsidR="005A6303">
              <w:fldChar w:fldCharType="begin"/>
            </w:r>
            <w:r w:rsidR="005A6303">
              <w:instrText xml:space="preserve"> PAGEREF _Toc13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4" w:tooltip="Lien vers 4.10 Considérations environnementales" w:history="1">
            <w:r w:rsidR="005A6303">
              <w:t>4.10 Considérations environnementales</w:t>
            </w:r>
            <w:r w:rsidR="005A6303">
              <w:tab/>
            </w:r>
            <w:r w:rsidR="005A6303">
              <w:fldChar w:fldCharType="begin"/>
            </w:r>
            <w:r w:rsidR="005A6303">
              <w:instrText xml:space="preserve"> PAGEREF _Toc14 \h </w:instrText>
            </w:r>
            <w:r w:rsidR="005A6303">
              <w:fldChar w:fldCharType="separate"/>
            </w:r>
            <w:r w:rsidR="005A6303">
              <w:t>6</w:t>
            </w:r>
            <w:r w:rsidR="005A6303">
              <w:fldChar w:fldCharType="end"/>
            </w:r>
          </w:hyperlink>
        </w:p>
        <w:p w:rsidR="00F90710" w:rsidRDefault="0062522B">
          <w:pPr>
            <w:pStyle w:val="TM2"/>
            <w:tabs>
              <w:tab w:val="left" w:pos="685"/>
              <w:tab w:val="right" w:leader="dot" w:pos="8290"/>
            </w:tabs>
          </w:pPr>
          <w:hyperlink w:anchor="_Toc15" w:tooltip="Lien vers 4.11 Traitement de données à caractère personnel" w:history="1">
            <w:r w:rsidR="005A6303">
              <w:t>4.11 Traitement de données à caractère personnel</w:t>
            </w:r>
            <w:r w:rsidR="005A6303">
              <w:tab/>
            </w:r>
            <w:r w:rsidR="005A6303">
              <w:fldChar w:fldCharType="begin"/>
            </w:r>
            <w:r w:rsidR="005A6303">
              <w:instrText xml:space="preserve"> PAGEREF _Toc15 \h </w:instrText>
            </w:r>
            <w:r w:rsidR="005A6303">
              <w:fldChar w:fldCharType="separate"/>
            </w:r>
            <w:r w:rsidR="005A6303">
              <w:t>6</w:t>
            </w:r>
            <w:r w:rsidR="005A6303">
              <w:fldChar w:fldCharType="end"/>
            </w:r>
          </w:hyperlink>
        </w:p>
        <w:p w:rsidR="00F90710" w:rsidRDefault="0062522B">
          <w:pPr>
            <w:pStyle w:val="TM2"/>
            <w:tabs>
              <w:tab w:val="left" w:pos="685"/>
              <w:tab w:val="right" w:leader="dot" w:pos="8290"/>
            </w:tabs>
          </w:pPr>
          <w:hyperlink w:anchor="_Toc16" w:tooltip="Lien vers 4.12 Secret des affaires" w:history="1">
            <w:r w:rsidR="005A6303">
              <w:t>4.12 Secret des affaires</w:t>
            </w:r>
            <w:r w:rsidR="005A6303">
              <w:tab/>
            </w:r>
            <w:r w:rsidR="005A6303">
              <w:fldChar w:fldCharType="begin"/>
            </w:r>
            <w:r w:rsidR="005A6303">
              <w:instrText xml:space="preserve"> PAGEREF _Toc16 \h </w:instrText>
            </w:r>
            <w:r w:rsidR="005A6303">
              <w:fldChar w:fldCharType="separate"/>
            </w:r>
            <w:r w:rsidR="005A6303">
              <w:t>7</w:t>
            </w:r>
            <w:r w:rsidR="005A6303">
              <w:fldChar w:fldCharType="end"/>
            </w:r>
          </w:hyperlink>
        </w:p>
        <w:p w:rsidR="00F90710" w:rsidRDefault="0062522B">
          <w:pPr>
            <w:pStyle w:val="TM1"/>
          </w:pPr>
          <w:hyperlink w:anchor="_Toc5" w:tooltip="Lien vers Article 5 - INFORMATION DES CANDIDATS" w:history="1">
            <w:r w:rsidR="005A6303">
              <w:t>Article 5 - INFORMATION DES CANDIDATS</w:t>
            </w:r>
            <w:r w:rsidR="005A6303">
              <w:tab/>
            </w:r>
            <w:r w:rsidR="005A6303">
              <w:fldChar w:fldCharType="begin"/>
            </w:r>
            <w:r w:rsidR="005A6303">
              <w:instrText xml:space="preserve"> PAGEREF _Toc5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6" w:tooltip="Lien vers 5.1 Contenu des documents de la consultation" w:history="1">
            <w:r w:rsidR="005A6303">
              <w:t>5.1 Contenu des documents de la consultation</w:t>
            </w:r>
            <w:r w:rsidR="005A6303">
              <w:tab/>
            </w:r>
            <w:r w:rsidR="005A6303">
              <w:fldChar w:fldCharType="begin"/>
            </w:r>
            <w:r w:rsidR="005A6303">
              <w:instrText xml:space="preserve"> PAGEREF _Toc6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7" w:tooltip="Lien vers 5.2 Principes généraux sur les échanges électroniques" w:history="1">
            <w:r w:rsidR="005A6303">
              <w:t>5.2 Principes généraux sur les échanges électroniques</w:t>
            </w:r>
            <w:r w:rsidR="005A6303">
              <w:tab/>
            </w:r>
            <w:r w:rsidR="005A6303">
              <w:fldChar w:fldCharType="begin"/>
            </w:r>
            <w:r w:rsidR="005A6303">
              <w:instrText xml:space="preserve"> PAGEREF _Toc7 \h </w:instrText>
            </w:r>
            <w:r w:rsidR="005A6303">
              <w:fldChar w:fldCharType="separate"/>
            </w:r>
            <w:r w:rsidR="005A6303">
              <w:t>4</w:t>
            </w:r>
            <w:r w:rsidR="005A6303">
              <w:fldChar w:fldCharType="end"/>
            </w:r>
          </w:hyperlink>
        </w:p>
        <w:p w:rsidR="00F90710" w:rsidRDefault="0062522B">
          <w:pPr>
            <w:pStyle w:val="TM3"/>
          </w:pPr>
          <w:hyperlink w:anchor="_Toc8" w:tooltip="Lien vers 5.2.1 Modalités de retrait et de consultation des documents" w:history="1">
            <w:r w:rsidR="005A6303">
              <w:t>5.2.1 Modalités de retrait et de consultation des documents</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3"/>
          </w:pPr>
          <w:hyperlink w:anchor="_Toc9" w:tooltip="Lien vers 5.2.2 Conditions de transmission des plis" w:history="1">
            <w:r w:rsidR="005A6303">
              <w:t>5.2.2 Conditions de transmission des plis</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8" w:tooltip="Lien vers 5.3  Echanges électroniques relatifs à cette consultation " w:history="1">
            <w:r w:rsidR="005A6303">
              <w:t>5.3  Echanges électroniques relatifs à cette consultation</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3"/>
          </w:pPr>
          <w:hyperlink w:anchor="_Toc9" w:tooltip="Lien vers 5.3.1 Date et heure de réception des plis" w:history="1">
            <w:r w:rsidR="005A6303">
              <w:t>5.3.1 Date et heure de réception des plis</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3"/>
          </w:pPr>
          <w:hyperlink w:anchor="_Toc10" w:tooltip="Lien vers 5.3.2 Demandes de renseignements complémentaires et questions" w:history="1">
            <w:r w:rsidR="005A6303">
              <w:t>5.3.2 Demandes de renseignements complémentaires et questions</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3"/>
          </w:pPr>
          <w:hyperlink w:anchor="_Toc11" w:tooltip="Lien vers 5.3.3 Modification des documents de la consultation" w:history="1">
            <w:r w:rsidR="005A6303">
              <w:t>5.3.3 Modification des documents de la consultation</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3"/>
          </w:pPr>
          <w:hyperlink w:anchor="_Toc12" w:tooltip="Lien vers 5.3.4 Prolongation du délai de réception des offres" w:history="1">
            <w:r w:rsidR="005A6303">
              <w:t>5.3.4 Prolongation du délai de réception des offres</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9" w:tooltip="Lien vers 5.4 Visite sur site" w:history="1">
            <w:r w:rsidR="005A6303">
              <w:t>5.4 Visite sur site</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1"/>
          </w:pPr>
          <w:hyperlink w:anchor="_Toc6" w:tooltip="Lien vers Article 6 - CANDIDATURE" w:history="1">
            <w:r w:rsidR="005A6303">
              <w:t>Article 6 - CANDIDATURE</w:t>
            </w:r>
            <w:r w:rsidR="005A6303">
              <w:tab/>
            </w:r>
            <w:r w:rsidR="005A6303">
              <w:fldChar w:fldCharType="begin"/>
            </w:r>
            <w:r w:rsidR="005A6303">
              <w:instrText xml:space="preserve"> PAGEREF _Toc6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7" w:tooltip="Lien vers 6.1 Précisions concernant les groupements d'opérateurs économiques et la sous-traitance" w:history="1">
            <w:r w:rsidR="005A6303">
              <w:t>6.1 Précisions concernant les groupements d'opérateurs économiques et la sous-traitance</w:t>
            </w:r>
            <w:r w:rsidR="005A6303">
              <w:tab/>
            </w:r>
            <w:r w:rsidR="005A6303">
              <w:fldChar w:fldCharType="begin"/>
            </w:r>
            <w:r w:rsidR="005A6303">
              <w:instrText xml:space="preserve"> PAGEREF _Toc7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8" w:tooltip="Lien vers 6.2 Motifs d'exclusion" w:history="1">
            <w:r w:rsidR="005A6303">
              <w:t>6.2 Motifs d'exclusion</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9" w:tooltip="Lien vers 6.3 Présentation de la candidature" w:history="1">
            <w:r w:rsidR="005A6303">
              <w:t>6.3 Présentation de la candidature</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3"/>
          </w:pPr>
          <w:hyperlink w:anchor="_Toc10" w:tooltip="Lien vers 6.3.1 Candidature sous forme de DUME" w:history="1">
            <w:r w:rsidR="005A6303">
              <w:t>6.3.1 Candidature sous forme de DUME</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3"/>
          </w:pPr>
          <w:hyperlink w:anchor="_Toc11" w:tooltip="Lien vers 6.3.2 Candidature sous forme de DC1 et DC2" w:history="1">
            <w:r w:rsidR="005A6303">
              <w:t>6.3.2 Candidature sous forme de DC1 et DC2</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0" w:tooltip="Lien vers 6.4 Niveaux minimaux de participation" w:history="1">
            <w:r w:rsidR="005A6303">
              <w:t>6.4 Niveaux minimaux de participation</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1" w:tooltip="Lien vers 6.5 Tâches essentielles" w:history="1">
            <w:r w:rsidR="005A6303">
              <w:t>6.5 Tâches essentielles</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2" w:tooltip="Lien vers 6.6 Examen des candidatures" w:history="1">
            <w:r w:rsidR="005A6303">
              <w:t>6.6 Examen des candidatures</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3" w:tooltip="Lien vers 6.7 Vérification des conditions de participation : liste des documents justificatifs" w:history="1">
            <w:r w:rsidR="005A6303">
              <w:t>6.7 Vérification des conditions de participation : liste des documents justificatifs</w:t>
            </w:r>
            <w:r w:rsidR="005A6303">
              <w:tab/>
            </w:r>
            <w:r w:rsidR="005A6303">
              <w:fldChar w:fldCharType="begin"/>
            </w:r>
            <w:r w:rsidR="005A6303">
              <w:instrText xml:space="preserve"> PAGEREF _Toc13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4" w:tooltip="Lien vers 6.8 Vérification des motifs d'exclusion" w:history="1">
            <w:r w:rsidR="005A6303">
              <w:t>6.8 Vérification des motifs d'exclusion</w:t>
            </w:r>
            <w:r w:rsidR="005A6303">
              <w:tab/>
            </w:r>
            <w:r w:rsidR="005A6303">
              <w:fldChar w:fldCharType="begin"/>
            </w:r>
            <w:r w:rsidR="005A6303">
              <w:instrText xml:space="preserve"> PAGEREF _Toc14 \h </w:instrText>
            </w:r>
            <w:r w:rsidR="005A6303">
              <w:fldChar w:fldCharType="separate"/>
            </w:r>
            <w:r w:rsidR="005A6303">
              <w:t>6</w:t>
            </w:r>
            <w:r w:rsidR="005A6303">
              <w:fldChar w:fldCharType="end"/>
            </w:r>
          </w:hyperlink>
        </w:p>
        <w:p w:rsidR="00F90710" w:rsidRDefault="0062522B">
          <w:pPr>
            <w:pStyle w:val="TM1"/>
          </w:pPr>
          <w:hyperlink w:anchor="_Toc7" w:tooltip="Lien vers Article 7 - OFFRE" w:history="1">
            <w:r w:rsidR="005A6303">
              <w:t>Article 7 - OFFRE</w:t>
            </w:r>
            <w:r w:rsidR="005A6303">
              <w:tab/>
            </w:r>
            <w:r w:rsidR="005A6303">
              <w:fldChar w:fldCharType="begin"/>
            </w:r>
            <w:r w:rsidR="005A6303">
              <w:instrText xml:space="preserve"> PAGEREF _Toc7 \h </w:instrText>
            </w:r>
            <w:r w:rsidR="005A6303">
              <w:fldChar w:fldCharType="separate"/>
            </w:r>
            <w:r w:rsidR="005A6303">
              <w:t>4</w:t>
            </w:r>
            <w:r w:rsidR="005A6303">
              <w:fldChar w:fldCharType="end"/>
            </w:r>
          </w:hyperlink>
        </w:p>
        <w:p w:rsidR="00F90710" w:rsidRDefault="0062522B">
          <w:pPr>
            <w:pStyle w:val="TM2"/>
            <w:tabs>
              <w:tab w:val="left" w:pos="685"/>
              <w:tab w:val="right" w:leader="dot" w:pos="8290"/>
            </w:tabs>
          </w:pPr>
          <w:hyperlink w:anchor="_Toc8" w:tooltip="Lien vers 7.1 Présentation de l'offre" w:history="1">
            <w:r w:rsidR="005A6303">
              <w:t>7.1 Présentation de l'offre</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9" w:tooltip="Lien vers 7.2 Examen des offres" w:history="1">
            <w:r w:rsidR="005A6303">
              <w:t>7.2 Examen des offres</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0" w:tooltip="Lien vers 7.3 Critères d'attribution " w:history="1">
            <w:r w:rsidR="005A6303">
              <w:t>7.3 Critères d'attribution</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1" w:tooltip="Lien vers 7.4 Méthode de notation des offres" w:history="1">
            <w:r w:rsidR="005A6303">
              <w:t>7.4 Méthode de notation des offres</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2" w:tooltip="Lien vers 7.5 Durée de validité des offres" w:history="1">
            <w:r w:rsidR="005A6303">
              <w:t>7.5 Durée de validité des offres</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3" w:tooltip="Lien vers 7.6 Echantillons" w:history="1">
            <w:r w:rsidR="005A6303">
              <w:t>7.6 Echantillons</w:t>
            </w:r>
            <w:r w:rsidR="005A6303">
              <w:tab/>
            </w:r>
            <w:r w:rsidR="005A6303">
              <w:fldChar w:fldCharType="begin"/>
            </w:r>
            <w:r w:rsidR="005A6303">
              <w:instrText xml:space="preserve"> PAGEREF _Toc13 \h </w:instrText>
            </w:r>
            <w:r w:rsidR="005A6303">
              <w:fldChar w:fldCharType="separate"/>
            </w:r>
            <w:r w:rsidR="005A6303">
              <w:t>5</w:t>
            </w:r>
            <w:r w:rsidR="005A6303">
              <w:fldChar w:fldCharType="end"/>
            </w:r>
          </w:hyperlink>
        </w:p>
        <w:p w:rsidR="00F90710" w:rsidRDefault="0062522B">
          <w:pPr>
            <w:pStyle w:val="TM1"/>
          </w:pPr>
          <w:hyperlink w:anchor="_Toc8" w:tooltip="Lien vers Article 8 - ATTRIBUTION DE L'ACCORD-CADRE" w:history="1">
            <w:r w:rsidR="005A6303">
              <w:t>Article 8 - ATTRIBUTION DE L'ACCORD-CADRE</w:t>
            </w:r>
            <w:r w:rsidR="005A6303">
              <w:tab/>
            </w:r>
            <w:r w:rsidR="005A6303">
              <w:fldChar w:fldCharType="begin"/>
            </w:r>
            <w:r w:rsidR="005A6303">
              <w:instrText xml:space="preserve"> PAGEREF _Toc8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9" w:tooltip="Lien vers 8.1 Vérification des motifs d'exclusion : transmission des moyens de preuve" w:history="1">
            <w:r w:rsidR="005A6303">
              <w:t>8.1 Vérification des motifs d'exclusion : transmission des moyens de preuve</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0" w:tooltip="Lien vers 8.2 Interdiction d'attribution" w:history="1">
            <w:r w:rsidR="005A6303">
              <w:t>8.2 Interdiction d'attribution</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1" w:tooltip="Lien vers 8.3 Mise au point" w:history="1">
            <w:r w:rsidR="005A6303">
              <w:t>8.3 Mise au point</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2"/>
            <w:tabs>
              <w:tab w:val="left" w:pos="685"/>
              <w:tab w:val="right" w:leader="dot" w:pos="8290"/>
            </w:tabs>
          </w:pPr>
          <w:hyperlink w:anchor="_Toc12" w:tooltip="Lien vers 8.4 Signature de l'accord-cadre" w:history="1">
            <w:r w:rsidR="005A6303">
              <w:t>8.4 Signature de l'accord-cadre</w:t>
            </w:r>
            <w:r w:rsidR="005A6303">
              <w:tab/>
            </w:r>
            <w:r w:rsidR="005A6303">
              <w:fldChar w:fldCharType="begin"/>
            </w:r>
            <w:r w:rsidR="005A6303">
              <w:instrText xml:space="preserve"> PAGEREF _Toc12 \h </w:instrText>
            </w:r>
            <w:r w:rsidR="005A6303">
              <w:fldChar w:fldCharType="separate"/>
            </w:r>
            <w:r w:rsidR="005A6303">
              <w:t>5</w:t>
            </w:r>
            <w:r w:rsidR="005A6303">
              <w:fldChar w:fldCharType="end"/>
            </w:r>
          </w:hyperlink>
        </w:p>
        <w:p w:rsidR="00F90710" w:rsidRDefault="0062522B">
          <w:pPr>
            <w:pStyle w:val="TM1"/>
          </w:pPr>
          <w:hyperlink w:anchor="_Toc9" w:tooltip="Lien vers Article 9 - LANGUE" w:history="1">
            <w:r w:rsidR="005A6303">
              <w:t>Article 9 - LANGUE</w:t>
            </w:r>
            <w:r w:rsidR="005A6303">
              <w:tab/>
            </w:r>
            <w:r w:rsidR="005A6303">
              <w:fldChar w:fldCharType="begin"/>
            </w:r>
            <w:r w:rsidR="005A6303">
              <w:instrText xml:space="preserve"> PAGEREF _Toc9 \h </w:instrText>
            </w:r>
            <w:r w:rsidR="005A6303">
              <w:fldChar w:fldCharType="separate"/>
            </w:r>
            <w:r w:rsidR="005A6303">
              <w:t>5</w:t>
            </w:r>
            <w:r w:rsidR="005A6303">
              <w:fldChar w:fldCharType="end"/>
            </w:r>
          </w:hyperlink>
        </w:p>
        <w:p w:rsidR="00F90710" w:rsidRDefault="0062522B">
          <w:pPr>
            <w:pStyle w:val="TM1"/>
          </w:pPr>
          <w:hyperlink w:anchor="_Toc10" w:tooltip="Lien vers Article 10 - CONTENTIEUX" w:history="1">
            <w:r w:rsidR="005A6303">
              <w:t>Article 10 - CONTENTIEUX</w:t>
            </w:r>
            <w:r w:rsidR="005A6303">
              <w:tab/>
            </w:r>
            <w:r w:rsidR="005A6303">
              <w:fldChar w:fldCharType="begin"/>
            </w:r>
            <w:r w:rsidR="005A6303">
              <w:instrText xml:space="preserve"> PAGEREF _Toc10 \h </w:instrText>
            </w:r>
            <w:r w:rsidR="005A6303">
              <w:fldChar w:fldCharType="separate"/>
            </w:r>
            <w:r w:rsidR="005A6303">
              <w:t>5</w:t>
            </w:r>
            <w:r w:rsidR="005A6303">
              <w:fldChar w:fldCharType="end"/>
            </w:r>
          </w:hyperlink>
        </w:p>
        <w:p w:rsidR="00F90710" w:rsidRDefault="0062522B">
          <w:pPr>
            <w:pStyle w:val="TM1"/>
          </w:pPr>
          <w:hyperlink w:anchor="_Toc11" w:tooltip="Lien vers Article 11 - MODALITES DE SIGNATURE ELECTRONIQUE" w:history="1">
            <w:r w:rsidR="005A6303">
              <w:t>Article 11 - MODALITES DE SIGNATURE ELECTRONIQUE</w:t>
            </w:r>
            <w:r w:rsidR="005A6303">
              <w:tab/>
            </w:r>
            <w:r w:rsidR="005A6303">
              <w:fldChar w:fldCharType="begin"/>
            </w:r>
            <w:r w:rsidR="005A6303">
              <w:instrText xml:space="preserve"> PAGEREF _Toc11 \h </w:instrText>
            </w:r>
            <w:r w:rsidR="005A6303">
              <w:fldChar w:fldCharType="separate"/>
            </w:r>
            <w:r w:rsidR="005A6303">
              <w:t>5</w:t>
            </w:r>
            <w:r w:rsidR="005A6303">
              <w:fldChar w:fldCharType="end"/>
            </w:r>
          </w:hyperlink>
        </w:p>
        <w:p w:rsidR="00F90710" w:rsidRDefault="0062522B">
          <w:pPr>
            <w:pStyle w:val="TM1"/>
          </w:pPr>
          <w:hyperlink w:anchor="_Toc12" w:tooltip="Lien vers Article 12 - AMENAGEMENTS EN CAS DE MENACE SANITAIRE GRAVE APPELANT DES MESURES D'URGENCE" w:history="1">
            <w:r w:rsidR="005A6303">
              <w:t>Article 12 - AMENAGEMENTS EN CAS DE MENACE SANITAIRE GRAVE APPELANT DES MESURES D'URGENCE</w:t>
            </w:r>
            <w:r w:rsidR="005A6303">
              <w:tab/>
            </w:r>
            <w:r w:rsidR="005A6303">
              <w:fldChar w:fldCharType="begin"/>
            </w:r>
            <w:r w:rsidR="005A6303">
              <w:instrText xml:space="preserve"> PAGEREF _Toc12 \h </w:instrText>
            </w:r>
            <w:r w:rsidR="005A6303">
              <w:fldChar w:fldCharType="separate"/>
            </w:r>
            <w:r w:rsidR="005A6303">
              <w:t>3</w:t>
            </w:r>
            <w:r w:rsidR="005A6303">
              <w:fldChar w:fldCharType="end"/>
            </w:r>
          </w:hyperlink>
        </w:p>
        <w:p w:rsidR="00F90710" w:rsidRDefault="0062522B">
          <w:pPr>
            <w:pStyle w:val="TM1"/>
          </w:pPr>
          <w:hyperlink w:anchor="_Toc13" w:tooltip="Lien vers Article 13 - ANNEXES" w:history="1">
            <w:r w:rsidR="005A6303">
              <w:t>Article 13 - ANNEXES</w:t>
            </w:r>
            <w:r w:rsidR="005A6303">
              <w:tab/>
            </w:r>
            <w:r w:rsidR="005A6303">
              <w:fldChar w:fldCharType="begin"/>
            </w:r>
            <w:r w:rsidR="005A6303">
              <w:instrText xml:space="preserve"> PAGEREF _Toc13 \h </w:instrText>
            </w:r>
            <w:r w:rsidR="005A6303">
              <w:fldChar w:fldCharType="separate"/>
            </w:r>
            <w:r w:rsidR="005A6303">
              <w:t>5</w:t>
            </w:r>
            <w:r w:rsidR="005A6303">
              <w:fldChar w:fldCharType="end"/>
            </w:r>
          </w:hyperlink>
        </w:p>
        <w:p w:rsidR="00F90710" w:rsidRDefault="005A6303">
          <w:r>
            <w:fldChar w:fldCharType="end"/>
          </w:r>
        </w:p>
      </w:sdtContent>
    </w:sdt>
    <w:p w:rsidR="00F90710" w:rsidRDefault="005A6303" w:rsidP="00756CDE">
      <w:pPr>
        <w:pStyle w:val="Titre1"/>
        <w:pageBreakBefore/>
        <w:numPr>
          <w:ilvl w:val="0"/>
          <w:numId w:val="15"/>
        </w:numPr>
      </w:pPr>
      <w:bookmarkStart w:id="0" w:name="_Toc1"/>
      <w:r>
        <w:lastRenderedPageBreak/>
        <w:t>ACHETEUR</w:t>
      </w:r>
      <w:bookmarkEnd w:id="0"/>
    </w:p>
    <w:p w:rsidR="00F90710" w:rsidRDefault="005A6303">
      <w:r>
        <w:rPr>
          <w:rFonts w:eastAsia="Arial" w:cs="Arial"/>
          <w:color w:val="000000"/>
          <w:shd w:val="clear" w:color="auto" w:fill="FFFFFF"/>
        </w:rPr>
        <w:t>La procédure est portée par : Etablissements de Santé et Médico-sociaux</w:t>
      </w:r>
    </w:p>
    <w:p w:rsidR="00F90710" w:rsidRDefault="005A6303">
      <w:r>
        <w:rPr>
          <w:rFonts w:eastAsia="Arial" w:cs="Arial"/>
          <w:color w:val="000000"/>
          <w:shd w:val="clear" w:color="auto" w:fill="FFFFFF"/>
        </w:rPr>
        <w:t xml:space="preserve">CHU de </w:t>
      </w:r>
      <w:proofErr w:type="spellStart"/>
      <w:r>
        <w:rPr>
          <w:rFonts w:eastAsia="Arial" w:cs="Arial"/>
          <w:color w:val="000000"/>
          <w:shd w:val="clear" w:color="auto" w:fill="FFFFFF"/>
        </w:rPr>
        <w:t>Clermont-ferrand</w:t>
      </w:r>
      <w:proofErr w:type="spellEnd"/>
      <w:r>
        <w:rPr>
          <w:rFonts w:eastAsia="Arial" w:cs="Arial"/>
          <w:color w:val="000000"/>
          <w:shd w:val="clear" w:color="auto" w:fill="FFFFFF"/>
        </w:rPr>
        <w:t>,</w:t>
      </w:r>
    </w:p>
    <w:p w:rsidR="00F90710" w:rsidRDefault="005A6303">
      <w:r>
        <w:rPr>
          <w:rFonts w:eastAsia="Arial" w:cs="Arial"/>
          <w:color w:val="000000"/>
          <w:shd w:val="clear" w:color="auto" w:fill="FFFFFF"/>
        </w:rPr>
        <w:t>Direction des Achats et des Logistiques</w:t>
      </w:r>
    </w:p>
    <w:p w:rsidR="00F90710" w:rsidRDefault="005A6303">
      <w:r>
        <w:rPr>
          <w:rFonts w:eastAsia="Arial" w:cs="Arial"/>
          <w:color w:val="000000"/>
          <w:shd w:val="clear" w:color="auto" w:fill="FFFFFF"/>
        </w:rPr>
        <w:t xml:space="preserve">Adresse : </w:t>
      </w:r>
      <w:r>
        <w:rPr>
          <w:rFonts w:eastAsia="Arial" w:cs="Arial"/>
          <w:b/>
          <w:color w:val="000000"/>
          <w:shd w:val="clear" w:color="auto" w:fill="FFFFFF"/>
        </w:rPr>
        <w:t>58 rue Montalembert</w:t>
      </w:r>
    </w:p>
    <w:p w:rsidR="00F90710" w:rsidRDefault="005A6303">
      <w:r>
        <w:rPr>
          <w:rFonts w:eastAsia="Arial" w:cs="Arial"/>
          <w:color w:val="000000"/>
          <w:shd w:val="clear" w:color="auto" w:fill="FFFFFF"/>
        </w:rPr>
        <w:t xml:space="preserve">Code Postal : </w:t>
      </w:r>
      <w:r>
        <w:rPr>
          <w:rFonts w:eastAsia="Arial" w:cs="Arial"/>
          <w:b/>
          <w:color w:val="000000"/>
          <w:shd w:val="clear" w:color="auto" w:fill="FFFFFF"/>
        </w:rPr>
        <w:t>63000</w:t>
      </w:r>
    </w:p>
    <w:p w:rsidR="00F90710" w:rsidRDefault="005A6303">
      <w:r>
        <w:rPr>
          <w:rFonts w:eastAsia="Arial" w:cs="Arial"/>
          <w:color w:val="000000"/>
          <w:shd w:val="clear" w:color="auto" w:fill="FFFFFF"/>
        </w:rPr>
        <w:t xml:space="preserve">Ville : </w:t>
      </w:r>
      <w:proofErr w:type="spellStart"/>
      <w:r>
        <w:rPr>
          <w:rFonts w:eastAsia="Arial" w:cs="Arial"/>
          <w:color w:val="000000"/>
          <w:shd w:val="clear" w:color="auto" w:fill="FFFFFF"/>
        </w:rPr>
        <w:t>Clermont-ferrand</w:t>
      </w:r>
      <w:proofErr w:type="spellEnd"/>
    </w:p>
    <w:p w:rsidR="00F90710" w:rsidRDefault="005A6303">
      <w:r>
        <w:rPr>
          <w:rFonts w:eastAsia="Arial" w:cs="Arial"/>
          <w:color w:val="000000"/>
          <w:shd w:val="clear" w:color="auto" w:fill="FFFFFF"/>
        </w:rPr>
        <w:t xml:space="preserve">Siret : </w:t>
      </w:r>
      <w:r>
        <w:rPr>
          <w:rFonts w:ascii="Times New Roman" w:eastAsia="Times New Roman" w:hAnsi="Times New Roman" w:cs="Times New Roman"/>
          <w:color w:val="000000"/>
          <w:sz w:val="24"/>
          <w:shd w:val="clear" w:color="auto" w:fill="FFFFFF"/>
        </w:rPr>
        <w:t>26630746100019</w:t>
      </w:r>
    </w:p>
    <w:p w:rsidR="00F90710" w:rsidRDefault="005A6303">
      <w:r>
        <w:rPr>
          <w:rFonts w:eastAsia="Arial" w:cs="Arial"/>
          <w:color w:val="000000"/>
          <w:shd w:val="clear" w:color="auto" w:fill="FFFFFF"/>
        </w:rPr>
        <w:t>Il est représenté par sa Directrice Générale ou son représentant le Directeur des Achats et des Logistiques</w:t>
      </w:r>
    </w:p>
    <w:p w:rsidR="00F90710" w:rsidRDefault="005A6303" w:rsidP="00756CDE">
      <w:pPr>
        <w:pStyle w:val="Titre1"/>
        <w:numPr>
          <w:ilvl w:val="0"/>
          <w:numId w:val="15"/>
        </w:numPr>
      </w:pPr>
      <w:bookmarkStart w:id="1" w:name="_Toc2"/>
      <w:r>
        <w:t>OBJET DE LA CONSULTATION</w:t>
      </w:r>
      <w:bookmarkEnd w:id="1"/>
    </w:p>
    <w:p w:rsidR="00F90710" w:rsidRDefault="005A6303">
      <w:r>
        <w:rPr>
          <w:rFonts w:eastAsia="Arial" w:cs="Arial"/>
          <w:color w:val="000000"/>
          <w:shd w:val="clear" w:color="auto" w:fill="FFFFFF"/>
        </w:rPr>
        <w:t>L'accord-cadre a pour objet Fourniture et livraison en liaison froide de la composante chaude du repas (Externalisation du plat chaud) des repas normaux et des repas hachés/faciles à mastiquer</w:t>
      </w:r>
      <w:r w:rsidR="00756CDE">
        <w:rPr>
          <w:rFonts w:eastAsia="Arial" w:cs="Arial"/>
          <w:color w:val="000000"/>
          <w:shd w:val="clear" w:color="auto" w:fill="FFFFFF"/>
        </w:rPr>
        <w:t xml:space="preserve"> pour le Centre Hospitalier de Billom</w:t>
      </w:r>
      <w:r>
        <w:rPr>
          <w:rFonts w:eastAsia="Arial" w:cs="Arial"/>
          <w:color w:val="000000"/>
          <w:shd w:val="clear" w:color="auto" w:fill="FFFFFF"/>
        </w:rPr>
        <w:t>.</w:t>
      </w:r>
    </w:p>
    <w:p w:rsidR="00F90710" w:rsidRDefault="005A6303">
      <w:r>
        <w:rPr>
          <w:rFonts w:eastAsia="Arial" w:cs="Arial"/>
          <w:color w:val="000000"/>
          <w:shd w:val="clear" w:color="auto" w:fill="FFFFFF"/>
        </w:rPr>
        <w:t>L'accord-cadre porte sur des prestations de Fournitures</w:t>
      </w:r>
    </w:p>
    <w:p w:rsidR="00F90710" w:rsidRDefault="005A6303">
      <w:r>
        <w:rPr>
          <w:rFonts w:eastAsia="Arial" w:cs="Arial"/>
          <w:color w:val="000000"/>
          <w:shd w:val="clear" w:color="auto" w:fill="FFFFFF"/>
        </w:rPr>
        <w:t>Code(s) CPV de la consultation : Valeur principale : 15894220 - Repas pour hôpitaux.</w:t>
      </w:r>
    </w:p>
    <w:p w:rsidR="00F90710" w:rsidRDefault="005A6303" w:rsidP="00756CDE">
      <w:pPr>
        <w:pStyle w:val="Titre1"/>
        <w:numPr>
          <w:ilvl w:val="0"/>
          <w:numId w:val="15"/>
        </w:numPr>
      </w:pPr>
      <w:bookmarkStart w:id="2" w:name="_Toc3"/>
      <w:r>
        <w:t>PERIMETRE DE LA CONSULTATION</w:t>
      </w:r>
      <w:bookmarkEnd w:id="2"/>
    </w:p>
    <w:p w:rsidR="00F90710" w:rsidRDefault="005A6303">
      <w:pPr>
        <w:rPr>
          <w:rFonts w:eastAsia="Arial" w:cs="Arial"/>
          <w:color w:val="000000"/>
          <w:szCs w:val="20"/>
        </w:rPr>
      </w:pPr>
      <w:r>
        <w:rPr>
          <w:rFonts w:eastAsia="Arial" w:cs="Arial"/>
          <w:color w:val="000000"/>
          <w:shd w:val="clear" w:color="auto" w:fill="FFFFFF"/>
        </w:rPr>
        <w:t xml:space="preserve">Montant estimatif pour </w:t>
      </w:r>
      <w:r w:rsidR="00017CA1">
        <w:rPr>
          <w:rFonts w:eastAsia="Arial" w:cs="Arial"/>
          <w:color w:val="000000"/>
          <w:shd w:val="clear" w:color="auto" w:fill="FFFFFF"/>
        </w:rPr>
        <w:t xml:space="preserve">la période ferme de 8 mois </w:t>
      </w:r>
      <w:r w:rsidR="000410E2">
        <w:rPr>
          <w:rFonts w:eastAsia="Arial" w:cs="Arial"/>
          <w:color w:val="000000"/>
          <w:shd w:val="clear" w:color="auto" w:fill="FFFFFF"/>
        </w:rPr>
        <w:t xml:space="preserve">400 000 </w:t>
      </w:r>
      <w:r w:rsidR="00017CA1">
        <w:rPr>
          <w:rFonts w:eastAsia="Arial" w:cs="Arial"/>
          <w:color w:val="000000"/>
          <w:shd w:val="clear" w:color="auto" w:fill="FFFFFF"/>
        </w:rPr>
        <w:t xml:space="preserve">€HT </w:t>
      </w:r>
    </w:p>
    <w:p w:rsidR="00085B6F" w:rsidRDefault="00085B6F">
      <w:pPr>
        <w:rPr>
          <w:rFonts w:eastAsia="Arial" w:cs="Arial"/>
          <w:color w:val="000000"/>
          <w:shd w:val="clear" w:color="auto" w:fill="FFFFFF"/>
        </w:rPr>
      </w:pPr>
      <w:r w:rsidRPr="00085B6F">
        <w:rPr>
          <w:rFonts w:eastAsia="Arial" w:cs="Arial"/>
          <w:color w:val="000000"/>
          <w:shd w:val="clear" w:color="auto" w:fill="FFFFFF"/>
        </w:rPr>
        <w:t xml:space="preserve">Le montant </w:t>
      </w:r>
      <w:r>
        <w:rPr>
          <w:rFonts w:eastAsia="Arial" w:cs="Arial"/>
          <w:color w:val="000000"/>
          <w:shd w:val="clear" w:color="auto" w:fill="FFFFFF"/>
        </w:rPr>
        <w:t xml:space="preserve">estimatif </w:t>
      </w:r>
      <w:r w:rsidRPr="00085B6F">
        <w:rPr>
          <w:rFonts w:eastAsia="Arial" w:cs="Arial"/>
          <w:color w:val="000000"/>
          <w:shd w:val="clear" w:color="auto" w:fill="FFFFFF"/>
        </w:rPr>
        <w:t>du présent accord-cadre, reconduct</w:t>
      </w:r>
      <w:r>
        <w:rPr>
          <w:rFonts w:eastAsia="Arial" w:cs="Arial"/>
          <w:color w:val="000000"/>
          <w:shd w:val="clear" w:color="auto" w:fill="FFFFFF"/>
        </w:rPr>
        <w:t xml:space="preserve">ions comprises, est fixé à </w:t>
      </w:r>
      <w:r w:rsidR="000410E2">
        <w:rPr>
          <w:rFonts w:eastAsia="Arial" w:cs="Arial"/>
          <w:color w:val="000000"/>
          <w:shd w:val="clear" w:color="auto" w:fill="FFFFFF"/>
        </w:rPr>
        <w:t>1 000 000,00</w:t>
      </w:r>
      <w:r w:rsidRPr="00085B6F">
        <w:rPr>
          <w:rFonts w:eastAsia="Arial" w:cs="Arial"/>
          <w:color w:val="000000"/>
          <w:shd w:val="clear" w:color="auto" w:fill="FFFFFF"/>
        </w:rPr>
        <w:t>€HT</w:t>
      </w:r>
    </w:p>
    <w:p w:rsidR="00017CA1" w:rsidRPr="000410E2" w:rsidRDefault="005A6303">
      <w:pPr>
        <w:rPr>
          <w:rFonts w:eastAsia="Arial" w:cs="Arial"/>
          <w:color w:val="000000"/>
          <w:szCs w:val="20"/>
        </w:rPr>
      </w:pPr>
      <w:r>
        <w:rPr>
          <w:rFonts w:eastAsia="Arial" w:cs="Arial"/>
          <w:color w:val="000000"/>
          <w:shd w:val="clear" w:color="auto" w:fill="FFFFFF"/>
        </w:rPr>
        <w:t xml:space="preserve">Montant maximal pour </w:t>
      </w:r>
      <w:r w:rsidR="00017CA1">
        <w:rPr>
          <w:rFonts w:eastAsia="Arial" w:cs="Arial"/>
          <w:color w:val="000000"/>
          <w:shd w:val="clear" w:color="auto" w:fill="FFFFFF"/>
        </w:rPr>
        <w:t>8</w:t>
      </w:r>
      <w:r>
        <w:rPr>
          <w:rFonts w:eastAsia="Arial" w:cs="Arial"/>
          <w:color w:val="000000"/>
          <w:shd w:val="clear" w:color="auto" w:fill="FFFFFF"/>
        </w:rPr>
        <w:t xml:space="preserve"> mois </w:t>
      </w:r>
      <w:r w:rsidR="000410E2">
        <w:rPr>
          <w:rFonts w:eastAsia="Arial" w:cs="Arial"/>
          <w:color w:val="000000"/>
          <w:shd w:val="clear" w:color="auto" w:fill="FFFFFF"/>
        </w:rPr>
        <w:t>442 260</w:t>
      </w:r>
      <w:r>
        <w:rPr>
          <w:rFonts w:eastAsia="Arial" w:cs="Arial"/>
          <w:color w:val="000000"/>
          <w:shd w:val="clear" w:color="auto" w:fill="FFFFFF"/>
        </w:rPr>
        <w:t xml:space="preserve"> €HT</w:t>
      </w:r>
    </w:p>
    <w:p w:rsidR="00085B6F" w:rsidRDefault="00017CA1">
      <w:pPr>
        <w:rPr>
          <w:rFonts w:eastAsia="Arial" w:cs="Arial"/>
          <w:color w:val="000000"/>
          <w:shd w:val="clear" w:color="auto" w:fill="FFFFFF"/>
        </w:rPr>
      </w:pPr>
      <w:r w:rsidRPr="00756CDE">
        <w:rPr>
          <w:rFonts w:eastAsia="Arial" w:cs="Arial"/>
          <w:color w:val="000000"/>
          <w:shd w:val="clear" w:color="auto" w:fill="FFFFFF"/>
        </w:rPr>
        <w:t xml:space="preserve">Le montant maximal </w:t>
      </w:r>
      <w:r w:rsidR="000410E2">
        <w:rPr>
          <w:rFonts w:eastAsia="Arial" w:cs="Arial"/>
          <w:color w:val="000000"/>
          <w:shd w:val="clear" w:color="auto" w:fill="FFFFFF"/>
        </w:rPr>
        <w:t>d</w:t>
      </w:r>
      <w:r w:rsidR="00756CDE" w:rsidRPr="00756CDE">
        <w:rPr>
          <w:rFonts w:eastAsia="Arial" w:cs="Arial"/>
          <w:color w:val="000000"/>
          <w:shd w:val="clear" w:color="auto" w:fill="FFFFFF"/>
        </w:rPr>
        <w:t>u présent accord-cadre</w:t>
      </w:r>
      <w:r w:rsidR="00085B6F">
        <w:rPr>
          <w:rFonts w:eastAsia="Arial" w:cs="Arial"/>
          <w:color w:val="000000"/>
          <w:shd w:val="clear" w:color="auto" w:fill="FFFFFF"/>
        </w:rPr>
        <w:t>, reconductions comprises,</w:t>
      </w:r>
      <w:r w:rsidR="00756CDE" w:rsidRPr="00756CDE">
        <w:rPr>
          <w:rFonts w:eastAsia="Arial" w:cs="Arial"/>
          <w:color w:val="000000"/>
          <w:shd w:val="clear" w:color="auto" w:fill="FFFFFF"/>
        </w:rPr>
        <w:t xml:space="preserve"> est fixé à </w:t>
      </w:r>
      <w:r w:rsidR="000410E2">
        <w:rPr>
          <w:rFonts w:eastAsia="Arial" w:cs="Arial"/>
          <w:color w:val="000000"/>
          <w:shd w:val="clear" w:color="auto" w:fill="FFFFFF"/>
        </w:rPr>
        <w:t>1 105 650,00 €HT</w:t>
      </w:r>
    </w:p>
    <w:p w:rsidR="000410E2" w:rsidRDefault="000410E2">
      <w:r>
        <w:rPr>
          <w:rFonts w:eastAsia="Arial" w:cs="Arial"/>
          <w:color w:val="000000"/>
          <w:shd w:val="clear" w:color="auto" w:fill="FFFFFF"/>
        </w:rPr>
        <w:t>Les crédits budgétaires alloués correspondent aux montants maxima.</w:t>
      </w:r>
    </w:p>
    <w:p w:rsidR="00F90710" w:rsidRDefault="005A6303" w:rsidP="00756CDE">
      <w:pPr>
        <w:pStyle w:val="Titre1"/>
        <w:numPr>
          <w:ilvl w:val="0"/>
          <w:numId w:val="15"/>
        </w:numPr>
      </w:pPr>
      <w:bookmarkStart w:id="3" w:name="_Toc4"/>
      <w:r>
        <w:t>CONDITIONS DE LA CONSULTATION</w:t>
      </w:r>
      <w:bookmarkEnd w:id="3"/>
    </w:p>
    <w:p w:rsidR="00F90710" w:rsidRDefault="005A6303" w:rsidP="00756CDE">
      <w:pPr>
        <w:pStyle w:val="Titre2"/>
        <w:numPr>
          <w:ilvl w:val="1"/>
          <w:numId w:val="15"/>
        </w:numPr>
      </w:pPr>
      <w:r>
        <w:t>Procédure de passation</w:t>
      </w:r>
    </w:p>
    <w:p w:rsidR="00F90710" w:rsidRDefault="005A6303">
      <w:r>
        <w:rPr>
          <w:rFonts w:eastAsia="Arial" w:cs="Arial"/>
          <w:color w:val="000000"/>
          <w:shd w:val="clear" w:color="auto" w:fill="FFFFFF"/>
        </w:rPr>
        <w:t>L'accord-cadre est passé selon la pr</w:t>
      </w:r>
      <w:r w:rsidR="00756CDE">
        <w:rPr>
          <w:rFonts w:eastAsia="Arial" w:cs="Arial"/>
          <w:color w:val="000000"/>
          <w:shd w:val="clear" w:color="auto" w:fill="FFFFFF"/>
        </w:rPr>
        <w:t xml:space="preserve">océdure d'appel d'offres ouvert par le CHU de Clermont-Ferrand. Son exécution financière sera réalisée par </w:t>
      </w:r>
      <w:r w:rsidR="00756CDE" w:rsidRPr="00756CDE">
        <w:rPr>
          <w:rFonts w:eastAsia="Arial" w:cs="Arial"/>
          <w:color w:val="000000"/>
          <w:shd w:val="clear" w:color="auto" w:fill="FFFFFF"/>
        </w:rPr>
        <w:t>le Centre Hospitalier de Billom</w:t>
      </w:r>
      <w:r w:rsidR="00756CDE">
        <w:rPr>
          <w:rFonts w:eastAsia="Arial" w:cs="Arial"/>
          <w:color w:val="000000"/>
          <w:shd w:val="clear" w:color="auto" w:fill="FFFFFF"/>
        </w:rPr>
        <w:t>.</w:t>
      </w:r>
    </w:p>
    <w:p w:rsidR="00F90710" w:rsidRDefault="005A6303" w:rsidP="00756CDE">
      <w:pPr>
        <w:pStyle w:val="Titre2"/>
        <w:numPr>
          <w:ilvl w:val="1"/>
          <w:numId w:val="15"/>
        </w:numPr>
      </w:pPr>
      <w:r>
        <w:t>Allotissement</w:t>
      </w:r>
    </w:p>
    <w:p w:rsidR="00F90710" w:rsidRDefault="005A6303">
      <w:r>
        <w:rPr>
          <w:rFonts w:eastAsia="Arial" w:cs="Arial"/>
          <w:color w:val="000000"/>
          <w:shd w:val="clear" w:color="auto" w:fill="FFFFFF"/>
        </w:rPr>
        <w:t>L'accord-cadre n'est pas alloti.</w:t>
      </w:r>
    </w:p>
    <w:p w:rsidR="00F90710" w:rsidRDefault="005A6303">
      <w:r>
        <w:rPr>
          <w:rFonts w:eastAsia="Arial" w:cs="Arial"/>
          <w:color w:val="000000"/>
          <w:shd w:val="clear" w:color="auto" w:fill="FFFFFF"/>
        </w:rPr>
        <w:t>Prestation unique non divisible</w:t>
      </w:r>
    </w:p>
    <w:p w:rsidR="00F90710" w:rsidRDefault="005A6303" w:rsidP="00756CDE">
      <w:pPr>
        <w:pStyle w:val="Titre2"/>
        <w:numPr>
          <w:ilvl w:val="1"/>
          <w:numId w:val="15"/>
        </w:numPr>
      </w:pPr>
      <w:r>
        <w:t>Forme et étendue de l'accord-cadre</w:t>
      </w:r>
    </w:p>
    <w:p w:rsidR="00F90710" w:rsidRDefault="005A6303">
      <w:r>
        <w:rPr>
          <w:rFonts w:eastAsia="Arial" w:cs="Arial"/>
          <w:color w:val="000000"/>
          <w:shd w:val="clear" w:color="auto" w:fill="FFFFFF"/>
        </w:rPr>
        <w:t>L'accord-cadre est mono-attributaire</w:t>
      </w:r>
      <w:proofErr w:type="gramStart"/>
      <w:r>
        <w:rPr>
          <w:rFonts w:eastAsia="Arial" w:cs="Arial"/>
          <w:color w:val="000000"/>
          <w:shd w:val="clear" w:color="auto" w:fill="FFFFFF"/>
        </w:rPr>
        <w:t>. .</w:t>
      </w:r>
      <w:proofErr w:type="gramEnd"/>
    </w:p>
    <w:p w:rsidR="00F90710" w:rsidRDefault="005A6303">
      <w:r>
        <w:rPr>
          <w:rFonts w:eastAsia="Arial" w:cs="Arial"/>
          <w:color w:val="000000"/>
          <w:shd w:val="clear" w:color="auto" w:fill="FFFFFF"/>
        </w:rPr>
        <w:lastRenderedPageBreak/>
        <w:t>L'accord-cadre est exécuté par l'émission de bons de commande</w:t>
      </w:r>
      <w:proofErr w:type="gramStart"/>
      <w:r>
        <w:rPr>
          <w:rFonts w:eastAsia="Arial" w:cs="Arial"/>
          <w:color w:val="000000"/>
          <w:shd w:val="clear" w:color="auto" w:fill="FFFFFF"/>
        </w:rPr>
        <w:t>. .</w:t>
      </w:r>
      <w:proofErr w:type="gramEnd"/>
    </w:p>
    <w:p w:rsidR="00F90710" w:rsidRDefault="000410E2">
      <w:r>
        <w:rPr>
          <w:rFonts w:eastAsia="Arial" w:cs="Arial"/>
          <w:color w:val="000000"/>
          <w:shd w:val="clear" w:color="auto" w:fill="FFFFFF"/>
        </w:rPr>
        <w:t>L'accord-cadre est conclu</w:t>
      </w:r>
      <w:r w:rsidR="005A6303">
        <w:rPr>
          <w:rFonts w:eastAsia="Arial" w:cs="Arial"/>
          <w:color w:val="000000"/>
          <w:shd w:val="clear" w:color="auto" w:fill="FFFFFF"/>
        </w:rPr>
        <w:t xml:space="preserve"> sans minimum, avec un maximum </w:t>
      </w:r>
    </w:p>
    <w:p w:rsidR="00F90710" w:rsidRDefault="005A6303" w:rsidP="00756CDE">
      <w:pPr>
        <w:pStyle w:val="Titre2"/>
        <w:numPr>
          <w:ilvl w:val="1"/>
          <w:numId w:val="15"/>
        </w:numPr>
      </w:pPr>
      <w:r>
        <w:t>Tranches</w:t>
      </w:r>
    </w:p>
    <w:p w:rsidR="00F90710" w:rsidRDefault="005A6303">
      <w:r>
        <w:rPr>
          <w:rFonts w:eastAsia="Arial" w:cs="Arial"/>
          <w:color w:val="000000"/>
          <w:shd w:val="clear" w:color="auto" w:fill="FFFFFF"/>
        </w:rPr>
        <w:t>L'accord-cadre ne comporte pas de tranches.</w:t>
      </w:r>
    </w:p>
    <w:p w:rsidR="00F90710" w:rsidRDefault="00F907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3453"/>
        <w:gridCol w:w="863"/>
        <w:gridCol w:w="3453"/>
      </w:tblGrid>
      <w:tr w:rsidR="00F90710">
        <w:trPr>
          <w:cantSplit/>
        </w:trPr>
        <w:tc>
          <w:tcPr>
            <w:tcW w:w="4316" w:type="dxa"/>
            <w:gridSpan w:val="2"/>
            <w:shd w:val="clear" w:color="auto" w:fill="C0C0C0"/>
          </w:tcPr>
          <w:p w:rsidR="00F90710" w:rsidRDefault="005A6303">
            <w:pPr>
              <w:pStyle w:val="Table"/>
              <w:keepNext/>
              <w:keepLines/>
              <w:jc w:val="left"/>
            </w:pPr>
            <w:r>
              <w:rPr>
                <w:rFonts w:eastAsia="Arial" w:cs="Arial"/>
                <w:b/>
                <w:color w:val="000000"/>
                <w:sz w:val="18"/>
              </w:rPr>
              <w:t>Lots séparés</w:t>
            </w:r>
          </w:p>
        </w:tc>
        <w:tc>
          <w:tcPr>
            <w:tcW w:w="4316" w:type="dxa"/>
            <w:gridSpan w:val="2"/>
            <w:shd w:val="clear" w:color="auto" w:fill="C0C0C0"/>
          </w:tcPr>
          <w:p w:rsidR="00F90710" w:rsidRDefault="005A6303">
            <w:pPr>
              <w:pStyle w:val="Table"/>
              <w:keepNext/>
              <w:keepLines/>
              <w:jc w:val="left"/>
            </w:pPr>
            <w:r>
              <w:rPr>
                <w:rFonts w:eastAsia="Arial" w:cs="Arial"/>
                <w:b/>
                <w:color w:val="000000"/>
                <w:sz w:val="18"/>
              </w:rPr>
              <w:t>Tranches</w:t>
            </w:r>
          </w:p>
        </w:tc>
      </w:tr>
      <w:tr w:rsidR="00F90710">
        <w:trPr>
          <w:cantSplit/>
        </w:trPr>
        <w:tc>
          <w:tcPr>
            <w:tcW w:w="863" w:type="dxa"/>
            <w:shd w:val="clear" w:color="auto" w:fill="C0C0C0"/>
          </w:tcPr>
          <w:p w:rsidR="00F90710" w:rsidRDefault="005A6303">
            <w:pPr>
              <w:pStyle w:val="Table"/>
              <w:keepNext/>
              <w:keepLines/>
              <w:jc w:val="left"/>
            </w:pPr>
            <w:r>
              <w:rPr>
                <w:rFonts w:eastAsia="Arial" w:cs="Arial"/>
                <w:b/>
                <w:color w:val="000000"/>
                <w:sz w:val="18"/>
              </w:rPr>
              <w:t>N° Lot</w:t>
            </w:r>
          </w:p>
        </w:tc>
        <w:tc>
          <w:tcPr>
            <w:tcW w:w="3453" w:type="dxa"/>
            <w:shd w:val="clear" w:color="auto" w:fill="C0C0C0"/>
          </w:tcPr>
          <w:p w:rsidR="00F90710" w:rsidRDefault="005A6303">
            <w:pPr>
              <w:pStyle w:val="Table"/>
              <w:keepNext/>
              <w:keepLines/>
              <w:jc w:val="left"/>
            </w:pPr>
            <w:r>
              <w:rPr>
                <w:rFonts w:eastAsia="Arial" w:cs="Arial"/>
                <w:b/>
                <w:color w:val="000000"/>
                <w:sz w:val="18"/>
              </w:rPr>
              <w:t>Intitulé</w:t>
            </w:r>
          </w:p>
        </w:tc>
        <w:tc>
          <w:tcPr>
            <w:tcW w:w="863" w:type="dxa"/>
            <w:shd w:val="clear" w:color="auto" w:fill="C0C0C0"/>
          </w:tcPr>
          <w:p w:rsidR="00F90710" w:rsidRDefault="005A6303">
            <w:pPr>
              <w:pStyle w:val="Table"/>
              <w:keepNext/>
              <w:keepLines/>
              <w:jc w:val="left"/>
            </w:pPr>
            <w:r>
              <w:rPr>
                <w:rFonts w:eastAsia="Arial" w:cs="Arial"/>
                <w:b/>
                <w:color w:val="000000"/>
                <w:sz w:val="18"/>
              </w:rPr>
              <w:t>N°</w:t>
            </w:r>
          </w:p>
        </w:tc>
        <w:tc>
          <w:tcPr>
            <w:tcW w:w="3453" w:type="dxa"/>
            <w:shd w:val="clear" w:color="auto" w:fill="C0C0C0"/>
          </w:tcPr>
          <w:p w:rsidR="00F90710" w:rsidRDefault="005A6303">
            <w:pPr>
              <w:pStyle w:val="Table"/>
              <w:keepNext/>
              <w:keepLines/>
              <w:jc w:val="left"/>
            </w:pPr>
            <w:r>
              <w:rPr>
                <w:rFonts w:eastAsia="Arial" w:cs="Arial"/>
                <w:b/>
                <w:color w:val="000000"/>
                <w:sz w:val="18"/>
              </w:rPr>
              <w:t>Intitulé</w:t>
            </w:r>
          </w:p>
        </w:tc>
      </w:tr>
      <w:tr w:rsidR="00F90710">
        <w:trPr>
          <w:cantSplit/>
        </w:trPr>
        <w:tc>
          <w:tcPr>
            <w:tcW w:w="863" w:type="dxa"/>
            <w:shd w:val="clear" w:color="auto" w:fill="FFFFFF"/>
          </w:tcPr>
          <w:p w:rsidR="00F90710" w:rsidRDefault="005A6303">
            <w:pPr>
              <w:pStyle w:val="Table"/>
              <w:keepNext/>
              <w:keepLines/>
              <w:jc w:val="left"/>
            </w:pPr>
            <w:r>
              <w:rPr>
                <w:rFonts w:eastAsia="Arial" w:cs="Arial"/>
                <w:color w:val="000000"/>
                <w:sz w:val="18"/>
              </w:rPr>
              <w:t>-</w:t>
            </w:r>
          </w:p>
        </w:tc>
        <w:tc>
          <w:tcPr>
            <w:tcW w:w="3453" w:type="dxa"/>
            <w:shd w:val="clear" w:color="auto" w:fill="FFFFFF"/>
          </w:tcPr>
          <w:p w:rsidR="00F90710" w:rsidRDefault="005A6303">
            <w:pPr>
              <w:pStyle w:val="Table"/>
              <w:keepNext/>
              <w:keepLines/>
              <w:jc w:val="left"/>
            </w:pPr>
            <w:r>
              <w:rPr>
                <w:rFonts w:eastAsia="Arial" w:cs="Arial"/>
                <w:color w:val="000000"/>
                <w:sz w:val="18"/>
              </w:rPr>
              <w:t>-</w:t>
            </w:r>
          </w:p>
        </w:tc>
        <w:tc>
          <w:tcPr>
            <w:tcW w:w="863" w:type="dxa"/>
            <w:shd w:val="clear" w:color="auto" w:fill="FFFFFF"/>
          </w:tcPr>
          <w:p w:rsidR="00F90710" w:rsidRDefault="005A6303">
            <w:pPr>
              <w:pStyle w:val="Table"/>
              <w:keepNext/>
              <w:keepLines/>
              <w:jc w:val="left"/>
            </w:pPr>
            <w:r>
              <w:rPr>
                <w:rFonts w:eastAsia="Arial" w:cs="Arial"/>
                <w:color w:val="000000"/>
                <w:sz w:val="18"/>
              </w:rPr>
              <w:t>-</w:t>
            </w:r>
          </w:p>
        </w:tc>
        <w:tc>
          <w:tcPr>
            <w:tcW w:w="3453" w:type="dxa"/>
            <w:shd w:val="clear" w:color="auto" w:fill="FFFFFF"/>
          </w:tcPr>
          <w:p w:rsidR="00F90710" w:rsidRDefault="005A6303">
            <w:pPr>
              <w:pStyle w:val="Table"/>
              <w:keepNext/>
              <w:keepLines/>
              <w:jc w:val="left"/>
            </w:pPr>
            <w:r>
              <w:rPr>
                <w:rFonts w:eastAsia="Arial" w:cs="Arial"/>
                <w:color w:val="000000"/>
                <w:sz w:val="18"/>
              </w:rPr>
              <w:t>-</w:t>
            </w:r>
          </w:p>
        </w:tc>
      </w:tr>
    </w:tbl>
    <w:p w:rsidR="00F90710" w:rsidRDefault="00F90710"/>
    <w:p w:rsidR="00F90710" w:rsidRDefault="005A6303" w:rsidP="00756CDE">
      <w:pPr>
        <w:pStyle w:val="Titre2"/>
        <w:numPr>
          <w:ilvl w:val="1"/>
          <w:numId w:val="15"/>
        </w:numPr>
      </w:pPr>
      <w:r>
        <w:t>Durée du marché</w:t>
      </w:r>
    </w:p>
    <w:p w:rsidR="00F90710" w:rsidRDefault="005A6303" w:rsidP="00756CDE">
      <w:r>
        <w:rPr>
          <w:rFonts w:eastAsia="Arial" w:cs="Arial"/>
          <w:color w:val="000000"/>
          <w:shd w:val="clear" w:color="auto" w:fill="FFFFFF"/>
        </w:rPr>
        <w:t>L'accord-cad</w:t>
      </w:r>
      <w:r w:rsidR="000410E2">
        <w:rPr>
          <w:rFonts w:eastAsia="Arial" w:cs="Arial"/>
          <w:color w:val="000000"/>
          <w:shd w:val="clear" w:color="auto" w:fill="FFFFFF"/>
        </w:rPr>
        <w:t>re est conclu pour une durée de 8</w:t>
      </w:r>
      <w:r>
        <w:rPr>
          <w:rFonts w:eastAsia="Arial" w:cs="Arial"/>
          <w:color w:val="000000"/>
          <w:shd w:val="clear" w:color="auto" w:fill="FFFFFF"/>
        </w:rPr>
        <w:t xml:space="preserve"> mois hors reconduction(s) éventuelle(s).</w:t>
      </w:r>
    </w:p>
    <w:p w:rsidR="00F90710" w:rsidRDefault="005A6303">
      <w:r>
        <w:rPr>
          <w:rFonts w:eastAsia="Arial" w:cs="Arial"/>
          <w:color w:val="000000"/>
          <w:shd w:val="clear" w:color="auto" w:fill="FFFFFF"/>
        </w:rPr>
        <w:t>La durée de l'accord-cadre court à compter de sa date de notification.</w:t>
      </w:r>
    </w:p>
    <w:p w:rsidR="00F90710" w:rsidRDefault="005A6303">
      <w:r>
        <w:rPr>
          <w:rFonts w:eastAsia="Arial" w:cs="Arial"/>
          <w:color w:val="000000"/>
          <w:shd w:val="clear" w:color="auto" w:fill="FFFFFF"/>
        </w:rPr>
        <w:t>Le marché public est reconductible selon les modalités suivantes : Reconduction tacite pour une durée de trois mois. La non reconduction donnera lieu à un courrier/message électronique envoyé au moins 2 mois avan</w:t>
      </w:r>
      <w:r w:rsidR="00756CDE">
        <w:rPr>
          <w:rFonts w:eastAsia="Arial" w:cs="Arial"/>
          <w:color w:val="000000"/>
          <w:shd w:val="clear" w:color="auto" w:fill="FFFFFF"/>
        </w:rPr>
        <w:t>t la fin de la période en cours</w:t>
      </w:r>
      <w:r>
        <w:rPr>
          <w:rFonts w:eastAsia="Arial" w:cs="Arial"/>
          <w:color w:val="000000"/>
          <w:shd w:val="clear" w:color="auto" w:fill="FFFFFF"/>
        </w:rPr>
        <w:t>. Le</w:t>
      </w:r>
      <w:r w:rsidR="00756CDE">
        <w:rPr>
          <w:rFonts w:eastAsia="Arial" w:cs="Arial"/>
          <w:color w:val="000000"/>
          <w:shd w:val="clear" w:color="auto" w:fill="FFFFFF"/>
        </w:rPr>
        <w:t xml:space="preserve"> nombre de reconduction(s) est de</w:t>
      </w:r>
      <w:r w:rsidR="000410E2">
        <w:rPr>
          <w:rFonts w:eastAsia="Arial" w:cs="Arial"/>
          <w:color w:val="000000"/>
          <w:shd w:val="clear" w:color="auto" w:fill="FFFFFF"/>
        </w:rPr>
        <w:t xml:space="preserve"> </w:t>
      </w:r>
      <w:r>
        <w:rPr>
          <w:rFonts w:eastAsia="Arial" w:cs="Arial"/>
          <w:color w:val="000000"/>
          <w:shd w:val="clear" w:color="auto" w:fill="FFFFFF"/>
        </w:rPr>
        <w:t>4.</w:t>
      </w:r>
    </w:p>
    <w:p w:rsidR="00F90710" w:rsidRDefault="005A6303" w:rsidP="00756CDE">
      <w:pPr>
        <w:pStyle w:val="Titre2"/>
        <w:numPr>
          <w:ilvl w:val="1"/>
          <w:numId w:val="15"/>
        </w:numPr>
      </w:pPr>
      <w:r>
        <w:t>Lieu de livraison</w:t>
      </w:r>
    </w:p>
    <w:p w:rsidR="00F90710" w:rsidRDefault="005A6303">
      <w:r>
        <w:rPr>
          <w:rFonts w:eastAsia="Arial" w:cs="Arial"/>
          <w:color w:val="000000"/>
          <w:shd w:val="clear" w:color="auto" w:fill="FFFFFF"/>
        </w:rPr>
        <w:t>Le lieu d'exécution des prestations objets de la consultation est :63 - Puy-de-Dôme (FR-63).</w:t>
      </w:r>
    </w:p>
    <w:p w:rsidR="00F90710" w:rsidRDefault="005A6303">
      <w:r>
        <w:rPr>
          <w:rFonts w:eastAsia="Arial" w:cs="Arial"/>
          <w:b/>
          <w:color w:val="000000"/>
          <w:shd w:val="clear" w:color="auto" w:fill="FFFFFF"/>
        </w:rPr>
        <w:t>Centre Hospitalier de Billom, 3 Bou</w:t>
      </w:r>
      <w:r w:rsidR="00EC0E2C">
        <w:rPr>
          <w:rFonts w:eastAsia="Arial" w:cs="Arial"/>
          <w:b/>
          <w:color w:val="000000"/>
          <w:shd w:val="clear" w:color="auto" w:fill="FFFFFF"/>
        </w:rPr>
        <w:t>levard Saint-Roch, 63160 Billom</w:t>
      </w:r>
    </w:p>
    <w:p w:rsidR="00F90710" w:rsidRDefault="005A6303" w:rsidP="00756CDE">
      <w:pPr>
        <w:pStyle w:val="Titre2"/>
        <w:numPr>
          <w:ilvl w:val="1"/>
          <w:numId w:val="15"/>
        </w:numPr>
      </w:pPr>
      <w:r>
        <w:t>Variantes</w:t>
      </w:r>
    </w:p>
    <w:p w:rsidR="00F90710" w:rsidRDefault="005A6303" w:rsidP="00756CDE">
      <w:pPr>
        <w:pStyle w:val="Titre3"/>
        <w:numPr>
          <w:ilvl w:val="2"/>
          <w:numId w:val="15"/>
        </w:numPr>
      </w:pPr>
      <w:r>
        <w:t>Variantes obligatoires</w:t>
      </w:r>
    </w:p>
    <w:p w:rsidR="00F90710" w:rsidRDefault="005A6303">
      <w:r>
        <w:rPr>
          <w:rFonts w:eastAsia="Arial" w:cs="Arial"/>
          <w:color w:val="000000"/>
          <w:shd w:val="clear" w:color="auto" w:fill="FFFFFF"/>
        </w:rPr>
        <w:t>L'acheteur n'exige pas la présentation de variantes obligatoires.</w:t>
      </w:r>
    </w:p>
    <w:p w:rsidR="00F90710" w:rsidRDefault="005A6303" w:rsidP="00756CDE">
      <w:pPr>
        <w:pStyle w:val="Titre3"/>
        <w:numPr>
          <w:ilvl w:val="2"/>
          <w:numId w:val="15"/>
        </w:numPr>
      </w:pPr>
      <w:r>
        <w:t>Variantes à l'initiative des soumissionnaires</w:t>
      </w:r>
    </w:p>
    <w:p w:rsidR="00F90710" w:rsidRDefault="005A6303">
      <w:r>
        <w:rPr>
          <w:rFonts w:eastAsia="Arial" w:cs="Arial"/>
          <w:color w:val="000000"/>
          <w:shd w:val="clear" w:color="auto" w:fill="FFFFFF"/>
        </w:rPr>
        <w:t>Les soumissionnaires ne sont pas autorisés à présenter de variantes à leur initiative.</w:t>
      </w:r>
    </w:p>
    <w:p w:rsidR="00F90710" w:rsidRDefault="005A6303" w:rsidP="00756CDE">
      <w:pPr>
        <w:pStyle w:val="Titre2"/>
        <w:numPr>
          <w:ilvl w:val="1"/>
          <w:numId w:val="15"/>
        </w:numPr>
      </w:pPr>
      <w:r>
        <w:t>Prestations supplémentaires éventuelles</w:t>
      </w:r>
    </w:p>
    <w:p w:rsidR="00F90710" w:rsidRDefault="005A6303">
      <w:r>
        <w:rPr>
          <w:rFonts w:eastAsia="Arial" w:cs="Arial"/>
          <w:color w:val="000000"/>
          <w:shd w:val="clear" w:color="auto" w:fill="FFFFFF"/>
        </w:rPr>
        <w:t>Aucune prestation supplémentaire éventuelle n'est prévue.</w:t>
      </w:r>
    </w:p>
    <w:p w:rsidR="00F90710" w:rsidRDefault="005A6303" w:rsidP="00756CDE">
      <w:pPr>
        <w:pStyle w:val="Titre2"/>
        <w:numPr>
          <w:ilvl w:val="1"/>
          <w:numId w:val="15"/>
        </w:numPr>
      </w:pPr>
      <w:r>
        <w:t>Considérations sociales</w:t>
      </w:r>
    </w:p>
    <w:p w:rsidR="00F90710" w:rsidRDefault="005A6303">
      <w:r>
        <w:rPr>
          <w:rFonts w:eastAsia="Arial" w:cs="Arial"/>
          <w:color w:val="000000"/>
          <w:shd w:val="clear" w:color="auto" w:fill="FFFFFF"/>
        </w:rPr>
        <w:t xml:space="preserve">Le présent accord-cadre </w:t>
      </w:r>
      <w:r w:rsidR="000F55DC">
        <w:rPr>
          <w:rFonts w:eastAsia="Arial" w:cs="Arial"/>
          <w:color w:val="000000"/>
          <w:shd w:val="clear" w:color="auto" w:fill="FFFFFF"/>
        </w:rPr>
        <w:t xml:space="preserve">ne </w:t>
      </w:r>
      <w:r>
        <w:rPr>
          <w:rFonts w:eastAsia="Arial" w:cs="Arial"/>
          <w:color w:val="000000"/>
          <w:shd w:val="clear" w:color="auto" w:fill="FFFFFF"/>
        </w:rPr>
        <w:t xml:space="preserve">comprend </w:t>
      </w:r>
      <w:r w:rsidR="000F55DC">
        <w:rPr>
          <w:rFonts w:eastAsia="Arial" w:cs="Arial"/>
          <w:color w:val="000000"/>
          <w:shd w:val="clear" w:color="auto" w:fill="FFFFFF"/>
        </w:rPr>
        <w:t>pas</w:t>
      </w:r>
      <w:r>
        <w:rPr>
          <w:rFonts w:eastAsia="Arial" w:cs="Arial"/>
          <w:color w:val="000000"/>
          <w:shd w:val="clear" w:color="auto" w:fill="FFFFFF"/>
        </w:rPr>
        <w:t xml:space="preserve"> de critère(s) social (aux) comme critère d'attribution</w:t>
      </w:r>
    </w:p>
    <w:p w:rsidR="00F90710" w:rsidRDefault="00F90710"/>
    <w:p w:rsidR="00F90710" w:rsidRDefault="005A6303" w:rsidP="00756CDE">
      <w:pPr>
        <w:pStyle w:val="Titre2"/>
        <w:numPr>
          <w:ilvl w:val="1"/>
          <w:numId w:val="15"/>
        </w:numPr>
      </w:pPr>
      <w:r>
        <w:t>Considérations environnementales</w:t>
      </w:r>
    </w:p>
    <w:p w:rsidR="00F90710" w:rsidRDefault="005A6303">
      <w:r>
        <w:rPr>
          <w:rFonts w:eastAsia="Arial" w:cs="Arial"/>
          <w:color w:val="000000"/>
          <w:shd w:val="clear" w:color="auto" w:fill="FFFFFF"/>
        </w:rPr>
        <w:t>Dans une volonté de protection de l'environnement, le présent marché public comprend un ou des critère(s) environnemental(aux) comme critère d'attribution.</w:t>
      </w:r>
    </w:p>
    <w:p w:rsidR="00F90710" w:rsidRDefault="005A6303" w:rsidP="00756CDE">
      <w:pPr>
        <w:pStyle w:val="Titre2"/>
        <w:numPr>
          <w:ilvl w:val="1"/>
          <w:numId w:val="15"/>
        </w:numPr>
      </w:pPr>
      <w:bookmarkStart w:id="4" w:name="_Toc15"/>
      <w:r>
        <w:lastRenderedPageBreak/>
        <w:t>Traitement de données à caractère personnel</w:t>
      </w:r>
      <w:bookmarkEnd w:id="4"/>
    </w:p>
    <w:p w:rsidR="00F90710" w:rsidRDefault="005A6303">
      <w:r>
        <w:rPr>
          <w:rFonts w:eastAsia="Arial" w:cs="Arial"/>
          <w:b/>
          <w:color w:val="000000"/>
          <w:shd w:val="clear" w:color="auto" w:fill="FFFFFF"/>
        </w:rPr>
        <w:t>Sans objet</w:t>
      </w:r>
    </w:p>
    <w:p w:rsidR="00F90710" w:rsidRDefault="00F90710"/>
    <w:p w:rsidR="00F90710" w:rsidRDefault="005A6303" w:rsidP="00756CDE">
      <w:pPr>
        <w:pStyle w:val="Titre2"/>
        <w:numPr>
          <w:ilvl w:val="1"/>
          <w:numId w:val="15"/>
        </w:numPr>
      </w:pPr>
      <w:bookmarkStart w:id="5" w:name="_Toc16"/>
      <w:r>
        <w:t>Secret des affaires</w:t>
      </w:r>
      <w:bookmarkEnd w:id="5"/>
    </w:p>
    <w:p w:rsidR="00F90710" w:rsidRDefault="005A6303">
      <w:r>
        <w:rPr>
          <w:rFonts w:eastAsia="Arial" w:cs="Arial"/>
          <w:color w:val="000000"/>
          <w:shd w:val="clear" w:color="auto" w:fill="FFFFFF"/>
        </w:rPr>
        <w:t>L'acheteur se réserve la possibilité de recourir à l'expertise d'un tiers pour l'analyse des offres du présent accord-cadre.</w:t>
      </w:r>
    </w:p>
    <w:p w:rsidR="00F90710" w:rsidRDefault="00F90710"/>
    <w:p w:rsidR="00F90710" w:rsidRDefault="005A6303">
      <w:r>
        <w:rPr>
          <w:rFonts w:eastAsia="Arial" w:cs="Arial"/>
          <w:color w:val="000000"/>
          <w:shd w:val="clear" w:color="auto" w:fill="FFFFFF"/>
        </w:rPr>
        <w:t xml:space="preserve">Le tiers est tenu à une obligation de confidentialité prévue par le marché dont il est titulaire. En particulier, les candidats sont informés que ce tiers ne peut divulguer les données et informations couvertes par le secret des affaires dont il aurait connaissance pendant la durée d'exécution de ses prestations. Ce tiers </w:t>
      </w:r>
      <w:proofErr w:type="gramStart"/>
      <w:r>
        <w:rPr>
          <w:rFonts w:eastAsia="Arial" w:cs="Arial"/>
          <w:color w:val="000000"/>
          <w:shd w:val="clear" w:color="auto" w:fill="FFFFFF"/>
        </w:rPr>
        <w:t>a</w:t>
      </w:r>
      <w:proofErr w:type="gramEnd"/>
      <w:r>
        <w:rPr>
          <w:rFonts w:eastAsia="Arial" w:cs="Arial"/>
          <w:color w:val="000000"/>
          <w:shd w:val="clear" w:color="auto" w:fill="FFFFFF"/>
        </w:rPr>
        <w:t xml:space="preserve"> l'obligation de mettre en </w:t>
      </w:r>
      <w:proofErr w:type="spellStart"/>
      <w:r>
        <w:rPr>
          <w:rFonts w:eastAsia="Arial" w:cs="Arial"/>
          <w:color w:val="000000"/>
          <w:shd w:val="clear" w:color="auto" w:fill="FFFFFF"/>
        </w:rPr>
        <w:t>oeuvre</w:t>
      </w:r>
      <w:proofErr w:type="spellEnd"/>
      <w:r>
        <w:rPr>
          <w:rFonts w:eastAsia="Arial" w:cs="Arial"/>
          <w:color w:val="000000"/>
          <w:shd w:val="clear" w:color="auto" w:fill="FFFFFF"/>
        </w:rPr>
        <w:t xml:space="preserve"> l'ensemble des moyens nécessaires afin de réduire les risques de divulgation, notamment au moyen d'engagements de confidentialité individuels, de cloisonnement organisationnel et de paramétrage des droits d'accès.</w:t>
      </w:r>
    </w:p>
    <w:p w:rsidR="00F90710" w:rsidRDefault="00F90710"/>
    <w:p w:rsidR="00F90710" w:rsidRDefault="005A6303">
      <w:r>
        <w:rPr>
          <w:rFonts w:eastAsia="Arial" w:cs="Arial"/>
          <w:color w:val="000000"/>
          <w:shd w:val="clear" w:color="auto" w:fill="FFFFFF"/>
        </w:rPr>
        <w:t>Cette obligation ne prend pas fin à l'issue du marché entre l'acheteur et ce tiers.</w:t>
      </w:r>
    </w:p>
    <w:p w:rsidR="00F90710" w:rsidRDefault="005A6303" w:rsidP="00756CDE">
      <w:pPr>
        <w:pStyle w:val="Titre1"/>
        <w:numPr>
          <w:ilvl w:val="0"/>
          <w:numId w:val="15"/>
        </w:numPr>
      </w:pPr>
      <w:bookmarkStart w:id="6" w:name="_Toc5"/>
      <w:r>
        <w:t>INFORMATION DES CANDIDATS</w:t>
      </w:r>
      <w:bookmarkEnd w:id="6"/>
    </w:p>
    <w:p w:rsidR="00F90710" w:rsidRDefault="005A6303" w:rsidP="00756CDE">
      <w:pPr>
        <w:pStyle w:val="Titre2"/>
        <w:numPr>
          <w:ilvl w:val="1"/>
          <w:numId w:val="15"/>
        </w:numPr>
      </w:pPr>
      <w:r>
        <w:t>Contenu des documents de la consultation</w:t>
      </w:r>
    </w:p>
    <w:p w:rsidR="00F90710" w:rsidRDefault="005A6303">
      <w:r>
        <w:rPr>
          <w:rFonts w:eastAsia="Arial" w:cs="Arial"/>
          <w:color w:val="000000"/>
          <w:shd w:val="clear" w:color="auto" w:fill="FFFFFF"/>
        </w:rPr>
        <w:t>Les documents de la consultation mis à disposition sont les suivants :</w:t>
      </w:r>
    </w:p>
    <w:p w:rsidR="00F90710" w:rsidRDefault="005A6303">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présent règlement de consultation</w:t>
      </w:r>
    </w:p>
    <w:p w:rsidR="00F90710" w:rsidRDefault="005A6303">
      <w:pPr>
        <w:rPr>
          <w:rFonts w:eastAsia="Arial" w:cs="Arial"/>
          <w:color w:val="000000"/>
          <w:szCs w:val="20"/>
        </w:rPr>
      </w:pPr>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bordereau de prix unitaires</w:t>
      </w:r>
    </w:p>
    <w:p w:rsidR="00F90710" w:rsidRDefault="005A6303">
      <w:r>
        <w:rPr>
          <w:rFonts w:eastAsia="Arial" w:cs="Arial"/>
          <w:color w:val="000000"/>
          <w:shd w:val="clear" w:color="auto" w:fill="FFFFFF"/>
        </w:rPr>
        <w:t>Le détail Quantitatif Estimatif</w:t>
      </w:r>
    </w:p>
    <w:p w:rsidR="00F90710" w:rsidRDefault="005A6303">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cahier des clauses administratives particulières</w:t>
      </w:r>
    </w:p>
    <w:p w:rsidR="00F90710" w:rsidRDefault="005A6303">
      <w:proofErr w:type="gramStart"/>
      <w:r>
        <w:rPr>
          <w:rFonts w:eastAsia="Arial" w:cs="Arial"/>
          <w:color w:val="000000"/>
          <w:shd w:val="clear" w:color="auto" w:fill="FFFFFF"/>
        </w:rPr>
        <w:t>le</w:t>
      </w:r>
      <w:proofErr w:type="gramEnd"/>
      <w:r>
        <w:rPr>
          <w:rFonts w:eastAsia="Arial" w:cs="Arial"/>
          <w:color w:val="000000"/>
          <w:shd w:val="clear" w:color="auto" w:fill="FFFFFF"/>
        </w:rPr>
        <w:t xml:space="preserve"> cahier des clauses techniques particulières</w:t>
      </w:r>
    </w:p>
    <w:p w:rsidR="00F90710" w:rsidRDefault="005A6303">
      <w:proofErr w:type="gramStart"/>
      <w:r>
        <w:rPr>
          <w:rFonts w:eastAsia="Arial" w:cs="Arial"/>
          <w:color w:val="000000"/>
          <w:shd w:val="clear" w:color="auto" w:fill="FFFFFF"/>
        </w:rPr>
        <w:t>l'acte</w:t>
      </w:r>
      <w:proofErr w:type="gramEnd"/>
      <w:r>
        <w:rPr>
          <w:rFonts w:eastAsia="Arial" w:cs="Arial"/>
          <w:color w:val="000000"/>
          <w:shd w:val="clear" w:color="auto" w:fill="FFFFFF"/>
        </w:rPr>
        <w:t xml:space="preserve"> d'engagement</w:t>
      </w:r>
    </w:p>
    <w:p w:rsidR="00F90710" w:rsidRDefault="005A6303" w:rsidP="00756CDE">
      <w:pPr>
        <w:pStyle w:val="Titre2"/>
        <w:numPr>
          <w:ilvl w:val="1"/>
          <w:numId w:val="15"/>
        </w:numPr>
      </w:pPr>
      <w:r>
        <w:t>Principes généraux sur les échanges électroniques</w:t>
      </w:r>
    </w:p>
    <w:p w:rsidR="00F90710" w:rsidRDefault="005A6303" w:rsidP="00756CDE">
      <w:pPr>
        <w:pStyle w:val="Titre3"/>
        <w:numPr>
          <w:ilvl w:val="2"/>
          <w:numId w:val="15"/>
        </w:numPr>
      </w:pPr>
      <w:r>
        <w:t>Modalités de retrait et de consultation des documents</w:t>
      </w:r>
    </w:p>
    <w:p w:rsidR="00F90710" w:rsidRDefault="005A6303">
      <w:r>
        <w:rPr>
          <w:rFonts w:eastAsia="Arial" w:cs="Arial"/>
          <w:color w:val="000000"/>
          <w:shd w:val="clear" w:color="auto" w:fill="FFFFFF"/>
        </w:rPr>
        <w:t>Les documents de la consultation sont accessibles uniquement par voie électronique, sur la plate-forme des achats de l'Etat (PLACE) (https://www.marches-publics.gouv.fr/entreprise). Les documents de la consultation sont accessibles par voie électronique, sur la plate-forme des achats de l'Etat (PLACE) (https://www.marches-publics.gouv.fr/entreprise).</w:t>
      </w:r>
    </w:p>
    <w:p w:rsidR="00F90710" w:rsidRDefault="005A6303">
      <w:r>
        <w:rPr>
          <w:shd w:val="clear" w:color="auto" w:fill="FFFFFF"/>
        </w:rPr>
        <w:t>    </w:t>
      </w:r>
    </w:p>
    <w:p w:rsidR="00F90710" w:rsidRDefault="005A6303" w:rsidP="00756CDE">
      <w:pPr>
        <w:pStyle w:val="Titre3"/>
        <w:numPr>
          <w:ilvl w:val="2"/>
          <w:numId w:val="15"/>
        </w:numPr>
      </w:pPr>
      <w:r>
        <w:t>Conditions de transmission des plis</w:t>
      </w:r>
    </w:p>
    <w:p w:rsidR="00F90710" w:rsidRDefault="005A6303">
      <w:r>
        <w:rPr>
          <w:rFonts w:eastAsia="Arial" w:cs="Arial"/>
          <w:color w:val="000000"/>
          <w:shd w:val="clear" w:color="auto" w:fill="FFFFFF"/>
        </w:rPr>
        <w:t>Pour cette consultation, seuls sont autorisés les dépôts électroniques à l'adresse suivante : https://www.marches-publics.gouv.fr/entreprise</w:t>
      </w:r>
    </w:p>
    <w:p w:rsidR="00F90710" w:rsidRDefault="005A6303">
      <w:r>
        <w:rPr>
          <w:rFonts w:eastAsia="Arial" w:cs="Arial"/>
          <w:color w:val="000000"/>
          <w:shd w:val="clear" w:color="auto" w:fill="FFFFFF"/>
        </w:rPr>
        <w:t>En application de l'article R2151-6 du Code de la commande publique, le soumissionnaire transmet son offre en une seule fois. En cas d'envois successifs, seul le dernier envoi réceptionné avant la date limite de remise des plis est admis.</w:t>
      </w:r>
    </w:p>
    <w:p w:rsidR="00F90710" w:rsidRDefault="005A6303">
      <w:r>
        <w:rPr>
          <w:rFonts w:eastAsia="Arial" w:cs="Arial"/>
          <w:color w:val="000000"/>
          <w:shd w:val="clear" w:color="auto" w:fill="FFFFFF"/>
        </w:rPr>
        <w:lastRenderedPageBreak/>
        <w:t>Chaque pli est considéré comme une offre. Dès lors, si le soumissionnaire est amené à compléter sa candidature et/ou son offre avant la date limite de remise des plis, il devra procéder à un nouvel envoi intégral comprenant l'ensemble des pièces exigées aux titres de l'offre ou de candidature.</w:t>
      </w:r>
    </w:p>
    <w:p w:rsidR="00F90710" w:rsidRDefault="005A6303">
      <w:r>
        <w:rPr>
          <w:rFonts w:eastAsia="Arial" w:cs="Arial"/>
          <w:color w:val="000000"/>
          <w:shd w:val="clear" w:color="auto" w:fill="FFFFFF"/>
        </w:rPr>
        <w:t xml:space="preserve">Les plis antérieurs seront rejetés sans être examinés. Aucun envoi papier, par télécopie ou courriel ne sera accepté. </w:t>
      </w:r>
    </w:p>
    <w:p w:rsidR="00F90710" w:rsidRDefault="005A6303">
      <w:r>
        <w:rPr>
          <w:rFonts w:eastAsia="Arial" w:cs="Arial"/>
          <w:color w:val="000000"/>
          <w:shd w:val="clear" w:color="auto" w:fill="FFFFFF"/>
        </w:rPr>
        <w:t>Chaque pli est considéré comme une offre. Dès lors, si le soumissionnaire est amené à compléter sa candidature et/ou son offre avant la date limite de remise des plis, il devra procéder à un nouvel envoi intégral comprenant l'ensemble des pièces exigées aux titres de l'offre ou de candidature.</w:t>
      </w:r>
    </w:p>
    <w:p w:rsidR="00F90710" w:rsidRDefault="005A6303">
      <w:r>
        <w:rPr>
          <w:rFonts w:eastAsia="Arial" w:cs="Arial"/>
          <w:color w:val="000000"/>
          <w:shd w:val="clear" w:color="auto" w:fill="FFFFFF"/>
        </w:rPr>
        <w:t>Les plis antérieurs seront rejetés sans être examinés.</w:t>
      </w:r>
    </w:p>
    <w:p w:rsidR="00F90710" w:rsidRDefault="00F90710"/>
    <w:p w:rsidR="00F90710" w:rsidRDefault="005A6303">
      <w:r>
        <w:rPr>
          <w:rFonts w:eastAsia="Arial" w:cs="Arial"/>
          <w:color w:val="000000"/>
          <w:shd w:val="clear" w:color="auto" w:fill="FFFFFF"/>
        </w:rPr>
        <w:t>Le dépôt électronique des plis s'effectue exclusivement sur la plate-forme "PLACE" : https://www.marches-publics.gouv.fr/entreprise</w:t>
      </w:r>
    </w:p>
    <w:p w:rsidR="00F90710" w:rsidRDefault="00F90710"/>
    <w:p w:rsidR="00F90710" w:rsidRDefault="005A6303">
      <w:r>
        <w:rPr>
          <w:rFonts w:eastAsia="Arial" w:cs="Arial"/>
          <w:color w:val="000000"/>
          <w:shd w:val="clear" w:color="auto" w:fill="FFFFFF"/>
        </w:rPr>
        <w:t>Le dépôt s'effectue uniquement en utilisant la fonctionnalité de dépôt de plis de la plate-forme. Pour ce faire :</w:t>
      </w:r>
    </w:p>
    <w:p w:rsidR="00F90710" w:rsidRDefault="005A6303">
      <w:r>
        <w:rPr>
          <w:rFonts w:eastAsia="Arial" w:cs="Arial"/>
          <w:color w:val="000000"/>
          <w:shd w:val="clear" w:color="auto" w:fill="FFFFFF"/>
        </w:rPr>
        <w:t>- Le candidat accède à la consultation avec le bouton « Accéder à cette consultation » depuis la colonne « Actions » du tableau de bord.</w:t>
      </w:r>
    </w:p>
    <w:p w:rsidR="00F90710" w:rsidRDefault="005A6303">
      <w:r>
        <w:rPr>
          <w:rFonts w:eastAsia="Arial" w:cs="Arial"/>
          <w:color w:val="000000"/>
          <w:shd w:val="clear" w:color="auto" w:fill="FFFFFF"/>
        </w:rPr>
        <w:t>- Puis, le candidat doit sélectionner l'onglet « Dépôt ».</w:t>
      </w:r>
    </w:p>
    <w:p w:rsidR="00F90710" w:rsidRDefault="00F90710"/>
    <w:p w:rsidR="00F90710" w:rsidRDefault="005A6303">
      <w:r>
        <w:rPr>
          <w:rFonts w:eastAsia="Arial" w:cs="Arial"/>
          <w:color w:val="000000"/>
          <w:shd w:val="clear" w:color="auto" w:fill="FFFFFF"/>
        </w:rPr>
        <w:t>La fonctionnalité de « Messagerie sécurisée » de PLACE ne doit pas être utilisée par le candidat pour déposer son pli. Celle-ci est réservée aux échanges et autres questions avec l'acheteur avant la date limite de remise des offres.</w:t>
      </w:r>
    </w:p>
    <w:p w:rsidR="00F90710" w:rsidRDefault="00F90710"/>
    <w:p w:rsidR="00F90710" w:rsidRDefault="005A6303">
      <w:r>
        <w:rPr>
          <w:rFonts w:eastAsia="Arial" w:cs="Arial"/>
          <w:color w:val="000000"/>
          <w:shd w:val="clear" w:color="auto" w:fill="FFFFFF"/>
        </w:rPr>
        <w:t>Les frais d'accès au réseau et de recours à la signature électronique sont à la charge de chaque candidat/soumissionnaire.</w:t>
      </w:r>
    </w:p>
    <w:p w:rsidR="00F90710" w:rsidRDefault="00F90710"/>
    <w:p w:rsidR="00F90710" w:rsidRDefault="005A6303">
      <w:r>
        <w:rPr>
          <w:rFonts w:eastAsia="Arial" w:cs="Arial"/>
          <w:color w:val="000000"/>
          <w:shd w:val="clear" w:color="auto" w:fill="FFFFFF"/>
        </w:rPr>
        <w:t>Les candidats ou les soumissionnaires trouveront dans la rubrique « aide » de PLACE plusieurs documents et informations :</w:t>
      </w:r>
    </w:p>
    <w:p w:rsidR="00F90710" w:rsidRDefault="005A6303">
      <w:r>
        <w:rPr>
          <w:rFonts w:eastAsia="Arial" w:cs="Arial"/>
          <w:color w:val="000000"/>
          <w:shd w:val="clear" w:color="auto" w:fill="FFFFFF"/>
        </w:rPr>
        <w:t xml:space="preserve">- guide utilisateur téléchargeable, précisant les conditions d'utilisations de la plate-forme des achats de l'État, notamment les </w:t>
      </w:r>
      <w:proofErr w:type="spellStart"/>
      <w:r>
        <w:rPr>
          <w:rFonts w:eastAsia="Arial" w:cs="Arial"/>
          <w:color w:val="000000"/>
          <w:shd w:val="clear" w:color="auto" w:fill="FFFFFF"/>
        </w:rPr>
        <w:t>pré-requis</w:t>
      </w:r>
      <w:proofErr w:type="spellEnd"/>
      <w:r>
        <w:rPr>
          <w:rFonts w:eastAsia="Arial" w:cs="Arial"/>
          <w:color w:val="000000"/>
          <w:shd w:val="clear" w:color="auto" w:fill="FFFFFF"/>
        </w:rPr>
        <w:t xml:space="preserve"> techniques et certificats électroniques ;</w:t>
      </w:r>
    </w:p>
    <w:p w:rsidR="00F90710" w:rsidRDefault="005A6303">
      <w:r>
        <w:rPr>
          <w:rFonts w:eastAsia="Arial" w:cs="Arial"/>
          <w:color w:val="000000"/>
          <w:shd w:val="clear" w:color="auto" w:fill="FFFFFF"/>
        </w:rPr>
        <w:t>- mode opératoire DUME pour les opérateurs ;</w:t>
      </w:r>
    </w:p>
    <w:p w:rsidR="00F90710" w:rsidRDefault="005A6303">
      <w:r>
        <w:rPr>
          <w:rFonts w:eastAsia="Arial" w:cs="Arial"/>
          <w:color w:val="000000"/>
          <w:shd w:val="clear" w:color="auto" w:fill="FFFFFF"/>
        </w:rPr>
        <w:t>- assistance téléphonique ;</w:t>
      </w:r>
    </w:p>
    <w:p w:rsidR="00F90710" w:rsidRDefault="005A6303">
      <w:r>
        <w:rPr>
          <w:rFonts w:eastAsia="Arial" w:cs="Arial"/>
          <w:color w:val="000000"/>
          <w:shd w:val="clear" w:color="auto" w:fill="FFFFFF"/>
        </w:rPr>
        <w:t>- module d'autoformation à destination des opérateurs;</w:t>
      </w:r>
    </w:p>
    <w:p w:rsidR="00F90710" w:rsidRDefault="005A6303">
      <w:r>
        <w:rPr>
          <w:rFonts w:eastAsia="Arial" w:cs="Arial"/>
          <w:color w:val="000000"/>
          <w:shd w:val="clear" w:color="auto" w:fill="FFFFFF"/>
        </w:rPr>
        <w:t>- foire aux questions ;</w:t>
      </w:r>
    </w:p>
    <w:p w:rsidR="00F90710" w:rsidRDefault="005A6303">
      <w:r>
        <w:rPr>
          <w:rFonts w:eastAsia="Arial" w:cs="Arial"/>
          <w:color w:val="000000"/>
          <w:shd w:val="clear" w:color="auto" w:fill="FFFFFF"/>
        </w:rPr>
        <w:t>- lien vers des documents de référence ;</w:t>
      </w:r>
    </w:p>
    <w:p w:rsidR="00F90710" w:rsidRDefault="005A6303">
      <w:r>
        <w:rPr>
          <w:rFonts w:eastAsia="Arial" w:cs="Arial"/>
          <w:color w:val="000000"/>
          <w:shd w:val="clear" w:color="auto" w:fill="FFFFFF"/>
        </w:rPr>
        <w:t>- outils informatiques.</w:t>
      </w:r>
    </w:p>
    <w:p w:rsidR="00F90710" w:rsidRDefault="00F90710"/>
    <w:p w:rsidR="00F90710" w:rsidRDefault="005A6303">
      <w:r>
        <w:rPr>
          <w:rFonts w:eastAsia="Arial" w:cs="Arial"/>
          <w:color w:val="000000"/>
          <w:shd w:val="clear" w:color="auto" w:fill="FFFFFF"/>
        </w:rPr>
        <w:t>Les candidats ou les soumissionnaires sont invités à tester la configuration de leur poste de travail et répondre à une consultation test, afin de s'assurer du bon fonctionnement de l'environnement informatique.</w:t>
      </w:r>
    </w:p>
    <w:p w:rsidR="00F90710" w:rsidRDefault="00F90710"/>
    <w:p w:rsidR="00F90710" w:rsidRDefault="005A6303">
      <w:r>
        <w:rPr>
          <w:rFonts w:eastAsia="Arial" w:cs="Arial"/>
          <w:color w:val="000000"/>
          <w:shd w:val="clear" w:color="auto" w:fill="FFFFFF"/>
        </w:rPr>
        <w:lastRenderedPageBreak/>
        <w:t>Ils doivent également prévoir le temps nécessaire pour que le dépôt soit effectif dans le délai fixé par l'acheteur, notamment lorsque les fichiers sont volumineux et/ou si le réseau à un faible débit. Attention, les plis dont le téléchargement a commencé avant la date et l'heure limite mais s'est achevé hors délai sont éliminés par l'acheteur.</w:t>
      </w:r>
    </w:p>
    <w:p w:rsidR="00F90710" w:rsidRDefault="00F90710"/>
    <w:p w:rsidR="00F90710" w:rsidRDefault="005A6303">
      <w:r>
        <w:rPr>
          <w:rFonts w:eastAsia="Arial" w:cs="Arial"/>
          <w:color w:val="000000"/>
          <w:shd w:val="clear" w:color="auto" w:fill="FFFFFF"/>
        </w:rPr>
        <w:t>Par ailleurs, la plate-forme déconnecte automatiquement l'utilisateur en cas d'inactivité supérieure à trente minutes.</w:t>
      </w:r>
    </w:p>
    <w:p w:rsidR="00F90710" w:rsidRDefault="00F90710"/>
    <w:p w:rsidR="00F90710" w:rsidRDefault="005A6303">
      <w:r>
        <w:rPr>
          <w:rFonts w:eastAsia="Arial" w:cs="Arial"/>
          <w:color w:val="000000"/>
          <w:shd w:val="clear" w:color="auto" w:fill="FFFFFF"/>
        </w:rPr>
        <w:t>Les candidats ou les soumissionnaires ont la possibilité de poser des questions sur les documents de la consultation.</w:t>
      </w:r>
    </w:p>
    <w:p w:rsidR="00F90710" w:rsidRDefault="00F90710"/>
    <w:p w:rsidR="00F90710" w:rsidRDefault="005A6303">
      <w:r>
        <w:rPr>
          <w:rFonts w:eastAsia="Arial" w:cs="Arial"/>
          <w:color w:val="000000"/>
          <w:shd w:val="clear" w:color="auto" w:fill="FFFFFF"/>
        </w:rPr>
        <w:t>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w:t>
      </w:r>
    </w:p>
    <w:p w:rsidR="00F90710" w:rsidRDefault="00F90710"/>
    <w:p w:rsidR="00F90710" w:rsidRDefault="005A6303">
      <w:r>
        <w:rPr>
          <w:rFonts w:eastAsia="Arial" w:cs="Arial"/>
          <w:color w:val="000000"/>
          <w:shd w:val="clear" w:color="auto" w:fill="FFFFFF"/>
        </w:rPr>
        <w:t>L'absence de message de confirmation de bonne réception ou d'accusé de réception électronique signifie que la réponse n'est pas parvenue à l'acheteur.</w:t>
      </w:r>
    </w:p>
    <w:p w:rsidR="00F90710" w:rsidRDefault="00F90710"/>
    <w:p w:rsidR="00F90710" w:rsidRDefault="005A6303">
      <w:r>
        <w:rPr>
          <w:rFonts w:eastAsia="Arial" w:cs="Arial"/>
          <w:color w:val="000000"/>
          <w:shd w:val="clear" w:color="auto" w:fill="FFFFFF"/>
        </w:rPr>
        <w:t>L'opérateur économique s'assure que les messages envoyés par la Plate-forme des achats de l'État (PLACE) notamment, nepasrepondre@marches-publics.gouv.fr, ne sont pas traités comme des courriels indésirables.</w:t>
      </w:r>
    </w:p>
    <w:p w:rsidR="00F90710" w:rsidRDefault="005A6303">
      <w:r>
        <w:rPr>
          <w:rFonts w:eastAsia="Arial" w:cs="Arial"/>
          <w:b/>
          <w:color w:val="000000"/>
          <w:u w:val="single"/>
          <w:shd w:val="clear" w:color="auto" w:fill="FFFFFF"/>
        </w:rPr>
        <w:t>Présentation des dossiers et format des fichiers</w:t>
      </w:r>
    </w:p>
    <w:p w:rsidR="00F90710" w:rsidRDefault="005A6303">
      <w:r>
        <w:rPr>
          <w:rFonts w:eastAsia="Arial" w:cs="Arial"/>
          <w:color w:val="000000"/>
          <w:shd w:val="clear" w:color="auto" w:fill="FFFFFF"/>
        </w:rPr>
        <w:t>Les formats acceptés sont les suivants : .</w:t>
      </w:r>
      <w:proofErr w:type="spellStart"/>
      <w:r>
        <w:rPr>
          <w:rFonts w:eastAsia="Arial" w:cs="Arial"/>
          <w:color w:val="000000"/>
          <w:shd w:val="clear" w:color="auto" w:fill="FFFFFF"/>
        </w:rPr>
        <w:t>pdf</w:t>
      </w:r>
      <w:proofErr w:type="spellEnd"/>
      <w:r>
        <w:rPr>
          <w:rFonts w:eastAsia="Arial" w:cs="Arial"/>
          <w:color w:val="000000"/>
          <w:shd w:val="clear" w:color="auto" w:fill="FFFFFF"/>
        </w:rPr>
        <w:t>, .doc, .</w:t>
      </w:r>
      <w:proofErr w:type="spellStart"/>
      <w:r>
        <w:rPr>
          <w:rFonts w:eastAsia="Arial" w:cs="Arial"/>
          <w:color w:val="000000"/>
          <w:shd w:val="clear" w:color="auto" w:fill="FFFFFF"/>
        </w:rPr>
        <w:t>xls</w:t>
      </w:r>
      <w:proofErr w:type="spellEnd"/>
      <w:r>
        <w:rPr>
          <w:rFonts w:eastAsia="Arial" w:cs="Arial"/>
          <w:color w:val="000000"/>
          <w:shd w:val="clear" w:color="auto" w:fill="FFFFFF"/>
        </w:rPr>
        <w:t>, .</w:t>
      </w:r>
      <w:proofErr w:type="spellStart"/>
      <w:r>
        <w:rPr>
          <w:rFonts w:eastAsia="Arial" w:cs="Arial"/>
          <w:color w:val="000000"/>
          <w:shd w:val="clear" w:color="auto" w:fill="FFFFFF"/>
        </w:rPr>
        <w:t>ppt</w:t>
      </w:r>
      <w:proofErr w:type="spellEnd"/>
      <w:proofErr w:type="gramStart"/>
      <w:r>
        <w:rPr>
          <w:rFonts w:eastAsia="Arial" w:cs="Arial"/>
          <w:color w:val="000000"/>
          <w:shd w:val="clear" w:color="auto" w:fill="FFFFFF"/>
        </w:rPr>
        <w:t>, .</w:t>
      </w:r>
      <w:proofErr w:type="spellStart"/>
      <w:r>
        <w:rPr>
          <w:rFonts w:eastAsia="Arial" w:cs="Arial"/>
          <w:color w:val="000000"/>
          <w:shd w:val="clear" w:color="auto" w:fill="FFFFFF"/>
        </w:rPr>
        <w:t>odt</w:t>
      </w:r>
      <w:proofErr w:type="spellEnd"/>
      <w:proofErr w:type="gramEnd"/>
      <w:r>
        <w:rPr>
          <w:rFonts w:eastAsia="Arial" w:cs="Arial"/>
          <w:color w:val="000000"/>
          <w:shd w:val="clear" w:color="auto" w:fill="FFFFFF"/>
        </w:rPr>
        <w:t xml:space="preserve"> , .</w:t>
      </w:r>
      <w:proofErr w:type="spellStart"/>
      <w:r>
        <w:rPr>
          <w:rFonts w:eastAsia="Arial" w:cs="Arial"/>
          <w:color w:val="000000"/>
          <w:shd w:val="clear" w:color="auto" w:fill="FFFFFF"/>
        </w:rPr>
        <w:t>ods</w:t>
      </w:r>
      <w:proofErr w:type="spellEnd"/>
      <w:r>
        <w:rPr>
          <w:rFonts w:eastAsia="Arial" w:cs="Arial"/>
          <w:color w:val="000000"/>
          <w:shd w:val="clear" w:color="auto" w:fill="FFFFFF"/>
        </w:rPr>
        <w:t>, .</w:t>
      </w:r>
      <w:proofErr w:type="spellStart"/>
      <w:r>
        <w:rPr>
          <w:rFonts w:eastAsia="Arial" w:cs="Arial"/>
          <w:color w:val="000000"/>
          <w:shd w:val="clear" w:color="auto" w:fill="FFFFFF"/>
        </w:rPr>
        <w:t>odp</w:t>
      </w:r>
      <w:proofErr w:type="spellEnd"/>
      <w:r>
        <w:rPr>
          <w:rFonts w:eastAsia="Arial" w:cs="Arial"/>
          <w:color w:val="000000"/>
          <w:shd w:val="clear" w:color="auto" w:fill="FFFFFF"/>
        </w:rPr>
        <w:t>, ainsi que les formats images .</w:t>
      </w:r>
      <w:proofErr w:type="spellStart"/>
      <w:r>
        <w:rPr>
          <w:rFonts w:eastAsia="Arial" w:cs="Arial"/>
          <w:color w:val="000000"/>
          <w:shd w:val="clear" w:color="auto" w:fill="FFFFFF"/>
        </w:rPr>
        <w:t>jpg</w:t>
      </w:r>
      <w:proofErr w:type="spellEnd"/>
      <w:r>
        <w:rPr>
          <w:rFonts w:eastAsia="Arial" w:cs="Arial"/>
          <w:color w:val="000000"/>
          <w:shd w:val="clear" w:color="auto" w:fill="FFFFFF"/>
        </w:rPr>
        <w:t>, .</w:t>
      </w:r>
      <w:proofErr w:type="spellStart"/>
      <w:r>
        <w:rPr>
          <w:rFonts w:eastAsia="Arial" w:cs="Arial"/>
          <w:color w:val="000000"/>
          <w:shd w:val="clear" w:color="auto" w:fill="FFFFFF"/>
        </w:rPr>
        <w:t>png</w:t>
      </w:r>
      <w:proofErr w:type="spellEnd"/>
      <w:r>
        <w:rPr>
          <w:rFonts w:eastAsia="Arial" w:cs="Arial"/>
          <w:color w:val="000000"/>
          <w:shd w:val="clear" w:color="auto" w:fill="FFFFFF"/>
        </w:rPr>
        <w:t xml:space="preserve"> et les documents au format .html.</w:t>
      </w:r>
    </w:p>
    <w:p w:rsidR="00F90710" w:rsidRDefault="005A6303">
      <w:r>
        <w:rPr>
          <w:rFonts w:eastAsia="Arial" w:cs="Arial"/>
          <w:color w:val="000000"/>
          <w:shd w:val="clear" w:color="auto" w:fill="FFFFFF"/>
        </w:rPr>
        <w:t>Le candidat ou le soumissionnaire ne doit pas utiliser de code actif dans sa réponse, tels que :</w:t>
      </w:r>
    </w:p>
    <w:p w:rsidR="00F90710" w:rsidRDefault="005A6303">
      <w:r>
        <w:rPr>
          <w:rFonts w:eastAsia="Arial" w:cs="Arial"/>
          <w:color w:val="000000"/>
          <w:shd w:val="clear" w:color="auto" w:fill="FFFFFF"/>
        </w:rPr>
        <w:t>- Formats exécutables, notamment : .</w:t>
      </w:r>
      <w:proofErr w:type="spellStart"/>
      <w:r>
        <w:rPr>
          <w:rFonts w:eastAsia="Arial" w:cs="Arial"/>
          <w:color w:val="000000"/>
          <w:shd w:val="clear" w:color="auto" w:fill="FFFFFF"/>
        </w:rPr>
        <w:t>exe</w:t>
      </w:r>
      <w:proofErr w:type="spellEnd"/>
      <w:r>
        <w:rPr>
          <w:rFonts w:eastAsia="Arial" w:cs="Arial"/>
          <w:color w:val="000000"/>
          <w:shd w:val="clear" w:color="auto" w:fill="FFFFFF"/>
        </w:rPr>
        <w:t>, .com, .</w:t>
      </w:r>
      <w:proofErr w:type="spellStart"/>
      <w:r>
        <w:rPr>
          <w:rFonts w:eastAsia="Arial" w:cs="Arial"/>
          <w:color w:val="000000"/>
          <w:shd w:val="clear" w:color="auto" w:fill="FFFFFF"/>
        </w:rPr>
        <w:t>scr</w:t>
      </w:r>
      <w:proofErr w:type="spellEnd"/>
    </w:p>
    <w:p w:rsidR="00F90710" w:rsidRDefault="005A6303">
      <w:r>
        <w:rPr>
          <w:rFonts w:eastAsia="Arial" w:cs="Arial"/>
          <w:color w:val="000000"/>
          <w:shd w:val="clear" w:color="auto" w:fill="FFFFFF"/>
        </w:rPr>
        <w:t>- Macros ;</w:t>
      </w:r>
    </w:p>
    <w:p w:rsidR="00F90710" w:rsidRDefault="005A6303">
      <w:r>
        <w:rPr>
          <w:rFonts w:eastAsia="Arial" w:cs="Arial"/>
          <w:color w:val="000000"/>
          <w:shd w:val="clear" w:color="auto" w:fill="FFFFFF"/>
        </w:rPr>
        <w:t>- ActiveX, Applets, scripts</w:t>
      </w:r>
    </w:p>
    <w:p w:rsidR="00F90710" w:rsidRDefault="00F90710"/>
    <w:p w:rsidR="00F90710" w:rsidRDefault="005A6303">
      <w:r>
        <w:rPr>
          <w:rFonts w:eastAsia="Arial" w:cs="Arial"/>
          <w:color w:val="000000"/>
          <w:shd w:val="clear" w:color="auto" w:fill="FFFFFF"/>
        </w:rPr>
        <w:t>La taille de chaque fichier déposé par les entreprises ne peut excéder 1 Go.</w:t>
      </w:r>
    </w:p>
    <w:p w:rsidR="00F90710" w:rsidRDefault="005A6303">
      <w:r>
        <w:rPr>
          <w:rFonts w:eastAsia="Arial" w:cs="Arial"/>
          <w:b/>
          <w:color w:val="000000"/>
          <w:u w:val="single"/>
          <w:shd w:val="clear" w:color="auto" w:fill="FFFFFF"/>
        </w:rPr>
        <w:t>Horodatage</w:t>
      </w:r>
    </w:p>
    <w:p w:rsidR="00F90710" w:rsidRDefault="005A6303">
      <w:r>
        <w:rPr>
          <w:rFonts w:eastAsia="Arial" w:cs="Arial"/>
          <w:color w:val="000000"/>
          <w:shd w:val="clear" w:color="auto" w:fill="FFFFFF"/>
        </w:rPr>
        <w:t xml:space="preserve">Les plis (candidatures et/ou offres) transmis par voie électronique sont horodatés. Les plis reçus après la date et l'heure limite fixées par la présente consultation sont considérés comme hors délai et sont rejetés. </w:t>
      </w:r>
    </w:p>
    <w:p w:rsidR="00F90710" w:rsidRDefault="005A6303">
      <w:r>
        <w:rPr>
          <w:rFonts w:eastAsia="Arial" w:cs="Arial"/>
          <w:color w:val="000000"/>
          <w:shd w:val="clear" w:color="auto" w:fill="FFFFFF"/>
        </w:rPr>
        <w:t>En cas d'indisponibilité de la plate-forme, la date et l'heure limite de remise des plis peuvent être modifiées.</w:t>
      </w:r>
    </w:p>
    <w:p w:rsidR="00F90710" w:rsidRDefault="005A6303">
      <w:r>
        <w:rPr>
          <w:rFonts w:eastAsia="Arial" w:cs="Arial"/>
          <w:b/>
          <w:color w:val="000000"/>
          <w:u w:val="single"/>
          <w:shd w:val="clear" w:color="auto" w:fill="FFFFFF"/>
        </w:rPr>
        <w:t>Copie de sauvegarde papier / physique électronique</w:t>
      </w:r>
    </w:p>
    <w:p w:rsidR="00F90710" w:rsidRDefault="00F90710"/>
    <w:p w:rsidR="00F90710" w:rsidRDefault="005A6303">
      <w:r>
        <w:rPr>
          <w:rFonts w:eastAsia="Arial" w:cs="Arial"/>
          <w:color w:val="000000"/>
          <w:shd w:val="clear" w:color="auto" w:fill="FFFFFF"/>
        </w:rPr>
        <w:t>Le candidat ou le soumissionnaire peut faire parvenir une copie de sauvegarde dans les délais impartis pour la remise des candidatures ou des offres.</w:t>
      </w:r>
    </w:p>
    <w:p w:rsidR="00F90710" w:rsidRDefault="00F90710"/>
    <w:p w:rsidR="00F90710" w:rsidRDefault="005A6303">
      <w:r>
        <w:rPr>
          <w:rFonts w:eastAsia="Arial" w:cs="Arial"/>
          <w:color w:val="000000"/>
          <w:shd w:val="clear" w:color="auto" w:fill="FFFFFF"/>
        </w:rPr>
        <w:lastRenderedPageBreak/>
        <w:t>Cette copie de sauvegarde, transmise à l'acheteur sur support papier ou sur support physique électronique doit être placée dans un pli comportant les mentions suivantes :</w:t>
      </w:r>
    </w:p>
    <w:p w:rsidR="00F90710" w:rsidRDefault="005A6303">
      <w:r>
        <w:rPr>
          <w:rFonts w:eastAsia="Arial" w:cs="Arial"/>
          <w:color w:val="000000"/>
          <w:shd w:val="clear" w:color="auto" w:fill="FFFFFF"/>
        </w:rPr>
        <w:t>- « Copie de sauvegarde » ;</w:t>
      </w:r>
    </w:p>
    <w:p w:rsidR="00F90710" w:rsidRDefault="005A6303">
      <w:r>
        <w:rPr>
          <w:rFonts w:eastAsia="Arial" w:cs="Arial"/>
          <w:color w:val="000000"/>
          <w:shd w:val="clear" w:color="auto" w:fill="FFFFFF"/>
        </w:rPr>
        <w:t>- Intitulé de la consultation ;</w:t>
      </w:r>
    </w:p>
    <w:p w:rsidR="00F90710" w:rsidRDefault="005A6303">
      <w:r>
        <w:rPr>
          <w:rFonts w:eastAsia="Arial" w:cs="Arial"/>
          <w:color w:val="000000"/>
          <w:shd w:val="clear" w:color="auto" w:fill="FFFFFF"/>
        </w:rPr>
        <w:t>- Nom ou dénomination du candidat.</w:t>
      </w:r>
    </w:p>
    <w:p w:rsidR="00F90710" w:rsidRDefault="00F90710"/>
    <w:p w:rsidR="00F90710" w:rsidRDefault="005A6303">
      <w:r>
        <w:rPr>
          <w:rFonts w:eastAsia="Arial" w:cs="Arial"/>
          <w:color w:val="000000"/>
          <w:shd w:val="clear" w:color="auto" w:fill="FFFFFF"/>
        </w:rPr>
        <w:t>La copie de sauvegarde ne peut être ouverte que dans les deux cas suivants :</w:t>
      </w:r>
    </w:p>
    <w:p w:rsidR="00F90710" w:rsidRDefault="005A6303">
      <w:r>
        <w:rPr>
          <w:rFonts w:eastAsia="Arial" w:cs="Arial"/>
          <w:color w:val="000000"/>
          <w:shd w:val="clear" w:color="auto" w:fill="FFFFFF"/>
        </w:rPr>
        <w:t>- en cas de détection d'un programme informatique malveillant dans les candidatures ou les offres transmises par voie électronique ;</w:t>
      </w:r>
    </w:p>
    <w:p w:rsidR="00F90710" w:rsidRDefault="005A6303">
      <w:r>
        <w:rPr>
          <w:rFonts w:eastAsia="Arial" w:cs="Arial"/>
          <w:color w:val="000000"/>
          <w:shd w:val="clear" w:color="auto" w:fill="FFFFFF"/>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rsidR="00F90710" w:rsidRDefault="00F90710"/>
    <w:p w:rsidR="00F90710" w:rsidRDefault="005A6303">
      <w:r>
        <w:rPr>
          <w:rFonts w:eastAsia="Arial" w:cs="Arial"/>
          <w:color w:val="000000"/>
          <w:shd w:val="clear" w:color="auto" w:fill="FFFFFF"/>
        </w:rPr>
        <w:t>Si un programme informatique malveillant est détecté, la copie de sauvegarde est écartée par l'acheteur.</w:t>
      </w:r>
    </w:p>
    <w:p w:rsidR="00F90710" w:rsidRDefault="00F90710"/>
    <w:p w:rsidR="00F90710" w:rsidRDefault="005A6303">
      <w:r>
        <w:rPr>
          <w:rFonts w:eastAsia="Arial" w:cs="Arial"/>
          <w:color w:val="000000"/>
          <w:shd w:val="clear" w:color="auto" w:fill="FFFFFF"/>
        </w:rPr>
        <w:t>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w:t>
      </w:r>
    </w:p>
    <w:p w:rsidR="00F90710" w:rsidRDefault="005A6303">
      <w:pPr>
        <w:rPr>
          <w:rFonts w:eastAsia="Arial" w:cs="Arial"/>
          <w:color w:val="000000"/>
          <w:szCs w:val="20"/>
        </w:rPr>
      </w:pPr>
      <w:r>
        <w:rPr>
          <w:rFonts w:eastAsia="Arial" w:cs="Arial"/>
          <w:color w:val="000000"/>
          <w:shd w:val="clear" w:color="auto" w:fill="FFFFFF"/>
        </w:rPr>
        <w:t xml:space="preserve">Le candidat ou le soumissionnaire qui envoie ou dépose sa copie de sauvegarde en main propre contre récépissé, le fait à l'adresse suivante : </w:t>
      </w:r>
    </w:p>
    <w:p w:rsidR="00F90710" w:rsidRDefault="005A6303">
      <w:pPr>
        <w:rPr>
          <w:rFonts w:eastAsia="Arial" w:cs="Arial"/>
          <w:color w:val="000000"/>
          <w:szCs w:val="20"/>
        </w:rPr>
      </w:pPr>
      <w:r>
        <w:rPr>
          <w:rFonts w:eastAsia="Arial" w:cs="Arial"/>
          <w:color w:val="000000"/>
          <w:shd w:val="clear" w:color="auto" w:fill="FFFFFF"/>
        </w:rPr>
        <w:t xml:space="preserve">CHU de </w:t>
      </w:r>
      <w:proofErr w:type="spellStart"/>
      <w:r>
        <w:rPr>
          <w:rFonts w:eastAsia="Arial" w:cs="Arial"/>
          <w:color w:val="000000"/>
          <w:shd w:val="clear" w:color="auto" w:fill="FFFFFF"/>
        </w:rPr>
        <w:t>Clermont-ferrand</w:t>
      </w:r>
      <w:proofErr w:type="spellEnd"/>
    </w:p>
    <w:p w:rsidR="00F90710" w:rsidRDefault="005A6303">
      <w:pPr>
        <w:rPr>
          <w:rFonts w:eastAsia="Arial" w:cs="Arial"/>
          <w:color w:val="000000"/>
          <w:szCs w:val="20"/>
        </w:rPr>
      </w:pPr>
      <w:r>
        <w:rPr>
          <w:rFonts w:eastAsia="Arial" w:cs="Arial"/>
          <w:color w:val="000000"/>
          <w:shd w:val="clear" w:color="auto" w:fill="FFFFFF"/>
        </w:rPr>
        <w:t>Direction des Achats et des Logistiques</w:t>
      </w:r>
    </w:p>
    <w:p w:rsidR="00F90710" w:rsidRDefault="005A6303">
      <w:pPr>
        <w:rPr>
          <w:rFonts w:eastAsia="Arial" w:cs="Arial"/>
          <w:color w:val="000000"/>
          <w:szCs w:val="20"/>
        </w:rPr>
      </w:pPr>
      <w:r>
        <w:rPr>
          <w:rFonts w:eastAsia="Arial" w:cs="Arial"/>
          <w:color w:val="000000"/>
          <w:shd w:val="clear" w:color="auto" w:fill="FFFFFF"/>
        </w:rPr>
        <w:t>Bureau des marchés</w:t>
      </w:r>
    </w:p>
    <w:p w:rsidR="00F90710" w:rsidRDefault="005A6303">
      <w:pPr>
        <w:rPr>
          <w:rFonts w:eastAsia="Arial" w:cs="Arial"/>
          <w:color w:val="000000"/>
          <w:szCs w:val="20"/>
        </w:rPr>
      </w:pPr>
      <w:r>
        <w:rPr>
          <w:rFonts w:eastAsia="Arial" w:cs="Arial"/>
          <w:color w:val="000000"/>
          <w:shd w:val="clear" w:color="auto" w:fill="FFFFFF"/>
        </w:rPr>
        <w:t>UCP / CAL</w:t>
      </w:r>
    </w:p>
    <w:p w:rsidR="00F90710" w:rsidRDefault="005A6303">
      <w:pPr>
        <w:rPr>
          <w:rFonts w:eastAsia="Arial" w:cs="Arial"/>
          <w:color w:val="000000"/>
          <w:szCs w:val="20"/>
        </w:rPr>
      </w:pPr>
      <w:r>
        <w:rPr>
          <w:rFonts w:eastAsia="Arial" w:cs="Arial"/>
          <w:color w:val="000000"/>
          <w:shd w:val="clear" w:color="auto" w:fill="FFFFFF"/>
        </w:rPr>
        <w:t>58 rue Montalembert</w:t>
      </w:r>
    </w:p>
    <w:p w:rsidR="00F90710" w:rsidRDefault="005A6303">
      <w:pPr>
        <w:rPr>
          <w:rFonts w:eastAsia="Arial" w:cs="Arial"/>
          <w:color w:val="000000"/>
          <w:szCs w:val="20"/>
        </w:rPr>
      </w:pPr>
      <w:r>
        <w:rPr>
          <w:rFonts w:eastAsia="Arial" w:cs="Arial"/>
          <w:color w:val="000000"/>
          <w:shd w:val="clear" w:color="auto" w:fill="FFFFFF"/>
        </w:rPr>
        <w:t xml:space="preserve">63000 </w:t>
      </w:r>
      <w:proofErr w:type="spellStart"/>
      <w:r>
        <w:rPr>
          <w:rFonts w:eastAsia="Arial" w:cs="Arial"/>
          <w:color w:val="000000"/>
          <w:shd w:val="clear" w:color="auto" w:fill="FFFFFF"/>
        </w:rPr>
        <w:t>Clermont-ferrand</w:t>
      </w:r>
      <w:proofErr w:type="spellEnd"/>
    </w:p>
    <w:p w:rsidR="00F90710" w:rsidRDefault="00F90710">
      <w:pPr>
        <w:rPr>
          <w:rFonts w:eastAsia="Arial" w:cs="Arial"/>
          <w:color w:val="000000"/>
          <w:szCs w:val="20"/>
        </w:rPr>
      </w:pPr>
    </w:p>
    <w:p w:rsidR="00F90710" w:rsidRDefault="005A6303">
      <w:r>
        <w:rPr>
          <w:shd w:val="clear" w:color="auto" w:fill="FFFFFF"/>
        </w:rPr>
        <w:t>    </w:t>
      </w:r>
    </w:p>
    <w:p w:rsidR="00F90710" w:rsidRDefault="005A6303">
      <w:r>
        <w:rPr>
          <w:rFonts w:eastAsia="Arial" w:cs="Arial"/>
          <w:b/>
          <w:color w:val="000000"/>
          <w:u w:val="single"/>
          <w:shd w:val="clear" w:color="auto" w:fill="FFFFFF"/>
        </w:rPr>
        <w:t>Antivirus</w:t>
      </w:r>
    </w:p>
    <w:p w:rsidR="00F90710" w:rsidRDefault="005A6303">
      <w:r>
        <w:rPr>
          <w:rFonts w:eastAsia="Arial" w:cs="Arial"/>
          <w:color w:val="000000"/>
          <w:shd w:val="clear" w:color="auto" w:fill="FFFFFF"/>
        </w:rPr>
        <w:t>Le candidat ou le soumissionnaire doit s'assurer que les fichiers transmis ne comportent pas de virus.</w:t>
      </w:r>
    </w:p>
    <w:p w:rsidR="00F90710" w:rsidRDefault="005A6303">
      <w:r>
        <w:rPr>
          <w:rFonts w:eastAsia="Arial" w:cs="Arial"/>
          <w:color w:val="000000"/>
          <w:shd w:val="clear" w:color="auto" w:fill="FFFFFF"/>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rsidR="00F90710" w:rsidRDefault="005A6303" w:rsidP="00756CDE">
      <w:pPr>
        <w:pStyle w:val="Titre2"/>
        <w:numPr>
          <w:ilvl w:val="1"/>
          <w:numId w:val="15"/>
        </w:numPr>
      </w:pPr>
      <w:r>
        <w:t xml:space="preserve"> Echanges électroniques relatifs à cette consultation </w:t>
      </w:r>
    </w:p>
    <w:p w:rsidR="00F90710" w:rsidRDefault="005A6303" w:rsidP="00756CDE">
      <w:pPr>
        <w:pStyle w:val="Titre3"/>
        <w:numPr>
          <w:ilvl w:val="2"/>
          <w:numId w:val="15"/>
        </w:numPr>
      </w:pPr>
      <w:r>
        <w:t>Date et heure de réception des plis</w:t>
      </w:r>
    </w:p>
    <w:p w:rsidR="00F90710" w:rsidRDefault="005A6303">
      <w:r>
        <w:rPr>
          <w:rFonts w:eastAsia="Arial" w:cs="Arial"/>
          <w:color w:val="000000"/>
          <w:shd w:val="clear" w:color="auto" w:fill="FFFFFF"/>
        </w:rPr>
        <w:t xml:space="preserve">Les plis devront être transmis au plus tard le 13/10/2025 12:00 </w:t>
      </w:r>
    </w:p>
    <w:p w:rsidR="00F90710" w:rsidRDefault="005A6303">
      <w:r>
        <w:rPr>
          <w:rFonts w:eastAsia="Arial" w:cs="Arial"/>
          <w:color w:val="000000"/>
          <w:shd w:val="clear" w:color="auto" w:fill="FFFFFF"/>
        </w:rPr>
        <w:lastRenderedPageBreak/>
        <w:t>Seuls peuvent être ouverts les plis qui ont été reçus au plus tard à la date et à l'heure limites mentionnées ci-dessus. Les plis qui sont reçus ou remis après ces date et heure ne sont pas ouverts.</w:t>
      </w:r>
    </w:p>
    <w:p w:rsidR="00F90710" w:rsidRDefault="005A6303">
      <w:r>
        <w:rPr>
          <w:rFonts w:eastAsia="Arial" w:cs="Arial"/>
          <w:color w:val="000000"/>
          <w:shd w:val="clear" w:color="auto" w:fill="FFFFFF"/>
        </w:rPr>
        <w:t>Les plis et la "copie de sauvegarde" parvenus hors délai sont inscrits au registre des dépôts et sont rejetés.</w:t>
      </w:r>
    </w:p>
    <w:p w:rsidR="00F90710" w:rsidRDefault="005A6303" w:rsidP="00756CDE">
      <w:pPr>
        <w:pStyle w:val="Titre3"/>
        <w:numPr>
          <w:ilvl w:val="2"/>
          <w:numId w:val="15"/>
        </w:numPr>
      </w:pPr>
      <w:r>
        <w:t>Demandes de renseignements complémentaires et questions</w:t>
      </w:r>
    </w:p>
    <w:p w:rsidR="00F90710" w:rsidRDefault="005A6303">
      <w:pPr>
        <w:jc w:val="left"/>
      </w:pPr>
      <w:r>
        <w:rPr>
          <w:rFonts w:eastAsia="Arial" w:cs="Arial"/>
          <w:color w:val="000000"/>
          <w:shd w:val="clear" w:color="auto" w:fill="FFFFFF"/>
        </w:rPr>
        <w:t>Pendant la phase de consultation, les candidats peuvent faire parvenir leurs questions et les demandes de renseignements complémentaires sur la plate-forme des achats de l'Etat (PLACE) : https://www.marches-publics.gouv.fr.</w:t>
      </w:r>
    </w:p>
    <w:p w:rsidR="00F90710" w:rsidRDefault="005A6303">
      <w:r>
        <w:rPr>
          <w:rFonts w:eastAsia="Arial" w:cs="Arial"/>
          <w:color w:val="000000"/>
          <w:shd w:val="clear" w:color="auto" w:fill="FFFFFF"/>
        </w:rPr>
        <w:t>Les réponses aux demandes de renseignements complémentaires reçues en temps utile (</w:t>
      </w:r>
      <w:r>
        <w:rPr>
          <w:rFonts w:eastAsia="Arial" w:cs="Arial"/>
          <w:b/>
          <w:color w:val="000000"/>
          <w:shd w:val="clear" w:color="auto" w:fill="FFFFFF"/>
        </w:rPr>
        <w:t>au plus tard 8 jours avant la date de réception des offres</w:t>
      </w:r>
      <w:r>
        <w:rPr>
          <w:rFonts w:eastAsia="Arial" w:cs="Arial"/>
          <w:color w:val="000000"/>
          <w:shd w:val="clear" w:color="auto" w:fill="FFFFFF"/>
        </w:rPr>
        <w:t>) sont transmises aux opérateurs économiques au plus tard 6 jours avant la date limite de réception des offres</w:t>
      </w:r>
    </w:p>
    <w:p w:rsidR="00F90710" w:rsidRDefault="005A6303" w:rsidP="00756CDE">
      <w:pPr>
        <w:pStyle w:val="Titre3"/>
        <w:numPr>
          <w:ilvl w:val="2"/>
          <w:numId w:val="15"/>
        </w:numPr>
      </w:pPr>
      <w:r>
        <w:t>Modification des documents de la consultation</w:t>
      </w:r>
    </w:p>
    <w:p w:rsidR="00F90710" w:rsidRDefault="005A6303">
      <w:r>
        <w:rPr>
          <w:rFonts w:eastAsia="Arial" w:cs="Arial"/>
          <w:color w:val="000000"/>
          <w:shd w:val="clear" w:color="auto" w:fill="FFFFFF"/>
        </w:rPr>
        <w:t xml:space="preserve">Des modifications peuvent être apportées aux documents de la consultation au plus tard </w:t>
      </w:r>
      <w:r>
        <w:rPr>
          <w:rFonts w:eastAsia="Arial" w:cs="Arial"/>
          <w:b/>
          <w:color w:val="000000"/>
          <w:shd w:val="clear" w:color="auto" w:fill="FFFFFF"/>
        </w:rPr>
        <w:t>10 jours</w:t>
      </w:r>
      <w:r>
        <w:rPr>
          <w:rFonts w:eastAsia="Arial" w:cs="Arial"/>
          <w:color w:val="000000"/>
          <w:shd w:val="clear" w:color="auto" w:fill="FFFFFF"/>
        </w:rPr>
        <w:t xml:space="preserve"> avant la date limite de réception des offres.</w:t>
      </w:r>
    </w:p>
    <w:p w:rsidR="00F90710" w:rsidRDefault="005A6303">
      <w:r>
        <w:rPr>
          <w:rFonts w:eastAsia="Arial" w:cs="Arial"/>
          <w:color w:val="000000"/>
          <w:shd w:val="clear" w:color="auto" w:fill="FFFFFF"/>
        </w:rPr>
        <w:t xml:space="preserve">Les modifications sont communiquées aux seuls opérateurs économiques dûment identifiés lors du </w:t>
      </w:r>
      <w:proofErr w:type="gramStart"/>
      <w:r>
        <w:rPr>
          <w:rFonts w:eastAsia="Arial" w:cs="Arial"/>
          <w:color w:val="000000"/>
          <w:shd w:val="clear" w:color="auto" w:fill="FFFFFF"/>
        </w:rPr>
        <w:t>retrait  des</w:t>
      </w:r>
      <w:proofErr w:type="gramEnd"/>
      <w:r>
        <w:rPr>
          <w:rFonts w:eastAsia="Arial" w:cs="Arial"/>
          <w:color w:val="000000"/>
          <w:shd w:val="clear" w:color="auto" w:fill="FFFFFF"/>
        </w:rPr>
        <w:t xml:space="preserve"> documents de la consultation.</w:t>
      </w:r>
    </w:p>
    <w:p w:rsidR="00F90710" w:rsidRDefault="00F90710"/>
    <w:p w:rsidR="00F90710" w:rsidRDefault="005A6303">
      <w:r>
        <w:rPr>
          <w:rFonts w:eastAsia="Arial" w:cs="Arial"/>
          <w:color w:val="000000"/>
          <w:shd w:val="clear" w:color="auto" w:fill="FFFFFF"/>
        </w:rPr>
        <w:t>Les candidats devront répondre sur la base du dernier dossier modifié. Dans le cas où un candidat aurait remis une offre avant les modifications, il pourra en remettre une nouvelle sur la base du dernier dossier modifié, avant la date et heure limites de dépôt des offres.</w:t>
      </w:r>
    </w:p>
    <w:p w:rsidR="00F90710" w:rsidRDefault="005A6303" w:rsidP="00756CDE">
      <w:pPr>
        <w:pStyle w:val="Titre3"/>
        <w:numPr>
          <w:ilvl w:val="2"/>
          <w:numId w:val="15"/>
        </w:numPr>
      </w:pPr>
      <w:r>
        <w:t>Prolongation du délai de réception des offres</w:t>
      </w:r>
    </w:p>
    <w:p w:rsidR="00F90710" w:rsidRDefault="005A6303">
      <w:r>
        <w:rPr>
          <w:rFonts w:eastAsia="Arial" w:cs="Arial"/>
          <w:color w:val="000000"/>
          <w:shd w:val="clear" w:color="auto" w:fill="FFFFFF"/>
        </w:rPr>
        <w:t>Lorsqu'une réponse nécessaire à l'élaboration de l'offre n'est pas fournie 6 jours avant la date limite de réception des offres, ou en en cas de modifications importantes des documents de la consultation, le délai de réception des offres est reporté proportionnellement à l'importance des modifications apportées et dans les conditions prévues à l'article R.2151-4 du code de la commande publique.</w:t>
      </w:r>
    </w:p>
    <w:p w:rsidR="00F90710" w:rsidRDefault="005A6303" w:rsidP="00756CDE">
      <w:pPr>
        <w:pStyle w:val="Titre2"/>
        <w:numPr>
          <w:ilvl w:val="1"/>
          <w:numId w:val="15"/>
        </w:numPr>
      </w:pPr>
      <w:r>
        <w:t>Visite sur site</w:t>
      </w:r>
    </w:p>
    <w:p w:rsidR="00F90710" w:rsidRDefault="005A6303">
      <w:r>
        <w:rPr>
          <w:rFonts w:eastAsia="Arial" w:cs="Arial"/>
          <w:color w:val="000000"/>
          <w:shd w:val="clear" w:color="auto" w:fill="FFFFFF"/>
        </w:rPr>
        <w:t>Sans objet</w:t>
      </w:r>
    </w:p>
    <w:p w:rsidR="00F90710" w:rsidRDefault="005A6303" w:rsidP="00756CDE">
      <w:pPr>
        <w:pStyle w:val="Titre1"/>
        <w:numPr>
          <w:ilvl w:val="0"/>
          <w:numId w:val="15"/>
        </w:numPr>
      </w:pPr>
      <w:bookmarkStart w:id="7" w:name="_Toc6"/>
      <w:r>
        <w:t>CANDIDATURE</w:t>
      </w:r>
      <w:bookmarkEnd w:id="7"/>
    </w:p>
    <w:p w:rsidR="00F90710" w:rsidRDefault="005A6303" w:rsidP="00756CDE">
      <w:pPr>
        <w:pStyle w:val="Titre2"/>
        <w:numPr>
          <w:ilvl w:val="1"/>
          <w:numId w:val="15"/>
        </w:numPr>
      </w:pPr>
      <w:r>
        <w:t>Précisions concernant les groupements d'opérateurs économiques et la sous-traitance</w:t>
      </w:r>
    </w:p>
    <w:p w:rsidR="00F90710" w:rsidRDefault="005A6303">
      <w:r>
        <w:rPr>
          <w:rFonts w:eastAsia="Arial" w:cs="Arial"/>
          <w:color w:val="000000"/>
          <w:shd w:val="clear" w:color="auto" w:fill="FFFFFF"/>
        </w:rPr>
        <w:t>Un service de bourse à la cotraitance est proposé sur le portail « entreprises » du profil d'acheteur de l'Etat (Plateforme des achats de l'Etat : PLACE) utilisé par les ministères et les établissements publics d'Etat. Ce service entend faciliter les contacts des entreprises entre elles qui souhaitent répondre à des marchés publics de manière groupée sous la forme d'un groupement d'opérateurs économiques.</w:t>
      </w:r>
    </w:p>
    <w:p w:rsidR="00F90710" w:rsidRDefault="005A6303">
      <w:r>
        <w:rPr>
          <w:rFonts w:eastAsia="Arial" w:cs="Arial"/>
          <w:color w:val="000000"/>
          <w:shd w:val="clear" w:color="auto" w:fill="FFFFFF"/>
        </w:rPr>
        <w:t>Des fiches explicatives et le mode d'emploi de ce service sont disponibles aux adresses suivantes :</w:t>
      </w:r>
    </w:p>
    <w:p w:rsidR="00F90710" w:rsidRDefault="005A6303">
      <w:r>
        <w:rPr>
          <w:rFonts w:eastAsia="Arial" w:cs="Arial"/>
          <w:color w:val="000000"/>
          <w:shd w:val="clear" w:color="auto" w:fill="FFFFFF"/>
        </w:rPr>
        <w:t>https://www.marches-publics.gouv.fr/docs/outils-esr-2017/place/Bourse_cotraitance_mode_emploi6.pdf</w:t>
      </w:r>
    </w:p>
    <w:p w:rsidR="00F90710" w:rsidRDefault="005A6303">
      <w:proofErr w:type="gramStart"/>
      <w:r>
        <w:rPr>
          <w:rFonts w:eastAsia="Arial" w:cs="Arial"/>
          <w:color w:val="000000"/>
          <w:shd w:val="clear" w:color="auto" w:fill="FFFFFF"/>
        </w:rPr>
        <w:lastRenderedPageBreak/>
        <w:t xml:space="preserve">https://www.economie.gouv.fr/dae/bourse-a-cotraitance-service-pour-aider-entreprises </w:t>
      </w:r>
      <w:r>
        <w:rPr>
          <w:rFonts w:eastAsia="Arial" w:cs="Arial"/>
          <w:b/>
          <w:color w:val="000000"/>
          <w:shd w:val="clear" w:color="auto" w:fill="FFFFFF"/>
        </w:rPr>
        <w:t>)</w:t>
      </w:r>
      <w:proofErr w:type="gramEnd"/>
    </w:p>
    <w:p w:rsidR="00F90710" w:rsidRDefault="005A6303">
      <w:r>
        <w:rPr>
          <w:rFonts w:eastAsia="Arial" w:cs="Arial"/>
          <w:color w:val="000000"/>
          <w:shd w:val="clear" w:color="auto" w:fill="FFFFFF"/>
        </w:rPr>
        <w:t>La forme du groupement n'est pas imposée.</w:t>
      </w:r>
    </w:p>
    <w:p w:rsidR="00F90710" w:rsidRDefault="00F90710"/>
    <w:p w:rsidR="00F90710" w:rsidRDefault="005A6303">
      <w:r>
        <w:rPr>
          <w:rFonts w:eastAsia="Arial" w:cs="Arial"/>
          <w:color w:val="000000"/>
          <w:shd w:val="clear" w:color="auto" w:fill="FFFFFF"/>
        </w:rPr>
        <w:t>En cas de groupement conjoint, le mandataire est solidaire pour l'exécution du marché de chacun des membres du groupement pour ses obligations contractuelles à l'égard de l'acheteur.</w:t>
      </w:r>
    </w:p>
    <w:p w:rsidR="00F90710" w:rsidRDefault="005A6303">
      <w:r>
        <w:rPr>
          <w:rFonts w:eastAsia="Arial" w:cs="Arial"/>
          <w:color w:val="000000"/>
          <w:shd w:val="clear" w:color="auto" w:fill="FFFFFF"/>
        </w:rPr>
        <w:t>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disponible à l'adresse suivante : https://www.economie.gouv.fr/daj/formulaires-declaration-du-candidat</w:t>
      </w:r>
    </w:p>
    <w:p w:rsidR="00F90710" w:rsidRDefault="005A6303" w:rsidP="00756CDE">
      <w:pPr>
        <w:pStyle w:val="Titre2"/>
        <w:numPr>
          <w:ilvl w:val="1"/>
          <w:numId w:val="15"/>
        </w:numPr>
      </w:pPr>
      <w:r>
        <w:t>Motifs d'exclusion</w:t>
      </w:r>
    </w:p>
    <w:p w:rsidR="00F90710" w:rsidRDefault="005A6303">
      <w:r>
        <w:rPr>
          <w:rFonts w:eastAsia="Arial" w:cs="Arial"/>
          <w:color w:val="000000"/>
          <w:shd w:val="clear" w:color="auto" w:fill="FFFFFF"/>
        </w:rPr>
        <w:t>Conformément aux dispositions du code de la commande publique relatives aux exclusions de plein droit et aux exclusions à l'appréciation de l'acheteur, les personnes se trouvant dans un des cas d'exclusion sont exclues de la procédure.</w:t>
      </w:r>
    </w:p>
    <w:p w:rsidR="00F90710" w:rsidRDefault="00F90710"/>
    <w:p w:rsidR="00F90710" w:rsidRDefault="005A6303">
      <w:r>
        <w:rPr>
          <w:rFonts w:eastAsia="Arial" w:cs="Arial"/>
          <w:color w:val="000000"/>
          <w:shd w:val="clear" w:color="auto" w:fill="FFFFFF"/>
        </w:rPr>
        <w:t>Lorsqu'un opérateur économique se trouve, en cours de procédure, en situation d'exclusion, il en informe sans délai l'acheteur qui l'exclut pour ce motif.</w:t>
      </w:r>
    </w:p>
    <w:p w:rsidR="00F90710" w:rsidRDefault="00F90710"/>
    <w:p w:rsidR="00F90710" w:rsidRDefault="005A6303">
      <w:r>
        <w:rPr>
          <w:rFonts w:eastAsia="Arial" w:cs="Arial"/>
          <w:color w:val="000000"/>
          <w:shd w:val="clear" w:color="auto" w:fill="FFFFFF"/>
        </w:rPr>
        <w:t>En cas d'exclusion à l'appréciation de l'acheteur, l'opérateur économique présente, à la demande de l'acheteur, ses observations afin d'établir qu'il a pris les mesures nécessaires ou encore que sa participation à la présente consultation n'est pas susceptible de porter atteinte à l'égalité de traitement.</w:t>
      </w:r>
    </w:p>
    <w:p w:rsidR="00F90710" w:rsidRDefault="005A6303">
      <w:r>
        <w:rPr>
          <w:rFonts w:eastAsia="Arial" w:cs="Arial"/>
          <w:color w:val="000000"/>
          <w:shd w:val="clear" w:color="auto" w:fill="FFFFFF"/>
        </w:rPr>
        <w:t>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w:t>
      </w:r>
    </w:p>
    <w:p w:rsidR="00F90710" w:rsidRDefault="005A6303">
      <w:r>
        <w:rPr>
          <w:rFonts w:eastAsia="Arial" w:cs="Arial"/>
          <w:color w:val="000000"/>
          <w:shd w:val="clear" w:color="auto" w:fill="FFFFFF"/>
        </w:rPr>
        <w:t>Les personnes à l'encontre desquelles il existe un motif d'exclusion ne peuvent être acceptées en tant que sous-traitant.</w:t>
      </w:r>
    </w:p>
    <w:p w:rsidR="00F90710" w:rsidRDefault="005A6303">
      <w:r>
        <w:rPr>
          <w:rFonts w:eastAsia="Arial" w:cs="Arial"/>
          <w:color w:val="000000"/>
          <w:shd w:val="clear" w:color="auto" w:fill="FFFFFF"/>
        </w:rPr>
        <w:t>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A défaut, le candidat est exclu de la procédure.</w:t>
      </w:r>
    </w:p>
    <w:p w:rsidR="00F90710" w:rsidRDefault="005A6303" w:rsidP="00756CDE">
      <w:pPr>
        <w:pStyle w:val="Titre2"/>
        <w:numPr>
          <w:ilvl w:val="1"/>
          <w:numId w:val="15"/>
        </w:numPr>
      </w:pPr>
      <w:r>
        <w:t>Présentation de la candidature</w:t>
      </w:r>
    </w:p>
    <w:p w:rsidR="00F90710" w:rsidRDefault="005A6303">
      <w:r>
        <w:rPr>
          <w:rFonts w:eastAsia="Arial" w:cs="Arial"/>
          <w:color w:val="000000"/>
          <w:shd w:val="clear" w:color="auto" w:fill="FFFFFF"/>
        </w:rPr>
        <w:t>Une même personne ne peut représenter plus d'un candidat pour un même marché.</w:t>
      </w:r>
    </w:p>
    <w:p w:rsidR="00F90710" w:rsidRDefault="005A6303">
      <w:r>
        <w:rPr>
          <w:rFonts w:eastAsia="Arial" w:cs="Arial"/>
          <w:color w:val="000000"/>
          <w:shd w:val="clear" w:color="auto" w:fill="FFFFFF"/>
        </w:rPr>
        <w:t xml:space="preserve">Dans le cadre de la consultation, l'acheteur </w:t>
      </w:r>
      <w:r>
        <w:rPr>
          <w:rFonts w:eastAsia="Arial" w:cs="Arial"/>
          <w:color w:val="000000"/>
          <w:u w:val="single"/>
          <w:shd w:val="clear" w:color="auto" w:fill="FFFFFF"/>
        </w:rPr>
        <w:t>n'autorise pas</w:t>
      </w:r>
      <w:r>
        <w:rPr>
          <w:rFonts w:eastAsia="Arial" w:cs="Arial"/>
          <w:color w:val="000000"/>
          <w:shd w:val="clear" w:color="auto" w:fill="FFFFFF"/>
        </w:rPr>
        <w:t xml:space="preserve"> le candidat à présenter plusieurs offres en agissant à la fois : </w:t>
      </w:r>
    </w:p>
    <w:p w:rsidR="00F90710" w:rsidRDefault="005A6303">
      <w:r>
        <w:rPr>
          <w:rFonts w:eastAsia="Arial" w:cs="Arial"/>
          <w:color w:val="000000"/>
          <w:shd w:val="clear" w:color="auto" w:fill="FFFFFF"/>
        </w:rPr>
        <w:t>- en qualité de candidat individuel et de membre d'un groupement d'opérateurs économiques; </w:t>
      </w:r>
    </w:p>
    <w:p w:rsidR="00F90710" w:rsidRDefault="005A6303">
      <w:r>
        <w:rPr>
          <w:rFonts w:eastAsia="Arial" w:cs="Arial"/>
          <w:color w:val="000000"/>
          <w:shd w:val="clear" w:color="auto" w:fill="FFFFFF"/>
        </w:rPr>
        <w:t>- en qualité de membre de plusieurs groupements d'opérateurs économiques.</w:t>
      </w:r>
    </w:p>
    <w:p w:rsidR="00F90710" w:rsidRDefault="005A6303">
      <w:r>
        <w:rPr>
          <w:rFonts w:eastAsia="Arial" w:cs="Arial"/>
          <w:color w:val="000000"/>
          <w:shd w:val="clear" w:color="auto" w:fill="FFFFFF"/>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rsidR="00F90710" w:rsidRDefault="005A6303">
      <w:r>
        <w:rPr>
          <w:rFonts w:eastAsia="Arial" w:cs="Arial"/>
          <w:color w:val="000000"/>
          <w:shd w:val="clear" w:color="auto" w:fill="FFFFFF"/>
        </w:rPr>
        <w:lastRenderedPageBreak/>
        <w:t>Les candidats ont le choix de présenter leur candidature : sous forme de document unique de marché européen électronique (DUME) en utilisant le service DUME ou le service exposé de PLACE sous forme de candidature standard en utilisant les formulaires DC1 et DC2</w:t>
      </w:r>
    </w:p>
    <w:p w:rsidR="00F90710" w:rsidRDefault="005A6303" w:rsidP="00756CDE">
      <w:pPr>
        <w:pStyle w:val="Titre3"/>
        <w:numPr>
          <w:ilvl w:val="2"/>
          <w:numId w:val="15"/>
        </w:numPr>
      </w:pPr>
      <w:r>
        <w:t>Candidature sous forme de DUME</w:t>
      </w:r>
    </w:p>
    <w:p w:rsidR="00F90710" w:rsidRDefault="005A6303">
      <w:r>
        <w:rPr>
          <w:rFonts w:eastAsia="Arial" w:cs="Arial"/>
          <w:color w:val="000000"/>
          <w:shd w:val="clear" w:color="auto" w:fill="FFFFFF"/>
        </w:rPr>
        <w:t>Les candidats peuvent présenter leur candidature en renseignant le formulaire DUME accessible :</w:t>
      </w:r>
    </w:p>
    <w:p w:rsidR="00F90710" w:rsidRDefault="005A6303">
      <w:r>
        <w:rPr>
          <w:rFonts w:eastAsia="Arial" w:cs="Arial"/>
          <w:color w:val="000000"/>
          <w:shd w:val="clear" w:color="auto" w:fill="FFFFFF"/>
        </w:rPr>
        <w:t>- depuis le service exposé de PLACE</w:t>
      </w:r>
    </w:p>
    <w:p w:rsidR="00F90710" w:rsidRDefault="005A6303">
      <w:r>
        <w:rPr>
          <w:rFonts w:eastAsia="Arial" w:cs="Arial"/>
          <w:color w:val="000000"/>
          <w:shd w:val="clear" w:color="auto" w:fill="FFFFFF"/>
        </w:rPr>
        <w:t>- depuis l'adresse URL suivante : https://dume.chorus-pro.gouv.fr</w:t>
      </w:r>
    </w:p>
    <w:p w:rsidR="00F90710" w:rsidRDefault="005A6303">
      <w:r>
        <w:rPr>
          <w:rFonts w:eastAsia="Arial" w:cs="Arial"/>
          <w:color w:val="000000"/>
          <w:shd w:val="clear" w:color="auto" w:fill="FFFFFF"/>
        </w:rPr>
        <w:t>Les parties II (informations concernant l'opérateur économique), III (motifs d'exclusion), IV (critères de sélection) et le cas échéant V (réduction du nombre de candidats qualifiés) du formulaire sont à renseigner.</w:t>
      </w:r>
    </w:p>
    <w:p w:rsidR="00F90710" w:rsidRDefault="00F90710"/>
    <w:p w:rsidR="00F90710" w:rsidRDefault="005A6303">
      <w:r>
        <w:rPr>
          <w:rFonts w:eastAsia="Arial" w:cs="Arial"/>
          <w:color w:val="000000"/>
          <w:shd w:val="clear" w:color="auto" w:fill="FFFFFF"/>
        </w:rPr>
        <w:t>Des renseignements complémentaires au sujet du DUME électronique sont disponibles à l'adresse URL suivante : https://communaute.chorus-pro.gouv.fr/pour-les-entreprises/</w:t>
      </w:r>
    </w:p>
    <w:p w:rsidR="00F90710" w:rsidRDefault="005A6303">
      <w:r>
        <w:rPr>
          <w:rFonts w:eastAsia="Arial" w:cs="Arial"/>
          <w:color w:val="000000"/>
          <w:shd w:val="clear" w:color="auto" w:fill="FFFFFF"/>
        </w:rPr>
        <w:t>Si le groupement d'opérateurs économiques présente sa candidature sous la forme du DUME, chacun des membres du groupement doit fournir un DUME distinct.</w:t>
      </w:r>
    </w:p>
    <w:p w:rsidR="00F90710" w:rsidRDefault="005A6303">
      <w:r>
        <w:rPr>
          <w:rFonts w:eastAsia="Arial" w:cs="Arial"/>
          <w:color w:val="000000"/>
          <w:shd w:val="clear" w:color="auto" w:fill="FFFFFF"/>
        </w:rPr>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w:t>
      </w:r>
      <w:proofErr w:type="gramStart"/>
      <w:r>
        <w:rPr>
          <w:rFonts w:eastAsia="Arial" w:cs="Arial"/>
          <w:color w:val="000000"/>
          <w:shd w:val="clear" w:color="auto" w:fill="FFFFFF"/>
        </w:rPr>
        <w:t>sections  A</w:t>
      </w:r>
      <w:proofErr w:type="gramEnd"/>
      <w:r>
        <w:rPr>
          <w:rFonts w:eastAsia="Arial" w:cs="Arial"/>
          <w:color w:val="000000"/>
          <w:shd w:val="clear" w:color="auto" w:fill="FFFFFF"/>
        </w:rPr>
        <w:t xml:space="preserve"> et B de la partie II ainsi que celles de la partie III et, le cas échéant, les parties IV et V. </w:t>
      </w:r>
    </w:p>
    <w:p w:rsidR="00F90710" w:rsidRDefault="005A6303">
      <w:r>
        <w:rPr>
          <w:rFonts w:eastAsia="Arial" w:cs="Arial"/>
          <w:color w:val="000000"/>
          <w:shd w:val="clear" w:color="auto" w:fill="FFFFFF"/>
        </w:rPr>
        <w:t>Le candidat remet également l'imprimé DC 4 (Déclaration de sous-traitance, https://www.economie.gouv.fr/daj/formulaires-mise-a-jour-formulaire-declaration-sous-traitance-dans-marches-publics) dûment rempli par le sous-traitant et le candidat.</w:t>
      </w:r>
    </w:p>
    <w:p w:rsidR="00F90710" w:rsidRDefault="00F90710"/>
    <w:p w:rsidR="00F90710" w:rsidRDefault="005A6303">
      <w:r>
        <w:rPr>
          <w:rFonts w:eastAsia="Arial" w:cs="Arial"/>
          <w:color w:val="000000"/>
          <w:shd w:val="clear" w:color="auto" w:fill="FFFFFF"/>
        </w:rPr>
        <w:t>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w:t>
      </w:r>
    </w:p>
    <w:p w:rsidR="00F90710" w:rsidRDefault="005A6303" w:rsidP="00756CDE">
      <w:pPr>
        <w:pStyle w:val="Titre3"/>
        <w:numPr>
          <w:ilvl w:val="2"/>
          <w:numId w:val="15"/>
        </w:numPr>
      </w:pPr>
      <w:r>
        <w:t>Candidature sous forme de DC1 et DC2</w:t>
      </w:r>
    </w:p>
    <w:p w:rsidR="00F90710" w:rsidRDefault="005A6303">
      <w:r>
        <w:rPr>
          <w:rFonts w:eastAsia="Arial" w:cs="Arial"/>
          <w:color w:val="000000"/>
          <w:shd w:val="clear" w:color="auto" w:fill="FFFFFF"/>
        </w:rPr>
        <w:t xml:space="preserve">Les candidats transmettent les renseignements suivants : </w:t>
      </w:r>
    </w:p>
    <w:p w:rsidR="00F90710" w:rsidRDefault="005A6303">
      <w:r>
        <w:rPr>
          <w:rFonts w:eastAsia="Arial" w:cs="Arial"/>
          <w:color w:val="000000"/>
          <w:shd w:val="clear" w:color="auto" w:fill="FFFFFF"/>
        </w:rPr>
        <w:t>Lettre de candidature ou formulaire DC1 (téléchargeable à partir du lien https://www.economie.gouv.fr/daj/formulaires-declaration-du-candidat) ou équivalent, dûment rempli, et daté. Dans le cas d'un groupement d'opérateurs économiques, le formulaire DC1 sera complété pour chaque membre du groupement</w:t>
      </w:r>
    </w:p>
    <w:p w:rsidR="00F90710" w:rsidRDefault="005A6303">
      <w:r>
        <w:rPr>
          <w:rFonts w:eastAsia="Arial" w:cs="Arial"/>
          <w:color w:val="000000"/>
          <w:shd w:val="clear" w:color="auto" w:fill="FFFFFF"/>
        </w:rPr>
        <w:t>- Déclaration du candidat ou formulaire DC2 (téléchargeable à partir du lien</w:t>
      </w:r>
    </w:p>
    <w:p w:rsidR="00F90710" w:rsidRDefault="005A6303">
      <w:r>
        <w:rPr>
          <w:rFonts w:eastAsia="Arial" w:cs="Arial"/>
          <w:color w:val="000000"/>
          <w:shd w:val="clear" w:color="auto" w:fill="FFFFFF"/>
        </w:rPr>
        <w:t xml:space="preserve"> https://www.economie.gouv.fr/daj/formulaires-declaration-du-candidat), ou équivalent, dûment rempli et daté; en cas de candidature groupée, le DC2 est rempli par chaque membre du groupement.</w:t>
      </w:r>
    </w:p>
    <w:p w:rsidR="00F90710" w:rsidRDefault="005A6303">
      <w:r>
        <w:rPr>
          <w:rFonts w:eastAsia="Arial" w:cs="Arial"/>
          <w:color w:val="000000"/>
          <w:shd w:val="clear" w:color="auto" w:fill="FFFFFF"/>
        </w:rPr>
        <w:t>Dans le cas d'un groupement d'opérateurs économiques, les candidats transmettent les renseignements suivants des formulaires DC1 et DC2 : Le formulaire DC1 sera complété pour chaque membre du groupement ; Le formulaire DC2 est rempli par chaque membre du groupement.</w:t>
      </w:r>
    </w:p>
    <w:p w:rsidR="00F90710" w:rsidRDefault="005A6303" w:rsidP="00756CDE">
      <w:pPr>
        <w:pStyle w:val="Titre2"/>
        <w:numPr>
          <w:ilvl w:val="1"/>
          <w:numId w:val="15"/>
        </w:numPr>
      </w:pPr>
      <w:r>
        <w:lastRenderedPageBreak/>
        <w:t>Niveaux minimaux de participation</w:t>
      </w:r>
    </w:p>
    <w:p w:rsidR="00F90710" w:rsidRDefault="005A6303">
      <w:r>
        <w:rPr>
          <w:rFonts w:eastAsia="Arial" w:cs="Arial"/>
          <w:color w:val="000000"/>
          <w:shd w:val="clear" w:color="auto" w:fill="FFFFFF"/>
        </w:rPr>
        <w:t xml:space="preserve">L'acheteur n'impose pas aux candidats de niveaux minimums de capacité. </w:t>
      </w:r>
    </w:p>
    <w:p w:rsidR="00F90710" w:rsidRDefault="005A6303" w:rsidP="00756CDE">
      <w:pPr>
        <w:pStyle w:val="Titre2"/>
        <w:numPr>
          <w:ilvl w:val="1"/>
          <w:numId w:val="15"/>
        </w:numPr>
      </w:pPr>
      <w:r>
        <w:t>Tâches essentielles</w:t>
      </w:r>
    </w:p>
    <w:p w:rsidR="00F90710" w:rsidRDefault="005A6303">
      <w:r>
        <w:rPr>
          <w:rFonts w:eastAsia="Arial" w:cs="Arial"/>
          <w:color w:val="000000"/>
          <w:shd w:val="clear" w:color="auto" w:fill="FFFFFF"/>
        </w:rPr>
        <w:t xml:space="preserve"> L'acheteur n'exige pas que certaines tâches soient effectuées par l'un des membres du groupement.</w:t>
      </w:r>
    </w:p>
    <w:p w:rsidR="00F90710" w:rsidRDefault="005A6303">
      <w:r>
        <w:rPr>
          <w:rFonts w:eastAsia="Arial" w:cs="Arial"/>
          <w:color w:val="000000"/>
          <w:shd w:val="clear" w:color="auto" w:fill="FFFFFF"/>
        </w:rPr>
        <w:t>L'acheteur n'exige pas que certaines tâches essentielles soient effectuées directement par le titulaire.</w:t>
      </w:r>
    </w:p>
    <w:p w:rsidR="00F90710" w:rsidRDefault="005A6303" w:rsidP="00756CDE">
      <w:pPr>
        <w:pStyle w:val="Titre2"/>
        <w:numPr>
          <w:ilvl w:val="1"/>
          <w:numId w:val="15"/>
        </w:numPr>
      </w:pPr>
      <w:r>
        <w:t>Examen des candidatures</w:t>
      </w:r>
    </w:p>
    <w:p w:rsidR="00F90710" w:rsidRDefault="005A6303">
      <w:r>
        <w:rPr>
          <w:rFonts w:eastAsia="Arial" w:cs="Arial"/>
          <w:color w:val="000000"/>
          <w:shd w:val="clear" w:color="auto" w:fill="FFFFFF"/>
        </w:rPr>
        <w:t xml:space="preserve"> L'acheteur examine les candidatures avant les offres : les documents justificatifs concernant l'aptitude et les capacités sont fournis à la demande de l'acheteur et avant l'examen des offres.</w:t>
      </w:r>
    </w:p>
    <w:p w:rsidR="00F90710" w:rsidRDefault="005A6303">
      <w:r>
        <w:rPr>
          <w:rFonts w:eastAsia="Arial" w:cs="Arial"/>
          <w:color w:val="000000"/>
          <w:shd w:val="clear" w:color="auto" w:fill="FFFFFF"/>
        </w:rPr>
        <w:t>Les moyens de preuve concernant les motifs d'exclusion ne sont demandés par l'acheteur qu'au soumissionnaire auquel il est envisagé d'attribuer le marché public.</w:t>
      </w:r>
    </w:p>
    <w:p w:rsidR="00F90710" w:rsidRDefault="005A6303">
      <w:r>
        <w:rPr>
          <w:rFonts w:eastAsia="Arial" w:cs="Arial"/>
          <w:color w:val="000000"/>
          <w:shd w:val="clear" w:color="auto" w:fill="FFFFFF"/>
        </w:rPr>
        <w:t>Si l'acheteur constate, avant de procéder à l'examen des candidatures, que des</w:t>
      </w:r>
    </w:p>
    <w:p w:rsidR="00F90710" w:rsidRDefault="005A6303">
      <w:proofErr w:type="gramStart"/>
      <w:r>
        <w:rPr>
          <w:rFonts w:eastAsia="Arial" w:cs="Arial"/>
          <w:color w:val="000000"/>
          <w:shd w:val="clear" w:color="auto" w:fill="FFFFFF"/>
        </w:rPr>
        <w:t>pièces</w:t>
      </w:r>
      <w:proofErr w:type="gramEnd"/>
      <w:r>
        <w:rPr>
          <w:rFonts w:eastAsia="Arial" w:cs="Arial"/>
          <w:color w:val="000000"/>
          <w:shd w:val="clear" w:color="auto" w:fill="FFFFFF"/>
        </w:rPr>
        <w:t xml:space="preserve"> ou des informations dont la production était réclamée sont absentes ou incomplètes, il peut demander aux candidats concernés de compléter leur dossier de candidature dans un délai identique pour tous.</w:t>
      </w:r>
    </w:p>
    <w:p w:rsidR="00F90710" w:rsidRDefault="005A6303">
      <w:r>
        <w:rPr>
          <w:rFonts w:eastAsia="Arial" w:cs="Arial"/>
          <w:color w:val="000000"/>
          <w:shd w:val="clear" w:color="auto" w:fill="FFFFFF"/>
        </w:rPr>
        <w:t>Ce délai est précisé avec la demande de complément.</w:t>
      </w:r>
    </w:p>
    <w:p w:rsidR="00F90710" w:rsidRDefault="005A6303">
      <w:r>
        <w:rPr>
          <w:rFonts w:eastAsia="Arial" w:cs="Arial"/>
          <w:color w:val="000000"/>
          <w:shd w:val="clear" w:color="auto" w:fill="FFFFFF"/>
        </w:rPr>
        <w:t>Les candidatures incomplètes ou demeurées incomplètes à la suite d'une demande de compléments sont éliminées.</w:t>
      </w:r>
    </w:p>
    <w:p w:rsidR="00F90710" w:rsidRDefault="005A6303">
      <w:r>
        <w:rPr>
          <w:rFonts w:eastAsia="Arial" w:cs="Arial"/>
          <w:color w:val="000000"/>
          <w:shd w:val="clear" w:color="auto" w:fill="FFFFFF"/>
        </w:rPr>
        <w:t>L'acheteur n'a pas fixé de minimums de capacité comme condition de participation : les candidatures qui ne justifient pas de l'aptitude professionnelle ou qui ne disposent manifestement pas des capacités professionnelles, techniques ou financières suffisantes demandées pour cette consultation sont éliminées</w:t>
      </w:r>
      <w:proofErr w:type="gramStart"/>
      <w:r>
        <w:rPr>
          <w:rFonts w:eastAsia="Arial" w:cs="Arial"/>
          <w:color w:val="000000"/>
          <w:shd w:val="clear" w:color="auto" w:fill="FFFFFF"/>
        </w:rPr>
        <w:t>. .</w:t>
      </w:r>
      <w:proofErr w:type="gramEnd"/>
    </w:p>
    <w:p w:rsidR="00F90710" w:rsidRDefault="005A6303" w:rsidP="00756CDE">
      <w:pPr>
        <w:pStyle w:val="Titre2"/>
        <w:numPr>
          <w:ilvl w:val="1"/>
          <w:numId w:val="15"/>
        </w:numPr>
      </w:pPr>
      <w:r>
        <w:t>Vérification des conditions de participation : liste des documents justificatifs</w:t>
      </w:r>
    </w:p>
    <w:p w:rsidR="00F90710" w:rsidRDefault="005A6303">
      <w:r>
        <w:rPr>
          <w:rFonts w:eastAsia="Arial" w:cs="Arial"/>
          <w:color w:val="000000"/>
          <w:shd w:val="clear" w:color="auto" w:fill="FFFFFF"/>
        </w:rPr>
        <w:t>Les candidats ne sont pas tenus de fournir les documents justificatifs lorsque l'acheteur peut les obtenir :</w:t>
      </w:r>
    </w:p>
    <w:p w:rsidR="00F90710" w:rsidRDefault="005A6303">
      <w:r>
        <w:rPr>
          <w:rFonts w:eastAsia="Arial" w:cs="Arial"/>
          <w:color w:val="000000"/>
          <w:shd w:val="clear" w:color="auto" w:fill="FFFFFF"/>
        </w:rPr>
        <w:t>- directement par le biais d'un système électronique de mise à disposition d'informations administré par un organisme officiel ;</w:t>
      </w:r>
    </w:p>
    <w:p w:rsidR="00F90710" w:rsidRDefault="005A6303">
      <w:r>
        <w:rPr>
          <w:rFonts w:eastAsia="Arial" w:cs="Arial"/>
          <w:color w:val="000000"/>
          <w:shd w:val="clear" w:color="auto" w:fill="FFFFFF"/>
        </w:rPr>
        <w:t>- d'un espace de stockage numérique, à condition que figurent dans son dossier de candidature toutes les informations nécessaires à la consultation de ce système ou de cet espace et que l'accès soit gratuit.</w:t>
      </w:r>
    </w:p>
    <w:p w:rsidR="00F90710" w:rsidRDefault="005A6303">
      <w:r>
        <w:rPr>
          <w:rFonts w:eastAsia="Arial" w:cs="Arial"/>
          <w:color w:val="000000"/>
          <w:shd w:val="clear" w:color="auto" w:fill="FFFFFF"/>
        </w:rPr>
        <w:t>Le candidat n'est pas tenu de fournir les documents justificatifs déjà transmis à l'acheteur dans le cadre d'une précédente consultation et qui demeurent valables. Dans ce cas, il indique les moyens de preuves concernés ainsi que la référence de la ou des consultation(s) pour la ou lesquelles ces moyens de preuve ont déjà été transmis. En cas d'impossibilité de se procurer les documents justificatifs directement auprès des administrations ou organismes, l'acheteur en demande communication au candidat.</w:t>
      </w:r>
    </w:p>
    <w:p w:rsidR="00F90710" w:rsidRDefault="005A6303">
      <w:r>
        <w:rPr>
          <w:rFonts w:eastAsia="Arial" w:cs="Arial"/>
          <w:color w:val="000000"/>
          <w:shd w:val="clear" w:color="auto" w:fill="FFFFFF"/>
        </w:rPr>
        <w:t>Les documents justificatifs concernant les aptitudes et capacités sont :</w:t>
      </w:r>
    </w:p>
    <w:p w:rsidR="00F90710" w:rsidRDefault="005A6303">
      <w:r>
        <w:rPr>
          <w:rFonts w:eastAsia="Arial" w:cs="Arial"/>
          <w:color w:val="000000"/>
          <w:shd w:val="clear" w:color="auto" w:fill="FFFFFF"/>
        </w:rPr>
        <w:t>- Déclaration concernant le chiffre d'affaires global et le chiffre d'affaires concernant les prestations objet du marché, réalisés au cours des trois derniers exercices disponibles ;</w:t>
      </w:r>
    </w:p>
    <w:p w:rsidR="00F90710" w:rsidRDefault="005A6303">
      <w:r>
        <w:rPr>
          <w:rFonts w:eastAsia="Arial" w:cs="Arial"/>
          <w:color w:val="000000"/>
          <w:shd w:val="clear" w:color="auto" w:fill="FFFFFF"/>
        </w:rPr>
        <w:lastRenderedPageBreak/>
        <w:t>Présentation d'une liste des principales fournitures effectuées au cours des trois dernières années, indiquant le montant, la date et le destinataire public ou privé. Les livraisons sont prouvées par des attestations du destinataire ou, à défaut, par une déclaration de l'opérateur économique;</w:t>
      </w:r>
    </w:p>
    <w:p w:rsidR="00F90710" w:rsidRDefault="005A6303">
      <w:r>
        <w:rPr>
          <w:rFonts w:eastAsia="Arial" w:cs="Arial"/>
          <w:color w:val="000000"/>
          <w:shd w:val="clear" w:color="auto" w:fill="FFFFFF"/>
        </w:rPr>
        <w:t>Déclaration indiquant les effectifs moyens annuels du candidat et l'importance du personnel d'encadrement pendant les pour chacune des trois dernières années;</w:t>
      </w:r>
    </w:p>
    <w:p w:rsidR="00F90710" w:rsidRDefault="005A6303">
      <w:proofErr w:type="gramStart"/>
      <w:r>
        <w:rPr>
          <w:rFonts w:eastAsia="Arial" w:cs="Arial"/>
          <w:color w:val="000000"/>
          <w:shd w:val="clear" w:color="auto" w:fill="FFFFFF"/>
        </w:rPr>
        <w:t>description</w:t>
      </w:r>
      <w:proofErr w:type="gramEnd"/>
      <w:r>
        <w:rPr>
          <w:rFonts w:eastAsia="Arial" w:cs="Arial"/>
          <w:color w:val="000000"/>
          <w:shd w:val="clear" w:color="auto" w:fill="FFFFFF"/>
        </w:rPr>
        <w:t xml:space="preserve"> de l'outillage, du matériel et de l'équipement technique dont le candidat disposera pour la réalisation du marché public;</w:t>
      </w:r>
    </w:p>
    <w:p w:rsidR="00F90710" w:rsidRDefault="005A6303">
      <w:r>
        <w:rPr>
          <w:rFonts w:eastAsia="Arial" w:cs="Arial"/>
          <w:color w:val="000000"/>
          <w:shd w:val="clear" w:color="auto" w:fill="FFFFFF"/>
        </w:rPr>
        <w:t xml:space="preserve">Indication des systèmes de gestion et de suivi de la chaîne d'approvisionnement que le candidat pourra mettre en </w:t>
      </w:r>
      <w:proofErr w:type="spellStart"/>
      <w:r>
        <w:rPr>
          <w:rFonts w:eastAsia="Arial" w:cs="Arial"/>
          <w:color w:val="000000"/>
          <w:shd w:val="clear" w:color="auto" w:fill="FFFFFF"/>
        </w:rPr>
        <w:t>oeuvre</w:t>
      </w:r>
      <w:proofErr w:type="spellEnd"/>
      <w:r>
        <w:rPr>
          <w:rFonts w:eastAsia="Arial" w:cs="Arial"/>
          <w:color w:val="000000"/>
          <w:shd w:val="clear" w:color="auto" w:fill="FFFFFF"/>
        </w:rPr>
        <w:t xml:space="preserve"> lors de l'exécution du marché public;</w:t>
      </w:r>
    </w:p>
    <w:p w:rsidR="00F90710" w:rsidRDefault="005A6303">
      <w:r>
        <w:rPr>
          <w:rFonts w:eastAsia="Arial" w:cs="Arial"/>
          <w:color w:val="000000"/>
          <w:shd w:val="clear" w:color="auto" w:fill="FFFFFF"/>
        </w:rPr>
        <w:t>Certificats établis par des instituts ou services officiels chargés du contrôle de la qualité et habilités à attester la conformité des fournitures par des références à certaines spécifications techniques. Toutefois, d'autres preuves de mesures équivalentes de garantie de la qualité produites par les candidats sont acceptées, si ceux-ci n'ont pas accès à ces certificats ou n'ont aucune possibilité de les obtenir dans les délais fixés;</w:t>
      </w:r>
    </w:p>
    <w:p w:rsidR="00F90710" w:rsidRDefault="005A6303">
      <w:r>
        <w:rPr>
          <w:rFonts w:eastAsia="Arial" w:cs="Arial"/>
          <w:color w:val="000000"/>
          <w:shd w:val="clear" w:color="auto" w:fill="FFFFFF"/>
        </w:rPr>
        <w:t>Si, pour une raison justifiée, le candidat n'est pas en mesure de produire les renseignements et documents demandés par l'acheteur, il est autorisé à prouver sa capacité économique et financière par tout autre moyen considéré comme approprié par l'acheteur.</w:t>
      </w:r>
    </w:p>
    <w:p w:rsidR="00F90710" w:rsidRDefault="005A6303" w:rsidP="00756CDE">
      <w:pPr>
        <w:pStyle w:val="Titre2"/>
        <w:numPr>
          <w:ilvl w:val="1"/>
          <w:numId w:val="15"/>
        </w:numPr>
      </w:pPr>
      <w:bookmarkStart w:id="8" w:name="_Toc14"/>
      <w:r>
        <w:t>Vérification des motifs d'exclusion</w:t>
      </w:r>
      <w:bookmarkEnd w:id="8"/>
    </w:p>
    <w:p w:rsidR="00F90710" w:rsidRDefault="005A6303">
      <w:r>
        <w:rPr>
          <w:rFonts w:eastAsia="Arial" w:cs="Arial"/>
          <w:color w:val="000000"/>
          <w:shd w:val="clear" w:color="auto" w:fill="FFFFFF"/>
        </w:rPr>
        <w:t>En application des dispositions de R.2144-4 du code de la commande publique, l'acheteur n'exige que du seul soumissionnaire auquel il est envisagé d'attribuer le marché public qu'il justifie ne pas se trouver dans un des cas des motifs d'exclusion.</w:t>
      </w:r>
    </w:p>
    <w:p w:rsidR="00F90710" w:rsidRDefault="005A6303" w:rsidP="00756CDE">
      <w:pPr>
        <w:pStyle w:val="Titre1"/>
        <w:numPr>
          <w:ilvl w:val="0"/>
          <w:numId w:val="15"/>
        </w:numPr>
      </w:pPr>
      <w:bookmarkStart w:id="9" w:name="_Toc7"/>
      <w:r>
        <w:t>OFFRE</w:t>
      </w:r>
      <w:bookmarkEnd w:id="9"/>
    </w:p>
    <w:p w:rsidR="00F90710" w:rsidRDefault="005A6303" w:rsidP="00756CDE">
      <w:pPr>
        <w:pStyle w:val="Titre2"/>
        <w:numPr>
          <w:ilvl w:val="1"/>
          <w:numId w:val="15"/>
        </w:numPr>
      </w:pPr>
      <w:r>
        <w:t>Présentation de l'offre</w:t>
      </w:r>
    </w:p>
    <w:p w:rsidR="00F90710" w:rsidRDefault="005A6303">
      <w:pPr>
        <w:rPr>
          <w:rFonts w:eastAsia="Arial" w:cs="Arial"/>
          <w:color w:val="000000"/>
          <w:szCs w:val="20"/>
        </w:rPr>
      </w:pPr>
      <w:r>
        <w:rPr>
          <w:rFonts w:eastAsia="Arial" w:cs="Arial"/>
          <w:color w:val="000000"/>
          <w:shd w:val="clear" w:color="auto" w:fill="FFFFFF"/>
        </w:rPr>
        <w:t xml:space="preserve">L'offre du candidat comporte les pièces suivantes : </w:t>
      </w:r>
    </w:p>
    <w:p w:rsidR="00F90710" w:rsidRDefault="005A6303" w:rsidP="00914503">
      <w:r>
        <w:rPr>
          <w:rFonts w:eastAsia="Arial" w:cs="Arial"/>
          <w:color w:val="000000"/>
          <w:shd w:val="clear" w:color="auto" w:fill="FFFFFF"/>
        </w:rPr>
        <w:t xml:space="preserve">- le mémoire technique </w:t>
      </w:r>
      <w:r w:rsidR="00E02727">
        <w:rPr>
          <w:rFonts w:eastAsia="Arial" w:cs="Arial"/>
          <w:color w:val="000000"/>
          <w:shd w:val="clear" w:color="auto" w:fill="FFFFFF"/>
        </w:rPr>
        <w:t>du candidat</w:t>
      </w:r>
      <w:r>
        <w:rPr>
          <w:rFonts w:eastAsia="Arial" w:cs="Arial"/>
          <w:color w:val="000000"/>
          <w:shd w:val="clear" w:color="auto" w:fill="FFFFFF"/>
        </w:rPr>
        <w:t xml:space="preserve"> répondant au cahier des clauses administratives particulières et au cahier des clauses techniques particulières,</w:t>
      </w:r>
      <w:r w:rsidR="00E02727" w:rsidRPr="00E02727">
        <w:rPr>
          <w:rFonts w:eastAsia="Arial" w:cs="Arial"/>
          <w:color w:val="000000"/>
          <w:shd w:val="clear" w:color="auto" w:fill="FFFFFF"/>
        </w:rPr>
        <w:t xml:space="preserve"> abordant chacun des items des critères de choix des o</w:t>
      </w:r>
      <w:r w:rsidR="00E02727">
        <w:rPr>
          <w:rFonts w:eastAsia="Arial" w:cs="Arial"/>
          <w:color w:val="000000"/>
          <w:shd w:val="clear" w:color="auto" w:fill="FFFFFF"/>
        </w:rPr>
        <w:t>ffres à l’exception du prix.</w:t>
      </w:r>
      <w:r w:rsidR="00914503" w:rsidRPr="00914503">
        <w:t xml:space="preserve"> </w:t>
      </w:r>
      <w:r w:rsidR="00914503">
        <w:t>(</w:t>
      </w:r>
      <w:r w:rsidR="00914503">
        <w:rPr>
          <w:rFonts w:eastAsia="Arial" w:cs="Arial"/>
          <w:color w:val="000000"/>
          <w:shd w:val="clear" w:color="auto" w:fill="FFFFFF"/>
        </w:rPr>
        <w:t>L</w:t>
      </w:r>
      <w:r w:rsidR="00914503" w:rsidRPr="00914503">
        <w:rPr>
          <w:rFonts w:eastAsia="Arial" w:cs="Arial"/>
          <w:color w:val="000000"/>
          <w:shd w:val="clear" w:color="auto" w:fill="FFFFFF"/>
        </w:rPr>
        <w:t>es mesures mises en place pour s’assurer de la qualité de la prestation (qualité des repas) et des moyens mis en œ</w:t>
      </w:r>
      <w:r w:rsidR="00914503">
        <w:rPr>
          <w:rFonts w:eastAsia="Arial" w:cs="Arial"/>
          <w:color w:val="000000"/>
          <w:shd w:val="clear" w:color="auto" w:fill="FFFFFF"/>
        </w:rPr>
        <w:t>uvre pour assurer la livraison), le</w:t>
      </w:r>
      <w:r w:rsidR="00914503" w:rsidRPr="00914503">
        <w:rPr>
          <w:rFonts w:eastAsia="Arial" w:cs="Arial"/>
          <w:color w:val="000000"/>
          <w:shd w:val="clear" w:color="auto" w:fill="FFFFFF"/>
        </w:rPr>
        <w:t>s mesures mises en place pour s’assurer de la continuité de service en abordant les cas la mettant en danger (grève, rupture d’approv</w:t>
      </w:r>
      <w:r w:rsidR="00914503">
        <w:rPr>
          <w:rFonts w:eastAsia="Arial" w:cs="Arial"/>
          <w:color w:val="000000"/>
          <w:shd w:val="clear" w:color="auto" w:fill="FFFFFF"/>
        </w:rPr>
        <w:t xml:space="preserve">isionnement d’un </w:t>
      </w:r>
      <w:proofErr w:type="gramStart"/>
      <w:r w:rsidR="00914503">
        <w:rPr>
          <w:rFonts w:eastAsia="Arial" w:cs="Arial"/>
          <w:color w:val="000000"/>
          <w:shd w:val="clear" w:color="auto" w:fill="FFFFFF"/>
        </w:rPr>
        <w:t>produit,...</w:t>
      </w:r>
      <w:proofErr w:type="gramEnd"/>
      <w:r w:rsidR="00914503">
        <w:rPr>
          <w:rFonts w:eastAsia="Arial" w:cs="Arial"/>
          <w:color w:val="000000"/>
          <w:shd w:val="clear" w:color="auto" w:fill="FFFFFF"/>
        </w:rPr>
        <w:t xml:space="preserve">), les </w:t>
      </w:r>
      <w:r w:rsidR="00914503" w:rsidRPr="00914503">
        <w:rPr>
          <w:rFonts w:eastAsia="Arial" w:cs="Arial"/>
          <w:color w:val="000000"/>
          <w:shd w:val="clear" w:color="auto" w:fill="FFFFFF"/>
        </w:rPr>
        <w:t xml:space="preserve">mesures mises en place pour éviter le « gâchis » des denrées alimentaires et pour s’assurer de l’impact environnemental le plus réduit provoqué par la livraison des repas </w:t>
      </w:r>
    </w:p>
    <w:p w:rsidR="00F90710" w:rsidRDefault="005A6303">
      <w:pPr>
        <w:rPr>
          <w:rFonts w:eastAsia="Arial" w:cs="Arial"/>
          <w:color w:val="000000"/>
          <w:szCs w:val="20"/>
        </w:rPr>
      </w:pPr>
      <w:r>
        <w:rPr>
          <w:rFonts w:eastAsia="Arial" w:cs="Arial"/>
          <w:color w:val="000000"/>
          <w:shd w:val="clear" w:color="auto" w:fill="FFFFFF"/>
        </w:rPr>
        <w:t xml:space="preserve"> - le bordereau de prix (BPU) ; </w:t>
      </w:r>
    </w:p>
    <w:p w:rsidR="00F90710" w:rsidRDefault="005A6303">
      <w:pPr>
        <w:rPr>
          <w:rFonts w:eastAsia="Arial" w:cs="Arial"/>
          <w:color w:val="000000"/>
          <w:szCs w:val="20"/>
        </w:rPr>
      </w:pPr>
      <w:r>
        <w:rPr>
          <w:rFonts w:eastAsia="Arial" w:cs="Arial"/>
          <w:color w:val="000000"/>
          <w:shd w:val="clear" w:color="auto" w:fill="FFFFFF"/>
        </w:rPr>
        <w:t xml:space="preserve">- le détail quantitatif et estimatif (DQE) </w:t>
      </w:r>
    </w:p>
    <w:p w:rsidR="00F90710" w:rsidRDefault="005A6303">
      <w:pPr>
        <w:rPr>
          <w:rFonts w:eastAsia="Arial" w:cs="Arial"/>
          <w:color w:val="000000"/>
          <w:szCs w:val="20"/>
        </w:rPr>
      </w:pPr>
      <w:r>
        <w:rPr>
          <w:rFonts w:eastAsia="Arial" w:cs="Arial"/>
          <w:color w:val="000000"/>
          <w:shd w:val="clear" w:color="auto" w:fill="FFFFFF"/>
        </w:rPr>
        <w:t xml:space="preserve">- la demande d'acceptation des sous-traitants et d'agrément de leurs conditions de paiement - la part des prestations que le soumissionnaire a l'intention de sous-traiter, notamment à des petites et moyennes entreprises </w:t>
      </w:r>
    </w:p>
    <w:p w:rsidR="00F90710" w:rsidRDefault="005A6303">
      <w:pPr>
        <w:rPr>
          <w:rFonts w:eastAsia="Arial" w:cs="Arial"/>
          <w:color w:val="000000"/>
          <w:szCs w:val="20"/>
        </w:rPr>
      </w:pPr>
      <w:r>
        <w:rPr>
          <w:rFonts w:eastAsia="Arial" w:cs="Arial"/>
          <w:color w:val="000000"/>
          <w:shd w:val="clear" w:color="auto" w:fill="FFFFFF"/>
        </w:rPr>
        <w:t xml:space="preserve">- La demande d'acceptation des sous-traitants et d'agrément de leurs conditions de paiement ainsi que les contrats de sous-traitance </w:t>
      </w:r>
    </w:p>
    <w:p w:rsidR="00F90710" w:rsidRDefault="005A6303">
      <w:pPr>
        <w:rPr>
          <w:rFonts w:eastAsia="Arial" w:cs="Arial"/>
          <w:color w:val="000000"/>
          <w:szCs w:val="20"/>
        </w:rPr>
      </w:pPr>
      <w:r>
        <w:rPr>
          <w:rFonts w:eastAsia="Arial" w:cs="Arial"/>
          <w:color w:val="000000"/>
          <w:shd w:val="clear" w:color="auto" w:fill="FFFFFF"/>
        </w:rPr>
        <w:t xml:space="preserve">- l’acte d’engagement dûment signé  à compléter et à signer </w:t>
      </w:r>
      <w:proofErr w:type="spellStart"/>
      <w:r>
        <w:rPr>
          <w:rFonts w:eastAsia="Arial" w:cs="Arial"/>
          <w:color w:val="000000"/>
          <w:shd w:val="clear" w:color="auto" w:fill="FFFFFF"/>
        </w:rPr>
        <w:t>électroniquementpar</w:t>
      </w:r>
      <w:proofErr w:type="spellEnd"/>
      <w:r>
        <w:rPr>
          <w:rFonts w:eastAsia="Arial" w:cs="Arial"/>
          <w:color w:val="000000"/>
          <w:shd w:val="clear" w:color="auto" w:fill="FFFFFF"/>
        </w:rPr>
        <w:t xml:space="preserve"> une personne habilitée à engager la société, le cas échéant par tous les membres du groupement d'opérateurs économiques Le cas échéant, dans le cas où les membres du groupement d'opérateurs économiques ne signent pas tous l'acte d'engagement, le document d'habilitation signé par tous les membres du groupement Le pouvoir du ou des signataires d'engager la personne qu'il </w:t>
      </w:r>
      <w:r>
        <w:rPr>
          <w:rFonts w:eastAsia="Arial" w:cs="Arial"/>
          <w:color w:val="000000"/>
          <w:shd w:val="clear" w:color="auto" w:fill="FFFFFF"/>
        </w:rPr>
        <w:lastRenderedPageBreak/>
        <w:t xml:space="preserve">représente (titulaire individuel ou groupement d'opérateurs économiques) Le cas échéant, en cas de sous-traitance, la déclaration de sous-traitance (DC4 ou équivalent) signée par le sous-traitant et le soumissionnaire, les renseignements relatifs aux capacités du sous-traitant lorsque le soumissionnaire s'appuie sur celles-ci </w:t>
      </w:r>
    </w:p>
    <w:p w:rsidR="00F90710" w:rsidRDefault="005A6303">
      <w:pPr>
        <w:rPr>
          <w:rFonts w:eastAsia="Arial" w:cs="Arial"/>
          <w:color w:val="000000"/>
          <w:shd w:val="clear" w:color="auto" w:fill="FFFFFF"/>
        </w:rPr>
      </w:pPr>
      <w:r>
        <w:rPr>
          <w:rFonts w:eastAsia="Arial" w:cs="Arial"/>
          <w:color w:val="000000"/>
          <w:shd w:val="clear" w:color="auto" w:fill="FFFFFF"/>
        </w:rPr>
        <w:t>- Le ou les relevé(s) d'identité bancaire</w:t>
      </w:r>
    </w:p>
    <w:p w:rsidR="006E4700" w:rsidRDefault="006E4700">
      <w:pPr>
        <w:rPr>
          <w:rFonts w:eastAsia="Arial" w:cs="Arial"/>
          <w:color w:val="000000"/>
          <w:shd w:val="clear" w:color="auto" w:fill="FFFFFF"/>
        </w:rPr>
      </w:pPr>
    </w:p>
    <w:p w:rsidR="006E4700" w:rsidRDefault="006E4700">
      <w:pPr>
        <w:rPr>
          <w:rFonts w:eastAsia="Arial" w:cs="Arial"/>
          <w:color w:val="000000"/>
          <w:shd w:val="clear" w:color="auto" w:fill="FFFFFF"/>
        </w:rPr>
      </w:pPr>
      <w:r>
        <w:rPr>
          <w:rFonts w:eastAsia="Arial" w:cs="Arial"/>
          <w:color w:val="000000"/>
          <w:shd w:val="clear" w:color="auto" w:fill="FFFFFF"/>
        </w:rPr>
        <w:t>L</w:t>
      </w:r>
      <w:r w:rsidR="00790CD4">
        <w:rPr>
          <w:rFonts w:eastAsia="Arial" w:cs="Arial"/>
          <w:color w:val="000000"/>
          <w:shd w:val="clear" w:color="auto" w:fill="FFFFFF"/>
        </w:rPr>
        <w:t>’</w:t>
      </w:r>
      <w:r>
        <w:rPr>
          <w:rFonts w:eastAsia="Arial" w:cs="Arial"/>
          <w:color w:val="000000"/>
          <w:shd w:val="clear" w:color="auto" w:fill="FFFFFF"/>
        </w:rPr>
        <w:t>o</w:t>
      </w:r>
      <w:r w:rsidR="00790CD4">
        <w:rPr>
          <w:rFonts w:eastAsia="Arial" w:cs="Arial"/>
          <w:color w:val="000000"/>
          <w:shd w:val="clear" w:color="auto" w:fill="FFFFFF"/>
        </w:rPr>
        <w:t>f</w:t>
      </w:r>
      <w:r>
        <w:rPr>
          <w:rFonts w:eastAsia="Arial" w:cs="Arial"/>
          <w:color w:val="000000"/>
          <w:shd w:val="clear" w:color="auto" w:fill="FFFFFF"/>
        </w:rPr>
        <w:t xml:space="preserve">fre du candidat comprend aussi les échantillons </w:t>
      </w:r>
      <w:r w:rsidR="00790CD4">
        <w:rPr>
          <w:rFonts w:eastAsia="Arial" w:cs="Arial"/>
          <w:color w:val="000000"/>
          <w:shd w:val="clear" w:color="auto" w:fill="FFFFFF"/>
        </w:rPr>
        <w:t xml:space="preserve">qui seront demandés aux candidats </w:t>
      </w:r>
      <w:r w:rsidR="00790CD4" w:rsidRPr="0062522B">
        <w:rPr>
          <w:rFonts w:eastAsia="Arial" w:cs="Arial"/>
          <w:b/>
          <w:color w:val="000000"/>
          <w:shd w:val="clear" w:color="auto" w:fill="FFFFFF"/>
        </w:rPr>
        <w:t xml:space="preserve">postérieurement </w:t>
      </w:r>
      <w:r w:rsidR="00790CD4">
        <w:rPr>
          <w:rFonts w:eastAsia="Arial" w:cs="Arial"/>
          <w:color w:val="000000"/>
          <w:shd w:val="clear" w:color="auto" w:fill="FFFFFF"/>
        </w:rPr>
        <w:t xml:space="preserve">à la remise des offres </w:t>
      </w:r>
      <w:r w:rsidR="00DF5E57">
        <w:rPr>
          <w:rFonts w:eastAsia="Arial" w:cs="Arial"/>
          <w:color w:val="000000"/>
          <w:shd w:val="clear" w:color="auto" w:fill="FFFFFF"/>
        </w:rPr>
        <w:t>après avoir vérifié que</w:t>
      </w:r>
      <w:r w:rsidR="00790CD4">
        <w:rPr>
          <w:rFonts w:eastAsia="Arial" w:cs="Arial"/>
          <w:color w:val="000000"/>
          <w:shd w:val="clear" w:color="auto" w:fill="FFFFFF"/>
        </w:rPr>
        <w:t xml:space="preserve"> celles-ci et leurs candidatures sont recevables.</w:t>
      </w:r>
      <w:r w:rsidR="00DF5E57">
        <w:rPr>
          <w:rFonts w:eastAsia="Arial" w:cs="Arial"/>
          <w:color w:val="000000"/>
          <w:shd w:val="clear" w:color="auto" w:fill="FFFFFF"/>
        </w:rPr>
        <w:t xml:space="preserve"> Le défaut de remise des échantillons au</w:t>
      </w:r>
      <w:r w:rsidR="00DF5E57" w:rsidRPr="00DF5E57">
        <w:t xml:space="preserve"> </w:t>
      </w:r>
      <w:r w:rsidR="00DF5E57" w:rsidRPr="00DF5E57">
        <w:rPr>
          <w:rFonts w:eastAsia="Arial" w:cs="Arial"/>
          <w:color w:val="000000"/>
          <w:shd w:val="clear" w:color="auto" w:fill="FFFFFF"/>
        </w:rPr>
        <w:t>Centre Hospitalier de Billom, 3 Boulevard Saint-Roch, 63160 Billom</w:t>
      </w:r>
      <w:r w:rsidR="00DF5E57">
        <w:rPr>
          <w:rFonts w:eastAsia="Arial" w:cs="Arial"/>
          <w:color w:val="000000"/>
          <w:shd w:val="clear" w:color="auto" w:fill="FFFFFF"/>
        </w:rPr>
        <w:t xml:space="preserve"> entraînera le rejet de l’offre.</w:t>
      </w:r>
      <w:bookmarkStart w:id="10" w:name="_GoBack"/>
      <w:bookmarkEnd w:id="10"/>
    </w:p>
    <w:p w:rsidR="006E4700" w:rsidRDefault="006E4700"/>
    <w:p w:rsidR="00F90710" w:rsidRDefault="005A6303" w:rsidP="00756CDE">
      <w:pPr>
        <w:pStyle w:val="Titre2"/>
        <w:numPr>
          <w:ilvl w:val="1"/>
          <w:numId w:val="15"/>
        </w:numPr>
      </w:pPr>
      <w:r>
        <w:t>Examen des offres</w:t>
      </w:r>
    </w:p>
    <w:p w:rsidR="00F90710" w:rsidRDefault="005A6303">
      <w:r>
        <w:rPr>
          <w:rFonts w:eastAsia="Arial" w:cs="Arial"/>
          <w:color w:val="000000"/>
          <w:shd w:val="clear" w:color="auto" w:fill="FFFFFF"/>
        </w:rPr>
        <w:t xml:space="preserve">Les offres inappropriées, irrégulières ou inacceptables, sont éliminées. </w:t>
      </w:r>
    </w:p>
    <w:p w:rsidR="00F90710" w:rsidRDefault="005A6303">
      <w:r>
        <w:rPr>
          <w:rFonts w:eastAsia="Arial" w:cs="Arial"/>
          <w:color w:val="000000"/>
          <w:shd w:val="clear" w:color="auto" w:fill="FFFFFF"/>
        </w:rPr>
        <w:t>Toutefois, l'acheteur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w:t>
      </w:r>
    </w:p>
    <w:p w:rsidR="00F90710" w:rsidRDefault="005A6303">
      <w:r>
        <w:rPr>
          <w:rFonts w:eastAsia="Arial" w:cs="Arial"/>
          <w:color w:val="000000"/>
          <w:shd w:val="clear" w:color="auto" w:fill="FFFFFF"/>
        </w:rPr>
        <w:t>L'acheteur peut demander aux soumissionnaires de préciser la teneur de leur offre.</w:t>
      </w:r>
    </w:p>
    <w:p w:rsidR="00F90710" w:rsidRDefault="005A6303">
      <w:r>
        <w:rPr>
          <w:rFonts w:eastAsia="Arial" w:cs="Arial"/>
          <w:color w:val="000000"/>
          <w:shd w:val="clear" w:color="auto" w:fill="FFFFFF"/>
        </w:rPr>
        <w:t>Cette demande ne peut ni aboutir à une négociation ni à une modification de l'offre.</w:t>
      </w:r>
    </w:p>
    <w:p w:rsidR="00F90710" w:rsidRDefault="005A6303" w:rsidP="00756CDE">
      <w:pPr>
        <w:pStyle w:val="Titre2"/>
        <w:numPr>
          <w:ilvl w:val="1"/>
          <w:numId w:val="15"/>
        </w:numPr>
      </w:pPr>
      <w:r>
        <w:t xml:space="preserve">Critères d'attribution </w:t>
      </w:r>
    </w:p>
    <w:p w:rsidR="00F90710" w:rsidRDefault="005A6303">
      <w:r>
        <w:rPr>
          <w:rFonts w:eastAsia="Arial" w:cs="Arial"/>
          <w:color w:val="000000"/>
          <w:shd w:val="clear" w:color="auto" w:fill="FFFFFF"/>
        </w:rPr>
        <w:t>Les critères d'attribution sont énoncés dans le cahier des charges. </w:t>
      </w:r>
    </w:p>
    <w:p w:rsidR="00F90710" w:rsidRDefault="005A6303">
      <w:pPr>
        <w:rPr>
          <w:rFonts w:eastAsia="Arial" w:cs="Arial"/>
          <w:b/>
          <w:color w:val="000000"/>
          <w:szCs w:val="20"/>
        </w:rPr>
      </w:pPr>
      <w:r>
        <w:rPr>
          <w:rFonts w:eastAsia="Arial" w:cs="Arial"/>
          <w:b/>
          <w:color w:val="000000"/>
          <w:shd w:val="clear" w:color="auto" w:fill="FFFFFF"/>
        </w:rPr>
        <w:t>Critè</w:t>
      </w:r>
      <w:r w:rsidR="00A66EAB">
        <w:rPr>
          <w:rFonts w:eastAsia="Arial" w:cs="Arial"/>
          <w:b/>
          <w:color w:val="000000"/>
          <w:shd w:val="clear" w:color="auto" w:fill="FFFFFF"/>
        </w:rPr>
        <w:t>re 1) le prix : pondération 4</w:t>
      </w:r>
      <w:r>
        <w:rPr>
          <w:rFonts w:eastAsia="Arial" w:cs="Arial"/>
          <w:b/>
          <w:color w:val="000000"/>
          <w:shd w:val="clear" w:color="auto" w:fill="FFFFFF"/>
        </w:rPr>
        <w:t>0%</w:t>
      </w:r>
    </w:p>
    <w:p w:rsidR="00F90710" w:rsidRDefault="005A6303">
      <w:pPr>
        <w:rPr>
          <w:rFonts w:eastAsia="Arial" w:cs="Arial"/>
          <w:b/>
          <w:color w:val="000000"/>
          <w:shd w:val="clear" w:color="auto" w:fill="FFFFFF"/>
        </w:rPr>
      </w:pPr>
      <w:r>
        <w:rPr>
          <w:rFonts w:eastAsia="Arial" w:cs="Arial"/>
          <w:b/>
          <w:color w:val="000000"/>
          <w:shd w:val="clear" w:color="auto" w:fill="FFFFFF"/>
        </w:rPr>
        <w:t>Critère 2) La qualité des mesures mises en place pour s’assurer de la qualité de</w:t>
      </w:r>
      <w:r w:rsidR="00096953">
        <w:rPr>
          <w:rFonts w:eastAsia="Arial" w:cs="Arial"/>
          <w:b/>
          <w:color w:val="000000"/>
          <w:shd w:val="clear" w:color="auto" w:fill="FFFFFF"/>
        </w:rPr>
        <w:t xml:space="preserve"> </w:t>
      </w:r>
      <w:r>
        <w:rPr>
          <w:rFonts w:eastAsia="Arial" w:cs="Arial"/>
          <w:b/>
          <w:color w:val="000000"/>
          <w:shd w:val="clear" w:color="auto" w:fill="FFFFFF"/>
        </w:rPr>
        <w:t>la prestation (qualité des repas</w:t>
      </w:r>
      <w:r w:rsidR="00A66EAB">
        <w:rPr>
          <w:rFonts w:eastAsia="Arial" w:cs="Arial"/>
          <w:b/>
          <w:color w:val="000000"/>
          <w:shd w:val="clear" w:color="auto" w:fill="FFFFFF"/>
        </w:rPr>
        <w:t xml:space="preserve">) </w:t>
      </w:r>
      <w:r>
        <w:rPr>
          <w:rFonts w:eastAsia="Arial" w:cs="Arial"/>
          <w:b/>
          <w:color w:val="000000"/>
          <w:shd w:val="clear" w:color="auto" w:fill="FFFFFF"/>
        </w:rPr>
        <w:t xml:space="preserve">et des moyens mis en </w:t>
      </w:r>
      <w:r w:rsidR="00096953">
        <w:rPr>
          <w:rFonts w:eastAsia="Arial" w:cs="Arial"/>
          <w:b/>
          <w:color w:val="000000"/>
          <w:shd w:val="clear" w:color="auto" w:fill="FFFFFF"/>
        </w:rPr>
        <w:t>œuvre</w:t>
      </w:r>
      <w:r>
        <w:rPr>
          <w:rFonts w:eastAsia="Arial" w:cs="Arial"/>
          <w:b/>
          <w:color w:val="000000"/>
          <w:shd w:val="clear" w:color="auto" w:fill="FFFFFF"/>
        </w:rPr>
        <w:t xml:space="preserve"> pour assurer la livraison</w:t>
      </w:r>
      <w:r w:rsidR="006E4700">
        <w:rPr>
          <w:rFonts w:eastAsia="Arial" w:cs="Arial"/>
          <w:b/>
          <w:color w:val="000000"/>
          <w:shd w:val="clear" w:color="auto" w:fill="FFFFFF"/>
        </w:rPr>
        <w:t>)</w:t>
      </w:r>
      <w:r w:rsidR="00A66EAB">
        <w:rPr>
          <w:rFonts w:eastAsia="Arial" w:cs="Arial"/>
          <w:b/>
          <w:color w:val="000000"/>
          <w:shd w:val="clear" w:color="auto" w:fill="FFFFFF"/>
        </w:rPr>
        <w:t> : pondération 1</w:t>
      </w:r>
      <w:r>
        <w:rPr>
          <w:rFonts w:eastAsia="Arial" w:cs="Arial"/>
          <w:b/>
          <w:color w:val="000000"/>
          <w:shd w:val="clear" w:color="auto" w:fill="FFFFFF"/>
        </w:rPr>
        <w:t>0%</w:t>
      </w:r>
    </w:p>
    <w:p w:rsidR="00A66EAB" w:rsidRDefault="0084349A">
      <w:pPr>
        <w:rPr>
          <w:rFonts w:eastAsia="Arial" w:cs="Arial"/>
          <w:b/>
          <w:color w:val="000000"/>
          <w:szCs w:val="20"/>
        </w:rPr>
      </w:pPr>
      <w:r w:rsidRPr="0084349A">
        <w:rPr>
          <w:rFonts w:eastAsia="Arial" w:cs="Arial"/>
          <w:b/>
          <w:color w:val="000000"/>
          <w:shd w:val="clear" w:color="auto" w:fill="FFFFFF"/>
        </w:rPr>
        <w:t xml:space="preserve">Critère 3) </w:t>
      </w:r>
      <w:r w:rsidR="00A66EAB">
        <w:rPr>
          <w:rFonts w:eastAsia="Arial" w:cs="Arial"/>
          <w:b/>
          <w:color w:val="000000"/>
          <w:shd w:val="clear" w:color="auto" w:fill="FFFFFF"/>
        </w:rPr>
        <w:t>Qualité technique des échantillons</w:t>
      </w:r>
      <w:r>
        <w:rPr>
          <w:rFonts w:eastAsia="Arial" w:cs="Arial"/>
          <w:b/>
          <w:color w:val="000000"/>
          <w:shd w:val="clear" w:color="auto" w:fill="FFFFFF"/>
        </w:rPr>
        <w:t xml:space="preserve"> analysée en fonction du</w:t>
      </w:r>
      <w:r w:rsidR="00A66EAB">
        <w:rPr>
          <w:rFonts w:eastAsia="Arial" w:cs="Arial"/>
          <w:b/>
          <w:color w:val="000000"/>
          <w:shd w:val="clear" w:color="auto" w:fill="FFFFFF"/>
        </w:rPr>
        <w:t xml:space="preserve"> Goût,</w:t>
      </w:r>
      <w:r>
        <w:rPr>
          <w:rFonts w:eastAsia="Arial" w:cs="Arial"/>
          <w:b/>
          <w:color w:val="000000"/>
          <w:shd w:val="clear" w:color="auto" w:fill="FFFFFF"/>
        </w:rPr>
        <w:t xml:space="preserve"> de la</w:t>
      </w:r>
      <w:r w:rsidR="00A66EAB">
        <w:rPr>
          <w:rFonts w:eastAsia="Arial" w:cs="Arial"/>
          <w:b/>
          <w:color w:val="000000"/>
          <w:shd w:val="clear" w:color="auto" w:fill="FFFFFF"/>
        </w:rPr>
        <w:t xml:space="preserve"> présentation (visuel)</w:t>
      </w:r>
      <w:r>
        <w:rPr>
          <w:rFonts w:eastAsia="Arial" w:cs="Arial"/>
          <w:b/>
          <w:color w:val="000000"/>
          <w:shd w:val="clear" w:color="auto" w:fill="FFFFFF"/>
        </w:rPr>
        <w:t xml:space="preserve"> et de la texture : pondération </w:t>
      </w:r>
      <w:r w:rsidR="00A66EAB">
        <w:rPr>
          <w:rFonts w:eastAsia="Arial" w:cs="Arial"/>
          <w:b/>
          <w:color w:val="000000"/>
          <w:shd w:val="clear" w:color="auto" w:fill="FFFFFF"/>
        </w:rPr>
        <w:t>30%.</w:t>
      </w:r>
    </w:p>
    <w:p w:rsidR="00F90710" w:rsidRDefault="0084349A">
      <w:pPr>
        <w:rPr>
          <w:rFonts w:eastAsia="Arial" w:cs="Arial"/>
          <w:b/>
          <w:color w:val="000000"/>
          <w:szCs w:val="20"/>
        </w:rPr>
      </w:pPr>
      <w:r>
        <w:rPr>
          <w:rFonts w:eastAsia="Arial" w:cs="Arial"/>
          <w:b/>
          <w:color w:val="000000"/>
          <w:shd w:val="clear" w:color="auto" w:fill="FFFFFF"/>
        </w:rPr>
        <w:t>Critère 4</w:t>
      </w:r>
      <w:r w:rsidR="00096953">
        <w:rPr>
          <w:rFonts w:eastAsia="Arial" w:cs="Arial"/>
          <w:b/>
          <w:color w:val="000000"/>
          <w:shd w:val="clear" w:color="auto" w:fill="FFFFFF"/>
        </w:rPr>
        <w:t>) La qualité des</w:t>
      </w:r>
      <w:r w:rsidR="005A6303">
        <w:rPr>
          <w:rFonts w:eastAsia="Arial" w:cs="Arial"/>
          <w:b/>
          <w:color w:val="000000"/>
          <w:shd w:val="clear" w:color="auto" w:fill="FFFFFF"/>
        </w:rPr>
        <w:t xml:space="preserve"> mesures mises en place pour s’assurer de la continuité de service en abordant les cas la mettant en danger (grève, rupture d’</w:t>
      </w:r>
      <w:r w:rsidR="00096953">
        <w:rPr>
          <w:rFonts w:eastAsia="Arial" w:cs="Arial"/>
          <w:b/>
          <w:color w:val="000000"/>
          <w:shd w:val="clear" w:color="auto" w:fill="FFFFFF"/>
        </w:rPr>
        <w:t>approvisionnement</w:t>
      </w:r>
      <w:r w:rsidR="005A6303">
        <w:rPr>
          <w:rFonts w:eastAsia="Arial" w:cs="Arial"/>
          <w:b/>
          <w:color w:val="000000"/>
          <w:shd w:val="clear" w:color="auto" w:fill="FFFFFF"/>
        </w:rPr>
        <w:t xml:space="preserve"> d’un </w:t>
      </w:r>
      <w:proofErr w:type="gramStart"/>
      <w:r w:rsidR="005A6303">
        <w:rPr>
          <w:rFonts w:eastAsia="Arial" w:cs="Arial"/>
          <w:b/>
          <w:color w:val="000000"/>
          <w:shd w:val="clear" w:color="auto" w:fill="FFFFFF"/>
        </w:rPr>
        <w:t>produit,...</w:t>
      </w:r>
      <w:proofErr w:type="gramEnd"/>
      <w:r w:rsidR="005A6303">
        <w:rPr>
          <w:rFonts w:eastAsia="Arial" w:cs="Arial"/>
          <w:b/>
          <w:color w:val="000000"/>
          <w:shd w:val="clear" w:color="auto" w:fill="FFFFFF"/>
        </w:rPr>
        <w:t>)  : pondération 10%</w:t>
      </w:r>
    </w:p>
    <w:p w:rsidR="00F90710" w:rsidRDefault="0084349A">
      <w:r>
        <w:rPr>
          <w:rFonts w:eastAsia="Arial" w:cs="Arial"/>
          <w:b/>
          <w:color w:val="000000"/>
          <w:shd w:val="clear" w:color="auto" w:fill="FFFFFF"/>
        </w:rPr>
        <w:t>Critère 5</w:t>
      </w:r>
      <w:r w:rsidR="00096953">
        <w:rPr>
          <w:rFonts w:eastAsia="Arial" w:cs="Arial"/>
          <w:b/>
          <w:color w:val="000000"/>
          <w:shd w:val="clear" w:color="auto" w:fill="FFFFFF"/>
        </w:rPr>
        <w:t>) Qualité de</w:t>
      </w:r>
      <w:r w:rsidR="005A6303">
        <w:rPr>
          <w:rFonts w:eastAsia="Arial" w:cs="Arial"/>
          <w:b/>
          <w:color w:val="000000"/>
          <w:shd w:val="clear" w:color="auto" w:fill="FFFFFF"/>
        </w:rPr>
        <w:t>s</w:t>
      </w:r>
      <w:r w:rsidR="00096953">
        <w:rPr>
          <w:rFonts w:eastAsia="Arial" w:cs="Arial"/>
          <w:b/>
          <w:color w:val="000000"/>
          <w:shd w:val="clear" w:color="auto" w:fill="FFFFFF"/>
        </w:rPr>
        <w:t xml:space="preserve"> </w:t>
      </w:r>
      <w:r w:rsidR="005A6303">
        <w:rPr>
          <w:rFonts w:eastAsia="Arial" w:cs="Arial"/>
          <w:b/>
          <w:color w:val="000000"/>
          <w:shd w:val="clear" w:color="auto" w:fill="FFFFFF"/>
        </w:rPr>
        <w:t>mesures mises en place pour éviter le « </w:t>
      </w:r>
      <w:r w:rsidR="00096953">
        <w:rPr>
          <w:rFonts w:eastAsia="Arial" w:cs="Arial"/>
          <w:b/>
          <w:color w:val="000000"/>
          <w:shd w:val="clear" w:color="auto" w:fill="FFFFFF"/>
        </w:rPr>
        <w:t>gâchis</w:t>
      </w:r>
      <w:r w:rsidR="005A6303">
        <w:rPr>
          <w:rFonts w:eastAsia="Arial" w:cs="Arial"/>
          <w:b/>
          <w:color w:val="000000"/>
          <w:shd w:val="clear" w:color="auto" w:fill="FFFFFF"/>
        </w:rPr>
        <w:t xml:space="preserve"> » des denrées alimentaires et pour s’assurer de l’impact environnemental le plus réduit </w:t>
      </w:r>
      <w:proofErr w:type="gramStart"/>
      <w:r w:rsidR="005A6303">
        <w:rPr>
          <w:rFonts w:eastAsia="Arial" w:cs="Arial"/>
          <w:b/>
          <w:color w:val="000000"/>
          <w:shd w:val="clear" w:color="auto" w:fill="FFFFFF"/>
        </w:rPr>
        <w:t>provoqué</w:t>
      </w:r>
      <w:proofErr w:type="gramEnd"/>
      <w:r w:rsidR="005A6303">
        <w:rPr>
          <w:rFonts w:eastAsia="Arial" w:cs="Arial"/>
          <w:b/>
          <w:color w:val="000000"/>
          <w:shd w:val="clear" w:color="auto" w:fill="FFFFFF"/>
        </w:rPr>
        <w:t xml:space="preserve"> par la livraison des repas : pondération 10%</w:t>
      </w:r>
    </w:p>
    <w:p w:rsidR="00F90710" w:rsidRDefault="005A6303">
      <w:r>
        <w:rPr>
          <w:shd w:val="clear" w:color="auto" w:fill="FFFFFF"/>
        </w:rPr>
        <w:t>    </w:t>
      </w:r>
    </w:p>
    <w:p w:rsidR="00F90710" w:rsidRDefault="005A6303" w:rsidP="00756CDE">
      <w:pPr>
        <w:pStyle w:val="Titre2"/>
        <w:numPr>
          <w:ilvl w:val="1"/>
          <w:numId w:val="15"/>
        </w:numPr>
      </w:pPr>
      <w:r>
        <w:t>Méthode de notation des offres</w:t>
      </w:r>
    </w:p>
    <w:p w:rsidR="00F90710" w:rsidRDefault="00096953">
      <w:pPr>
        <w:rPr>
          <w:rFonts w:eastAsia="Arial" w:cs="Arial"/>
          <w:color w:val="000000"/>
          <w:u w:val="single"/>
          <w:shd w:val="clear" w:color="auto" w:fill="FFFFFF"/>
        </w:rPr>
      </w:pPr>
      <w:r>
        <w:rPr>
          <w:rFonts w:eastAsia="Arial" w:cs="Arial"/>
          <w:color w:val="000000"/>
          <w:u w:val="single"/>
          <w:shd w:val="clear" w:color="auto" w:fill="FFFFFF"/>
        </w:rPr>
        <w:t>Méthode de notation de</w:t>
      </w:r>
      <w:r w:rsidR="005A6303">
        <w:rPr>
          <w:rFonts w:eastAsia="Arial" w:cs="Arial"/>
          <w:color w:val="000000"/>
          <w:u w:val="single"/>
          <w:shd w:val="clear" w:color="auto" w:fill="FFFFFF"/>
        </w:rPr>
        <w:t xml:space="preserve"> </w:t>
      </w:r>
      <w:r>
        <w:rPr>
          <w:rFonts w:eastAsia="Arial" w:cs="Arial"/>
          <w:color w:val="000000"/>
          <w:u w:val="single"/>
          <w:shd w:val="clear" w:color="auto" w:fill="FFFFFF"/>
        </w:rPr>
        <w:t xml:space="preserve">chaque </w:t>
      </w:r>
      <w:r w:rsidR="005A6303">
        <w:rPr>
          <w:rFonts w:eastAsia="Arial" w:cs="Arial"/>
          <w:color w:val="000000"/>
          <w:u w:val="single"/>
          <w:shd w:val="clear" w:color="auto" w:fill="FFFFFF"/>
        </w:rPr>
        <w:t>critère technique :</w:t>
      </w:r>
    </w:p>
    <w:p w:rsidR="0084349A" w:rsidRPr="0084349A" w:rsidRDefault="0084349A">
      <w:r w:rsidRPr="0084349A">
        <w:rPr>
          <w:rFonts w:eastAsia="Arial" w:cs="Arial"/>
          <w:color w:val="000000"/>
          <w:shd w:val="clear" w:color="auto" w:fill="FFFFFF"/>
        </w:rPr>
        <w:t>Chronologiquement la notation se déroule ain</w:t>
      </w:r>
      <w:r>
        <w:rPr>
          <w:rFonts w:eastAsia="Arial" w:cs="Arial"/>
          <w:color w:val="000000"/>
          <w:shd w:val="clear" w:color="auto" w:fill="FFFFFF"/>
        </w:rPr>
        <w:t>s</w:t>
      </w:r>
      <w:r w:rsidRPr="0084349A">
        <w:rPr>
          <w:rFonts w:eastAsia="Arial" w:cs="Arial"/>
          <w:color w:val="000000"/>
          <w:shd w:val="clear" w:color="auto" w:fill="FFFFFF"/>
        </w:rPr>
        <w:t>i</w:t>
      </w:r>
      <w:r>
        <w:rPr>
          <w:rFonts w:eastAsia="Arial" w:cs="Arial"/>
          <w:color w:val="000000"/>
          <w:shd w:val="clear" w:color="auto" w:fill="FFFFFF"/>
        </w:rPr>
        <w:t> :</w:t>
      </w:r>
    </w:p>
    <w:p w:rsidR="00096953" w:rsidRPr="00096953" w:rsidRDefault="005A6303" w:rsidP="00096953">
      <w:pPr>
        <w:pStyle w:val="Paragraphedeliste"/>
        <w:numPr>
          <w:ilvl w:val="0"/>
          <w:numId w:val="17"/>
        </w:numPr>
      </w:pPr>
      <w:r w:rsidRPr="00096953">
        <w:rPr>
          <w:rFonts w:eastAsia="Arial" w:cs="Arial"/>
          <w:color w:val="000000"/>
          <w:shd w:val="clear" w:color="auto" w:fill="FFFFFF"/>
        </w:rPr>
        <w:t>Chaque critère technique sera jugé en attribuant de</w:t>
      </w:r>
      <w:r w:rsidR="00A05E5E" w:rsidRPr="00096953">
        <w:rPr>
          <w:rFonts w:eastAsia="Arial" w:cs="Arial"/>
          <w:color w:val="000000"/>
          <w:shd w:val="clear" w:color="auto" w:fill="FFFFFF"/>
        </w:rPr>
        <w:t>s notes de 0 à 10</w:t>
      </w:r>
      <w:r w:rsidRPr="00096953">
        <w:rPr>
          <w:rFonts w:eastAsia="Arial" w:cs="Arial"/>
          <w:color w:val="000000"/>
          <w:shd w:val="clear" w:color="auto" w:fill="FFFFFF"/>
        </w:rPr>
        <w:t xml:space="preserve"> </w:t>
      </w:r>
      <w:r w:rsidR="00A05E5E" w:rsidRPr="00096953">
        <w:rPr>
          <w:rFonts w:eastAsia="Arial" w:cs="Arial"/>
          <w:color w:val="000000"/>
          <w:shd w:val="clear" w:color="auto" w:fill="FFFFFF"/>
        </w:rPr>
        <w:t xml:space="preserve">(Le pouvoir adjudicateur attribuera une note de zéro à un critère dès lors que le soumissionnaire n’a pas fourni les informations lui permettant d’apprécier la valeur de l’offre au regard du critère). </w:t>
      </w:r>
    </w:p>
    <w:p w:rsidR="00F90710" w:rsidRPr="003756DA" w:rsidRDefault="003756DA" w:rsidP="00096953">
      <w:pPr>
        <w:pStyle w:val="Paragraphedeliste"/>
        <w:numPr>
          <w:ilvl w:val="0"/>
          <w:numId w:val="17"/>
        </w:numPr>
      </w:pPr>
      <w:r>
        <w:rPr>
          <w:rFonts w:eastAsia="Arial" w:cs="Arial"/>
          <w:color w:val="000000"/>
          <w:shd w:val="clear" w:color="auto" w:fill="FFFFFF"/>
        </w:rPr>
        <w:lastRenderedPageBreak/>
        <w:t>Puis, p</w:t>
      </w:r>
      <w:r w:rsidR="005A6303" w:rsidRPr="00096953">
        <w:rPr>
          <w:rFonts w:eastAsia="Arial" w:cs="Arial"/>
          <w:color w:val="000000"/>
          <w:shd w:val="clear" w:color="auto" w:fill="FFFFFF"/>
        </w:rPr>
        <w:t xml:space="preserve">our chaque critère technique l’offre ayant obtenu la meilleure note verra sa note portée à 10 et les autres notes seront réévaluées par application du coefficient </w:t>
      </w:r>
      <w:r>
        <w:rPr>
          <w:rFonts w:eastAsia="Arial" w:cs="Arial"/>
          <w:color w:val="000000"/>
          <w:shd w:val="clear" w:color="auto" w:fill="FFFFFF"/>
        </w:rPr>
        <w:t>suivant :</w:t>
      </w:r>
    </w:p>
    <w:p w:rsidR="003756DA" w:rsidRDefault="003756DA" w:rsidP="003756DA">
      <w:pPr>
        <w:pStyle w:val="Paragraphedeliste"/>
        <w:rPr>
          <w:rFonts w:eastAsia="Arial" w:cs="Arial"/>
          <w:color w:val="000000"/>
          <w:shd w:val="clear" w:color="auto" w:fill="FFFFFF"/>
        </w:rPr>
      </w:pPr>
    </w:p>
    <w:p w:rsidR="003756DA" w:rsidRDefault="003756DA" w:rsidP="003756DA">
      <w:pPr>
        <w:pStyle w:val="Paragraphedeliste"/>
        <w:rPr>
          <w:rFonts w:eastAsia="Arial" w:cs="Arial"/>
          <w:color w:val="000000"/>
          <w:shd w:val="clear" w:color="auto" w:fill="FFFFFF"/>
        </w:rPr>
      </w:pPr>
      <w:r w:rsidRPr="003756DA">
        <w:rPr>
          <w:rFonts w:eastAsia="Arial" w:cs="Arial"/>
          <w:color w:val="000000"/>
          <w:shd w:val="clear" w:color="auto" w:fill="FFFFFF"/>
        </w:rPr>
        <w:t>Coefficient de pondération</w:t>
      </w:r>
      <w:r>
        <w:rPr>
          <w:rFonts w:eastAsia="Arial" w:cs="Arial"/>
          <w:color w:val="000000"/>
          <w:shd w:val="clear" w:color="auto" w:fill="FFFFFF"/>
        </w:rPr>
        <w:t xml:space="preserve"> = 10 / meilleure note sur 10 obtenue</w:t>
      </w:r>
    </w:p>
    <w:p w:rsidR="003756DA" w:rsidRDefault="003756DA" w:rsidP="003756DA">
      <w:pPr>
        <w:pStyle w:val="Paragraphedeliste"/>
        <w:rPr>
          <w:rFonts w:eastAsia="Arial" w:cs="Arial"/>
          <w:color w:val="000000"/>
          <w:shd w:val="clear" w:color="auto" w:fill="FFFFFF"/>
        </w:rPr>
      </w:pPr>
    </w:p>
    <w:p w:rsidR="003756DA" w:rsidRPr="00096953" w:rsidRDefault="003756DA" w:rsidP="003756DA">
      <w:pPr>
        <w:pStyle w:val="Paragraphedeliste"/>
      </w:pPr>
    </w:p>
    <w:p w:rsidR="00096953" w:rsidRDefault="003756DA" w:rsidP="00096953">
      <w:pPr>
        <w:pStyle w:val="Paragraphedeliste"/>
        <w:numPr>
          <w:ilvl w:val="0"/>
          <w:numId w:val="17"/>
        </w:numPr>
      </w:pPr>
      <w:r>
        <w:t>Ensuite, p</w:t>
      </w:r>
      <w:r w:rsidR="0084349A">
        <w:t>our le critère 3</w:t>
      </w:r>
      <w:r w:rsidR="00096953" w:rsidRPr="00096953">
        <w:t xml:space="preserve"> la note ainsi obtenue</w:t>
      </w:r>
      <w:r w:rsidR="0084349A">
        <w:t xml:space="preserve"> sera multipliée par 3 pour obtenir une note /3</w:t>
      </w:r>
      <w:r w:rsidR="00096953" w:rsidRPr="00096953">
        <w:t>0.</w:t>
      </w:r>
      <w:r w:rsidR="00096953">
        <w:t xml:space="preserve"> </w:t>
      </w:r>
      <w:r w:rsidR="0084349A">
        <w:t>Pour les critères 2, 4 et 5</w:t>
      </w:r>
      <w:r w:rsidR="00096953" w:rsidRPr="00096953">
        <w:t>, les notes sur 10</w:t>
      </w:r>
      <w:r w:rsidR="00096953">
        <w:t xml:space="preserve"> restent inchangées</w:t>
      </w:r>
      <w:r>
        <w:t>.</w:t>
      </w:r>
    </w:p>
    <w:p w:rsidR="00096953" w:rsidRDefault="00096953" w:rsidP="00096953"/>
    <w:p w:rsidR="00F90710" w:rsidRDefault="005A6303">
      <w:r>
        <w:rPr>
          <w:rFonts w:eastAsia="Arial" w:cs="Arial"/>
          <w:color w:val="000000"/>
          <w:u w:val="single"/>
          <w:shd w:val="clear" w:color="auto" w:fill="FFFFFF"/>
        </w:rPr>
        <w:t>Méthode de notation du critère prix :</w:t>
      </w:r>
    </w:p>
    <w:p w:rsidR="00F90710" w:rsidRDefault="005A6303">
      <w:r>
        <w:rPr>
          <w:rFonts w:eastAsia="Arial" w:cs="Arial"/>
          <w:color w:val="000000"/>
          <w:shd w:val="clear" w:color="auto" w:fill="FFFFFF"/>
        </w:rPr>
        <w:t>Note = (montant du DQE le plus bas/montant du DQE examiné) x 60</w:t>
      </w:r>
    </w:p>
    <w:p w:rsidR="00F90710" w:rsidRDefault="00F90710">
      <w:pPr>
        <w:rPr>
          <w:shd w:val="clear" w:color="auto" w:fill="FFFFFF"/>
        </w:rPr>
      </w:pPr>
    </w:p>
    <w:p w:rsidR="00096953" w:rsidRPr="00096953" w:rsidRDefault="00096953">
      <w:pPr>
        <w:rPr>
          <w:b/>
          <w:u w:val="single"/>
          <w:shd w:val="clear" w:color="auto" w:fill="FFFFFF"/>
        </w:rPr>
      </w:pPr>
      <w:r w:rsidRPr="00096953">
        <w:rPr>
          <w:b/>
          <w:u w:val="single"/>
          <w:shd w:val="clear" w:color="auto" w:fill="FFFFFF"/>
        </w:rPr>
        <w:t>Notation finale de l’Offre</w:t>
      </w:r>
    </w:p>
    <w:p w:rsidR="00096953" w:rsidRDefault="00096953">
      <w:r>
        <w:t>La note finale/100 sera obtenue par l’addition pour chaque soumissionnaire des notes techniques et de la note du prix</w:t>
      </w:r>
    </w:p>
    <w:p w:rsidR="00F90710" w:rsidRDefault="005A6303">
      <w:r>
        <w:rPr>
          <w:shd w:val="clear" w:color="auto" w:fill="FFFFFF"/>
        </w:rPr>
        <w:t>    </w:t>
      </w:r>
    </w:p>
    <w:p w:rsidR="00F90710" w:rsidRDefault="005A6303" w:rsidP="00756CDE">
      <w:pPr>
        <w:pStyle w:val="Titre2"/>
        <w:numPr>
          <w:ilvl w:val="1"/>
          <w:numId w:val="15"/>
        </w:numPr>
      </w:pPr>
      <w:r>
        <w:t>Durée de validité des offres</w:t>
      </w:r>
    </w:p>
    <w:p w:rsidR="00F90710" w:rsidRDefault="0096202A">
      <w:r>
        <w:rPr>
          <w:rFonts w:eastAsia="Arial" w:cs="Arial"/>
          <w:color w:val="000000"/>
          <w:shd w:val="clear" w:color="auto" w:fill="FFFFFF"/>
        </w:rPr>
        <w:t>La durée de validité des offres est précisée dans l’avis d’appel public à la concurrence</w:t>
      </w:r>
      <w:r w:rsidR="00D4435C">
        <w:rPr>
          <w:rFonts w:eastAsia="Arial" w:cs="Arial"/>
          <w:color w:val="000000"/>
          <w:shd w:val="clear" w:color="auto" w:fill="FFFFFF"/>
        </w:rPr>
        <w:t xml:space="preserve"> et l’acte d’engagement</w:t>
      </w:r>
      <w:r>
        <w:rPr>
          <w:rFonts w:eastAsia="Arial" w:cs="Arial"/>
          <w:color w:val="000000"/>
          <w:shd w:val="clear" w:color="auto" w:fill="FFFFFF"/>
        </w:rPr>
        <w:t>.</w:t>
      </w:r>
    </w:p>
    <w:p w:rsidR="00F90710" w:rsidRDefault="005A6303">
      <w:r>
        <w:rPr>
          <w:rFonts w:eastAsia="Arial" w:cs="Arial"/>
          <w:color w:val="000000"/>
          <w:shd w:val="clear" w:color="auto" w:fill="FFFFFF"/>
        </w:rPr>
        <w:t>En tant que de besoin, l'acheteur peut solliciter des candidats ou des soumissionnaires la prorogation du délai de validité des offres.</w:t>
      </w:r>
    </w:p>
    <w:p w:rsidR="00F90710" w:rsidRDefault="005A6303">
      <w:r>
        <w:rPr>
          <w:rFonts w:eastAsia="Arial" w:cs="Arial"/>
          <w:color w:val="000000"/>
          <w:shd w:val="clear" w:color="auto" w:fill="FFFFFF"/>
        </w:rPr>
        <w:t>Pour ce faire il transmet, pour accord, sa demande à l'ensemble des candidats ou soumissionnaires via la plateforme PLACE. La demande précise la durée de prorogation de la validité des offres.</w:t>
      </w:r>
    </w:p>
    <w:p w:rsidR="00F90710" w:rsidRDefault="005A6303">
      <w:r>
        <w:rPr>
          <w:rFonts w:eastAsia="Arial" w:cs="Arial"/>
          <w:color w:val="000000"/>
          <w:shd w:val="clear" w:color="auto" w:fill="FFFFFF"/>
        </w:rPr>
        <w:t>Si le candidat ou le soumissionnaire n'accepte pas de maintenir son offre, l'acheteur poursuit la procédure avec les seuls candidats ou soumissionnaires ayant accepté la prorogation du délai de validité de leur offre.</w:t>
      </w:r>
    </w:p>
    <w:p w:rsidR="00F90710" w:rsidRDefault="005A6303" w:rsidP="00756CDE">
      <w:pPr>
        <w:pStyle w:val="Titre2"/>
        <w:numPr>
          <w:ilvl w:val="1"/>
          <w:numId w:val="15"/>
        </w:numPr>
      </w:pPr>
      <w:r>
        <w:t>Echantillons</w:t>
      </w:r>
    </w:p>
    <w:p w:rsidR="00F90710" w:rsidRPr="0084349A" w:rsidRDefault="0084349A">
      <w:pPr>
        <w:rPr>
          <w:rFonts w:eastAsia="Arial" w:cs="Arial"/>
          <w:color w:val="000000"/>
          <w:shd w:val="clear" w:color="auto" w:fill="FFFFFF"/>
        </w:rPr>
      </w:pPr>
      <w:r w:rsidRPr="0084349A">
        <w:rPr>
          <w:rFonts w:eastAsia="Arial" w:cs="Arial"/>
          <w:color w:val="000000"/>
          <w:shd w:val="clear" w:color="auto" w:fill="FFFFFF"/>
        </w:rPr>
        <w:t xml:space="preserve">Chaque candidat dont la candidature est recevable et l’offre régulière, le cas échéant après régularisation recevra un courrier lui demandant de fournir à une date fixe </w:t>
      </w:r>
      <w:r w:rsidR="006E4700" w:rsidRPr="0084349A">
        <w:rPr>
          <w:rFonts w:eastAsia="Arial" w:cs="Arial"/>
          <w:color w:val="000000"/>
          <w:shd w:val="clear" w:color="auto" w:fill="FFFFFF"/>
        </w:rPr>
        <w:t>4 barquettes</w:t>
      </w:r>
      <w:r w:rsidRPr="0084349A">
        <w:rPr>
          <w:rFonts w:eastAsia="Arial" w:cs="Arial"/>
          <w:color w:val="000000"/>
          <w:shd w:val="clear" w:color="auto" w:fill="FFFFFF"/>
        </w:rPr>
        <w:t xml:space="preserve"> contenant respectivement 1</w:t>
      </w:r>
      <w:r w:rsidR="006E4700" w:rsidRPr="0084349A">
        <w:rPr>
          <w:rFonts w:eastAsia="Arial" w:cs="Arial"/>
          <w:color w:val="000000"/>
          <w:shd w:val="clear" w:color="auto" w:fill="FFFFFF"/>
        </w:rPr>
        <w:t xml:space="preserve"> viande</w:t>
      </w:r>
      <w:r w:rsidRPr="0084349A">
        <w:rPr>
          <w:rFonts w:eastAsia="Arial" w:cs="Arial"/>
          <w:color w:val="000000"/>
          <w:shd w:val="clear" w:color="auto" w:fill="FFFFFF"/>
        </w:rPr>
        <w:t>,</w:t>
      </w:r>
      <w:r w:rsidR="006E4700" w:rsidRPr="0084349A">
        <w:rPr>
          <w:rFonts w:eastAsia="Arial" w:cs="Arial"/>
          <w:color w:val="000000"/>
          <w:shd w:val="clear" w:color="auto" w:fill="FFFFFF"/>
        </w:rPr>
        <w:t xml:space="preserve"> </w:t>
      </w:r>
      <w:r w:rsidRPr="0084349A">
        <w:rPr>
          <w:rFonts w:eastAsia="Arial" w:cs="Arial"/>
          <w:color w:val="000000"/>
          <w:shd w:val="clear" w:color="auto" w:fill="FFFFFF"/>
        </w:rPr>
        <w:t>1 poisson, 1</w:t>
      </w:r>
      <w:r w:rsidR="006E4700" w:rsidRPr="0084349A">
        <w:rPr>
          <w:rFonts w:eastAsia="Arial" w:cs="Arial"/>
          <w:color w:val="000000"/>
          <w:shd w:val="clear" w:color="auto" w:fill="FFFFFF"/>
        </w:rPr>
        <w:t xml:space="preserve"> féculent 1 légume dans des barquettes uni portion. </w:t>
      </w:r>
      <w:r w:rsidRPr="0084349A">
        <w:rPr>
          <w:rFonts w:eastAsia="Arial" w:cs="Arial"/>
          <w:color w:val="000000"/>
          <w:shd w:val="clear" w:color="auto" w:fill="FFFFFF"/>
        </w:rPr>
        <w:t xml:space="preserve">Le courrier précisera la date d </w:t>
      </w:r>
      <w:proofErr w:type="spellStart"/>
      <w:r w:rsidRPr="0084349A">
        <w:rPr>
          <w:rFonts w:eastAsia="Arial" w:cs="Arial"/>
          <w:color w:val="000000"/>
          <w:shd w:val="clear" w:color="auto" w:fill="FFFFFF"/>
        </w:rPr>
        <w:t>elivraison</w:t>
      </w:r>
      <w:proofErr w:type="spellEnd"/>
      <w:r w:rsidRPr="0084349A">
        <w:rPr>
          <w:rFonts w:eastAsia="Arial" w:cs="Arial"/>
          <w:color w:val="000000"/>
          <w:shd w:val="clear" w:color="auto" w:fill="FFFFFF"/>
        </w:rPr>
        <w:t xml:space="preserve">. Cette dernière devra avoir lieu </w:t>
      </w:r>
      <w:r w:rsidR="006E4700" w:rsidRPr="0084349A">
        <w:rPr>
          <w:rFonts w:eastAsia="Arial" w:cs="Arial"/>
          <w:color w:val="000000"/>
          <w:shd w:val="clear" w:color="auto" w:fill="FFFFFF"/>
        </w:rPr>
        <w:t>au CH de Billom</w:t>
      </w:r>
      <w:r w:rsidRPr="0084349A">
        <w:rPr>
          <w:rFonts w:eastAsia="Arial" w:cs="Arial"/>
          <w:color w:val="000000"/>
          <w:shd w:val="clear" w:color="auto" w:fill="FFFFFF"/>
        </w:rPr>
        <w:t>.</w:t>
      </w:r>
    </w:p>
    <w:p w:rsidR="006E4700" w:rsidRPr="0084349A" w:rsidRDefault="006E4700">
      <w:pPr>
        <w:rPr>
          <w:rFonts w:eastAsia="Arial" w:cs="Arial"/>
          <w:color w:val="000000"/>
          <w:shd w:val="clear" w:color="auto" w:fill="FFFFFF"/>
        </w:rPr>
      </w:pPr>
      <w:r w:rsidRPr="0084349A">
        <w:rPr>
          <w:rFonts w:eastAsia="Arial" w:cs="Arial"/>
          <w:color w:val="000000"/>
          <w:shd w:val="clear" w:color="auto" w:fill="FFFFFF"/>
        </w:rPr>
        <w:t>Les échantillons après avoir été réchauffés seront consommés</w:t>
      </w:r>
    </w:p>
    <w:p w:rsidR="006E4700" w:rsidRDefault="006E4700">
      <w:pPr>
        <w:rPr>
          <w:rFonts w:eastAsia="Arial" w:cs="Arial"/>
          <w:color w:val="000000"/>
          <w:shd w:val="clear" w:color="auto" w:fill="FFFFFF"/>
        </w:rPr>
      </w:pPr>
      <w:r w:rsidRPr="0084349A">
        <w:rPr>
          <w:rFonts w:eastAsia="Arial" w:cs="Arial"/>
          <w:color w:val="000000"/>
          <w:shd w:val="clear" w:color="auto" w:fill="FFFFFF"/>
        </w:rPr>
        <w:t>Ils sont fournis à titre gratuit</w:t>
      </w:r>
    </w:p>
    <w:p w:rsidR="006E4700" w:rsidRDefault="0084349A">
      <w:pPr>
        <w:rPr>
          <w:rFonts w:eastAsia="Arial" w:cs="Arial"/>
          <w:color w:val="000000"/>
          <w:shd w:val="clear" w:color="auto" w:fill="FFFFFF"/>
        </w:rPr>
      </w:pPr>
      <w:r>
        <w:rPr>
          <w:rFonts w:eastAsia="Arial" w:cs="Arial"/>
          <w:color w:val="000000"/>
          <w:shd w:val="clear" w:color="auto" w:fill="FFFFFF"/>
        </w:rPr>
        <w:t>Leur consommation servira pour l’application du critère de choix</w:t>
      </w:r>
    </w:p>
    <w:p w:rsidR="006E4700" w:rsidRDefault="006E4700"/>
    <w:p w:rsidR="00F90710" w:rsidRDefault="005A6303" w:rsidP="00756CDE">
      <w:pPr>
        <w:pStyle w:val="Titre1"/>
        <w:numPr>
          <w:ilvl w:val="0"/>
          <w:numId w:val="15"/>
        </w:numPr>
      </w:pPr>
      <w:bookmarkStart w:id="11" w:name="_Toc8"/>
      <w:r>
        <w:t>ATTRIBUTION DE L'ACCORD-CADRE</w:t>
      </w:r>
      <w:bookmarkEnd w:id="11"/>
    </w:p>
    <w:p w:rsidR="00F90710" w:rsidRDefault="005A6303">
      <w:r>
        <w:rPr>
          <w:rFonts w:eastAsia="Arial" w:cs="Arial"/>
          <w:color w:val="000000"/>
          <w:shd w:val="clear" w:color="auto" w:fill="FFFFFF"/>
        </w:rPr>
        <w:t>L'accord-cadre est attribué au soumissionnaire dont l'offre est économiquement la plus avantageuse, au regard des critères d'attribution énoncés dans le présent règlement de la consultation.</w:t>
      </w:r>
    </w:p>
    <w:p w:rsidR="00F90710" w:rsidRDefault="005A6303">
      <w:r>
        <w:rPr>
          <w:rFonts w:eastAsia="Arial" w:cs="Arial"/>
          <w:color w:val="000000"/>
          <w:shd w:val="clear" w:color="auto" w:fill="FFFFFF"/>
        </w:rPr>
        <w:lastRenderedPageBreak/>
        <w:t>Les soumissionnaires évincés sont informés du rejet de leur offre dans les conditions fixées à l'article R.2181-1 et suivants du code de la commande publique.</w:t>
      </w:r>
    </w:p>
    <w:p w:rsidR="00F90710" w:rsidRDefault="005A6303" w:rsidP="00756CDE">
      <w:pPr>
        <w:pStyle w:val="Titre2"/>
        <w:numPr>
          <w:ilvl w:val="1"/>
          <w:numId w:val="15"/>
        </w:numPr>
      </w:pPr>
      <w:r>
        <w:t>Vérification des motifs d'exclusion : transmission des moyens de preuve</w:t>
      </w:r>
    </w:p>
    <w:p w:rsidR="00F90710" w:rsidRDefault="005A6303">
      <w:r>
        <w:rPr>
          <w:rFonts w:eastAsia="Arial" w:cs="Arial"/>
          <w:color w:val="000000"/>
          <w:shd w:val="clear" w:color="auto" w:fill="FFFFFF"/>
        </w:rPr>
        <w:t>Le soumissionnaire auquel il est envisagé d'attribuer l'accord-cadre n'est pas tenu de fournir les moyens de preuves relatifs aux motifs d'exclusion que l'acheteur peut obtenir :</w:t>
      </w:r>
    </w:p>
    <w:p w:rsidR="00F90710" w:rsidRDefault="005A6303">
      <w:r>
        <w:rPr>
          <w:rFonts w:eastAsia="Arial" w:cs="Arial"/>
          <w:color w:val="000000"/>
          <w:shd w:val="clear" w:color="auto" w:fill="FFFFFF"/>
        </w:rPr>
        <w:t>- directement par le biais d'un système électronique de mise à disposition d'informations administré par un organisme officiel ;</w:t>
      </w:r>
    </w:p>
    <w:p w:rsidR="00F90710" w:rsidRDefault="005A6303">
      <w:r>
        <w:rPr>
          <w:rFonts w:eastAsia="Arial" w:cs="Arial"/>
          <w:color w:val="000000"/>
          <w:shd w:val="clear" w:color="auto" w:fill="FFFFFF"/>
        </w:rPr>
        <w:t>- d'un espace de stockage numérique, à condition que figurent dans son dossier de candidature toutes les informations nécessaires à la consultation de ce système ou de cet espace et que l'accès soit gratuit.</w:t>
      </w:r>
    </w:p>
    <w:p w:rsidR="00F90710" w:rsidRDefault="005A6303">
      <w:r>
        <w:rPr>
          <w:rFonts w:eastAsia="Arial" w:cs="Arial"/>
          <w:color w:val="000000"/>
          <w:shd w:val="clear" w:color="auto" w:fill="FFFFFF"/>
        </w:rPr>
        <w:t>Les candidats ne sont pas tenus de fournir les moyens de preuves déjà transmis à l'acheteur dans le cadre d'une précédente consultation et qui demeurent valables. Dans ce cas, ils indiquent les documents concernés ainsi que la référence de la ou des consultation(s) pour la ou lesquelles les documents ont déjà été transmis</w:t>
      </w:r>
    </w:p>
    <w:p w:rsidR="00F90710" w:rsidRDefault="00F90710"/>
    <w:p w:rsidR="00F90710" w:rsidRDefault="005A6303">
      <w:r>
        <w:rPr>
          <w:rFonts w:eastAsia="Arial" w:cs="Arial"/>
          <w:color w:val="000000"/>
          <w:shd w:val="clear" w:color="auto" w:fill="FFFFFF"/>
        </w:rPr>
        <w:t>En cas d'impossibilité de se procurer les moyens de preuves directement auprès des administrations ou organismes, l'acheteur en demande communication au candidat.</w:t>
      </w:r>
    </w:p>
    <w:p w:rsidR="00F90710" w:rsidRDefault="005A6303">
      <w:pPr>
        <w:rPr>
          <w:rFonts w:eastAsia="Arial" w:cs="Arial"/>
          <w:b/>
          <w:color w:val="000000"/>
          <w:szCs w:val="20"/>
        </w:rPr>
      </w:pPr>
      <w:r>
        <w:rPr>
          <w:rFonts w:eastAsia="Arial" w:cs="Arial"/>
          <w:color w:val="000000"/>
          <w:shd w:val="clear" w:color="auto" w:fill="FFFFFF"/>
        </w:rPr>
        <w:t xml:space="preserve">Le soumissionnaire auquel il est envisagé d'attribuer l'accord-cadre fournit dans le délai fixé dans le courrier envoyé par voie dématérialisée l'informant que son offre est susceptible d'être retenue, les documents suivants :  En cas de redressement judiciaire, ou une procédure équivalente régie par un droit étranger, la copie du ou des jugements prononcés Le cas échéant, si le soumissionnaire emploie des salariés étrangers, la liste nominative des salariés étrangers qu'il emploie et soumis à l'autorisation de travail prévue à l'article L.5221-2 du code du travail. Cette liste doit comporter toutes les informations figurant à l'article D.8254-2 du code du travail (1° Sa date d'embauche ; 2° Sa nationalité ; 3° Le type et le numéro d'ordre du titre valant autorisation de travail) </w:t>
      </w:r>
    </w:p>
    <w:p w:rsidR="00F90710" w:rsidRDefault="005A6303">
      <w:pPr>
        <w:rPr>
          <w:rFonts w:eastAsia="Arial" w:cs="Arial"/>
          <w:b/>
          <w:color w:val="000000"/>
          <w:szCs w:val="20"/>
        </w:rPr>
      </w:pPr>
      <w:r>
        <w:rPr>
          <w:rFonts w:eastAsia="Arial" w:cs="Arial"/>
          <w:b/>
          <w:color w:val="000000"/>
          <w:shd w:val="clear" w:color="auto" w:fill="FFFFFF"/>
        </w:rPr>
        <w:t>Lorsque le soumissionnaire est établi en France</w:t>
      </w:r>
      <w:r>
        <w:rPr>
          <w:rFonts w:eastAsia="Arial" w:cs="Arial"/>
          <w:color w:val="000000"/>
          <w:shd w:val="clear" w:color="auto" w:fill="FFFFFF"/>
        </w:rPr>
        <w:t xml:space="preserve"> : son numéro unique d'identification permettant à l'acheteur d'accéder aux informations pertinentes par le biais d'un système électronique mentionné au 1° de l'article R. 2143-13 du CCP </w:t>
      </w:r>
    </w:p>
    <w:p w:rsidR="00F90710" w:rsidRDefault="005A6303">
      <w:pPr>
        <w:rPr>
          <w:rFonts w:eastAsia="Arial" w:cs="Arial"/>
          <w:b/>
          <w:color w:val="000000"/>
          <w:szCs w:val="20"/>
        </w:rPr>
      </w:pPr>
      <w:r>
        <w:rPr>
          <w:rFonts w:eastAsia="Arial" w:cs="Arial"/>
          <w:b/>
          <w:color w:val="000000"/>
          <w:shd w:val="clear" w:color="auto" w:fill="FFFFFF"/>
        </w:rPr>
        <w:t>Lorsque le soumissionnaire est établi en France</w:t>
      </w:r>
      <w:r>
        <w:rPr>
          <w:rFonts w:eastAsia="Arial" w:cs="Arial"/>
          <w:color w:val="000000"/>
          <w:shd w:val="clear" w:color="auto" w:fill="FFFFFF"/>
        </w:rPr>
        <w:t xml:space="preserve"> : Pour les entreprises en cours d'inscription - un récépissé de dépôt de déclaration auprès d'un centre de formalités des entreprises (CFE) </w:t>
      </w:r>
    </w:p>
    <w:p w:rsidR="00F90710" w:rsidRDefault="005A6303">
      <w:r>
        <w:rPr>
          <w:rFonts w:eastAsia="Arial" w:cs="Arial"/>
          <w:b/>
          <w:color w:val="000000"/>
          <w:shd w:val="clear" w:color="auto" w:fill="FFFFFF"/>
        </w:rPr>
        <w:t>Lorsque le soumissionnaire est établi en France</w:t>
      </w:r>
      <w:r>
        <w:rPr>
          <w:rFonts w:eastAsia="Arial" w:cs="Arial"/>
          <w:color w:val="000000"/>
          <w:shd w:val="clear" w:color="auto" w:fill="FFFFFF"/>
        </w:rPr>
        <w:t xml:space="preserve"> : dans le cas où le soumissionnaire est une société fille (filiale), le cas échéant, une attestation de régularité fiscale justifiant du paiement de l'impôt sur les sociétés ou de la TVA par la société mère ou par la filiale Le cas échéant, dans le cas où elles ne sont pas disponibles sur PLACE, le(s) certificat(s) délivré(s) par les administrations et organismes compétents suivant(s) :</w:t>
      </w:r>
    </w:p>
    <w:p w:rsidR="00F90710" w:rsidRDefault="005A6303">
      <w:proofErr w:type="gramStart"/>
      <w:r>
        <w:rPr>
          <w:rFonts w:eastAsia="Arial" w:cs="Arial"/>
          <w:color w:val="000000"/>
          <w:shd w:val="clear" w:color="auto" w:fill="FFFFFF"/>
        </w:rPr>
        <w:t>o</w:t>
      </w:r>
      <w:proofErr w:type="gramEnd"/>
      <w:r>
        <w:rPr>
          <w:rFonts w:eastAsia="Arial" w:cs="Arial"/>
          <w:color w:val="000000"/>
          <w:shd w:val="clear" w:color="auto" w:fill="FFFFFF"/>
        </w:rPr>
        <w:t xml:space="preserve"> certificat de conformité aux obligations fiscales (au titre de l'impôt sur le revenu, de l'impôt sur les sociétés et/ou de la taxe sur la valeur ajoutée (TVA) </w:t>
      </w:r>
    </w:p>
    <w:p w:rsidR="00F90710" w:rsidRDefault="005A6303">
      <w:proofErr w:type="gramStart"/>
      <w:r>
        <w:rPr>
          <w:rFonts w:eastAsia="Arial" w:cs="Arial"/>
          <w:color w:val="000000"/>
          <w:shd w:val="clear" w:color="auto" w:fill="FFFFFF"/>
        </w:rPr>
        <w:t>o</w:t>
      </w:r>
      <w:proofErr w:type="gramEnd"/>
      <w:r>
        <w:rPr>
          <w:rFonts w:eastAsia="Arial" w:cs="Arial"/>
          <w:color w:val="000000"/>
          <w:shd w:val="clear" w:color="auto" w:fill="FFFFFF"/>
        </w:rPr>
        <w:t xml:space="preserve"> certificat de l'article L. 243-15 du code de la sécurité sociale, connu sous le nom d'attestation de vigilance ;</w:t>
      </w:r>
    </w:p>
    <w:p w:rsidR="00F90710" w:rsidRDefault="005A6303">
      <w:pPr>
        <w:rPr>
          <w:rFonts w:eastAsia="Arial" w:cs="Arial"/>
          <w:b/>
          <w:color w:val="000000"/>
          <w:szCs w:val="20"/>
        </w:rPr>
      </w:pPr>
      <w:proofErr w:type="gramStart"/>
      <w:r>
        <w:rPr>
          <w:rFonts w:eastAsia="Arial" w:cs="Arial"/>
          <w:color w:val="000000"/>
          <w:shd w:val="clear" w:color="auto" w:fill="FFFFFF"/>
        </w:rPr>
        <w:t>o</w:t>
      </w:r>
      <w:proofErr w:type="gramEnd"/>
      <w:r>
        <w:rPr>
          <w:rFonts w:eastAsia="Arial" w:cs="Arial"/>
          <w:color w:val="000000"/>
          <w:shd w:val="clear" w:color="auto" w:fill="FFFFFF"/>
        </w:rPr>
        <w:t xml:space="preserve"> pour tout employeur occupant au moins vingt salariés le cas échéant, le certificat délivré par l'association de gestion du fonds de développement pour l'insertion professionnelle des personnes handicapées (AGEFIPH), concernant le respect des dispositions des articles L. 5212-1 à L. 5212-11 du code du travail relatives à l'emploi des travailleurs handicapés </w:t>
      </w:r>
    </w:p>
    <w:p w:rsidR="00F90710" w:rsidRDefault="005A6303">
      <w:pPr>
        <w:rPr>
          <w:rFonts w:eastAsia="Arial" w:cs="Arial"/>
          <w:color w:val="000000"/>
          <w:szCs w:val="20"/>
        </w:rPr>
      </w:pP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document mentionnant son numéro individuel d'identification, attribué en application de l'article 286 ter du code général des impôts. Si le soumissionnaire n'est pas établie dans un pays de l'Union européenne, un document </w:t>
      </w:r>
      <w:r>
        <w:rPr>
          <w:rFonts w:eastAsia="Arial" w:cs="Arial"/>
          <w:color w:val="000000"/>
          <w:shd w:val="clear" w:color="auto" w:fill="FFFFFF"/>
        </w:rPr>
        <w:lastRenderedPageBreak/>
        <w:t xml:space="preserve">mentionnant l'identité et l'adresse du candidat ou les coordonnées de son représentant fiscal ponctuel en France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document attestant de la régularité de la situation sociale du cocontractant au regard du règlement (CE) n°883/2004 du 29 avril 2004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 article L. 243-15 du code de la sécurité sociale </w:t>
      </w:r>
    </w:p>
    <w:p w:rsidR="00F90710" w:rsidRDefault="005A6303">
      <w:pPr>
        <w:rPr>
          <w:rFonts w:eastAsia="Arial" w:cs="Arial"/>
          <w:color w:val="000000"/>
          <w:szCs w:val="20"/>
        </w:rPr>
      </w:pP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un extrait du registre pertinent au sens de l'article R.2143-9 du code de la commande publique, ou un document équivalent délivré par l'autorité judiciaire ou administrative compétente du pays d'origine, attestant de l'absence de cas d'exclusion. Pour les entreprises en cours de création, un document datant de moins de 6 mois émanant de l'autorité habilitée à recevoir l'inscription au registre professionnel et attestant de la demande d'immatriculation audit registre; </w:t>
      </w:r>
    </w:p>
    <w:p w:rsidR="00F90710" w:rsidRDefault="005A6303">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Le cas échéant, en cas de recours à des travailleurs détachés, dans les conditions définies à l'article L.1262-1 du code du travail :</w:t>
      </w:r>
    </w:p>
    <w:p w:rsidR="00F90710" w:rsidRDefault="00F90710"/>
    <w:p w:rsidR="00F90710" w:rsidRDefault="005A6303">
      <w:r>
        <w:rPr>
          <w:rFonts w:eastAsia="Arial" w:cs="Arial"/>
          <w:color w:val="000000"/>
          <w:shd w:val="clear" w:color="auto" w:fill="FFFFFF"/>
        </w:rPr>
        <w:t>a) L'accusé de réception de la déclaration de détachement effectuée sur le télé-service " SIPSI " du ministère chargé du travail, conformément aux articles R. 1263-5 et R. 1263-7 du code du travail</w:t>
      </w:r>
    </w:p>
    <w:p w:rsidR="00F90710" w:rsidRDefault="00F90710"/>
    <w:p w:rsidR="00F90710" w:rsidRDefault="005A6303">
      <w:r>
        <w:rPr>
          <w:rFonts w:eastAsia="Arial" w:cs="Arial"/>
          <w:color w:val="000000"/>
          <w:shd w:val="clear" w:color="auto" w:fill="FFFFFF"/>
        </w:rPr>
        <w:t xml:space="preserve">b) Une attestation sur l'honneur certifiant que le cocontractant s'est, le cas échéant, acquitté du paiement des sommes dues au titre des amendes prévues aux articles L. 1263-6, L. 1264-1, L. 1264-2 et L. 8115-1 du code du travail. Cette attestation comporte les nom, prénom, raison sociale du cocontractant et la signature de son représentant légal.] </w:t>
      </w:r>
      <w:r>
        <w:rPr>
          <w:rFonts w:eastAsia="Arial" w:cs="Arial"/>
          <w:b/>
          <w:color w:val="000000"/>
          <w:shd w:val="clear" w:color="auto" w:fill="FFFFFF"/>
        </w:rPr>
        <w:t>Lorsque le soumissionnaire est établi hors de France</w:t>
      </w:r>
      <w:r>
        <w:rPr>
          <w:rFonts w:eastAsia="Arial" w:cs="Arial"/>
          <w:color w:val="000000"/>
          <w:shd w:val="clear" w:color="auto" w:fill="FFFFFF"/>
        </w:rPr>
        <w:t xml:space="preserve"> : Lorsque les autorités compétentes du pays d'origine ou d'établissement du soumissionnaire ne délivrent pas les moyens de preuve ou si les documents délivrés ne mentionnent pas tous les cas d'interdiction de soumissionner, le soumissionnaire peut fournir une déclaration sous serment, ou dans les pays où une telle procédure n'existe pas, par une déclaration solennelle faite par l'intéressé devant une autorité judiciaire ou administrative, un notaire ou un organisme professionnel qualifié de pays d'origine ou d'établissement.</w:t>
      </w:r>
    </w:p>
    <w:p w:rsidR="00F90710" w:rsidRDefault="005A6303">
      <w:r>
        <w:rPr>
          <w:rFonts w:eastAsia="Arial" w:cs="Arial"/>
          <w:color w:val="000000"/>
          <w:u w:val="single"/>
          <w:shd w:val="clear" w:color="auto" w:fill="FFFFFF"/>
        </w:rPr>
        <w:t>Motif d'exclusion lié au non-respect de l'obligation des entreprises d'établir un bilan de leurs émissions de gaz à effet de serre</w:t>
      </w:r>
    </w:p>
    <w:p w:rsidR="00F90710" w:rsidRDefault="005A6303">
      <w:r>
        <w:rPr>
          <w:rFonts w:eastAsia="Arial" w:cs="Arial"/>
          <w:color w:val="000000"/>
          <w:shd w:val="clear" w:color="auto" w:fill="FFFFFF"/>
        </w:rPr>
        <w:t>Les soumissionnaires présentent, à la demande de l'acheteur, leur bilan des émissions de gaz à effet de serre (BEGES) établi conformément à l'article L.229-25 du Code de l'environnement. En l'absence de présentation de celui-ci dans le délai fixé par l'acheteur, l'acheteur se réserve le droit d'exclure le(s) soumissionnaire(s) concerné(s) de la procédure.</w:t>
      </w:r>
    </w:p>
    <w:p w:rsidR="00F90710" w:rsidRDefault="005A6303" w:rsidP="00756CDE">
      <w:pPr>
        <w:pStyle w:val="Titre2"/>
        <w:numPr>
          <w:ilvl w:val="1"/>
          <w:numId w:val="15"/>
        </w:numPr>
      </w:pPr>
      <w:r>
        <w:t>Interdiction d'attribution</w:t>
      </w:r>
    </w:p>
    <w:p w:rsidR="00F90710" w:rsidRDefault="005A6303">
      <w:r>
        <w:rPr>
          <w:rFonts w:eastAsia="Arial" w:cs="Arial"/>
          <w:color w:val="000000"/>
          <w:shd w:val="clear" w:color="auto" w:fill="FFFFFF"/>
        </w:rPr>
        <w:t>Est exclu de la procédure tout candidat auquel l'acheteur ne peut attribuer le contrat, en application d'une interdiction émanant d'un texte d'applicabilité directe (accords internationaux, règlement européen...)</w:t>
      </w:r>
    </w:p>
    <w:p w:rsidR="00F90710" w:rsidRDefault="005A6303" w:rsidP="00756CDE">
      <w:pPr>
        <w:pStyle w:val="Titre2"/>
        <w:numPr>
          <w:ilvl w:val="1"/>
          <w:numId w:val="15"/>
        </w:numPr>
      </w:pPr>
      <w:r>
        <w:t>Mise au point</w:t>
      </w:r>
    </w:p>
    <w:p w:rsidR="00F90710" w:rsidRDefault="005A6303">
      <w:r>
        <w:rPr>
          <w:rFonts w:eastAsia="Arial" w:cs="Arial"/>
          <w:color w:val="000000"/>
          <w:shd w:val="clear" w:color="auto" w:fill="FFFFFF"/>
        </w:rPr>
        <w:t>L'acheteur et le soumissionnaire retenu peuvent procéder à une mise au point des composantes de l'accord-cadre. Cette mise au point ne peut avoir pour objet de</w:t>
      </w:r>
    </w:p>
    <w:p w:rsidR="00F90710" w:rsidRDefault="005A6303">
      <w:proofErr w:type="gramStart"/>
      <w:r>
        <w:rPr>
          <w:rFonts w:eastAsia="Arial" w:cs="Arial"/>
          <w:color w:val="000000"/>
          <w:shd w:val="clear" w:color="auto" w:fill="FFFFFF"/>
        </w:rPr>
        <w:t>modifier</w:t>
      </w:r>
      <w:proofErr w:type="gramEnd"/>
      <w:r>
        <w:rPr>
          <w:rFonts w:eastAsia="Arial" w:cs="Arial"/>
          <w:color w:val="000000"/>
          <w:shd w:val="clear" w:color="auto" w:fill="FFFFFF"/>
        </w:rPr>
        <w:t xml:space="preserve"> des éléments substantiels de l'offre ou du présent accord-cadre.</w:t>
      </w:r>
    </w:p>
    <w:p w:rsidR="00F90710" w:rsidRDefault="00F90710"/>
    <w:p w:rsidR="00F90710" w:rsidRDefault="00F90710"/>
    <w:p w:rsidR="00F90710" w:rsidRDefault="005A6303" w:rsidP="00756CDE">
      <w:pPr>
        <w:pStyle w:val="Titre2"/>
        <w:numPr>
          <w:ilvl w:val="1"/>
          <w:numId w:val="15"/>
        </w:numPr>
      </w:pPr>
      <w:r>
        <w:t>Signature de l'accord-cadre</w:t>
      </w:r>
    </w:p>
    <w:p w:rsidR="00F90710" w:rsidRDefault="005A6303">
      <w:r>
        <w:rPr>
          <w:rFonts w:eastAsia="Arial" w:cs="Arial"/>
          <w:color w:val="000000"/>
          <w:shd w:val="clear" w:color="auto" w:fill="FFFFFF"/>
        </w:rPr>
        <w:t xml:space="preserve">L'accord-cadre est signé électroniquement par chaque soumissionnaire au moyen de l'acte </w:t>
      </w:r>
      <w:proofErr w:type="gramStart"/>
      <w:r>
        <w:rPr>
          <w:rFonts w:eastAsia="Arial" w:cs="Arial"/>
          <w:color w:val="000000"/>
          <w:shd w:val="clear" w:color="auto" w:fill="FFFFFF"/>
        </w:rPr>
        <w:t>d'engagement  qui</w:t>
      </w:r>
      <w:proofErr w:type="gramEnd"/>
      <w:r>
        <w:rPr>
          <w:rFonts w:eastAsia="Arial" w:cs="Arial"/>
          <w:color w:val="000000"/>
          <w:shd w:val="clear" w:color="auto" w:fill="FFFFFF"/>
        </w:rPr>
        <w:t> lui est adressé par l'acheteur.</w:t>
      </w:r>
    </w:p>
    <w:p w:rsidR="00F90710" w:rsidRDefault="005A6303">
      <w:r>
        <w:rPr>
          <w:rFonts w:eastAsia="Arial" w:cs="Arial"/>
          <w:color w:val="000000"/>
          <w:shd w:val="clear" w:color="auto" w:fill="FFFFFF"/>
        </w:rPr>
        <w:t>La signature électronique doit respecter les exigences prévues à l'article "MODALITES DE SIGNATURE ELECTRONIQUE"]</w:t>
      </w:r>
    </w:p>
    <w:p w:rsidR="00F90710" w:rsidRDefault="005A6303">
      <w:r>
        <w:rPr>
          <w:rFonts w:eastAsia="Arial" w:cs="Arial"/>
          <w:color w:val="000000"/>
          <w:shd w:val="clear" w:color="auto" w:fill="FFFFFF"/>
        </w:rPr>
        <w:t>.</w:t>
      </w:r>
    </w:p>
    <w:p w:rsidR="00F90710" w:rsidRDefault="005A6303" w:rsidP="00756CDE">
      <w:pPr>
        <w:pStyle w:val="Titre1"/>
        <w:numPr>
          <w:ilvl w:val="0"/>
          <w:numId w:val="15"/>
        </w:numPr>
      </w:pPr>
      <w:bookmarkStart w:id="12" w:name="_Toc9"/>
      <w:r>
        <w:t>LANGUE</w:t>
      </w:r>
      <w:bookmarkEnd w:id="12"/>
    </w:p>
    <w:p w:rsidR="00F90710" w:rsidRDefault="005A6303">
      <w:r>
        <w:rPr>
          <w:rFonts w:eastAsia="Arial" w:cs="Arial"/>
          <w:color w:val="000000"/>
          <w:shd w:val="clear" w:color="auto" w:fill="FFFFFF"/>
        </w:rPr>
        <w:t>Les documents et informations doivent être rédigés en langue française ou, à défaut, être accompagnées d'une traduction en français.</w:t>
      </w:r>
    </w:p>
    <w:p w:rsidR="00F90710" w:rsidRDefault="005A6303">
      <w:r>
        <w:rPr>
          <w:rFonts w:eastAsia="Arial" w:cs="Arial"/>
          <w:color w:val="000000"/>
          <w:shd w:val="clear" w:color="auto" w:fill="FFFFFF"/>
        </w:rPr>
        <w:t>En cas de candidature sous forme de DUME, ce dernier doit être rédigé en français.</w:t>
      </w:r>
    </w:p>
    <w:p w:rsidR="00F90710" w:rsidRDefault="005A6303" w:rsidP="00756CDE">
      <w:pPr>
        <w:pStyle w:val="Titre1"/>
        <w:numPr>
          <w:ilvl w:val="0"/>
          <w:numId w:val="15"/>
        </w:numPr>
      </w:pPr>
      <w:bookmarkStart w:id="13" w:name="_Toc10"/>
      <w:r>
        <w:t>CONTENTIEUX</w:t>
      </w:r>
      <w:bookmarkEnd w:id="13"/>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eastAsia="Arial" w:cs="Arial"/>
          <w:color w:val="000000"/>
          <w:shd w:val="clear" w:color="auto" w:fill="FFFFFF"/>
        </w:rPr>
        <w:t>Le tribunal compétent est le tribunal administratif de</w:t>
      </w:r>
      <w:r>
        <w:rPr>
          <w:rFonts w:ascii="Calibri" w:eastAsia="Calibri" w:hAnsi="Calibri" w:cs="Calibri"/>
          <w:color w:val="000000"/>
          <w:sz w:val="22"/>
          <w:shd w:val="clear" w:color="auto" w:fill="FFFFFF"/>
        </w:rPr>
        <w:t xml:space="preserve"> Clermont-Ferrand</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6 cours Sablon</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63033 CLERMONT FERRAND CEDEX 1</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Numéro SIRET (siège). 17630005100024</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Tél +33473146100</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Télécopie : 04 73 14 61 22</w:t>
      </w:r>
    </w:p>
    <w:p w:rsidR="00F90710" w:rsidRDefault="005A6303">
      <w:pPr>
        <w:pBdr>
          <w:top w:val="none" w:sz="4" w:space="0" w:color="000000"/>
          <w:left w:val="none" w:sz="4" w:space="0" w:color="000000"/>
          <w:bottom w:val="none" w:sz="4" w:space="0" w:color="000000"/>
          <w:right w:val="none" w:sz="4" w:space="0" w:color="000000"/>
        </w:pBdr>
        <w:spacing w:line="253" w:lineRule="atLeast"/>
      </w:pPr>
      <w:r>
        <w:rPr>
          <w:rFonts w:ascii="Calibri" w:eastAsia="Calibri" w:hAnsi="Calibri" w:cs="Calibri"/>
          <w:color w:val="000000"/>
          <w:sz w:val="22"/>
          <w:shd w:val="clear" w:color="auto" w:fill="FFFFFF"/>
        </w:rPr>
        <w:t xml:space="preserve">Courriel : </w:t>
      </w:r>
      <w:hyperlink r:id="rId7">
        <w:r>
          <w:rPr>
            <w:color w:val="0000FF"/>
            <w:u w:val="single"/>
            <w:shd w:val="clear" w:color="auto" w:fill="FFFFFF"/>
          </w:rPr>
          <w:t>greffe.ta-clermont-ferrand@juradm.fr</w:t>
        </w:r>
      </w:hyperlink>
    </w:p>
    <w:p w:rsidR="00F90710" w:rsidRDefault="0062522B">
      <w:hyperlink r:id="rId8">
        <w:r w:rsidR="005A6303">
          <w:rPr>
            <w:color w:val="0000FF"/>
            <w:u w:val="single"/>
            <w:shd w:val="clear" w:color="auto" w:fill="FFFFFF"/>
          </w:rPr>
          <w:t>https://clermont-ferrand.tribunal-administratif.fr</w:t>
        </w:r>
      </w:hyperlink>
    </w:p>
    <w:p w:rsidR="00F90710" w:rsidRDefault="005A6303">
      <w:pPr>
        <w:pBdr>
          <w:top w:val="none" w:sz="4" w:space="0" w:color="000000"/>
          <w:left w:val="none" w:sz="4" w:space="0" w:color="000000"/>
          <w:bottom w:val="none" w:sz="4" w:space="0" w:color="000000"/>
          <w:right w:val="none" w:sz="4" w:space="0" w:color="000000"/>
          <w:between w:val="none" w:sz="4" w:space="0" w:color="000000"/>
        </w:pBdr>
      </w:pPr>
      <w:r>
        <w:rPr>
          <w:rFonts w:eastAsia="Arial" w:cs="Arial"/>
          <w:color w:val="000000"/>
          <w:highlight w:val="white"/>
          <w:shd w:val="clear" w:color="auto" w:fill="FFFFFF"/>
        </w:rPr>
        <w:t xml:space="preserve">Les voies de recours ouvertes aux candidats sont les suivantes : Référé </w:t>
      </w:r>
      <w:proofErr w:type="spellStart"/>
      <w:r>
        <w:rPr>
          <w:rFonts w:eastAsia="Arial" w:cs="Arial"/>
          <w:color w:val="000000"/>
          <w:highlight w:val="white"/>
          <w:shd w:val="clear" w:color="auto" w:fill="FFFFFF"/>
        </w:rPr>
        <w:t>pré-contractuel</w:t>
      </w:r>
      <w:proofErr w:type="spellEnd"/>
      <w:r>
        <w:rPr>
          <w:rFonts w:eastAsia="Arial" w:cs="Arial"/>
          <w:color w:val="000000"/>
          <w:highlight w:val="white"/>
          <w:shd w:val="clear" w:color="auto" w:fill="FFFFFF"/>
        </w:rPr>
        <w:t xml:space="preserve"> prévu aux articles L.551-1 à L.551-12 du Code de justice administrative (CJA), et pouvant être exercé avant la signature du contrat. Référé contractuel prévu aux articles L.551-13 à L.551-23 du CJA, et pouvant être exercé dans</w:t>
      </w:r>
      <w:r>
        <w:rPr>
          <w:rFonts w:eastAsia="Arial" w:cs="Arial"/>
          <w:color w:val="000000"/>
          <w:shd w:val="clear" w:color="auto" w:fill="FFFFFF"/>
        </w:rPr>
        <w:t xml:space="preserve"> </w:t>
      </w:r>
      <w:r>
        <w:rPr>
          <w:rFonts w:eastAsia="Arial" w:cs="Arial"/>
          <w:color w:val="000000"/>
          <w:highlight w:val="white"/>
          <w:shd w:val="clear" w:color="auto" w:fill="FFFFFF"/>
        </w:rPr>
        <w:t>les délais prévus à l'article R. 551-7 du CJA. Recours de pleine juridiction ouvert aux tiers justifiant d'un intérêt lésé, et pouvant être exercé dans les deux mois suivant la date à laquelle la conclusion du contrat est rendue publique.</w:t>
      </w:r>
    </w:p>
    <w:p w:rsidR="00F90710" w:rsidRDefault="00F90710"/>
    <w:p w:rsidR="00F90710" w:rsidRDefault="005A6303" w:rsidP="00756CDE">
      <w:pPr>
        <w:pStyle w:val="Titre1"/>
        <w:numPr>
          <w:ilvl w:val="0"/>
          <w:numId w:val="15"/>
        </w:numPr>
      </w:pPr>
      <w:bookmarkStart w:id="14" w:name="_Toc11"/>
      <w:r>
        <w:t>MODALITES DE SIGNATURE ELECTRONIQUE</w:t>
      </w:r>
      <w:bookmarkEnd w:id="14"/>
    </w:p>
    <w:p w:rsidR="00F90710" w:rsidRDefault="005A6303">
      <w:r>
        <w:rPr>
          <w:rFonts w:eastAsia="Arial" w:cs="Arial"/>
          <w:color w:val="000000"/>
          <w:shd w:val="clear" w:color="auto" w:fill="FFFFFF"/>
        </w:rPr>
        <w:t>La signature s'effectue : par voie électronique</w:t>
      </w:r>
    </w:p>
    <w:p w:rsidR="00F90710" w:rsidRDefault="005A6303">
      <w:r>
        <w:rPr>
          <w:rFonts w:eastAsia="Arial" w:cs="Arial"/>
          <w:color w:val="000000"/>
          <w:shd w:val="clear" w:color="auto" w:fill="FFFFFF"/>
        </w:rPr>
        <w:t>Chaque document à signer doit être signé individuellement.</w:t>
      </w:r>
    </w:p>
    <w:p w:rsidR="00F90710" w:rsidRDefault="005A6303">
      <w:r>
        <w:rPr>
          <w:rFonts w:eastAsia="Arial" w:cs="Arial"/>
          <w:color w:val="000000"/>
          <w:shd w:val="clear" w:color="auto" w:fill="FFFFFF"/>
        </w:rPr>
        <w:t>Un dossier compressé signé ne vaut pas signature des documents qu'il contient. Quel que soit le format du dossier compressé, chaque document pour lequel une signature est requise doit être signé séparément.</w:t>
      </w:r>
    </w:p>
    <w:p w:rsidR="00F90710" w:rsidRDefault="005A6303">
      <w:r>
        <w:rPr>
          <w:rFonts w:eastAsia="Arial" w:cs="Arial"/>
          <w:color w:val="000000"/>
          <w:shd w:val="clear" w:color="auto" w:fill="FFFFFF"/>
        </w:rPr>
        <w:t xml:space="preserve">Des renseignements complémentaires au sujet </w:t>
      </w:r>
      <w:proofErr w:type="gramStart"/>
      <w:r>
        <w:rPr>
          <w:rFonts w:eastAsia="Arial" w:cs="Arial"/>
          <w:color w:val="000000"/>
          <w:shd w:val="clear" w:color="auto" w:fill="FFFFFF"/>
        </w:rPr>
        <w:t>de la signature électroniques</w:t>
      </w:r>
      <w:proofErr w:type="gramEnd"/>
      <w:r>
        <w:rPr>
          <w:rFonts w:eastAsia="Arial" w:cs="Arial"/>
          <w:color w:val="000000"/>
          <w:shd w:val="clear" w:color="auto" w:fill="FFFFFF"/>
        </w:rPr>
        <w:t xml:space="preserve"> peuvent être obtenus :</w:t>
      </w:r>
    </w:p>
    <w:p w:rsidR="00F90710" w:rsidRDefault="005A6303">
      <w:r>
        <w:rPr>
          <w:rFonts w:eastAsia="Arial" w:cs="Arial"/>
          <w:color w:val="000000"/>
          <w:shd w:val="clear" w:color="auto" w:fill="FFFFFF"/>
        </w:rPr>
        <w:t>- dans PLACE (guide d'utilisation- utilisateur entreprise) ;</w:t>
      </w:r>
    </w:p>
    <w:p w:rsidR="00F90710" w:rsidRDefault="005A6303">
      <w:r>
        <w:rPr>
          <w:rFonts w:eastAsia="Arial" w:cs="Arial"/>
          <w:color w:val="000000"/>
          <w:shd w:val="clear" w:color="auto" w:fill="FFFFFF"/>
        </w:rPr>
        <w:lastRenderedPageBreak/>
        <w:t>- dans le guide « très pratique » sur la dématérialisation des marchés public (version opérateurs économiques) disponible sur le site internet de la Direction des Affaires juridiques des ministères économiques et financiers</w:t>
      </w:r>
    </w:p>
    <w:p w:rsidR="00F90710" w:rsidRDefault="005A6303">
      <w:r>
        <w:rPr>
          <w:rFonts w:eastAsia="Arial" w:cs="Arial"/>
          <w:color w:val="000000"/>
          <w:shd w:val="clear" w:color="auto" w:fill="FFFFFF"/>
        </w:rPr>
        <w:t>En application de l'arrêté du 22 mars 2019 relatif à la signature électronique des contrats de la commande publique, le signataire doit respecter les conditions relatives :</w:t>
      </w:r>
    </w:p>
    <w:p w:rsidR="00F90710" w:rsidRDefault="005A6303">
      <w:r>
        <w:rPr>
          <w:rFonts w:eastAsia="Arial" w:cs="Arial"/>
          <w:color w:val="000000"/>
          <w:shd w:val="clear" w:color="auto" w:fill="FFFFFF"/>
        </w:rPr>
        <w:t>1. au certificat de signature électronique;</w:t>
      </w:r>
    </w:p>
    <w:p w:rsidR="00F90710" w:rsidRDefault="005A6303">
      <w:r>
        <w:rPr>
          <w:rFonts w:eastAsia="Arial" w:cs="Arial"/>
          <w:color w:val="000000"/>
          <w:shd w:val="clear" w:color="auto" w:fill="FFFFFF"/>
        </w:rPr>
        <w:t>2. à l'outil de signature électronique (appelé aussi « dispositif de création de signature électronique »)</w:t>
      </w:r>
    </w:p>
    <w:p w:rsidR="00F90710" w:rsidRDefault="005A6303">
      <w:r>
        <w:rPr>
          <w:rFonts w:eastAsia="Arial" w:cs="Arial"/>
          <w:color w:val="000000"/>
          <w:shd w:val="clear" w:color="auto" w:fill="FFFFFF"/>
        </w:rPr>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Pr>
          <w:rFonts w:eastAsia="Arial" w:cs="Arial"/>
          <w:color w:val="000000"/>
          <w:shd w:val="clear" w:color="auto" w:fill="FFFFFF"/>
        </w:rPr>
        <w:t>eIDAS</w:t>
      </w:r>
      <w:proofErr w:type="spellEnd"/>
      <w:r>
        <w:rPr>
          <w:rFonts w:eastAsia="Arial" w:cs="Arial"/>
          <w:color w:val="000000"/>
          <w:shd w:val="clear" w:color="auto" w:fill="FFFFFF"/>
        </w:rPr>
        <w:t>).</w:t>
      </w:r>
    </w:p>
    <w:p w:rsidR="00F90710" w:rsidRDefault="005A6303">
      <w:r>
        <w:rPr>
          <w:rFonts w:eastAsia="Arial" w:cs="Arial"/>
          <w:color w:val="000000"/>
          <w:shd w:val="clear" w:color="auto" w:fill="FFFFFF"/>
        </w:rPr>
        <w:t>Sont autorisées :</w:t>
      </w:r>
    </w:p>
    <w:p w:rsidR="00F90710" w:rsidRDefault="005A6303">
      <w:r>
        <w:rPr>
          <w:rFonts w:eastAsia="Arial" w:cs="Arial"/>
          <w:color w:val="000000"/>
          <w:shd w:val="clear" w:color="auto" w:fill="FFFFFF"/>
        </w:rPr>
        <w:t>- la signature électronique avancée avec certificat qualifié (niveau 3)</w:t>
      </w:r>
    </w:p>
    <w:p w:rsidR="00F90710" w:rsidRDefault="005A6303">
      <w:r>
        <w:rPr>
          <w:rFonts w:eastAsia="Arial" w:cs="Arial"/>
          <w:color w:val="000000"/>
          <w:shd w:val="clear" w:color="auto" w:fill="FFFFFF"/>
        </w:rPr>
        <w:t>- la signature électronique qualifiée (niveau 4)</w:t>
      </w:r>
    </w:p>
    <w:p w:rsidR="00F90710" w:rsidRDefault="00F90710"/>
    <w:p w:rsidR="00F90710" w:rsidRDefault="005A6303">
      <w:r>
        <w:rPr>
          <w:rFonts w:eastAsia="Arial" w:cs="Arial"/>
          <w:color w:val="000000"/>
          <w:u w:val="single"/>
          <w:shd w:val="clear" w:color="auto" w:fill="FFFFFF"/>
        </w:rPr>
        <w:t xml:space="preserve">1er cas : certificat qualifié délivré par un prestataire de service de confiance qualifié et répondant aux exigences du règlement européen </w:t>
      </w:r>
      <w:proofErr w:type="spellStart"/>
      <w:r>
        <w:rPr>
          <w:rFonts w:eastAsia="Arial" w:cs="Arial"/>
          <w:color w:val="000000"/>
          <w:u w:val="single"/>
          <w:shd w:val="clear" w:color="auto" w:fill="FFFFFF"/>
        </w:rPr>
        <w:t>eIDAS</w:t>
      </w:r>
      <w:proofErr w:type="spellEnd"/>
      <w:r>
        <w:rPr>
          <w:rFonts w:eastAsia="Arial" w:cs="Arial"/>
          <w:color w:val="000000"/>
          <w:shd w:val="clear" w:color="auto" w:fill="FFFFFF"/>
        </w:rPr>
        <w:t>.</w:t>
      </w:r>
    </w:p>
    <w:p w:rsidR="00F90710" w:rsidRDefault="005A6303">
      <w:r>
        <w:rPr>
          <w:rFonts w:eastAsia="Arial" w:cs="Arial"/>
          <w:color w:val="000000"/>
          <w:shd w:val="clear" w:color="auto" w:fill="FFFFFF"/>
        </w:rPr>
        <w:t xml:space="preserve">Un prestataire de service de confiance qualifié est un prestataire qui fournit un ou des services de confiance qualifiés et a obtenu le statut qualifié </w:t>
      </w:r>
      <w:proofErr w:type="spellStart"/>
      <w:r>
        <w:rPr>
          <w:rFonts w:eastAsia="Arial" w:cs="Arial"/>
          <w:color w:val="000000"/>
          <w:shd w:val="clear" w:color="auto" w:fill="FFFFFF"/>
        </w:rPr>
        <w:t>del'organe</w:t>
      </w:r>
      <w:proofErr w:type="spellEnd"/>
      <w:r>
        <w:rPr>
          <w:rFonts w:eastAsia="Arial" w:cs="Arial"/>
          <w:color w:val="000000"/>
          <w:shd w:val="clear" w:color="auto" w:fill="FFFFFF"/>
        </w:rPr>
        <w:t xml:space="preserve"> chargé du contrôle (article 3.20 du règlement </w:t>
      </w:r>
      <w:proofErr w:type="spellStart"/>
      <w:r>
        <w:rPr>
          <w:rFonts w:eastAsia="Arial" w:cs="Arial"/>
          <w:color w:val="000000"/>
          <w:shd w:val="clear" w:color="auto" w:fill="FFFFFF"/>
        </w:rPr>
        <w:t>eIDAS</w:t>
      </w:r>
      <w:proofErr w:type="spellEnd"/>
      <w:r>
        <w:rPr>
          <w:rFonts w:eastAsia="Arial" w:cs="Arial"/>
          <w:color w:val="000000"/>
          <w:shd w:val="clear" w:color="auto" w:fill="FFFFFF"/>
        </w:rPr>
        <w:t>). Des listes de prestataires de confiance sont disponibles :</w:t>
      </w:r>
    </w:p>
    <w:p w:rsidR="00F90710" w:rsidRDefault="005A6303">
      <w:r>
        <w:rPr>
          <w:rFonts w:eastAsia="Arial" w:cs="Arial"/>
          <w:color w:val="000000"/>
          <w:shd w:val="clear" w:color="auto" w:fill="FFFFFF"/>
        </w:rPr>
        <w:t>- sur le site de l'Agence nationale de la sécurité des systèmes d'information (ANSSI)</w:t>
      </w:r>
    </w:p>
    <w:p w:rsidR="00F90710" w:rsidRDefault="005A6303">
      <w:r>
        <w:rPr>
          <w:rFonts w:eastAsia="Arial" w:cs="Arial"/>
          <w:color w:val="000000"/>
          <w:shd w:val="clear" w:color="auto" w:fill="FFFFFF"/>
        </w:rPr>
        <w:t>- sur le site de la commission européenne : https://ec.europa.eu/digital-single-market/en/news/cef-esignature-trusted-list-browser-now-available)</w:t>
      </w:r>
    </w:p>
    <w:p w:rsidR="00F90710" w:rsidRDefault="005A6303">
      <w:r>
        <w:rPr>
          <w:rFonts w:eastAsia="Arial" w:cs="Arial"/>
          <w:color w:val="000000"/>
          <w:shd w:val="clear" w:color="auto" w:fill="FFFFFF"/>
        </w:rPr>
        <w:t xml:space="preserve">Lorsque le signataire utilise un certificat délivré par un prestataire de service de confiance qualifié répondant aux exigences du règlement européen </w:t>
      </w:r>
      <w:proofErr w:type="spellStart"/>
      <w:r>
        <w:rPr>
          <w:rFonts w:eastAsia="Arial" w:cs="Arial"/>
          <w:color w:val="000000"/>
          <w:shd w:val="clear" w:color="auto" w:fill="FFFFFF"/>
        </w:rPr>
        <w:t>eIDAS</w:t>
      </w:r>
      <w:proofErr w:type="spellEnd"/>
      <w:r>
        <w:rPr>
          <w:rFonts w:eastAsia="Arial" w:cs="Arial"/>
          <w:color w:val="000000"/>
          <w:shd w:val="clear" w:color="auto" w:fill="FFFFFF"/>
        </w:rPr>
        <w:t xml:space="preserve"> et l'outil de création de signature électronique proposé par le profil d'acheteur de l'acheteur, aucun justificatif n'est à fournir sur la procédure de vérification de la signature électronique.</w:t>
      </w:r>
    </w:p>
    <w:p w:rsidR="00F90710" w:rsidRDefault="00F90710"/>
    <w:p w:rsidR="00F90710" w:rsidRDefault="005A6303">
      <w:r>
        <w:rPr>
          <w:rFonts w:eastAsia="Arial" w:cs="Arial"/>
          <w:color w:val="000000"/>
          <w:u w:val="single"/>
          <w:shd w:val="clear" w:color="auto" w:fill="FFFFFF"/>
        </w:rPr>
        <w:t xml:space="preserve">2ème cas : certificat délivré par une autorité de certification, française ou étrangère, qui répond aux exigences équivalentes du règlement européen </w:t>
      </w:r>
      <w:proofErr w:type="spellStart"/>
      <w:r>
        <w:rPr>
          <w:rFonts w:eastAsia="Arial" w:cs="Arial"/>
          <w:color w:val="000000"/>
          <w:u w:val="single"/>
          <w:shd w:val="clear" w:color="auto" w:fill="FFFFFF"/>
        </w:rPr>
        <w:t>eIDAS</w:t>
      </w:r>
      <w:proofErr w:type="spellEnd"/>
      <w:r>
        <w:rPr>
          <w:rFonts w:eastAsia="Arial" w:cs="Arial"/>
          <w:color w:val="000000"/>
          <w:u w:val="single"/>
          <w:shd w:val="clear" w:color="auto" w:fill="FFFFFF"/>
        </w:rPr>
        <w:t xml:space="preserve"> et notamment celles de son annexe I.</w:t>
      </w:r>
    </w:p>
    <w:p w:rsidR="00F90710" w:rsidRDefault="005A6303">
      <w:r>
        <w:rPr>
          <w:rFonts w:eastAsia="Arial" w:cs="Arial"/>
          <w:color w:val="000000"/>
          <w:shd w:val="clear" w:color="auto" w:fill="FFFFFF"/>
        </w:rPr>
        <w:t>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w:t>
      </w:r>
    </w:p>
    <w:p w:rsidR="00F90710" w:rsidRDefault="00F90710"/>
    <w:p w:rsidR="00F90710" w:rsidRDefault="005A6303">
      <w:r>
        <w:rPr>
          <w:rFonts w:eastAsia="Arial" w:cs="Arial"/>
          <w:color w:val="000000"/>
          <w:shd w:val="clear" w:color="auto" w:fill="FFFFFF"/>
        </w:rPr>
        <w:t>Les frais éventuels d'acquisition du certificat de signature sont à la charge des candidats.</w:t>
      </w:r>
    </w:p>
    <w:p w:rsidR="00F90710" w:rsidRDefault="005A6303">
      <w:r>
        <w:rPr>
          <w:rFonts w:eastAsia="Arial" w:cs="Arial"/>
          <w:color w:val="000000"/>
          <w:shd w:val="clear" w:color="auto" w:fill="FFFFFF"/>
        </w:rPr>
        <w:t>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w:t>
      </w:r>
    </w:p>
    <w:p w:rsidR="00F90710" w:rsidRDefault="005A6303">
      <w:r>
        <w:rPr>
          <w:rFonts w:eastAsia="Arial" w:cs="Arial"/>
          <w:color w:val="000000"/>
          <w:shd w:val="clear" w:color="auto" w:fill="FFFFFF"/>
        </w:rPr>
        <w:t>Exigences relatives à l'outil de signature.</w:t>
      </w:r>
    </w:p>
    <w:p w:rsidR="00F90710" w:rsidRDefault="005A6303">
      <w:r>
        <w:rPr>
          <w:rFonts w:eastAsia="Arial" w:cs="Arial"/>
          <w:color w:val="000000"/>
          <w:shd w:val="clear" w:color="auto" w:fill="FFFFFF"/>
        </w:rPr>
        <w:t xml:space="preserve">Le signataire utilise l'outil de signature électronique de son choix (logiciel, service en ligne à l'instar du profil d'acheteur de l'acheteur, parapheur électronique, etc.) pour apposer la signature avec le </w:t>
      </w:r>
      <w:r>
        <w:rPr>
          <w:rFonts w:eastAsia="Arial" w:cs="Arial"/>
          <w:color w:val="000000"/>
          <w:shd w:val="clear" w:color="auto" w:fill="FFFFFF"/>
        </w:rPr>
        <w:lastRenderedPageBreak/>
        <w:t>certificat utilisé. L'outil est conforme aux formats réglementaires (</w:t>
      </w:r>
      <w:proofErr w:type="spellStart"/>
      <w:r>
        <w:rPr>
          <w:rFonts w:eastAsia="Arial" w:cs="Arial"/>
          <w:color w:val="000000"/>
          <w:shd w:val="clear" w:color="auto" w:fill="FFFFFF"/>
        </w:rPr>
        <w:t>XAdES</w:t>
      </w:r>
      <w:proofErr w:type="spellEnd"/>
      <w:r>
        <w:rPr>
          <w:rFonts w:eastAsia="Arial" w:cs="Arial"/>
          <w:color w:val="000000"/>
          <w:shd w:val="clear" w:color="auto" w:fill="FFFFFF"/>
        </w:rPr>
        <w:t xml:space="preserve">, </w:t>
      </w:r>
      <w:proofErr w:type="spellStart"/>
      <w:r>
        <w:rPr>
          <w:rFonts w:eastAsia="Arial" w:cs="Arial"/>
          <w:color w:val="000000"/>
          <w:shd w:val="clear" w:color="auto" w:fill="FFFFFF"/>
        </w:rPr>
        <w:t>CAdES</w:t>
      </w:r>
      <w:proofErr w:type="spellEnd"/>
      <w:r>
        <w:rPr>
          <w:rFonts w:eastAsia="Arial" w:cs="Arial"/>
          <w:color w:val="000000"/>
          <w:shd w:val="clear" w:color="auto" w:fill="FFFFFF"/>
        </w:rPr>
        <w:t xml:space="preserve"> ou </w:t>
      </w:r>
      <w:proofErr w:type="spellStart"/>
      <w:r>
        <w:rPr>
          <w:rFonts w:eastAsia="Arial" w:cs="Arial"/>
          <w:color w:val="000000"/>
          <w:shd w:val="clear" w:color="auto" w:fill="FFFFFF"/>
        </w:rPr>
        <w:t>PAdES</w:t>
      </w:r>
      <w:proofErr w:type="spellEnd"/>
      <w:r>
        <w:rPr>
          <w:rFonts w:eastAsia="Arial" w:cs="Arial"/>
          <w:color w:val="000000"/>
          <w:shd w:val="clear" w:color="auto" w:fill="FFFFFF"/>
        </w:rPr>
        <w:t>) et doit produire des jetons de signature.</w:t>
      </w:r>
    </w:p>
    <w:p w:rsidR="00F90710" w:rsidRDefault="005A6303">
      <w:r>
        <w:rPr>
          <w:rFonts w:eastAsia="Arial" w:cs="Arial"/>
          <w:color w:val="000000"/>
          <w:shd w:val="clear" w:color="auto" w:fill="FFFFFF"/>
        </w:rPr>
        <w:t xml:space="preserve">S'il utilise un autre outil de signature que celui du profil d'acheteur, cet outil doit être conforme aux exigences du règlement européen </w:t>
      </w:r>
      <w:proofErr w:type="spellStart"/>
      <w:r>
        <w:rPr>
          <w:rFonts w:eastAsia="Arial" w:cs="Arial"/>
          <w:color w:val="000000"/>
          <w:shd w:val="clear" w:color="auto" w:fill="FFFFFF"/>
        </w:rPr>
        <w:t>eIDAS</w:t>
      </w:r>
      <w:proofErr w:type="spellEnd"/>
      <w:r>
        <w:rPr>
          <w:rFonts w:eastAsia="Arial" w:cs="Arial"/>
          <w:color w:val="000000"/>
          <w:shd w:val="clear" w:color="auto" w:fill="FFFFFF"/>
        </w:rPr>
        <w:t xml:space="preserve"> et notamment celles fixées à son annexe II. Le signataire doit transmettre le mode d'emploi permettant à l'acheteur de procéder aux vérifications nécessaires.</w:t>
      </w:r>
    </w:p>
    <w:p w:rsidR="00F90710" w:rsidRDefault="005A6303">
      <w:r>
        <w:rPr>
          <w:rFonts w:eastAsia="Arial" w:cs="Arial"/>
          <w:color w:val="000000"/>
          <w:shd w:val="clear" w:color="auto" w:fill="FFFFFF"/>
        </w:rPr>
        <w:t>Quels que soient l'outil utilisé, celui-ci ne doit ni modifier le document signé ni porter atteinte à son intégrité.</w:t>
      </w:r>
    </w:p>
    <w:p w:rsidR="00F90710" w:rsidRDefault="005A6303">
      <w:r>
        <w:rPr>
          <w:rFonts w:eastAsia="Arial" w:cs="Arial"/>
          <w:color w:val="000000"/>
          <w:shd w:val="clear" w:color="auto" w:fill="FFFFFF"/>
        </w:rPr>
        <w:t>Le signataire, titulaire du certificat de signature, doit avoir le pouvoir d'engager la société. Il peut s'agir soit du représentant légal de la société soit d'une personne qui dispose d'une délégation de signature.</w:t>
      </w:r>
    </w:p>
    <w:p w:rsidR="00F90710" w:rsidRDefault="005A6303">
      <w:r>
        <w:rPr>
          <w:rFonts w:eastAsia="Arial" w:cs="Arial"/>
          <w:color w:val="000000"/>
          <w:shd w:val="clear" w:color="auto" w:fill="FFFFFF"/>
        </w:rPr>
        <w:t>Dans la situation d'un groupement d'opérateurs économiques, soit tous les membres du groupement signent, soit le mandataire qui doit justifier des habilitations nécessaires pour représenter les autres membres du groupement.</w:t>
      </w:r>
    </w:p>
    <w:p w:rsidR="00F90710" w:rsidRDefault="005A6303">
      <w:r>
        <w:rPr>
          <w:rFonts w:eastAsia="Arial" w:cs="Arial"/>
          <w:color w:val="000000"/>
          <w:shd w:val="clear" w:color="auto" w:fill="FFFFFF"/>
        </w:rPr>
        <w:t>]</w:t>
      </w:r>
    </w:p>
    <w:p w:rsidR="00F90710" w:rsidRDefault="005A6303" w:rsidP="00756CDE">
      <w:pPr>
        <w:pStyle w:val="Titre1"/>
        <w:numPr>
          <w:ilvl w:val="0"/>
          <w:numId w:val="15"/>
        </w:numPr>
      </w:pPr>
      <w:bookmarkStart w:id="15" w:name="_Toc12"/>
      <w:r>
        <w:t>AMENAGEMENTS EN CAS DE MENACE SANITAIRE GRAVE APPELANT DES MESURES D'URGENCE</w:t>
      </w:r>
      <w:bookmarkEnd w:id="15"/>
    </w:p>
    <w:p w:rsidR="00F90710" w:rsidRDefault="005A6303">
      <w:r>
        <w:rPr>
          <w:rFonts w:eastAsia="Arial" w:cs="Arial"/>
          <w:color w:val="000000"/>
          <w:shd w:val="clear" w:color="auto" w:fill="FFFFFF"/>
        </w:rPr>
        <w:t xml:space="preserve">En cas de menace sanitaire grave appelant des mesures d'urgence déclarée en cours de consultation, l'acheteur peut aménager certaines modalités de mise en concurrence dans le respect des principes fondamentaux de la commande publique et après information des candidats ou soumissionnaires dans les meilleurs délais. L'acheteur s'assure également de leur possibilité de poursuivre la procédure selon les nouvelles modalités fixées. </w:t>
      </w:r>
    </w:p>
    <w:p w:rsidR="00F90710" w:rsidRDefault="00F90710"/>
    <w:p w:rsidR="00F90710" w:rsidRDefault="00F90710"/>
    <w:p w:rsidR="00F90710" w:rsidRDefault="005A6303" w:rsidP="00756CDE">
      <w:pPr>
        <w:pStyle w:val="Titre1"/>
        <w:numPr>
          <w:ilvl w:val="0"/>
          <w:numId w:val="15"/>
        </w:numPr>
      </w:pPr>
      <w:bookmarkStart w:id="16" w:name="_Toc13"/>
      <w:r>
        <w:t>ANNEXES</w:t>
      </w:r>
      <w:bookmarkEnd w:id="16"/>
    </w:p>
    <w:p w:rsidR="00F90710" w:rsidRDefault="005A6303">
      <w:r>
        <w:rPr>
          <w:rFonts w:eastAsia="Arial" w:cs="Arial"/>
          <w:color w:val="000000"/>
        </w:rPr>
        <w:t>[Chapitre optionnel]</w:t>
      </w:r>
    </w:p>
    <w:sectPr w:rsidR="00F90710">
      <w:footerReference w:type="default" r:id="rId9"/>
      <w:headerReference w:type="first" r:id="rId10"/>
      <w:pgSz w:w="12240" w:h="15840"/>
      <w:pgMar w:top="1440" w:right="1803" w:bottom="1440" w:left="1803" w:header="318"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03" w:rsidRDefault="00914503">
      <w:r>
        <w:separator/>
      </w:r>
    </w:p>
  </w:endnote>
  <w:endnote w:type="continuationSeparator" w:id="0">
    <w:p w:rsidR="00914503" w:rsidRDefault="0091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3" w:rsidRDefault="00914503">
    <w:pPr>
      <w:pStyle w:val="Pieddepage"/>
    </w:pPr>
    <w:proofErr w:type="spellStart"/>
    <w:r>
      <w:rPr>
        <w:color w:val="4472C4" w:themeColor="accent1"/>
      </w:rPr>
      <w:t>RC_Fourniture</w:t>
    </w:r>
    <w:proofErr w:type="spellEnd"/>
    <w:r>
      <w:rPr>
        <w:color w:val="4472C4" w:themeColor="accent1"/>
      </w:rPr>
      <w:t xml:space="preserve"> et livraison en liaison froide de la composante chaude du repas (Externalisation du plat chaud) des repas normaux et des repas hachés/faciles à mastiquer.</w:t>
    </w:r>
    <w:r>
      <w:tab/>
    </w:r>
    <w:r>
      <w:tab/>
    </w:r>
    <w:r>
      <w:fldChar w:fldCharType="begin"/>
    </w:r>
    <w:r>
      <w:instrText xml:space="preserve"> PAGE </w:instrText>
    </w:r>
    <w:r>
      <w:fldChar w:fldCharType="separate"/>
    </w:r>
    <w:r w:rsidR="0062522B">
      <w:rPr>
        <w:noProof/>
      </w:rPr>
      <w:t>21</w:t>
    </w:r>
    <w:r>
      <w:fldChar w:fldCharType="end"/>
    </w:r>
    <w:r>
      <w:t>/</w:t>
    </w:r>
    <w:fldSimple w:instr="NUMPAGES \* MERGEFORMAT">
      <w:r w:rsidR="0062522B">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03" w:rsidRDefault="00914503">
      <w:r>
        <w:separator/>
      </w:r>
    </w:p>
  </w:footnote>
  <w:footnote w:type="continuationSeparator" w:id="0">
    <w:p w:rsidR="00914503" w:rsidRDefault="0091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3" w:rsidRDefault="00914503">
    <w:pPr>
      <w:pStyle w:val="En-tte"/>
      <w:jc w:val="left"/>
    </w:pPr>
    <w:r>
      <w:rPr>
        <w:noProof/>
        <w:lang w:eastAsia="fr-FR" w:bidi="ar-SA"/>
      </w:rPr>
      <mc:AlternateContent>
        <mc:Choice Requires="wpg">
          <w:drawing>
            <wp:inline distT="0" distB="0" distL="0" distR="0">
              <wp:extent cx="3261360" cy="1015728"/>
              <wp:effectExtent l="0" t="0" r="0" b="0"/>
              <wp:docPr id="1" name="Image 1" descr="Une image contenant texte, Police, capture d’écran,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2329" name="Image 1" descr="Une image contenant texte, Police, capture d’écran, Graphique  Description générée automatiquement"/>
                      <pic:cNvPicPr>
                        <a:picLocks noChangeAspect="1"/>
                      </pic:cNvPicPr>
                    </pic:nvPicPr>
                    <pic:blipFill>
                      <a:blip r:embed="rId1"/>
                      <a:stretch/>
                    </pic:blipFill>
                    <pic:spPr bwMode="auto">
                      <a:xfrm>
                        <a:off x="0" y="0"/>
                        <a:ext cx="3268960" cy="101809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56.80pt;height:79.98pt;mso-wrap-distance-left:0.00pt;mso-wrap-distance-top:0.00pt;mso-wrap-distance-right:0.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2EA"/>
    <w:multiLevelType w:val="multilevel"/>
    <w:tmpl w:val="FD762990"/>
    <w:styleLink w:val="RTFNum4"/>
    <w:lvl w:ilvl="0">
      <w:start w:val="1"/>
      <w:numFmt w:val="bullet"/>
      <w:pStyle w:val="RTFNum4"/>
      <w:lvlText w:val=""/>
      <w:lvlJc w:val="left"/>
      <w:pPr>
        <w:ind w:left="720" w:hanging="360"/>
      </w:pPr>
      <w:rPr>
        <w:rFonts w:ascii="Wingdings" w:eastAsia="Wingdings" w:hAnsi="Wingdings" w:cs="Wingding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2D67540"/>
    <w:multiLevelType w:val="multilevel"/>
    <w:tmpl w:val="D6040638"/>
    <w:styleLink w:val="List1"/>
    <w:lvl w:ilvl="0">
      <w:start w:val="1"/>
      <w:numFmt w:val="bullet"/>
      <w:pStyle w:val="List1"/>
      <w:lvlText w:val=""/>
      <w:lvlJc w:val="left"/>
      <w:pPr>
        <w:ind w:left="283" w:hanging="283"/>
      </w:pPr>
      <w:rPr>
        <w:rFonts w:ascii="OpenSymbol" w:eastAsia="OpenSymbol" w:hAnsi="OpenSymbol" w:cs="OpenSymbol"/>
      </w:rPr>
    </w:lvl>
    <w:lvl w:ilvl="1">
      <w:start w:val="1"/>
      <w:numFmt w:val="bullet"/>
      <w:lvlText w:val="–"/>
      <w:lvlJc w:val="left"/>
      <w:pPr>
        <w:ind w:left="567" w:hanging="284"/>
      </w:pPr>
      <w:rPr>
        <w:rFonts w:ascii="OpenSymbol" w:eastAsia="OpenSymbol" w:hAnsi="OpenSymbol" w:cs="OpenSymbol"/>
      </w:rPr>
    </w:lvl>
    <w:lvl w:ilvl="2">
      <w:start w:val="1"/>
      <w:numFmt w:val="bullet"/>
      <w:lvlText w:val=""/>
      <w:lvlJc w:val="left"/>
      <w:pPr>
        <w:ind w:left="850" w:hanging="283"/>
      </w:pPr>
      <w:rPr>
        <w:rFonts w:ascii="OpenSymbol" w:eastAsia="OpenSymbol" w:hAnsi="OpenSymbol" w:cs="OpenSymbol"/>
      </w:rPr>
    </w:lvl>
    <w:lvl w:ilvl="3">
      <w:start w:val="1"/>
      <w:numFmt w:val="bullet"/>
      <w:lvlText w:val="▫"/>
      <w:lvlJc w:val="left"/>
      <w:pPr>
        <w:ind w:left="1134" w:hanging="284"/>
      </w:pPr>
      <w:rPr>
        <w:rFonts w:ascii="OpenSymbol" w:eastAsia="OpenSymbol" w:hAnsi="OpenSymbol" w:cs="OpenSymbol"/>
      </w:rPr>
    </w:lvl>
    <w:lvl w:ilvl="4">
      <w:start w:val="1"/>
      <w:numFmt w:val="bullet"/>
      <w:lvlText w:val="▪"/>
      <w:lvlJc w:val="left"/>
      <w:pPr>
        <w:ind w:left="1134" w:hanging="227"/>
      </w:pPr>
      <w:rPr>
        <w:rFonts w:ascii="OpenSymbol" w:eastAsia="OpenSymbol" w:hAnsi="OpenSymbol" w:cs="OpenSymbol"/>
      </w:rPr>
    </w:lvl>
    <w:lvl w:ilvl="5">
      <w:start w:val="1"/>
      <w:numFmt w:val="bullet"/>
      <w:lvlText w:val="▪"/>
      <w:lvlJc w:val="left"/>
      <w:pPr>
        <w:ind w:left="1361" w:hanging="227"/>
      </w:pPr>
      <w:rPr>
        <w:rFonts w:ascii="OpenSymbol" w:eastAsia="OpenSymbol" w:hAnsi="OpenSymbol" w:cs="OpenSymbol"/>
      </w:rPr>
    </w:lvl>
    <w:lvl w:ilvl="6">
      <w:start w:val="1"/>
      <w:numFmt w:val="bullet"/>
      <w:lvlText w:val="▪"/>
      <w:lvlJc w:val="left"/>
      <w:pPr>
        <w:ind w:left="1587" w:hanging="227"/>
      </w:pPr>
      <w:rPr>
        <w:rFonts w:ascii="OpenSymbol" w:eastAsia="OpenSymbol" w:hAnsi="OpenSymbol" w:cs="OpenSymbol"/>
      </w:rPr>
    </w:lvl>
    <w:lvl w:ilvl="7">
      <w:start w:val="1"/>
      <w:numFmt w:val="bullet"/>
      <w:lvlText w:val="▪"/>
      <w:lvlJc w:val="left"/>
      <w:pPr>
        <w:ind w:left="1814" w:hanging="227"/>
      </w:pPr>
      <w:rPr>
        <w:rFonts w:ascii="OpenSymbol" w:eastAsia="OpenSymbol" w:hAnsi="OpenSymbol" w:cs="OpenSymbol"/>
      </w:rPr>
    </w:lvl>
    <w:lvl w:ilvl="8">
      <w:start w:val="1"/>
      <w:numFmt w:val="bullet"/>
      <w:lvlText w:val="▪"/>
      <w:lvlJc w:val="left"/>
      <w:pPr>
        <w:ind w:left="2041" w:hanging="227"/>
      </w:pPr>
      <w:rPr>
        <w:rFonts w:ascii="OpenSymbol" w:eastAsia="OpenSymbol" w:hAnsi="OpenSymbol" w:cs="OpenSymbol"/>
      </w:rPr>
    </w:lvl>
  </w:abstractNum>
  <w:abstractNum w:abstractNumId="2" w15:restartNumberingAfterBreak="0">
    <w:nsid w:val="04CC22A1"/>
    <w:multiLevelType w:val="multilevel"/>
    <w:tmpl w:val="72C0BE2A"/>
    <w:styleLink w:val="Liste51"/>
    <w:lvl w:ilvl="0">
      <w:start w:val="1"/>
      <w:numFmt w:val="bullet"/>
      <w:pStyle w:val="Liste51"/>
      <w:lvlText w:val="✗"/>
      <w:lvlJc w:val="left"/>
      <w:pPr>
        <w:ind w:left="227" w:hanging="227"/>
      </w:pPr>
      <w:rPr>
        <w:rFonts w:ascii="OpenSymbol" w:hAnsi="OpenSymbol"/>
      </w:rPr>
    </w:lvl>
    <w:lvl w:ilvl="1">
      <w:start w:val="1"/>
      <w:numFmt w:val="bullet"/>
      <w:lvlText w:val="✗"/>
      <w:lvlJc w:val="left"/>
      <w:pPr>
        <w:ind w:left="454" w:hanging="227"/>
      </w:pPr>
      <w:rPr>
        <w:rFonts w:ascii="OpenSymbol" w:hAnsi="OpenSymbol"/>
      </w:rPr>
    </w:lvl>
    <w:lvl w:ilvl="2">
      <w:start w:val="1"/>
      <w:numFmt w:val="bullet"/>
      <w:lvlText w:val="✗"/>
      <w:lvlJc w:val="left"/>
      <w:pPr>
        <w:ind w:left="680" w:hanging="227"/>
      </w:pPr>
      <w:rPr>
        <w:rFonts w:ascii="OpenSymbol" w:hAnsi="OpenSymbol"/>
      </w:rPr>
    </w:lvl>
    <w:lvl w:ilvl="3">
      <w:start w:val="1"/>
      <w:numFmt w:val="bullet"/>
      <w:lvlText w:val="✗"/>
      <w:lvlJc w:val="left"/>
      <w:pPr>
        <w:ind w:left="907" w:hanging="227"/>
      </w:pPr>
      <w:rPr>
        <w:rFonts w:ascii="OpenSymbol" w:hAnsi="OpenSymbol"/>
      </w:rPr>
    </w:lvl>
    <w:lvl w:ilvl="4">
      <w:start w:val="1"/>
      <w:numFmt w:val="bullet"/>
      <w:lvlText w:val="✗"/>
      <w:lvlJc w:val="left"/>
      <w:pPr>
        <w:ind w:left="1134" w:hanging="227"/>
      </w:pPr>
      <w:rPr>
        <w:rFonts w:ascii="OpenSymbol" w:hAnsi="OpenSymbol"/>
      </w:rPr>
    </w:lvl>
    <w:lvl w:ilvl="5">
      <w:start w:val="1"/>
      <w:numFmt w:val="bullet"/>
      <w:lvlText w:val="✗"/>
      <w:lvlJc w:val="left"/>
      <w:pPr>
        <w:ind w:left="1361" w:hanging="227"/>
      </w:pPr>
      <w:rPr>
        <w:rFonts w:ascii="OpenSymbol" w:hAnsi="OpenSymbol"/>
      </w:rPr>
    </w:lvl>
    <w:lvl w:ilvl="6">
      <w:start w:val="1"/>
      <w:numFmt w:val="bullet"/>
      <w:lvlText w:val="✗"/>
      <w:lvlJc w:val="left"/>
      <w:pPr>
        <w:ind w:left="1587" w:hanging="227"/>
      </w:pPr>
      <w:rPr>
        <w:rFonts w:ascii="OpenSymbol" w:hAnsi="OpenSymbol"/>
      </w:rPr>
    </w:lvl>
    <w:lvl w:ilvl="7">
      <w:start w:val="1"/>
      <w:numFmt w:val="bullet"/>
      <w:lvlText w:val="✗"/>
      <w:lvlJc w:val="left"/>
      <w:pPr>
        <w:ind w:left="1814" w:hanging="227"/>
      </w:pPr>
      <w:rPr>
        <w:rFonts w:ascii="OpenSymbol" w:hAnsi="OpenSymbol"/>
      </w:rPr>
    </w:lvl>
    <w:lvl w:ilvl="8">
      <w:start w:val="1"/>
      <w:numFmt w:val="bullet"/>
      <w:lvlText w:val="✗"/>
      <w:lvlJc w:val="left"/>
      <w:pPr>
        <w:ind w:left="2041" w:hanging="227"/>
      </w:pPr>
      <w:rPr>
        <w:rFonts w:ascii="OpenSymbol" w:hAnsi="OpenSymbol"/>
      </w:rPr>
    </w:lvl>
  </w:abstractNum>
  <w:abstractNum w:abstractNumId="3" w15:restartNumberingAfterBreak="0">
    <w:nsid w:val="06C44F84"/>
    <w:multiLevelType w:val="multilevel"/>
    <w:tmpl w:val="9C667B2C"/>
    <w:styleLink w:val="Numbering3"/>
    <w:lvl w:ilvl="0">
      <w:start w:val="1"/>
      <w:numFmt w:val="decimal"/>
      <w:pStyle w:val="Numbering3"/>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 w15:restartNumberingAfterBreak="0">
    <w:nsid w:val="0C240164"/>
    <w:multiLevelType w:val="multilevel"/>
    <w:tmpl w:val="28FA79E0"/>
    <w:styleLink w:val="Liste31"/>
    <w:lvl w:ilvl="0">
      <w:start w:val="1"/>
      <w:numFmt w:val="bullet"/>
      <w:pStyle w:val="Liste31"/>
      <w:lvlText w:val="☑"/>
      <w:lvlJc w:val="left"/>
      <w:pPr>
        <w:ind w:left="224" w:hanging="224"/>
      </w:pPr>
      <w:rPr>
        <w:rFonts w:ascii="OpenSymbol" w:hAnsi="OpenSymbol"/>
      </w:rPr>
    </w:lvl>
    <w:lvl w:ilvl="1">
      <w:start w:val="1"/>
      <w:numFmt w:val="bullet"/>
      <w:lvlText w:val="□"/>
      <w:lvlJc w:val="left"/>
      <w:pPr>
        <w:ind w:left="448" w:hanging="224"/>
      </w:pPr>
      <w:rPr>
        <w:rFonts w:ascii="OpenSymbol" w:hAnsi="OpenSymbol"/>
      </w:rPr>
    </w:lvl>
    <w:lvl w:ilvl="2">
      <w:start w:val="1"/>
      <w:numFmt w:val="bullet"/>
      <w:lvlText w:val="☑"/>
      <w:lvlJc w:val="left"/>
      <w:pPr>
        <w:ind w:left="224" w:hanging="224"/>
      </w:pPr>
      <w:rPr>
        <w:rFonts w:ascii="OpenSymbol" w:hAnsi="OpenSymbol"/>
      </w:rPr>
    </w:lvl>
    <w:lvl w:ilvl="3">
      <w:start w:val="1"/>
      <w:numFmt w:val="bullet"/>
      <w:lvlText w:val="□"/>
      <w:lvlJc w:val="left"/>
      <w:pPr>
        <w:ind w:left="448" w:hanging="224"/>
      </w:pPr>
      <w:rPr>
        <w:rFonts w:ascii="OpenSymbol" w:hAnsi="OpenSymbol"/>
      </w:rPr>
    </w:lvl>
    <w:lvl w:ilvl="4">
      <w:start w:val="1"/>
      <w:numFmt w:val="bullet"/>
      <w:lvlText w:val="☑"/>
      <w:lvlJc w:val="left"/>
      <w:pPr>
        <w:ind w:left="224" w:hanging="224"/>
      </w:pPr>
      <w:rPr>
        <w:rFonts w:ascii="OpenSymbol" w:hAnsi="OpenSymbol"/>
      </w:rPr>
    </w:lvl>
    <w:lvl w:ilvl="5">
      <w:start w:val="1"/>
      <w:numFmt w:val="bullet"/>
      <w:lvlText w:val="□"/>
      <w:lvlJc w:val="left"/>
      <w:pPr>
        <w:ind w:left="448" w:hanging="224"/>
      </w:pPr>
      <w:rPr>
        <w:rFonts w:ascii="OpenSymbol" w:hAnsi="OpenSymbol"/>
      </w:rPr>
    </w:lvl>
    <w:lvl w:ilvl="6">
      <w:start w:val="1"/>
      <w:numFmt w:val="bullet"/>
      <w:lvlText w:val="☑"/>
      <w:lvlJc w:val="left"/>
      <w:pPr>
        <w:ind w:left="224" w:hanging="224"/>
      </w:pPr>
      <w:rPr>
        <w:rFonts w:ascii="OpenSymbol" w:hAnsi="OpenSymbol"/>
      </w:rPr>
    </w:lvl>
    <w:lvl w:ilvl="7">
      <w:start w:val="1"/>
      <w:numFmt w:val="bullet"/>
      <w:lvlText w:val="□"/>
      <w:lvlJc w:val="left"/>
      <w:pPr>
        <w:ind w:left="448" w:hanging="224"/>
      </w:pPr>
      <w:rPr>
        <w:rFonts w:ascii="OpenSymbol" w:hAnsi="OpenSymbol"/>
      </w:rPr>
    </w:lvl>
    <w:lvl w:ilvl="8">
      <w:start w:val="1"/>
      <w:numFmt w:val="bullet"/>
      <w:lvlText w:val="☑"/>
      <w:lvlJc w:val="left"/>
      <w:pPr>
        <w:ind w:left="224" w:hanging="224"/>
      </w:pPr>
      <w:rPr>
        <w:rFonts w:ascii="OpenSymbol" w:hAnsi="OpenSymbol"/>
      </w:rPr>
    </w:lvl>
  </w:abstractNum>
  <w:abstractNum w:abstractNumId="5" w15:restartNumberingAfterBreak="0">
    <w:nsid w:val="24CA1EBB"/>
    <w:multiLevelType w:val="multilevel"/>
    <w:tmpl w:val="3B14FC42"/>
    <w:styleLink w:val="Numbering11"/>
    <w:lvl w:ilvl="0">
      <w:start w:val="1"/>
      <w:numFmt w:val="decimal"/>
      <w:pStyle w:val="Numbering11"/>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29415EEC"/>
    <w:multiLevelType w:val="multilevel"/>
    <w:tmpl w:val="963ACE36"/>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FFA390D"/>
    <w:multiLevelType w:val="multilevel"/>
    <w:tmpl w:val="C65A16CC"/>
    <w:styleLink w:val="Numbering4"/>
    <w:lvl w:ilvl="0">
      <w:start w:val="1"/>
      <w:numFmt w:val="upperRoman"/>
      <w:pStyle w:val="Numbering4"/>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8" w15:restartNumberingAfterBreak="0">
    <w:nsid w:val="349920B5"/>
    <w:multiLevelType w:val="multilevel"/>
    <w:tmpl w:val="10805466"/>
    <w:styleLink w:val="Liste41"/>
    <w:lvl w:ilvl="0">
      <w:start w:val="1"/>
      <w:numFmt w:val="bullet"/>
      <w:pStyle w:val="Liste41"/>
      <w:lvlText w:val="➢"/>
      <w:lvlJc w:val="left"/>
      <w:pPr>
        <w:ind w:left="227" w:hanging="227"/>
      </w:pPr>
      <w:rPr>
        <w:rFonts w:ascii="OpenSymbol" w:hAnsi="OpenSymbol"/>
      </w:rPr>
    </w:lvl>
    <w:lvl w:ilvl="1">
      <w:start w:val="1"/>
      <w:numFmt w:val="bullet"/>
      <w:lvlText w:val=""/>
      <w:lvlJc w:val="left"/>
      <w:pPr>
        <w:ind w:left="454" w:hanging="227"/>
      </w:pPr>
      <w:rPr>
        <w:rFonts w:ascii="OpenSymbol" w:hAnsi="OpenSymbol"/>
      </w:rPr>
    </w:lvl>
    <w:lvl w:ilvl="2">
      <w:start w:val="1"/>
      <w:numFmt w:val="bullet"/>
      <w:lvlText w:val=""/>
      <w:lvlJc w:val="left"/>
      <w:pPr>
        <w:ind w:left="680" w:hanging="227"/>
      </w:pPr>
      <w:rPr>
        <w:rFonts w:ascii="OpenSymbol" w:hAnsi="OpenSymbol"/>
      </w:rPr>
    </w:lvl>
    <w:lvl w:ilvl="3">
      <w:start w:val="1"/>
      <w:numFmt w:val="bullet"/>
      <w:lvlText w:val=""/>
      <w:lvlJc w:val="left"/>
      <w:pPr>
        <w:ind w:left="907" w:hanging="227"/>
      </w:pPr>
      <w:rPr>
        <w:rFonts w:ascii="OpenSymbol" w:hAnsi="OpenSymbol"/>
      </w:rPr>
    </w:lvl>
    <w:lvl w:ilvl="4">
      <w:start w:val="1"/>
      <w:numFmt w:val="bullet"/>
      <w:lvlText w:val=""/>
      <w:lvlJc w:val="left"/>
      <w:pPr>
        <w:ind w:left="1134" w:hanging="227"/>
      </w:pPr>
      <w:rPr>
        <w:rFonts w:ascii="OpenSymbol" w:hAnsi="OpenSymbol"/>
      </w:rPr>
    </w:lvl>
    <w:lvl w:ilvl="5">
      <w:start w:val="1"/>
      <w:numFmt w:val="bullet"/>
      <w:lvlText w:val=""/>
      <w:lvlJc w:val="left"/>
      <w:pPr>
        <w:ind w:left="1361" w:hanging="227"/>
      </w:pPr>
      <w:rPr>
        <w:rFonts w:ascii="OpenSymbol" w:hAnsi="OpenSymbol"/>
      </w:rPr>
    </w:lvl>
    <w:lvl w:ilvl="6">
      <w:start w:val="1"/>
      <w:numFmt w:val="bullet"/>
      <w:lvlText w:val=""/>
      <w:lvlJc w:val="left"/>
      <w:pPr>
        <w:ind w:left="1587" w:hanging="227"/>
      </w:pPr>
      <w:rPr>
        <w:rFonts w:ascii="OpenSymbol" w:hAnsi="OpenSymbol"/>
      </w:rPr>
    </w:lvl>
    <w:lvl w:ilvl="7">
      <w:start w:val="1"/>
      <w:numFmt w:val="bullet"/>
      <w:lvlText w:val=""/>
      <w:lvlJc w:val="left"/>
      <w:pPr>
        <w:ind w:left="1814" w:hanging="227"/>
      </w:pPr>
      <w:rPr>
        <w:rFonts w:ascii="OpenSymbol" w:hAnsi="OpenSymbol"/>
      </w:rPr>
    </w:lvl>
    <w:lvl w:ilvl="8">
      <w:start w:val="1"/>
      <w:numFmt w:val="bullet"/>
      <w:lvlText w:val=""/>
      <w:lvlJc w:val="left"/>
      <w:pPr>
        <w:ind w:left="2041" w:hanging="227"/>
      </w:pPr>
      <w:rPr>
        <w:rFonts w:ascii="OpenSymbol" w:hAnsi="OpenSymbol"/>
      </w:rPr>
    </w:lvl>
  </w:abstractNum>
  <w:abstractNum w:abstractNumId="9" w15:restartNumberingAfterBreak="0">
    <w:nsid w:val="3A743546"/>
    <w:multiLevelType w:val="multilevel"/>
    <w:tmpl w:val="1E8C30FE"/>
    <w:styleLink w:val="RTFNum3"/>
    <w:lvl w:ilvl="0">
      <w:start w:val="1"/>
      <w:numFmt w:val="decimal"/>
      <w:pStyle w:val="RTFNum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1574663"/>
    <w:multiLevelType w:val="multilevel"/>
    <w:tmpl w:val="FE825D18"/>
    <w:lvl w:ilvl="0">
      <w:start w:val="1"/>
      <w:numFmt w:val="bullet"/>
      <w:pStyle w:val="List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5B1D3144"/>
    <w:multiLevelType w:val="multilevel"/>
    <w:tmpl w:val="66B005A8"/>
    <w:styleLink w:val="Liste21"/>
    <w:lvl w:ilvl="0">
      <w:start w:val="1"/>
      <w:numFmt w:val="bullet"/>
      <w:pStyle w:val="Liste21"/>
      <w:lvlText w:val="□"/>
      <w:lvlJc w:val="left"/>
      <w:pPr>
        <w:ind w:left="170" w:hanging="170"/>
      </w:pPr>
      <w:rPr>
        <w:rFonts w:ascii="OpenSymbol" w:eastAsia="OpenSymbol" w:hAnsi="OpenSymbol" w:cs="OpenSymbol"/>
      </w:rPr>
    </w:lvl>
    <w:lvl w:ilvl="1">
      <w:start w:val="1"/>
      <w:numFmt w:val="bullet"/>
      <w:lvlText w:val="□"/>
      <w:lvlJc w:val="left"/>
      <w:pPr>
        <w:ind w:left="567" w:hanging="340"/>
      </w:pPr>
      <w:rPr>
        <w:rFonts w:ascii="OpenSymbol" w:eastAsia="OpenSymbol" w:hAnsi="OpenSymbol" w:cs="OpenSymbol"/>
      </w:rPr>
    </w:lvl>
    <w:lvl w:ilvl="2">
      <w:start w:val="1"/>
      <w:numFmt w:val="bullet"/>
      <w:lvlText w:val="□"/>
      <w:lvlJc w:val="left"/>
      <w:pPr>
        <w:ind w:left="510" w:hanging="170"/>
      </w:pPr>
      <w:rPr>
        <w:rFonts w:ascii="OpenSymbol" w:eastAsia="OpenSymbol" w:hAnsi="OpenSymbol" w:cs="OpenSymbol"/>
      </w:rPr>
    </w:lvl>
    <w:lvl w:ilvl="3">
      <w:start w:val="1"/>
      <w:numFmt w:val="bullet"/>
      <w:lvlText w:val="□"/>
      <w:lvlJc w:val="left"/>
      <w:pPr>
        <w:ind w:left="680" w:hanging="170"/>
      </w:pPr>
      <w:rPr>
        <w:rFonts w:ascii="OpenSymbol" w:eastAsia="OpenSymbol" w:hAnsi="OpenSymbol" w:cs="OpenSymbol"/>
      </w:rPr>
    </w:lvl>
    <w:lvl w:ilvl="4">
      <w:start w:val="1"/>
      <w:numFmt w:val="bullet"/>
      <w:lvlText w:val="□"/>
      <w:lvlJc w:val="left"/>
      <w:pPr>
        <w:ind w:left="850" w:hanging="170"/>
      </w:pPr>
      <w:rPr>
        <w:rFonts w:ascii="OpenSymbol" w:eastAsia="OpenSymbol" w:hAnsi="OpenSymbol" w:cs="OpenSymbol"/>
      </w:rPr>
    </w:lvl>
    <w:lvl w:ilvl="5">
      <w:start w:val="1"/>
      <w:numFmt w:val="bullet"/>
      <w:lvlText w:val="□"/>
      <w:lvlJc w:val="left"/>
      <w:pPr>
        <w:ind w:left="1020" w:hanging="170"/>
      </w:pPr>
      <w:rPr>
        <w:rFonts w:ascii="OpenSymbol" w:eastAsia="OpenSymbol" w:hAnsi="OpenSymbol" w:cs="OpenSymbol"/>
      </w:rPr>
    </w:lvl>
    <w:lvl w:ilvl="6">
      <w:start w:val="1"/>
      <w:numFmt w:val="bullet"/>
      <w:lvlText w:val="□"/>
      <w:lvlJc w:val="left"/>
      <w:pPr>
        <w:ind w:left="1191" w:hanging="170"/>
      </w:pPr>
      <w:rPr>
        <w:rFonts w:ascii="OpenSymbol" w:eastAsia="OpenSymbol" w:hAnsi="OpenSymbol" w:cs="OpenSymbol"/>
      </w:rPr>
    </w:lvl>
    <w:lvl w:ilvl="7">
      <w:start w:val="1"/>
      <w:numFmt w:val="bullet"/>
      <w:lvlText w:val="□"/>
      <w:lvlJc w:val="left"/>
      <w:pPr>
        <w:ind w:left="1361" w:hanging="170"/>
      </w:pPr>
      <w:rPr>
        <w:rFonts w:ascii="OpenSymbol" w:eastAsia="OpenSymbol" w:hAnsi="OpenSymbol" w:cs="OpenSymbol"/>
      </w:rPr>
    </w:lvl>
    <w:lvl w:ilvl="8">
      <w:start w:val="1"/>
      <w:numFmt w:val="bullet"/>
      <w:lvlText w:val="□"/>
      <w:lvlJc w:val="left"/>
      <w:pPr>
        <w:ind w:left="1531" w:hanging="170"/>
      </w:pPr>
      <w:rPr>
        <w:rFonts w:ascii="OpenSymbol" w:eastAsia="OpenSymbol" w:hAnsi="OpenSymbol" w:cs="OpenSymbol"/>
      </w:rPr>
    </w:lvl>
  </w:abstractNum>
  <w:abstractNum w:abstractNumId="12" w15:restartNumberingAfterBreak="0">
    <w:nsid w:val="64C1186D"/>
    <w:multiLevelType w:val="hybridMultilevel"/>
    <w:tmpl w:val="5F2801EC"/>
    <w:lvl w:ilvl="0" w:tplc="C22CB7D0">
      <w:numFmt w:val="bullet"/>
      <w:lvlText w:val="-"/>
      <w:lvlJc w:val="left"/>
      <w:pPr>
        <w:ind w:left="720" w:hanging="360"/>
      </w:pPr>
      <w:rPr>
        <w:rFonts w:ascii="Arial" w:eastAsia="Arial"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DF43DD"/>
    <w:multiLevelType w:val="multilevel"/>
    <w:tmpl w:val="92C6393A"/>
    <w:styleLink w:val="RTFNum2"/>
    <w:lvl w:ilvl="0">
      <w:start w:val="1"/>
      <w:numFmt w:val="bullet"/>
      <w:pStyle w:val="RTFNum2"/>
      <w:lvlText w:val=""/>
      <w:lvlJc w:val="left"/>
      <w:pPr>
        <w:ind w:left="360" w:hanging="360"/>
      </w:pPr>
      <w:rPr>
        <w:rFonts w:ascii="Wingdings" w:eastAsia="Wingdings" w:hAnsi="Wingdings" w:cs="Wingdings"/>
      </w:rPr>
    </w:lvl>
    <w:lvl w:ilvl="1">
      <w:start w:val="1"/>
      <w:numFmt w:val="bullet"/>
      <w:lvlText w:val=""/>
      <w:lvlJc w:val="left"/>
      <w:pPr>
        <w:ind w:left="720" w:hanging="360"/>
      </w:pPr>
      <w:rPr>
        <w:rFonts w:ascii="Wingdings" w:eastAsia="Wingdings" w:hAnsi="Wingdings" w:cs="Wingdings"/>
      </w:rPr>
    </w:lvl>
    <w:lvl w:ilvl="2">
      <w:start w:val="1"/>
      <w:numFmt w:val="bullet"/>
      <w:lvlText w:val=""/>
      <w:lvlJc w:val="left"/>
      <w:pPr>
        <w:ind w:left="1080" w:hanging="360"/>
      </w:pPr>
      <w:rPr>
        <w:rFonts w:ascii="Wingdings" w:eastAsia="Wingdings" w:hAnsi="Wingdings" w:cs="Wingdings"/>
      </w:rPr>
    </w:lvl>
    <w:lvl w:ilvl="3">
      <w:start w:val="1"/>
      <w:numFmt w:val="bullet"/>
      <w:lvlText w:val=""/>
      <w:lvlJc w:val="left"/>
      <w:pPr>
        <w:ind w:left="1440" w:hanging="360"/>
      </w:pPr>
      <w:rPr>
        <w:rFonts w:ascii="Wingdings" w:eastAsia="Wingdings" w:hAnsi="Wingdings" w:cs="Wingdings"/>
      </w:rPr>
    </w:lvl>
    <w:lvl w:ilvl="4">
      <w:start w:val="1"/>
      <w:numFmt w:val="bullet"/>
      <w:lvlText w:val=""/>
      <w:lvlJc w:val="left"/>
      <w:pPr>
        <w:ind w:left="1800" w:hanging="360"/>
      </w:pPr>
      <w:rPr>
        <w:rFonts w:ascii="Wingdings" w:eastAsia="Wingdings" w:hAnsi="Wingdings" w:cs="Wingdings"/>
      </w:rPr>
    </w:lvl>
    <w:lvl w:ilvl="5">
      <w:start w:val="1"/>
      <w:numFmt w:val="bullet"/>
      <w:lvlText w:val=""/>
      <w:lvlJc w:val="left"/>
      <w:pPr>
        <w:ind w:left="2160" w:hanging="360"/>
      </w:pPr>
      <w:rPr>
        <w:rFonts w:ascii="Wingdings" w:eastAsia="Wingdings" w:hAnsi="Wingdings" w:cs="Wingdings"/>
      </w:rPr>
    </w:lvl>
    <w:lvl w:ilvl="6">
      <w:start w:val="1"/>
      <w:numFmt w:val="bullet"/>
      <w:lvlText w:val=""/>
      <w:lvlJc w:val="left"/>
      <w:pPr>
        <w:ind w:left="2520" w:hanging="360"/>
      </w:pPr>
      <w:rPr>
        <w:rFonts w:ascii="Wingdings" w:eastAsia="Wingdings" w:hAnsi="Wingdings" w:cs="Wingdings"/>
      </w:rPr>
    </w:lvl>
    <w:lvl w:ilvl="7">
      <w:start w:val="1"/>
      <w:numFmt w:val="bullet"/>
      <w:lvlText w:val=""/>
      <w:lvlJc w:val="left"/>
      <w:pPr>
        <w:ind w:left="2880" w:hanging="360"/>
      </w:pPr>
      <w:rPr>
        <w:rFonts w:ascii="Wingdings" w:eastAsia="Wingdings" w:hAnsi="Wingdings" w:cs="Wingdings"/>
      </w:rPr>
    </w:lvl>
    <w:lvl w:ilvl="8">
      <w:start w:val="1"/>
      <w:numFmt w:val="bullet"/>
      <w:lvlText w:val=""/>
      <w:lvlJc w:val="left"/>
      <w:pPr>
        <w:ind w:left="3240" w:hanging="360"/>
      </w:pPr>
      <w:rPr>
        <w:rFonts w:ascii="Wingdings" w:eastAsia="Wingdings" w:hAnsi="Wingdings" w:cs="Wingdings"/>
      </w:rPr>
    </w:lvl>
  </w:abstractNum>
  <w:abstractNum w:abstractNumId="14" w15:restartNumberingAfterBreak="0">
    <w:nsid w:val="687236CB"/>
    <w:multiLevelType w:val="multilevel"/>
    <w:tmpl w:val="724A0AB0"/>
    <w:styleLink w:val="Outline"/>
    <w:lvl w:ilvl="0">
      <w:start w:val="1"/>
      <w:numFmt w:val="decimal"/>
      <w:pStyle w:val="Titre1"/>
      <w:lvlText w:val="Article %1 - "/>
      <w:lvlJc w:val="left"/>
      <w:pPr>
        <w:ind w:left="0" w:firstLine="283"/>
      </w:pPr>
    </w:lvl>
    <w:lvl w:ilvl="1">
      <w:start w:val="1"/>
      <w:numFmt w:val="decimal"/>
      <w:pStyle w:val="Titre2"/>
      <w:lvlText w:val="%1.%2 "/>
      <w:lvlJc w:val="left"/>
      <w:pPr>
        <w:ind w:left="0" w:firstLine="283"/>
      </w:pPr>
    </w:lvl>
    <w:lvl w:ilvl="2">
      <w:start w:val="1"/>
      <w:numFmt w:val="decimal"/>
      <w:pStyle w:val="Titre3"/>
      <w:lvlText w:val="%1.%2.%3 "/>
      <w:lvlJc w:val="left"/>
      <w:pPr>
        <w:ind w:left="0" w:firstLine="283"/>
      </w:pPr>
    </w:lvl>
    <w:lvl w:ilvl="3">
      <w:start w:val="1"/>
      <w:numFmt w:val="decimal"/>
      <w:pStyle w:val="Titre4"/>
      <w:lvlText w:val="%1.%2.%3.%4 "/>
      <w:lvlJc w:val="left"/>
      <w:pPr>
        <w:ind w:left="0" w:firstLine="283"/>
      </w:pPr>
    </w:lvl>
    <w:lvl w:ilvl="4">
      <w:start w:val="1"/>
      <w:numFmt w:val="decimal"/>
      <w:pStyle w:val="Titre5"/>
      <w:lvlText w:val="%1.%2.%3.%4.%5 "/>
      <w:lvlJc w:val="left"/>
      <w:pPr>
        <w:ind w:left="0" w:firstLine="283"/>
      </w:pPr>
    </w:lvl>
    <w:lvl w:ilvl="5">
      <w:start w:val="1"/>
      <w:numFmt w:val="decimal"/>
      <w:pStyle w:val="Titre6"/>
      <w:lvlText w:val="%1.%2.%3.%4.%5.%6 "/>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6B8B7544"/>
    <w:multiLevelType w:val="hybridMultilevel"/>
    <w:tmpl w:val="2C447E00"/>
    <w:lvl w:ilvl="0" w:tplc="9808F3BC">
      <w:start w:val="1"/>
      <w:numFmt w:val="decimal"/>
      <w:lvlText w:val="%1)"/>
      <w:lvlJc w:val="left"/>
      <w:pPr>
        <w:ind w:left="720" w:hanging="360"/>
      </w:pPr>
      <w:rPr>
        <w:rFonts w:eastAsia="Arial"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FE5121"/>
    <w:multiLevelType w:val="multilevel"/>
    <w:tmpl w:val="6B4A5820"/>
    <w:styleLink w:val="Numbering2"/>
    <w:lvl w:ilvl="0">
      <w:start w:val="1"/>
      <w:numFmt w:val="decimal"/>
      <w:pStyle w:val="Numbering2"/>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num w:numId="1">
    <w:abstractNumId w:val="14"/>
  </w:num>
  <w:num w:numId="2">
    <w:abstractNumId w:val="5"/>
  </w:num>
  <w:num w:numId="3">
    <w:abstractNumId w:val="16"/>
  </w:num>
  <w:num w:numId="4">
    <w:abstractNumId w:val="3"/>
  </w:num>
  <w:num w:numId="5">
    <w:abstractNumId w:val="7"/>
  </w:num>
  <w:num w:numId="6">
    <w:abstractNumId w:val="1"/>
  </w:num>
  <w:num w:numId="7">
    <w:abstractNumId w:val="11"/>
  </w:num>
  <w:num w:numId="8">
    <w:abstractNumId w:val="4"/>
  </w:num>
  <w:num w:numId="9">
    <w:abstractNumId w:val="8"/>
  </w:num>
  <w:num w:numId="10">
    <w:abstractNumId w:val="2"/>
  </w:num>
  <w:num w:numId="11">
    <w:abstractNumId w:val="13"/>
  </w:num>
  <w:num w:numId="12">
    <w:abstractNumId w:val="9"/>
  </w:num>
  <w:num w:numId="13">
    <w:abstractNumId w:val="0"/>
  </w:num>
  <w:num w:numId="14">
    <w:abstractNumId w:val="10"/>
  </w:num>
  <w:num w:numId="15">
    <w:abstractNumId w:val="6"/>
  </w:num>
  <w:num w:numId="16">
    <w:abstractNumId w:val="12"/>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0"/>
    <w:rsid w:val="0000710D"/>
    <w:rsid w:val="00017CA1"/>
    <w:rsid w:val="000410E2"/>
    <w:rsid w:val="00085B6F"/>
    <w:rsid w:val="00096953"/>
    <w:rsid w:val="000F55DC"/>
    <w:rsid w:val="00127B06"/>
    <w:rsid w:val="001F0F5D"/>
    <w:rsid w:val="003756DA"/>
    <w:rsid w:val="0051224F"/>
    <w:rsid w:val="005A6303"/>
    <w:rsid w:val="0062522B"/>
    <w:rsid w:val="006E4700"/>
    <w:rsid w:val="00756CDE"/>
    <w:rsid w:val="00790CD4"/>
    <w:rsid w:val="0084349A"/>
    <w:rsid w:val="00914503"/>
    <w:rsid w:val="0096202A"/>
    <w:rsid w:val="009C620C"/>
    <w:rsid w:val="00A05E5E"/>
    <w:rsid w:val="00A66EAB"/>
    <w:rsid w:val="00B631EF"/>
    <w:rsid w:val="00CA79FE"/>
    <w:rsid w:val="00D4435C"/>
    <w:rsid w:val="00D67374"/>
    <w:rsid w:val="00DA08B8"/>
    <w:rsid w:val="00DF5E57"/>
    <w:rsid w:val="00E02727"/>
    <w:rsid w:val="00EC0E2C"/>
    <w:rsid w:val="00F90710"/>
    <w:rsid w:val="00FF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04F37-5EE9-4682-9B2E-EC627BB5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pacing w:before="120"/>
      <w:jc w:val="both"/>
    </w:pPr>
    <w:rPr>
      <w:rFonts w:ascii="Arial" w:hAnsi="Arial"/>
      <w:sz w:val="20"/>
    </w:rPr>
  </w:style>
  <w:style w:type="paragraph" w:styleId="Titre1">
    <w:name w:val="heading 1"/>
    <w:basedOn w:val="Standard"/>
    <w:next w:val="Standard"/>
    <w:link w:val="Titre1Car"/>
    <w:uiPriority w:val="9"/>
    <w:qFormat/>
    <w:pPr>
      <w:keepNext/>
      <w:numPr>
        <w:numId w:val="1"/>
      </w:numPr>
      <w:spacing w:before="360"/>
      <w:ind w:left="1701" w:hanging="1701"/>
      <w:outlineLvl w:val="0"/>
    </w:pPr>
    <w:rPr>
      <w:b/>
      <w:color w:val="666699"/>
      <w:sz w:val="28"/>
      <w:szCs w:val="36"/>
    </w:rPr>
  </w:style>
  <w:style w:type="paragraph" w:styleId="Titre2">
    <w:name w:val="heading 2"/>
    <w:basedOn w:val="Standard"/>
    <w:next w:val="Standard"/>
    <w:link w:val="Titre2Car"/>
    <w:uiPriority w:val="9"/>
    <w:unhideWhenUsed/>
    <w:qFormat/>
    <w:pPr>
      <w:keepNext/>
      <w:numPr>
        <w:ilvl w:val="1"/>
        <w:numId w:val="1"/>
      </w:numPr>
      <w:spacing w:before="240" w:after="240"/>
      <w:ind w:left="1701" w:hanging="1701"/>
      <w:outlineLvl w:val="1"/>
    </w:pPr>
    <w:rPr>
      <w:b/>
      <w:bCs/>
      <w:iCs/>
      <w:color w:val="666699"/>
      <w:sz w:val="22"/>
      <w:szCs w:val="28"/>
      <w:u w:val="single"/>
    </w:rPr>
  </w:style>
  <w:style w:type="paragraph" w:styleId="Titre3">
    <w:name w:val="heading 3"/>
    <w:basedOn w:val="Standard"/>
    <w:next w:val="Standard"/>
    <w:link w:val="Titre3Car"/>
    <w:uiPriority w:val="9"/>
    <w:unhideWhenUsed/>
    <w:qFormat/>
    <w:pPr>
      <w:keepNext/>
      <w:numPr>
        <w:ilvl w:val="2"/>
        <w:numId w:val="1"/>
      </w:numPr>
      <w:spacing w:before="240"/>
      <w:ind w:left="1701" w:hanging="1701"/>
      <w:outlineLvl w:val="2"/>
    </w:pPr>
    <w:rPr>
      <w:bCs/>
      <w:color w:val="666699"/>
      <w:sz w:val="26"/>
      <w:szCs w:val="26"/>
      <w:u w:val="single"/>
    </w:rPr>
  </w:style>
  <w:style w:type="paragraph" w:styleId="Titre4">
    <w:name w:val="heading 4"/>
    <w:basedOn w:val="Standard"/>
    <w:next w:val="Normal"/>
    <w:link w:val="Titre4Car"/>
    <w:uiPriority w:val="9"/>
    <w:semiHidden/>
    <w:unhideWhenUsed/>
    <w:qFormat/>
    <w:pPr>
      <w:keepNext/>
      <w:keepLines/>
      <w:numPr>
        <w:ilvl w:val="3"/>
        <w:numId w:val="1"/>
      </w:numPr>
      <w:spacing w:before="240"/>
      <w:ind w:left="1701" w:hanging="1701"/>
      <w:outlineLvl w:val="3"/>
    </w:pPr>
    <w:rPr>
      <w:bCs/>
      <w:iCs/>
      <w:color w:val="666699"/>
    </w:rPr>
  </w:style>
  <w:style w:type="paragraph" w:styleId="Titre5">
    <w:name w:val="heading 5"/>
    <w:basedOn w:val="Standard"/>
    <w:next w:val="Normal"/>
    <w:link w:val="Titre5Car"/>
    <w:uiPriority w:val="9"/>
    <w:semiHidden/>
    <w:unhideWhenUsed/>
    <w:qFormat/>
    <w:pPr>
      <w:keepNext/>
      <w:keepLines/>
      <w:numPr>
        <w:ilvl w:val="4"/>
        <w:numId w:val="1"/>
      </w:numPr>
      <w:spacing w:before="283" w:after="57"/>
      <w:outlineLvl w:val="4"/>
    </w:pPr>
    <w:rPr>
      <w:b/>
      <w:bCs/>
      <w:sz w:val="22"/>
    </w:rPr>
  </w:style>
  <w:style w:type="paragraph" w:styleId="Titre6">
    <w:name w:val="heading 6"/>
    <w:basedOn w:val="Heading"/>
    <w:next w:val="Normal"/>
    <w:link w:val="Titre6Car"/>
    <w:uiPriority w:val="9"/>
    <w:semiHidden/>
    <w:unhideWhenUsed/>
    <w:qFormat/>
    <w:pPr>
      <w:numPr>
        <w:ilvl w:val="5"/>
        <w:numId w:val="1"/>
      </w:numPr>
      <w:pBdr>
        <w:top w:val="none" w:sz="0" w:space="0" w:color="000000"/>
        <w:left w:val="none" w:sz="0" w:space="0" w:color="000000"/>
        <w:bottom w:val="none" w:sz="0" w:space="0" w:color="000000"/>
        <w:right w:val="none" w:sz="0" w:space="0" w:color="000000"/>
      </w:pBdr>
      <w:spacing w:before="283" w:after="283"/>
      <w:jc w:val="both"/>
      <w:outlineLvl w:val="5"/>
    </w:pPr>
    <w:rPr>
      <w:bCs/>
      <w:sz w:val="22"/>
    </w:rPr>
  </w:style>
  <w:style w:type="paragraph" w:styleId="Titre7">
    <w:name w:val="heading 7"/>
    <w:basedOn w:val="Heading"/>
    <w:next w:val="Normal"/>
    <w:link w:val="Titre7Car"/>
    <w:pPr>
      <w:numPr>
        <w:ilvl w:val="6"/>
        <w:numId w:val="1"/>
      </w:numPr>
      <w:pBdr>
        <w:top w:val="none" w:sz="0" w:space="0" w:color="000000"/>
        <w:left w:val="none" w:sz="0" w:space="0" w:color="000000"/>
        <w:bottom w:val="none" w:sz="0" w:space="0" w:color="000000"/>
        <w:right w:val="none" w:sz="0" w:space="0" w:color="000000"/>
      </w:pBdr>
      <w:spacing w:before="283" w:after="57"/>
      <w:jc w:val="both"/>
      <w:outlineLvl w:val="6"/>
    </w:pPr>
    <w:rPr>
      <w:bCs/>
      <w:sz w:val="22"/>
    </w:rPr>
  </w:style>
  <w:style w:type="paragraph" w:styleId="Titre8">
    <w:name w:val="heading 8"/>
    <w:basedOn w:val="Heading"/>
    <w:next w:val="Normal"/>
    <w:link w:val="Titre8Car"/>
    <w:pPr>
      <w:numPr>
        <w:ilvl w:val="7"/>
        <w:numId w:val="1"/>
      </w:numPr>
      <w:pBdr>
        <w:top w:val="none" w:sz="0" w:space="0" w:color="000000"/>
        <w:left w:val="none" w:sz="0" w:space="0" w:color="000000"/>
        <w:bottom w:val="none" w:sz="0" w:space="0" w:color="000000"/>
        <w:right w:val="none" w:sz="0" w:space="0" w:color="000000"/>
      </w:pBdr>
      <w:spacing w:before="283" w:after="57"/>
      <w:jc w:val="both"/>
      <w:outlineLvl w:val="7"/>
    </w:pPr>
    <w:rPr>
      <w:bCs/>
      <w:sz w:val="21"/>
    </w:rPr>
  </w:style>
  <w:style w:type="paragraph" w:styleId="Titre9">
    <w:name w:val="heading 9"/>
    <w:basedOn w:val="Heading"/>
    <w:next w:val="Normal"/>
    <w:link w:val="Titre9Car"/>
    <w:pPr>
      <w:numPr>
        <w:ilvl w:val="8"/>
        <w:numId w:val="1"/>
      </w:numPr>
      <w:pBdr>
        <w:top w:val="none" w:sz="0" w:space="0" w:color="000000"/>
        <w:left w:val="none" w:sz="0" w:space="0" w:color="000000"/>
        <w:bottom w:val="none" w:sz="0" w:space="0" w:color="000000"/>
        <w:right w:val="none" w:sz="0" w:space="0" w:color="000000"/>
      </w:pBd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Emphaseintense">
    <w:name w:val="Intense Emphasis"/>
    <w:basedOn w:val="Policepardfaut"/>
    <w:uiPriority w:val="21"/>
    <w:qFormat/>
    <w:rPr>
      <w:i/>
      <w:iCs/>
      <w:color w:val="2F5496" w:themeColor="accent1" w:themeShade="BF"/>
    </w:rPr>
  </w:style>
  <w:style w:type="character" w:customStyle="1" w:styleId="IntenseQuoteChar">
    <w:name w:val="Intense Quote Char"/>
    <w:basedOn w:val="Policepardfaut"/>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Arial" w:hAnsi="Arial"/>
      <w:b/>
      <w:color w:val="666699"/>
      <w:sz w:val="28"/>
      <w:szCs w:val="36"/>
    </w:rPr>
  </w:style>
  <w:style w:type="character" w:customStyle="1" w:styleId="Titre2Car">
    <w:name w:val="Titre 2 Car"/>
    <w:basedOn w:val="Policepardfaut"/>
    <w:link w:val="Titre2"/>
    <w:uiPriority w:val="9"/>
    <w:rPr>
      <w:rFonts w:ascii="Arial" w:hAnsi="Arial"/>
      <w:b/>
      <w:bCs/>
      <w:iCs/>
      <w:color w:val="666699"/>
      <w:sz w:val="22"/>
      <w:szCs w:val="28"/>
      <w:u w:val="single"/>
    </w:rPr>
  </w:style>
  <w:style w:type="character" w:customStyle="1" w:styleId="Titre3Car">
    <w:name w:val="Titre 3 Car"/>
    <w:basedOn w:val="Policepardfaut"/>
    <w:link w:val="Titre3"/>
    <w:uiPriority w:val="9"/>
    <w:rPr>
      <w:rFonts w:ascii="Arial" w:hAnsi="Arial"/>
      <w:bCs/>
      <w:color w:val="666699"/>
      <w:sz w:val="26"/>
      <w:szCs w:val="26"/>
      <w:u w:val="single"/>
    </w:rPr>
  </w:style>
  <w:style w:type="character" w:customStyle="1" w:styleId="Titre4Car">
    <w:name w:val="Titre 4 Car"/>
    <w:basedOn w:val="Policepardfaut"/>
    <w:link w:val="Titre4"/>
    <w:uiPriority w:val="9"/>
    <w:semiHidden/>
    <w:rPr>
      <w:rFonts w:ascii="Arial" w:hAnsi="Arial"/>
      <w:bCs/>
      <w:iCs/>
      <w:color w:val="666699"/>
      <w:sz w:val="20"/>
    </w:rPr>
  </w:style>
  <w:style w:type="character" w:customStyle="1" w:styleId="Titre5Car">
    <w:name w:val="Titre 5 Car"/>
    <w:basedOn w:val="Policepardfaut"/>
    <w:link w:val="Titre5"/>
    <w:uiPriority w:val="9"/>
    <w:semiHidden/>
    <w:rPr>
      <w:rFonts w:ascii="Arial" w:hAnsi="Arial"/>
      <w:b/>
      <w:bCs/>
      <w:sz w:val="22"/>
    </w:rPr>
  </w:style>
  <w:style w:type="character" w:customStyle="1" w:styleId="Titre6Car">
    <w:name w:val="Titre 6 Car"/>
    <w:basedOn w:val="Policepardfaut"/>
    <w:link w:val="Titre6"/>
    <w:uiPriority w:val="9"/>
    <w:semiHidden/>
    <w:rPr>
      <w:rFonts w:ascii="Arial" w:hAnsi="Arial"/>
      <w:b/>
      <w:bCs/>
      <w:sz w:val="22"/>
      <w:szCs w:val="28"/>
    </w:rPr>
  </w:style>
  <w:style w:type="character" w:customStyle="1" w:styleId="Titre7Car">
    <w:name w:val="Titre 7 Car"/>
    <w:basedOn w:val="Policepardfaut"/>
    <w:link w:val="Titre7"/>
    <w:rPr>
      <w:rFonts w:ascii="Arial" w:hAnsi="Arial"/>
      <w:b/>
      <w:bCs/>
      <w:sz w:val="22"/>
      <w:szCs w:val="28"/>
    </w:rPr>
  </w:style>
  <w:style w:type="character" w:customStyle="1" w:styleId="Titre8Car">
    <w:name w:val="Titre 8 Car"/>
    <w:basedOn w:val="Policepardfaut"/>
    <w:link w:val="Titre8"/>
    <w:rPr>
      <w:rFonts w:ascii="Arial" w:hAnsi="Arial"/>
      <w:b/>
      <w:bCs/>
      <w:sz w:val="21"/>
      <w:szCs w:val="28"/>
    </w:rPr>
  </w:style>
  <w:style w:type="character" w:customStyle="1" w:styleId="Titre9Car">
    <w:name w:val="Titre 9 Car"/>
    <w:basedOn w:val="Policepardfaut"/>
    <w:link w:val="Titre9"/>
    <w:rPr>
      <w:rFonts w:ascii="Arial" w:hAnsi="Arial"/>
      <w:b/>
      <w:bCs/>
      <w:sz w:val="21"/>
      <w:szCs w:val="28"/>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pPr>
      <w:tabs>
        <w:tab w:val="right" w:leader="dot" w:pos="9128"/>
      </w:tabs>
      <w:ind w:left="709"/>
    </w:pPr>
    <w:rPr>
      <w:sz w:val="16"/>
    </w:rPr>
  </w:style>
  <w:style w:type="paragraph" w:styleId="TM5">
    <w:name w:val="toc 5"/>
    <w:pPr>
      <w:tabs>
        <w:tab w:val="right" w:leader="dot" w:pos="9015"/>
      </w:tabs>
      <w:ind w:left="851"/>
    </w:pPr>
    <w:rPr>
      <w:sz w:val="16"/>
    </w:rPr>
  </w:style>
  <w:style w:type="paragraph" w:styleId="TM6">
    <w:name w:val="toc 6"/>
    <w:pPr>
      <w:tabs>
        <w:tab w:val="right" w:leader="dot" w:pos="9015"/>
      </w:tabs>
      <w:ind w:left="880"/>
    </w:pPr>
    <w:rPr>
      <w:sz w:val="14"/>
    </w:rPr>
  </w:style>
  <w:style w:type="paragraph" w:styleId="TM7">
    <w:name w:val="toc 7"/>
    <w:pPr>
      <w:tabs>
        <w:tab w:val="right" w:leader="dot" w:pos="9015"/>
      </w:tabs>
      <w:ind w:left="900"/>
    </w:pPr>
    <w:rPr>
      <w:sz w:val="14"/>
    </w:rPr>
  </w:style>
  <w:style w:type="paragraph" w:styleId="TM8">
    <w:name w:val="toc 8"/>
    <w:pPr>
      <w:tabs>
        <w:tab w:val="right" w:leader="dot" w:pos="9015"/>
      </w:tabs>
      <w:ind w:left="910"/>
    </w:pPr>
    <w:rPr>
      <w:sz w:val="14"/>
    </w:rPr>
  </w:style>
  <w:style w:type="paragraph" w:styleId="TM9">
    <w:name w:val="toc 9"/>
    <w:pPr>
      <w:tabs>
        <w:tab w:val="right" w:leader="dot" w:pos="9015"/>
      </w:tabs>
      <w:ind w:left="920"/>
    </w:pPr>
    <w:rPr>
      <w:sz w:val="14"/>
    </w:rPr>
  </w:style>
  <w:style w:type="numbering" w:customStyle="1" w:styleId="Outline">
    <w:name w:val="Outline"/>
    <w:basedOn w:val="Aucuneliste"/>
    <w:pPr>
      <w:numPr>
        <w:numId w:val="1"/>
      </w:numPr>
    </w:pPr>
  </w:style>
  <w:style w:type="paragraph" w:customStyle="1" w:styleId="Standard">
    <w:name w:val="Standard"/>
    <w:link w:val="StandardCar"/>
    <w:pPr>
      <w:widowControl/>
      <w:spacing w:before="120"/>
      <w:jc w:val="both"/>
    </w:pPr>
    <w:rPr>
      <w:rFonts w:ascii="Arial" w:hAnsi="Arial"/>
      <w:sz w:val="20"/>
    </w:rPr>
  </w:style>
  <w:style w:type="paragraph" w:customStyle="1" w:styleId="Heading">
    <w:name w:val="Heading"/>
    <w:basedOn w:val="Standard"/>
    <w:next w:val="Normal"/>
    <w:pPr>
      <w:keepNext/>
      <w:pBdr>
        <w:top w:val="single" w:sz="18" w:space="1" w:color="666666"/>
        <w:left w:val="single" w:sz="18" w:space="1" w:color="666666"/>
        <w:bottom w:val="single" w:sz="18" w:space="1" w:color="666666"/>
        <w:right w:val="single" w:sz="18" w:space="1" w:color="666666"/>
      </w:pBdr>
      <w:spacing w:before="567" w:after="567"/>
      <w:jc w:val="center"/>
    </w:pPr>
    <w:rPr>
      <w:b/>
      <w:sz w:val="32"/>
      <w:szCs w:val="28"/>
    </w:rPr>
  </w:style>
  <w:style w:type="paragraph" w:styleId="TM1">
    <w:name w:val="toc 1"/>
    <w:pPr>
      <w:tabs>
        <w:tab w:val="right" w:leader="dot" w:pos="9637"/>
      </w:tabs>
      <w:spacing w:after="120"/>
    </w:pPr>
    <w:rPr>
      <w:rFonts w:ascii="Arial Gras" w:hAnsi="Arial Gras"/>
      <w:b/>
      <w:smallCaps/>
      <w:sz w:val="18"/>
    </w:rPr>
  </w:style>
  <w:style w:type="paragraph" w:styleId="Liste">
    <w:name w:val="List"/>
    <w:basedOn w:val="Standard"/>
    <w:pPr>
      <w:numPr>
        <w:numId w:val="14"/>
      </w:numPr>
    </w:pPr>
  </w:style>
  <w:style w:type="paragraph" w:styleId="Lgende">
    <w:name w:val="caption"/>
    <w:basedOn w:val="Standard"/>
    <w:pPr>
      <w:spacing w:after="120"/>
    </w:pPr>
    <w:rPr>
      <w:i/>
      <w:iCs/>
    </w:rPr>
  </w:style>
  <w:style w:type="paragraph" w:customStyle="1" w:styleId="Index">
    <w:name w:val="Index"/>
    <w:basedOn w:val="Standard"/>
  </w:style>
  <w:style w:type="paragraph" w:customStyle="1" w:styleId="TableContents">
    <w:name w:val="Table Contents"/>
    <w:basedOn w:val="Standard"/>
    <w:rPr>
      <w:sz w:val="17"/>
    </w:r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tabs>
        <w:tab w:val="center" w:pos="4818"/>
        <w:tab w:val="right" w:pos="9637"/>
      </w:tabs>
    </w:pPr>
  </w:style>
  <w:style w:type="paragraph" w:styleId="TM2">
    <w:name w:val="toc 2"/>
    <w:pPr>
      <w:ind w:left="238"/>
    </w:pPr>
    <w:rPr>
      <w:sz w:val="18"/>
    </w:rPr>
  </w:style>
  <w:style w:type="paragraph" w:customStyle="1" w:styleId="ContentsHeading">
    <w:name w:val="Contents Heading"/>
    <w:basedOn w:val="Heading"/>
    <w:pPr>
      <w:pageBreakBefore/>
      <w:spacing w:before="0" w:after="283"/>
    </w:pPr>
    <w:rPr>
      <w:bCs/>
      <w:szCs w:val="32"/>
    </w:rPr>
  </w:style>
  <w:style w:type="paragraph" w:customStyle="1" w:styleId="Contents1">
    <w:name w:val="Contents 1"/>
    <w:basedOn w:val="Index"/>
    <w:pPr>
      <w:tabs>
        <w:tab w:val="right" w:leader="dot" w:pos="9637"/>
      </w:tabs>
      <w:spacing w:after="120"/>
    </w:pPr>
    <w:rPr>
      <w:rFonts w:ascii="Arial Gras" w:hAnsi="Arial Gras"/>
      <w:b/>
      <w:smallCaps/>
      <w:sz w:val="18"/>
    </w:rPr>
  </w:style>
  <w:style w:type="paragraph" w:customStyle="1" w:styleId="Contents2">
    <w:name w:val="Contents 2"/>
    <w:basedOn w:val="Index"/>
    <w:pPr>
      <w:spacing w:before="0"/>
      <w:ind w:left="238"/>
    </w:pPr>
    <w:rPr>
      <w:sz w:val="18"/>
    </w:rPr>
  </w:style>
  <w:style w:type="paragraph" w:customStyle="1" w:styleId="Contents3">
    <w:name w:val="Contents 3"/>
    <w:basedOn w:val="Index"/>
    <w:pPr>
      <w:tabs>
        <w:tab w:val="right" w:leader="dot" w:pos="9241"/>
      </w:tabs>
      <w:spacing w:before="0"/>
      <w:ind w:left="482"/>
    </w:pPr>
    <w:rPr>
      <w:sz w:val="16"/>
    </w:rPr>
  </w:style>
  <w:style w:type="paragraph" w:customStyle="1" w:styleId="Contents4">
    <w:name w:val="Contents 4"/>
    <w:basedOn w:val="Index"/>
    <w:pPr>
      <w:tabs>
        <w:tab w:val="right" w:leader="dot" w:pos="9128"/>
      </w:tabs>
      <w:spacing w:before="0"/>
      <w:ind w:left="709"/>
    </w:pPr>
    <w:rPr>
      <w:sz w:val="16"/>
    </w:rPr>
  </w:style>
  <w:style w:type="paragraph" w:customStyle="1" w:styleId="Contents5">
    <w:name w:val="Contents 5"/>
    <w:basedOn w:val="Index"/>
    <w:pPr>
      <w:tabs>
        <w:tab w:val="right" w:leader="dot" w:pos="9015"/>
      </w:tabs>
      <w:spacing w:before="0"/>
      <w:ind w:left="851"/>
    </w:pPr>
    <w:rPr>
      <w:sz w:val="16"/>
    </w:rPr>
  </w:style>
  <w:style w:type="character" w:styleId="Lienhypertexte">
    <w:name w:val="Hyperlink"/>
    <w:basedOn w:val="Policepardfaut"/>
    <w:uiPriority w:val="99"/>
    <w:unhideWhenUsed/>
    <w:rPr>
      <w:color w:val="0563C1" w:themeColor="hyperlink"/>
      <w:u w:val="single"/>
    </w:rPr>
  </w:style>
  <w:style w:type="paragraph" w:styleId="Pieddepage">
    <w:name w:val="footer"/>
    <w:basedOn w:val="Standard"/>
    <w:link w:val="PieddepageCar"/>
    <w:pPr>
      <w:pBdr>
        <w:top w:val="single" w:sz="2" w:space="0" w:color="000000"/>
        <w:left w:val="single" w:sz="2" w:space="0" w:color="000000"/>
        <w:bottom w:val="single" w:sz="2" w:space="0" w:color="000000"/>
        <w:right w:val="single" w:sz="2" w:space="0" w:color="000000"/>
      </w:pBdr>
      <w:tabs>
        <w:tab w:val="center" w:pos="4818"/>
        <w:tab w:val="right" w:pos="9637"/>
      </w:tabs>
    </w:pPr>
    <w:rPr>
      <w:sz w:val="18"/>
    </w:rPr>
  </w:style>
  <w:style w:type="paragraph" w:customStyle="1" w:styleId="Heading10">
    <w:name w:val="Heading 10"/>
    <w:basedOn w:val="Heading"/>
    <w:next w:val="Normal"/>
    <w:rPr>
      <w:bCs/>
    </w:rPr>
  </w:style>
  <w:style w:type="paragraph" w:customStyle="1" w:styleId="Table">
    <w:name w:val="Table"/>
    <w:basedOn w:val="Lgende"/>
    <w:rPr>
      <w:i w:val="0"/>
      <w:sz w:val="17"/>
    </w:rPr>
  </w:style>
  <w:style w:type="numbering" w:customStyle="1" w:styleId="Numbering11">
    <w:name w:val="Numbering 1_1"/>
    <w:basedOn w:val="Aucuneliste"/>
    <w:pPr>
      <w:numPr>
        <w:numId w:val="2"/>
      </w:numPr>
    </w:pPr>
  </w:style>
  <w:style w:type="numbering" w:customStyle="1" w:styleId="Numbering2">
    <w:name w:val="Numbering 2"/>
    <w:basedOn w:val="Aucuneliste"/>
    <w:pPr>
      <w:numPr>
        <w:numId w:val="3"/>
      </w:numPr>
    </w:pPr>
  </w:style>
  <w:style w:type="numbering" w:customStyle="1" w:styleId="Numbering3">
    <w:name w:val="Numbering 3"/>
    <w:basedOn w:val="Aucuneliste"/>
    <w:pPr>
      <w:numPr>
        <w:numId w:val="4"/>
      </w:numPr>
    </w:pPr>
  </w:style>
  <w:style w:type="numbering" w:customStyle="1" w:styleId="Numbering4">
    <w:name w:val="Numbering 4"/>
    <w:basedOn w:val="Aucuneliste"/>
    <w:pPr>
      <w:numPr>
        <w:numId w:val="5"/>
      </w:numPr>
    </w:pPr>
  </w:style>
  <w:style w:type="numbering" w:customStyle="1" w:styleId="Numbering5">
    <w:name w:val="Numbering 5"/>
    <w:basedOn w:val="Aucuneliste"/>
  </w:style>
  <w:style w:type="numbering" w:customStyle="1" w:styleId="List1">
    <w:name w:val="List 1"/>
    <w:basedOn w:val="Aucuneliste"/>
    <w:pPr>
      <w:numPr>
        <w:numId w:val="6"/>
      </w:numPr>
    </w:pPr>
  </w:style>
  <w:style w:type="numbering" w:customStyle="1" w:styleId="Liste21">
    <w:name w:val="Liste 21"/>
    <w:basedOn w:val="Aucuneliste"/>
    <w:pPr>
      <w:numPr>
        <w:numId w:val="7"/>
      </w:numPr>
    </w:pPr>
  </w:style>
  <w:style w:type="numbering" w:customStyle="1" w:styleId="Liste31">
    <w:name w:val="Liste 31"/>
    <w:basedOn w:val="Aucuneliste"/>
    <w:pPr>
      <w:numPr>
        <w:numId w:val="8"/>
      </w:numPr>
    </w:pPr>
  </w:style>
  <w:style w:type="numbering" w:customStyle="1" w:styleId="Liste41">
    <w:name w:val="Liste 41"/>
    <w:basedOn w:val="Aucuneliste"/>
    <w:pPr>
      <w:numPr>
        <w:numId w:val="9"/>
      </w:numPr>
    </w:pPr>
  </w:style>
  <w:style w:type="numbering" w:customStyle="1" w:styleId="Liste51">
    <w:name w:val="Liste 51"/>
    <w:basedOn w:val="Aucuneliste"/>
    <w:pPr>
      <w:numPr>
        <w:numId w:val="10"/>
      </w:numPr>
    </w:pPr>
  </w:style>
  <w:style w:type="numbering" w:customStyle="1" w:styleId="RTFNum2">
    <w:name w:val="RTF_Num 2"/>
    <w:basedOn w:val="Aucuneliste"/>
    <w:pPr>
      <w:numPr>
        <w:numId w:val="11"/>
      </w:numPr>
    </w:pPr>
  </w:style>
  <w:style w:type="numbering" w:customStyle="1" w:styleId="RTFNum3">
    <w:name w:val="RTF_Num 3"/>
    <w:basedOn w:val="Aucuneliste"/>
    <w:pPr>
      <w:numPr>
        <w:numId w:val="12"/>
      </w:numPr>
    </w:pPr>
  </w:style>
  <w:style w:type="numbering" w:customStyle="1" w:styleId="RTFNum4">
    <w:name w:val="RTF_Num 4"/>
    <w:basedOn w:val="Aucuneliste"/>
    <w:pPr>
      <w:numPr>
        <w:numId w:val="13"/>
      </w:numPr>
    </w:pPr>
  </w:style>
  <w:style w:type="paragraph" w:styleId="En-ttedetabledesmatires">
    <w:name w:val="TOC Heading"/>
    <w:basedOn w:val="Titre1"/>
    <w:next w:val="Normal"/>
    <w:uiPriority w:val="39"/>
    <w:unhideWhenUsed/>
    <w:qFormat/>
    <w:pPr>
      <w:keepLines/>
      <w:numPr>
        <w:numId w:val="0"/>
      </w:numPr>
      <w:spacing w:before="240" w:line="259" w:lineRule="auto"/>
      <w:jc w:val="left"/>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pPr>
      <w:tabs>
        <w:tab w:val="right" w:leader="dot" w:pos="9241"/>
      </w:tabs>
      <w:ind w:left="482"/>
    </w:pPr>
    <w:rPr>
      <w:sz w:val="16"/>
    </w:rPr>
  </w:style>
  <w:style w:type="character" w:customStyle="1" w:styleId="StandardCar">
    <w:name w:val="Standard Car"/>
    <w:basedOn w:val="Policepardfaut"/>
    <w:link w:val="Standard"/>
    <w:rPr>
      <w:rFonts w:ascii="Arial" w:hAnsi="Arial"/>
      <w:sz w:val="20"/>
    </w:rPr>
  </w:style>
  <w:style w:type="paragraph" w:customStyle="1" w:styleId="Titre10">
    <w:name w:val="Titre1"/>
    <w:pPr>
      <w:widowControl/>
      <w:shd w:val="clear" w:color="auto" w:fill="FFFFFF"/>
      <w:jc w:val="center"/>
    </w:pPr>
    <w:rPr>
      <w:rFonts w:ascii="Arial" w:eastAsia="simsun, 宋体" w:hAnsi="Arial" w:cs="Times New Roman"/>
      <w:b/>
      <w:sz w:val="4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rmont-ferrand.tribunal-administratif.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reffe.ta-clermont-ferrand@juradm.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TEXT"/>
        <w:category>
          <w:name w:val="Common"/>
          <w:gallery w:val="placeholder"/>
        </w:category>
        <w:types>
          <w:type w:val="bbPlcHdr"/>
        </w:types>
        <w:behaviors>
          <w:behavior w:val="content"/>
        </w:behaviors>
        <w:guid w:val="{87E283EA-E69A-479E-A55E-1C5A62BB34A1}"/>
      </w:docPartPr>
      <w:docPartBody>
        <w:p w:rsidR="00930B04" w:rsidRDefault="00930B04">
          <w:r>
            <w:t>Your text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46" w:rsidRDefault="00254446">
      <w:r>
        <w:separator/>
      </w:r>
    </w:p>
  </w:endnote>
  <w:endnote w:type="continuationSeparator" w:id="0">
    <w:p w:rsidR="00254446" w:rsidRDefault="0025444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46" w:rsidRDefault="00254446">
      <w:r>
        <w:separator/>
      </w:r>
    </w:p>
  </w:footnote>
  <w:footnote w:type="continuationSeparator" w:id="0">
    <w:p w:rsidR="00254446" w:rsidRDefault="0025444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04"/>
    <w:rsid w:val="00254446"/>
    <w:rsid w:val="002A1D5F"/>
    <w:rsid w:val="00930B04"/>
    <w:rsid w:val="00957689"/>
    <w:rsid w:val="00CF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21</Pages>
  <Words>8307</Words>
  <Characters>45691</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Poudenx Rodolphe</cp:lastModifiedBy>
  <cp:revision>35</cp:revision>
  <dcterms:created xsi:type="dcterms:W3CDTF">2020-11-25T15:54:00Z</dcterms:created>
  <dcterms:modified xsi:type="dcterms:W3CDTF">2025-09-05T13:32:00Z</dcterms:modified>
</cp:coreProperties>
</file>