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F16F76">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69733A">
        <w:trPr>
          <w:jc w:val="center"/>
        </w:trPr>
        <w:tc>
          <w:tcPr>
            <w:tcW w:w="9886" w:type="dxa"/>
            <w:shd w:val="clear" w:color="auto" w:fill="F2F2F2" w:themeFill="background1" w:themeFillShade="F2"/>
            <w:vAlign w:val="center"/>
          </w:tcPr>
          <w:p w14:paraId="39B78BAF" w14:textId="32F6F1A2" w:rsidR="00115549" w:rsidRPr="001C19FB" w:rsidRDefault="00A44369" w:rsidP="00F16F76">
            <w:pPr>
              <w:tabs>
                <w:tab w:val="left" w:pos="3919"/>
              </w:tabs>
              <w:spacing w:before="240"/>
              <w:jc w:val="both"/>
              <w:rPr>
                <w:rFonts w:ascii="Source Sans Pro" w:hAnsi="Source Sans Pro"/>
                <w:b/>
                <w:i/>
                <w:color w:val="0070C0"/>
                <w:sz w:val="36"/>
                <w:szCs w:val="28"/>
                <w:u w:val="single"/>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1C19FB" w:rsidRPr="001C19FB">
              <w:rPr>
                <w:rFonts w:ascii="Source Sans Pro" w:hAnsi="Source Sans Pro"/>
                <w:b/>
                <w:color w:val="0070C0"/>
                <w:sz w:val="36"/>
                <w:szCs w:val="28"/>
              </w:rPr>
              <w:t>Travaux pour la réfection de l’étanchéité et le changement des lanterneaux sur le toit-terrasse de l’INSPE d’Angers</w:t>
            </w:r>
          </w:p>
          <w:p w14:paraId="7DCDCC21" w14:textId="111AB625" w:rsidR="0069428E" w:rsidRPr="001C7517" w:rsidRDefault="0069428E" w:rsidP="00F16F76">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xml:space="preserve"> : </w:t>
            </w:r>
            <w:r w:rsidR="001C19FB" w:rsidRPr="001C19FB">
              <w:rPr>
                <w:rFonts w:ascii="Source Sans Pro" w:hAnsi="Source Sans Pro"/>
                <w:b/>
                <w:i/>
                <w:color w:val="0070C0"/>
                <w:sz w:val="28"/>
                <w:szCs w:val="24"/>
              </w:rPr>
              <w:t>250</w:t>
            </w:r>
            <w:r w:rsidR="00C27305">
              <w:rPr>
                <w:rFonts w:ascii="Source Sans Pro" w:hAnsi="Source Sans Pro"/>
                <w:b/>
                <w:i/>
                <w:color w:val="0070C0"/>
                <w:sz w:val="28"/>
                <w:szCs w:val="24"/>
              </w:rPr>
              <w:t>47</w:t>
            </w:r>
            <w:r w:rsidR="001C19FB" w:rsidRPr="001C19FB">
              <w:rPr>
                <w:rFonts w:ascii="Source Sans Pro" w:hAnsi="Source Sans Pro"/>
                <w:b/>
                <w:i/>
                <w:color w:val="0070C0"/>
                <w:sz w:val="28"/>
                <w:szCs w:val="24"/>
              </w:rPr>
              <w:t>PAT</w:t>
            </w:r>
          </w:p>
          <w:p w14:paraId="143AD7DE" w14:textId="0A2B3428" w:rsidR="0069428E" w:rsidRPr="001C7517" w:rsidRDefault="00252225" w:rsidP="00BF5601">
            <w:pPr>
              <w:spacing w:before="240"/>
              <w:jc w:val="both"/>
              <w:rPr>
                <w:rFonts w:ascii="Source Sans Pro" w:hAnsi="Source Sans Pro"/>
                <w:b/>
                <w:color w:val="FF0000"/>
                <w:sz w:val="24"/>
                <w:szCs w:val="24"/>
              </w:rPr>
            </w:pPr>
            <w:r w:rsidRPr="001C7517">
              <w:rPr>
                <w:rFonts w:ascii="Source Sans Pro" w:hAnsi="Source Sans Pro"/>
                <w:i/>
                <w:sz w:val="28"/>
                <w:szCs w:val="24"/>
              </w:rPr>
              <w:t xml:space="preserve">Passé selon la </w:t>
            </w:r>
            <w:r w:rsidR="001C7517" w:rsidRPr="001C19FB">
              <w:rPr>
                <w:rFonts w:ascii="Source Sans Pro" w:hAnsi="Source Sans Pro"/>
                <w:i/>
                <w:sz w:val="28"/>
                <w:szCs w:val="24"/>
              </w:rPr>
              <w:t xml:space="preserve">procédure </w:t>
            </w:r>
            <w:r w:rsidR="001C19FB" w:rsidRPr="001C19FB">
              <w:rPr>
                <w:rFonts w:ascii="Source Sans Pro" w:hAnsi="Source Sans Pro"/>
                <w:i/>
                <w:sz w:val="28"/>
                <w:szCs w:val="24"/>
              </w:rPr>
              <w:t>adaptée ouverte</w:t>
            </w:r>
            <w:r w:rsidR="001C7517" w:rsidRPr="001C7517">
              <w:rPr>
                <w:rFonts w:ascii="Source Sans Pro" w:hAnsi="Source Sans Pro"/>
                <w:i/>
                <w:sz w:val="28"/>
                <w:szCs w:val="24"/>
              </w:rPr>
              <w:t xml:space="preserve"> en application de articles </w:t>
            </w:r>
            <w:r w:rsidR="001C19FB" w:rsidRPr="001C19FB">
              <w:rPr>
                <w:rFonts w:ascii="Source Sans Pro" w:hAnsi="Source Sans Pro"/>
                <w:i/>
                <w:sz w:val="28"/>
                <w:szCs w:val="24"/>
              </w:rPr>
              <w:t xml:space="preserve">L. 2123-1 et R. 2123-1 </w:t>
            </w:r>
            <w:r w:rsidR="001C7517" w:rsidRPr="001C7517">
              <w:rPr>
                <w:rFonts w:ascii="Source Sans Pro" w:hAnsi="Source Sans Pro"/>
                <w:i/>
                <w:sz w:val="28"/>
                <w:szCs w:val="24"/>
              </w:rPr>
              <w:t>du Code de la commande publique</w:t>
            </w:r>
          </w:p>
        </w:tc>
      </w:tr>
    </w:tbl>
    <w:p w14:paraId="0D486FDA" w14:textId="77777777" w:rsidR="00A44369" w:rsidRPr="001C7517" w:rsidRDefault="00A44369" w:rsidP="00F16F76">
      <w:pPr>
        <w:spacing w:before="240" w:line="240" w:lineRule="auto"/>
        <w:jc w:val="both"/>
        <w:rPr>
          <w:rFonts w:ascii="Source Sans Pro" w:hAnsi="Source Sans Pro"/>
        </w:rPr>
      </w:pPr>
    </w:p>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1C19FB">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1C19FB">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1C19FB">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1C19FB">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1C19FB">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1C19FB">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1C19FB">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1C19FB">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7C761B"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7C761B"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1C19FB">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1C19FB">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1C19FB">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1C19FB">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1C19FB">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1C19FB">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1C19FB">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1C19FB">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1C19FB">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1C19FB">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1C19FB">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1C19FB">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F16F76">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74CE448" w14:textId="77777777" w:rsidR="00EA11B4" w:rsidRPr="001C7517" w:rsidRDefault="007C761B"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7BDE6BB4" w14:textId="2FC18A67"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38BD41C" w14:textId="77777777" w:rsidR="00C139AB"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36550B4B"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9EFCE8"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59471F"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344CFA1" w14:textId="77777777" w:rsidR="00C139AB" w:rsidRPr="001C7517"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1DE30C6" w14:textId="77777777" w:rsidR="00C139AB" w:rsidRDefault="007C761B"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2401FB3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B102ECB"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7C761B"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7C761B"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10041" w:type="dxa"/>
        <w:tblInd w:w="-10" w:type="dxa"/>
        <w:tblLayout w:type="fixed"/>
        <w:tblLook w:val="0000" w:firstRow="0" w:lastRow="0" w:firstColumn="0" w:lastColumn="0" w:noHBand="0" w:noVBand="0"/>
      </w:tblPr>
      <w:tblGrid>
        <w:gridCol w:w="2376"/>
        <w:gridCol w:w="7665"/>
      </w:tblGrid>
      <w:tr w:rsidR="00AC7BA0" w:rsidRPr="001C7517" w14:paraId="04F75141" w14:textId="77777777" w:rsidTr="001C19FB">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7C761B"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1C19FB">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7C761B"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1C19FB">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7741DACD" w14:textId="1B8441C4" w:rsidR="00AC7BA0" w:rsidRPr="001C7517" w:rsidRDefault="007C761B"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7C939279" w14:textId="6576B22E" w:rsidR="00E31910" w:rsidRPr="001C19FB" w:rsidRDefault="00E31910" w:rsidP="001C19FB">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4467221E" w14:textId="367C9BED" w:rsidR="00E31910" w:rsidRPr="001C7517" w:rsidRDefault="00843A4F"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0345C4DF"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8" w:name="_Hlk25072300"/>
    </w:p>
    <w:p w14:paraId="269E5689"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8"/>
    <w:p w14:paraId="236A901A"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 et ses annexes ;</w:t>
      </w:r>
    </w:p>
    <w:p w14:paraId="4A27071E"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 et assorti des documents ci-après :</w:t>
      </w:r>
    </w:p>
    <w:p w14:paraId="5648E349"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plans ;</w:t>
      </w:r>
    </w:p>
    <w:p w14:paraId="45445C1C"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charte chantier vert si elle est annexée au présent marché.</w:t>
      </w:r>
    </w:p>
    <w:p w14:paraId="6A8E69EC" w14:textId="7F23944F"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w:t>
      </w:r>
      <w:r w:rsidR="00C63A55">
        <w:rPr>
          <w:rFonts w:ascii="Source Sans Pro" w:hAnsi="Source Sans Pro"/>
          <w:sz w:val="20"/>
          <w:szCs w:val="20"/>
        </w:rPr>
        <w:t>diagnostic amiante</w:t>
      </w:r>
      <w:r w:rsidRPr="001C7517">
        <w:rPr>
          <w:rFonts w:ascii="Source Sans Pro" w:hAnsi="Source Sans Pro"/>
          <w:sz w:val="20"/>
          <w:szCs w:val="20"/>
        </w:rPr>
        <w:t> ;</w:t>
      </w:r>
    </w:p>
    <w:p w14:paraId="74827512" w14:textId="77777777" w:rsidR="00764DF0" w:rsidRPr="001C7517" w:rsidRDefault="00764DF0" w:rsidP="00F16F76">
      <w:pPr>
        <w:pStyle w:val="Paragraphedeliste"/>
        <w:numPr>
          <w:ilvl w:val="0"/>
          <w:numId w:val="16"/>
        </w:numPr>
        <w:tabs>
          <w:tab w:val="num" w:pos="360"/>
        </w:tabs>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1C19FB"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proofErr w:type="gramStart"/>
      <w:r w:rsidRPr="001C19FB">
        <w:rPr>
          <w:rFonts w:ascii="Source Sans Pro" w:hAnsi="Source Sans Pro"/>
          <w:sz w:val="20"/>
          <w:szCs w:val="20"/>
        </w:rPr>
        <w:t>le</w:t>
      </w:r>
      <w:proofErr w:type="gramEnd"/>
      <w:r w:rsidRPr="001C19FB">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1C19FB" w:rsidRDefault="00764DF0" w:rsidP="00F16F76">
      <w:pPr>
        <w:pStyle w:val="Paragraphedeliste"/>
        <w:numPr>
          <w:ilvl w:val="1"/>
          <w:numId w:val="16"/>
        </w:numPr>
        <w:spacing w:before="240" w:line="240" w:lineRule="auto"/>
        <w:jc w:val="both"/>
        <w:rPr>
          <w:rFonts w:ascii="Source Sans Pro" w:hAnsi="Source Sans Pro"/>
          <w:sz w:val="20"/>
          <w:szCs w:val="20"/>
        </w:rPr>
      </w:pPr>
      <w:r w:rsidRPr="001C19FB">
        <w:rPr>
          <w:rFonts w:ascii="Source Sans Pro" w:hAnsi="Source Sans Pro"/>
          <w:sz w:val="20"/>
          <w:szCs w:val="20"/>
        </w:rPr>
        <w:t>Le Cahier des Clauses Techniques Générales applicable aux prestations objet du marché.</w:t>
      </w:r>
    </w:p>
    <w:p w14:paraId="5CB234A5" w14:textId="77777777" w:rsidR="00764DF0" w:rsidRPr="001C19FB" w:rsidRDefault="00764DF0" w:rsidP="00F16F76">
      <w:pPr>
        <w:pStyle w:val="Paragraphedeliste"/>
        <w:numPr>
          <w:ilvl w:val="1"/>
          <w:numId w:val="16"/>
        </w:numPr>
        <w:spacing w:before="240" w:line="240" w:lineRule="auto"/>
        <w:jc w:val="both"/>
        <w:rPr>
          <w:rFonts w:ascii="Source Sans Pro" w:hAnsi="Source Sans Pro"/>
          <w:sz w:val="20"/>
          <w:szCs w:val="20"/>
        </w:rPr>
      </w:pPr>
      <w:r w:rsidRPr="001C19FB">
        <w:rPr>
          <w:rFonts w:ascii="Source Sans Pro" w:hAnsi="Source Sans Pro"/>
          <w:sz w:val="20"/>
          <w:szCs w:val="20"/>
        </w:rPr>
        <w:t>Les Cahiers des Charges et D.T.U. établis par le C.S.T.B. (Centre Scientifique et Technique du Bâtiment).</w:t>
      </w:r>
    </w:p>
    <w:p w14:paraId="3B9A8B43" w14:textId="77777777" w:rsidR="00764DF0" w:rsidRPr="001C19FB" w:rsidRDefault="00764DF0" w:rsidP="00F16F76">
      <w:pPr>
        <w:pStyle w:val="Paragraphedeliste"/>
        <w:numPr>
          <w:ilvl w:val="1"/>
          <w:numId w:val="16"/>
        </w:numPr>
        <w:spacing w:before="240" w:line="240" w:lineRule="auto"/>
        <w:jc w:val="both"/>
        <w:rPr>
          <w:rFonts w:ascii="Source Sans Pro" w:hAnsi="Source Sans Pro"/>
          <w:sz w:val="20"/>
          <w:szCs w:val="20"/>
        </w:rPr>
      </w:pPr>
      <w:r w:rsidRPr="001C19FB">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2FD9882" w:rsidR="00A04249" w:rsidRPr="001C7517" w:rsidRDefault="00A04249"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1A615516"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w:t>
      </w:r>
      <w:r w:rsidR="00523EB3" w:rsidRPr="00C63A55">
        <w:rPr>
          <w:rFonts w:ascii="Source Sans Pro" w:hAnsi="Source Sans Pro"/>
          <w:sz w:val="20"/>
          <w:szCs w:val="20"/>
        </w:rPr>
        <w:t xml:space="preserve">mois de </w:t>
      </w:r>
      <w:r w:rsidR="00C27305">
        <w:rPr>
          <w:rFonts w:ascii="Source Sans Pro" w:hAnsi="Source Sans Pro"/>
          <w:b/>
          <w:sz w:val="20"/>
          <w:szCs w:val="20"/>
        </w:rPr>
        <w:t>septembre</w:t>
      </w:r>
      <w:r w:rsidR="00C63A55" w:rsidRPr="00C63A55">
        <w:rPr>
          <w:rFonts w:ascii="Source Sans Pro" w:hAnsi="Source Sans Pro"/>
          <w:b/>
          <w:sz w:val="20"/>
          <w:szCs w:val="20"/>
        </w:rPr>
        <w:t xml:space="preserve"> 2025</w:t>
      </w:r>
      <w:r w:rsidRPr="00C63A55">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F16F76">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77777777" w:rsidR="000C303F" w:rsidRPr="001C7517" w:rsidRDefault="000C303F" w:rsidP="00F16F76">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7294195E" w14:textId="77777777" w:rsidR="000C303F" w:rsidRPr="001C7517" w:rsidRDefault="000C303F" w:rsidP="00F16F76">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F16F76">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77777777" w:rsidR="000C303F" w:rsidRPr="001C7517" w:rsidRDefault="000C303F" w:rsidP="00F16F76">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F16F76">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F16F76">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59273A8B" w14:textId="77777777" w:rsidR="000C303F" w:rsidRPr="00974754" w:rsidRDefault="000C303F"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974754">
        <w:rPr>
          <w:rFonts w:ascii="Source Sans Pro" w:eastAsia="Source Sans Pro" w:hAnsi="Source Sans Pro" w:cs="Source Sans Pro"/>
          <w:b/>
          <w:bCs/>
          <w:sz w:val="56"/>
          <w:szCs w:val="56"/>
          <w:lang w:eastAsia="ja-JP" w:bidi="fr-FR"/>
        </w:rPr>
        <w:t>Sous-Traitance</w:t>
      </w:r>
    </w:p>
    <w:p w14:paraId="50FDCE1F" w14:textId="1B8FA25E" w:rsidR="0063559E" w:rsidRPr="001C7517" w:rsidRDefault="001D4256" w:rsidP="00F16F76">
      <w:pPr>
        <w:spacing w:before="240" w:line="240" w:lineRule="auto"/>
        <w:jc w:val="both"/>
        <w:rPr>
          <w:rFonts w:ascii="Source Sans Pro" w:hAnsi="Source Sans Pro"/>
          <w:sz w:val="20"/>
          <w:szCs w:val="20"/>
          <w:lang w:eastAsia="zh-CN"/>
        </w:rPr>
      </w:pPr>
      <w:r w:rsidRPr="00974754">
        <w:rPr>
          <w:rFonts w:ascii="Source Sans Pro" w:hAnsi="Source Sans Pro"/>
          <w:sz w:val="20"/>
          <w:szCs w:val="20"/>
          <w:lang w:eastAsia="zh-CN"/>
        </w:rPr>
        <w:t>L</w:t>
      </w:r>
      <w:r w:rsidR="00C63A55" w:rsidRPr="00974754">
        <w:rPr>
          <w:rFonts w:ascii="Source Sans Pro" w:hAnsi="Source Sans Pro"/>
          <w:sz w:val="20"/>
          <w:szCs w:val="20"/>
          <w:lang w:eastAsia="zh-CN"/>
        </w:rPr>
        <w:t>’</w:t>
      </w:r>
      <w:r w:rsidRPr="00974754">
        <w:rPr>
          <w:rFonts w:ascii="Source Sans Pro" w:hAnsi="Source Sans Pro"/>
          <w:sz w:val="20"/>
          <w:szCs w:val="20"/>
          <w:lang w:eastAsia="zh-CN"/>
        </w:rPr>
        <w:t xml:space="preserve">annexe n°2 </w:t>
      </w:r>
      <w:r w:rsidR="0063559E" w:rsidRPr="00974754">
        <w:rPr>
          <w:rFonts w:ascii="Source Sans Pro" w:hAnsi="Source Sans Pro"/>
          <w:sz w:val="20"/>
          <w:szCs w:val="20"/>
          <w:lang w:eastAsia="zh-CN"/>
        </w:rPr>
        <w:t>du présent acte d’engagement</w:t>
      </w:r>
      <w:r w:rsidRPr="00974754">
        <w:rPr>
          <w:rFonts w:ascii="Source Sans Pro" w:hAnsi="Source Sans Pro"/>
          <w:sz w:val="20"/>
          <w:szCs w:val="20"/>
          <w:lang w:eastAsia="zh-CN"/>
        </w:rPr>
        <w:t xml:space="preserve"> </w:t>
      </w:r>
      <w:r w:rsidR="0063559E" w:rsidRPr="00974754">
        <w:rPr>
          <w:rFonts w:ascii="Source Sans Pro" w:hAnsi="Source Sans Pro"/>
          <w:sz w:val="20"/>
          <w:szCs w:val="20"/>
          <w:lang w:eastAsia="zh-CN"/>
        </w:rPr>
        <w:t>doit</w:t>
      </w:r>
      <w:r w:rsidR="0063559E" w:rsidRPr="001C7517">
        <w:rPr>
          <w:rFonts w:ascii="Source Sans Pro" w:hAnsi="Source Sans Pro"/>
          <w:sz w:val="20"/>
          <w:szCs w:val="20"/>
          <w:lang w:eastAsia="zh-CN"/>
        </w:rPr>
        <w:t xml:space="preserve"> être complétée en cas de sous-traitance d’une partie des prestations objet du présent marché.</w:t>
      </w:r>
      <w:r w:rsidRPr="001C7517">
        <w:rPr>
          <w:rFonts w:ascii="Source Sans Pro" w:hAnsi="Source Sans Pro"/>
          <w:sz w:val="20"/>
          <w:szCs w:val="20"/>
          <w:lang w:eastAsia="zh-CN"/>
        </w:rPr>
        <w:t xml:space="preserve"> </w:t>
      </w:r>
    </w:p>
    <w:p w14:paraId="33D95D1E" w14:textId="174E4BE3"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 indique</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27CD29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au </w:t>
      </w:r>
      <w:r w:rsidR="00C27305">
        <w:rPr>
          <w:rFonts w:ascii="Source Sans Pro" w:hAnsi="Source Sans Pro"/>
          <w:sz w:val="20"/>
          <w:szCs w:val="20"/>
          <w:lang w:eastAsia="zh-CN"/>
        </w:rPr>
        <w:t>4</w:t>
      </w:r>
      <w:r w:rsidRPr="00974754">
        <w:rPr>
          <w:rFonts w:ascii="Source Sans Pro" w:hAnsi="Source Sans Pro"/>
          <w:sz w:val="20"/>
          <w:szCs w:val="20"/>
          <w:vertAlign w:val="superscript"/>
          <w:lang w:eastAsia="zh-CN"/>
        </w:rPr>
        <w:t>ème</w:t>
      </w:r>
      <w:r w:rsidR="00974754">
        <w:rPr>
          <w:rFonts w:ascii="Source Sans Pro" w:hAnsi="Source Sans Pro"/>
          <w:sz w:val="20"/>
          <w:szCs w:val="20"/>
          <w:lang w:eastAsia="zh-CN"/>
        </w:rPr>
        <w:t xml:space="preserve"> </w:t>
      </w:r>
      <w:r w:rsidRPr="001C7517">
        <w:rPr>
          <w:rFonts w:ascii="Source Sans Pro" w:hAnsi="Source Sans Pro"/>
          <w:sz w:val="20"/>
          <w:szCs w:val="20"/>
          <w:lang w:eastAsia="zh-CN"/>
        </w:rPr>
        <w:t>trimestre 20</w:t>
      </w:r>
      <w:r w:rsidR="00974754">
        <w:rPr>
          <w:rFonts w:ascii="Source Sans Pro" w:hAnsi="Source Sans Pro"/>
          <w:sz w:val="20"/>
          <w:szCs w:val="20"/>
          <w:lang w:eastAsia="zh-CN"/>
        </w:rPr>
        <w:t>25</w:t>
      </w:r>
      <w:r w:rsidRPr="001C7517">
        <w:rPr>
          <w:rFonts w:ascii="Source Sans Pro" w:hAnsi="Source Sans Pro"/>
          <w:sz w:val="20"/>
          <w:szCs w:val="20"/>
          <w:lang w:eastAsia="zh-CN"/>
        </w:rPr>
        <w:t xml:space="preserve"> pour une durée prévisionnelle de </w:t>
      </w:r>
      <w:r w:rsidR="00974754">
        <w:rPr>
          <w:rFonts w:ascii="Source Sans Pro" w:hAnsi="Source Sans Pro"/>
          <w:sz w:val="20"/>
          <w:szCs w:val="20"/>
          <w:lang w:eastAsia="zh-CN"/>
        </w:rPr>
        <w:t>2</w:t>
      </w:r>
      <w:r w:rsidRPr="001C7517">
        <w:rPr>
          <w:rFonts w:ascii="Source Sans Pro" w:hAnsi="Source Sans Pro"/>
          <w:sz w:val="20"/>
          <w:szCs w:val="20"/>
          <w:lang w:eastAsia="zh-CN"/>
        </w:rPr>
        <w:t xml:space="preserve"> mois de travaux et une date de livraison au </w:t>
      </w:r>
      <w:r w:rsidR="00C27305">
        <w:rPr>
          <w:rFonts w:ascii="Source Sans Pro" w:hAnsi="Source Sans Pro"/>
          <w:sz w:val="20"/>
          <w:szCs w:val="20"/>
          <w:lang w:eastAsia="zh-CN"/>
        </w:rPr>
        <w:t>2</w:t>
      </w:r>
      <w:r w:rsidRPr="00974754">
        <w:rPr>
          <w:rFonts w:ascii="Source Sans Pro" w:hAnsi="Source Sans Pro"/>
          <w:sz w:val="20"/>
          <w:szCs w:val="20"/>
          <w:vertAlign w:val="superscript"/>
          <w:lang w:eastAsia="zh-CN"/>
        </w:rPr>
        <w:t>ème</w:t>
      </w:r>
      <w:r w:rsidR="00974754">
        <w:rPr>
          <w:rFonts w:ascii="Source Sans Pro" w:hAnsi="Source Sans Pro"/>
          <w:sz w:val="20"/>
          <w:szCs w:val="20"/>
          <w:lang w:eastAsia="zh-CN"/>
        </w:rPr>
        <w:t xml:space="preserve"> </w:t>
      </w:r>
      <w:r w:rsidRPr="001C7517">
        <w:rPr>
          <w:rFonts w:ascii="Source Sans Pro" w:hAnsi="Source Sans Pro"/>
          <w:sz w:val="20"/>
          <w:szCs w:val="20"/>
          <w:lang w:eastAsia="zh-CN"/>
        </w:rPr>
        <w:t>trimestre 20</w:t>
      </w:r>
      <w:r w:rsidR="00974754">
        <w:rPr>
          <w:rFonts w:ascii="Source Sans Pro" w:hAnsi="Source Sans Pro"/>
          <w:sz w:val="20"/>
          <w:szCs w:val="20"/>
          <w:lang w:eastAsia="zh-CN"/>
        </w:rPr>
        <w:t>2</w:t>
      </w:r>
      <w:r w:rsidR="00C27305">
        <w:rPr>
          <w:rFonts w:ascii="Source Sans Pro" w:hAnsi="Source Sans Pro"/>
          <w:sz w:val="20"/>
          <w:szCs w:val="20"/>
          <w:lang w:eastAsia="zh-CN"/>
        </w:rPr>
        <w:t>6</w:t>
      </w:r>
      <w:r w:rsidRPr="001C7517">
        <w:rPr>
          <w:rFonts w:ascii="Source Sans Pro" w:hAnsi="Source Sans Pro"/>
          <w:sz w:val="20"/>
          <w:szCs w:val="20"/>
          <w:lang w:eastAsia="zh-CN"/>
        </w:rPr>
        <w:t>.</w:t>
      </w:r>
    </w:p>
    <w:p w14:paraId="5CB66177"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38151CED" w:rsidR="000157B0" w:rsidRPr="001C7517" w:rsidRDefault="000157B0" w:rsidP="00F16F76">
      <w:pPr>
        <w:spacing w:before="240" w:line="240" w:lineRule="auto"/>
        <w:jc w:val="both"/>
        <w:rPr>
          <w:rFonts w:ascii="Source Sans Pro" w:hAnsi="Source Sans Pro"/>
          <w:b/>
          <w:i/>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w:t>
      </w:r>
      <w:r w:rsidRPr="00974754">
        <w:rPr>
          <w:rFonts w:ascii="Source Sans Pro" w:hAnsi="Source Sans Pro"/>
          <w:sz w:val="20"/>
          <w:szCs w:val="20"/>
          <w:lang w:eastAsia="zh-CN"/>
        </w:rPr>
        <w:t xml:space="preserve">de </w:t>
      </w:r>
      <w:r w:rsidR="00974754" w:rsidRPr="00974754">
        <w:rPr>
          <w:rFonts w:ascii="Source Sans Pro" w:hAnsi="Source Sans Pro"/>
          <w:b/>
          <w:i/>
          <w:sz w:val="20"/>
          <w:szCs w:val="20"/>
          <w:lang w:eastAsia="zh-CN"/>
        </w:rPr>
        <w:t>4</w:t>
      </w:r>
      <w:r w:rsidR="00AC2859" w:rsidRPr="00974754">
        <w:rPr>
          <w:rFonts w:ascii="Source Sans Pro" w:hAnsi="Source Sans Pro"/>
          <w:b/>
          <w:i/>
          <w:sz w:val="20"/>
          <w:szCs w:val="20"/>
          <w:lang w:eastAsia="zh-CN"/>
        </w:rPr>
        <w:t xml:space="preserve"> </w:t>
      </w:r>
      <w:r w:rsidRPr="00974754">
        <w:rPr>
          <w:rFonts w:ascii="Source Sans Pro" w:hAnsi="Source Sans Pro"/>
          <w:b/>
          <w:i/>
          <w:sz w:val="20"/>
          <w:szCs w:val="20"/>
          <w:lang w:eastAsia="zh-CN"/>
        </w:rPr>
        <w:t>mois.</w:t>
      </w:r>
    </w:p>
    <w:p w14:paraId="577C0C7B" w14:textId="77777777" w:rsidR="000157B0" w:rsidRPr="001C7517"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72D2B708" w14:textId="6E02B33C" w:rsidR="00161869" w:rsidRPr="001C7517"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4575CAFE"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1B78A13A" w:rsidR="009C265B" w:rsidRPr="001C7517" w:rsidRDefault="007C761B" w:rsidP="00F16F76">
      <w:pPr>
        <w:spacing w:before="240" w:after="0" w:line="240" w:lineRule="auto"/>
        <w:ind w:firstLine="284"/>
        <w:jc w:val="both"/>
        <w:rPr>
          <w:rFonts w:ascii="Source Sans Pro" w:hAnsi="Source Sans Pro"/>
          <w:sz w:val="20"/>
          <w:szCs w:val="20"/>
        </w:rPr>
      </w:pPr>
      <w:r>
        <w:rPr>
          <w:rFonts w:ascii="Source Sans Pro" w:hAnsi="Source Sans Pro"/>
          <w:sz w:val="20"/>
          <w:szCs w:val="20"/>
        </w:rPr>
        <w:pict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7.25pt">
            <v:imagedata r:id="rId9" o:title=""/>
          </v:shape>
        </w:pict>
      </w:r>
      <w:proofErr w:type="gramStart"/>
      <w:r w:rsidR="009C265B" w:rsidRPr="001C7517">
        <w:rPr>
          <w:rFonts w:ascii="Source Sans Pro" w:hAnsi="Source Sans Pro"/>
          <w:sz w:val="20"/>
          <w:szCs w:val="20"/>
        </w:rPr>
        <w:t>un</w:t>
      </w:r>
      <w:proofErr w:type="gramEnd"/>
      <w:r w:rsidR="009C265B" w:rsidRPr="001C7517">
        <w:rPr>
          <w:rFonts w:ascii="Source Sans Pro" w:hAnsi="Source Sans Pro"/>
          <w:sz w:val="20"/>
          <w:szCs w:val="20"/>
        </w:rPr>
        <w:t xml:space="preserve"> compte unique ouvert au nom des membres du groupement ou du mandataire;</w:t>
      </w:r>
    </w:p>
    <w:p w14:paraId="28908AE7" w14:textId="2F13F225" w:rsidR="009C265B" w:rsidRPr="001C7517" w:rsidRDefault="007C761B" w:rsidP="00F16F76">
      <w:pPr>
        <w:spacing w:before="240" w:after="0" w:line="240" w:lineRule="auto"/>
        <w:ind w:firstLine="284"/>
        <w:jc w:val="both"/>
        <w:rPr>
          <w:rFonts w:ascii="Source Sans Pro" w:hAnsi="Source Sans Pro"/>
          <w:sz w:val="20"/>
          <w:szCs w:val="20"/>
        </w:rPr>
      </w:pPr>
      <w:r>
        <w:rPr>
          <w:rFonts w:ascii="Source Sans Pro" w:hAnsi="Source Sans Pro"/>
          <w:sz w:val="20"/>
          <w:szCs w:val="20"/>
        </w:rPr>
        <w:pict w14:anchorId="492FCC1C">
          <v:shape id="_x0000_i1026" type="#_x0000_t75" style="width:20.25pt;height:17.25pt">
            <v:imagedata r:id="rId9" o:title=""/>
          </v:shape>
        </w:pict>
      </w:r>
      <w:proofErr w:type="gramStart"/>
      <w:r w:rsidR="009C265B" w:rsidRPr="001C7517">
        <w:rPr>
          <w:rFonts w:ascii="Source Sans Pro" w:hAnsi="Source Sans Pro"/>
          <w:sz w:val="20"/>
          <w:szCs w:val="20"/>
        </w:rPr>
        <w:t>les</w:t>
      </w:r>
      <w:proofErr w:type="gramEnd"/>
      <w:r w:rsidR="009C265B"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4892655F" w14:textId="1C03F449" w:rsidR="00974754"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F16F76">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653BA7E8" w14:textId="43A93257" w:rsidR="00974754" w:rsidRDefault="001E7311" w:rsidP="00161869">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3D7F7414" w14:textId="7257919B" w:rsidR="001E7311" w:rsidRPr="001C7517" w:rsidRDefault="00974754"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1E7311"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77777777" w:rsidR="00161869" w:rsidRPr="001C7517" w:rsidRDefault="00161869" w:rsidP="00F16F76">
      <w:pPr>
        <w:spacing w:before="240" w:line="240" w:lineRule="auto"/>
        <w:jc w:val="both"/>
        <w:rPr>
          <w:rFonts w:ascii="Source Sans Pro" w:hAnsi="Source Sans Pro"/>
          <w:sz w:val="20"/>
          <w:szCs w:val="20"/>
        </w:rPr>
      </w:pPr>
    </w:p>
    <w:p w14:paraId="1D9DD2D0"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7918068" w14:textId="77777777" w:rsidR="00D20D17" w:rsidRPr="001C7517" w:rsidRDefault="00D20D17" w:rsidP="00F16F76">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13F7D95F" w14:textId="77777777" w:rsidR="00D20D17" w:rsidRPr="001C7517" w:rsidRDefault="00D20D17" w:rsidP="00F16F76">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265ABED8"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Date d’effet du marché</w:t>
      </w:r>
    </w:p>
    <w:p w14:paraId="02583A31" w14:textId="77777777" w:rsidR="001E7311" w:rsidRPr="001C7517" w:rsidRDefault="001E7311" w:rsidP="00F16F76">
      <w:pPr>
        <w:spacing w:before="240" w:line="240" w:lineRule="auto"/>
        <w:jc w:val="both"/>
        <w:rPr>
          <w:rFonts w:ascii="Source Sans Pro" w:hAnsi="Source Sans Pro"/>
          <w:sz w:val="20"/>
          <w:szCs w:val="20"/>
          <w:u w:val="single"/>
        </w:rPr>
      </w:pPr>
      <w:r w:rsidRPr="001C7517">
        <w:rPr>
          <w:rFonts w:ascii="Source Sans Pro" w:hAnsi="Source Sans Pro"/>
          <w:sz w:val="20"/>
          <w:szCs w:val="20"/>
          <w:u w:val="single"/>
        </w:rPr>
        <w:t xml:space="preserve">En cas de remise contre récépissé :  </w:t>
      </w:r>
    </w:p>
    <w:p w14:paraId="0DBD157D"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titulaire signera la formule ci-dessous : « Reçu à titre de notification une copie du présent marché » :</w:t>
      </w:r>
    </w:p>
    <w:p w14:paraId="29EE0BEB"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2C4C06FF"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BB52931" w14:textId="5D2E7E92" w:rsidR="00161869" w:rsidRDefault="001E7311" w:rsidP="00F16F76">
      <w:pPr>
        <w:widowControl w:val="0"/>
        <w:spacing w:before="240" w:after="240" w:line="240" w:lineRule="auto"/>
        <w:jc w:val="both"/>
        <w:outlineLvl w:val="0"/>
        <w:rPr>
          <w:rFonts w:ascii="Source Sans Pro" w:hAnsi="Source Sans Pro"/>
        </w:rPr>
      </w:pPr>
      <w:r w:rsidRPr="001C7517">
        <w:rPr>
          <w:rFonts w:ascii="Source Sans Pro" w:hAnsi="Source Sans Pro"/>
          <w:sz w:val="20"/>
          <w:szCs w:val="20"/>
        </w:rPr>
        <w:t>Signature du titulaire</w:t>
      </w:r>
      <w:r w:rsidRPr="001C7517">
        <w:rPr>
          <w:rFonts w:ascii="Source Sans Pro" w:hAnsi="Source Sans Pro"/>
        </w:rPr>
        <w:t> :</w:t>
      </w:r>
    </w:p>
    <w:p w14:paraId="5BBA9688" w14:textId="202DC40A" w:rsidR="00161869" w:rsidRDefault="00161869" w:rsidP="00F16F76">
      <w:pPr>
        <w:widowControl w:val="0"/>
        <w:spacing w:before="240" w:after="240" w:line="240" w:lineRule="auto"/>
        <w:jc w:val="both"/>
        <w:outlineLvl w:val="0"/>
        <w:rPr>
          <w:rFonts w:ascii="Source Sans Pro" w:hAnsi="Source Sans Pro"/>
        </w:rPr>
      </w:pPr>
    </w:p>
    <w:p w14:paraId="16C664F0" w14:textId="77777777" w:rsidR="00161869" w:rsidRDefault="00161869" w:rsidP="00F16F76">
      <w:pPr>
        <w:widowControl w:val="0"/>
        <w:spacing w:before="240" w:after="240" w:line="240" w:lineRule="auto"/>
        <w:jc w:val="both"/>
        <w:outlineLvl w:val="0"/>
        <w:rPr>
          <w:rFonts w:ascii="Source Sans Pro" w:hAnsi="Source Sans Pro"/>
        </w:rPr>
      </w:pPr>
    </w:p>
    <w:sectPr w:rsidR="00161869" w:rsidSect="002C53A2">
      <w:headerReference w:type="default" r:id="rId10"/>
      <w:footerReference w:type="default" r:id="rId11"/>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1C19FB" w:rsidRDefault="001C19FB" w:rsidP="00D33AD5">
      <w:pPr>
        <w:spacing w:after="0" w:line="240" w:lineRule="auto"/>
      </w:pPr>
      <w:r>
        <w:separator/>
      </w:r>
    </w:p>
  </w:endnote>
  <w:endnote w:type="continuationSeparator" w:id="0">
    <w:p w14:paraId="59D33E81" w14:textId="77777777" w:rsidR="001C19FB" w:rsidRDefault="001C19FB"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1C19FB" w:rsidRDefault="001C19FB">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1C19FB" w:rsidRPr="00C76265" w:rsidRDefault="001C19FB"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1C19FB" w:rsidRPr="00C76265" w:rsidRDefault="001C19FB"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1C19FB" w:rsidRDefault="001C19FB" w:rsidP="00D33AD5">
      <w:pPr>
        <w:spacing w:after="0" w:line="240" w:lineRule="auto"/>
      </w:pPr>
      <w:r>
        <w:separator/>
      </w:r>
    </w:p>
  </w:footnote>
  <w:footnote w:type="continuationSeparator" w:id="0">
    <w:p w14:paraId="00A88A0F" w14:textId="77777777" w:rsidR="001C19FB" w:rsidRDefault="001C19FB"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8189" w14:textId="77777777" w:rsidR="001C19FB" w:rsidRDefault="001C19FB" w:rsidP="001C19FB">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Pr>
        <w:b/>
        <w:i/>
        <w:color w:val="000000" w:themeColor="text1"/>
        <w:sz w:val="18"/>
        <w:szCs w:val="18"/>
      </w:rPr>
      <w:t>Toiture INSPE Angers</w:t>
    </w:r>
  </w:p>
  <w:p w14:paraId="494AC419" w14:textId="69042745" w:rsidR="001C19FB" w:rsidRPr="00034153" w:rsidRDefault="001C19FB" w:rsidP="001C19FB">
    <w:pPr>
      <w:spacing w:after="0" w:line="240" w:lineRule="auto"/>
      <w:jc w:val="center"/>
      <w:rPr>
        <w:b/>
        <w:i/>
        <w:color w:val="000000" w:themeColor="text1"/>
        <w:sz w:val="18"/>
        <w:szCs w:val="18"/>
      </w:rPr>
    </w:pPr>
    <w:r>
      <w:rPr>
        <w:b/>
        <w:i/>
        <w:color w:val="000000" w:themeColor="text1"/>
        <w:sz w:val="18"/>
        <w:szCs w:val="18"/>
      </w:rPr>
      <w:t>Procéduren°25003PAT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7312237">
    <w:abstractNumId w:val="8"/>
  </w:num>
  <w:num w:numId="2" w16cid:durableId="1385105734">
    <w:abstractNumId w:val="12"/>
  </w:num>
  <w:num w:numId="3" w16cid:durableId="271668174">
    <w:abstractNumId w:val="7"/>
  </w:num>
  <w:num w:numId="4" w16cid:durableId="240023462">
    <w:abstractNumId w:val="4"/>
  </w:num>
  <w:num w:numId="5" w16cid:durableId="1116556004">
    <w:abstractNumId w:val="16"/>
  </w:num>
  <w:num w:numId="6" w16cid:durableId="155001124">
    <w:abstractNumId w:val="11"/>
  </w:num>
  <w:num w:numId="7" w16cid:durableId="369652948">
    <w:abstractNumId w:val="13"/>
  </w:num>
  <w:num w:numId="8" w16cid:durableId="1913350851">
    <w:abstractNumId w:val="17"/>
  </w:num>
  <w:num w:numId="9" w16cid:durableId="689457151">
    <w:abstractNumId w:val="15"/>
  </w:num>
  <w:num w:numId="10" w16cid:durableId="395854990">
    <w:abstractNumId w:val="2"/>
  </w:num>
  <w:num w:numId="11" w16cid:durableId="1420172534">
    <w:abstractNumId w:val="9"/>
  </w:num>
  <w:num w:numId="12" w16cid:durableId="556011453">
    <w:abstractNumId w:val="3"/>
  </w:num>
  <w:num w:numId="13" w16cid:durableId="1881898856">
    <w:abstractNumId w:val="14"/>
  </w:num>
  <w:num w:numId="14" w16cid:durableId="2083480757">
    <w:abstractNumId w:val="6"/>
  </w:num>
  <w:num w:numId="15" w16cid:durableId="1677465863">
    <w:abstractNumId w:val="5"/>
  </w:num>
  <w:num w:numId="16" w16cid:durableId="11252960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7987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19FB"/>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568E3"/>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16311"/>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74754"/>
    <w:rsid w:val="0099002F"/>
    <w:rsid w:val="00992C64"/>
    <w:rsid w:val="00993BB9"/>
    <w:rsid w:val="009A621F"/>
    <w:rsid w:val="009B2364"/>
    <w:rsid w:val="009C265B"/>
    <w:rsid w:val="009C58C5"/>
    <w:rsid w:val="009C7D60"/>
    <w:rsid w:val="009D36B9"/>
    <w:rsid w:val="009E2D51"/>
    <w:rsid w:val="009F38EA"/>
    <w:rsid w:val="009F414F"/>
    <w:rsid w:val="00A0122D"/>
    <w:rsid w:val="00A03897"/>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27305"/>
    <w:rsid w:val="00C30622"/>
    <w:rsid w:val="00C34EAF"/>
    <w:rsid w:val="00C37BCE"/>
    <w:rsid w:val="00C41392"/>
    <w:rsid w:val="00C562D6"/>
    <w:rsid w:val="00C63A55"/>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 w:id="210083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2A10C-DE85-4EA7-81CE-A2B633E8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2470</Words>
  <Characters>13588</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2</cp:revision>
  <cp:lastPrinted>2018-05-03T08:02:00Z</cp:lastPrinted>
  <dcterms:created xsi:type="dcterms:W3CDTF">2025-08-22T10:02:00Z</dcterms:created>
  <dcterms:modified xsi:type="dcterms:W3CDTF">2025-08-22T10:02:00Z</dcterms:modified>
</cp:coreProperties>
</file>