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781"/>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0A3CF07F" w:rsidR="00E77B5A" w:rsidRDefault="00FD302B" w:rsidP="00164299">
      <w:pPr>
        <w:tabs>
          <w:tab w:val="left" w:pos="1843"/>
        </w:tabs>
        <w:rPr>
          <w:rFonts w:ascii="Tahoma" w:hAnsi="Tahoma"/>
          <w:color w:val="000000"/>
          <w:sz w:val="28"/>
        </w:rPr>
      </w:pPr>
      <w:r>
        <w:rPr>
          <w:rFonts w:ascii="Tahoma" w:hAnsi="Tahoma"/>
          <w:color w:val="000000"/>
          <w:sz w:val="28"/>
        </w:rPr>
        <w:t xml:space="preserve">représentant </w:t>
      </w:r>
      <w:r w:rsidR="004155B5">
        <w:rPr>
          <w:rFonts w:ascii="Tahoma" w:hAnsi="Tahoma"/>
          <w:color w:val="000000"/>
          <w:sz w:val="28"/>
        </w:rPr>
        <w:t>de la sous-direction Investissements</w:t>
      </w:r>
      <w:bookmarkStart w:id="0" w:name="_GoBack"/>
      <w:bookmarkEnd w:id="0"/>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133DC5DC" w14:textId="77777777" w:rsidR="004155B5" w:rsidRDefault="00E77B5A" w:rsidP="004155B5">
      <w:pPr>
        <w:pStyle w:val="TM1"/>
      </w:pPr>
      <w:r>
        <w:br/>
      </w:r>
      <w:r w:rsidR="004155B5" w:rsidRPr="004155B5">
        <w:t xml:space="preserve">Consultation n°2025/SID-MED/0439 relative à HYE - Porquerolles - Démontage de la vigie provisoire et remontage à l’Ouest de la Rade de Toulon </w:t>
      </w:r>
    </w:p>
    <w:p w14:paraId="75EE653A" w14:textId="77777777" w:rsidR="004155B5" w:rsidRDefault="004155B5" w:rsidP="004155B5">
      <w:pPr>
        <w:pStyle w:val="TM1"/>
      </w:pPr>
    </w:p>
    <w:p w14:paraId="1FEFC680" w14:textId="43DC4FCE" w:rsidR="00E77B5A" w:rsidRDefault="00D20CDF" w:rsidP="004155B5">
      <w:pPr>
        <w:pStyle w:val="TM1"/>
      </w:pPr>
      <w:proofErr w:type="gramStart"/>
      <w:r>
        <w:t>le</w:t>
      </w:r>
      <w:proofErr w:type="gramEnd"/>
      <w:r>
        <w:t xml:space="preserve"> </w:t>
      </w:r>
      <w:r w:rsidR="00A825F2">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79EFF7C1"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 xml:space="preserve">Le représentant de </w:t>
      </w:r>
      <w:r w:rsidR="00AA04F9">
        <w:rPr>
          <w:rFonts w:ascii="Tahoma" w:hAnsi="Tahoma"/>
          <w:color w:val="000000"/>
          <w:sz w:val="28"/>
          <w:u w:val="single"/>
        </w:rPr>
        <w:t xml:space="preserve">SID </w:t>
      </w:r>
      <w:r w:rsidR="00EA17AB">
        <w:rPr>
          <w:rFonts w:ascii="Tahoma" w:hAnsi="Tahoma"/>
          <w:color w:val="000000"/>
          <w:sz w:val="28"/>
          <w:u w:val="single"/>
        </w:rPr>
        <w:t>Méditerranée</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676F1" w14:textId="77777777" w:rsidR="00AA04C4" w:rsidRDefault="00AA04C4">
      <w:r>
        <w:separator/>
      </w:r>
    </w:p>
  </w:endnote>
  <w:endnote w:type="continuationSeparator" w:id="0">
    <w:p w14:paraId="49FDD1A9" w14:textId="77777777" w:rsidR="00AA04C4" w:rsidRDefault="00AA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A22D7" w14:textId="77777777" w:rsidR="00F146B8" w:rsidRDefault="00F146B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2416D820" w:rsidR="007D4ACF" w:rsidRDefault="007D4ACF">
          <w:pPr>
            <w:pStyle w:val="Pieddepage"/>
            <w:jc w:val="left"/>
          </w:pPr>
          <w:r>
            <w:t xml:space="preserve">Edition du </w:t>
          </w:r>
          <w:r>
            <w:fldChar w:fldCharType="begin"/>
          </w:r>
          <w:r>
            <w:instrText xml:space="preserve"> DATE \@ "dd/MM/yyyy" </w:instrText>
          </w:r>
          <w:r>
            <w:fldChar w:fldCharType="separate"/>
          </w:r>
          <w:r w:rsidR="004155B5">
            <w:rPr>
              <w:noProof/>
            </w:rPr>
            <w:t>10/09/2025</w:t>
          </w:r>
          <w:r>
            <w:fldChar w:fldCharType="end"/>
          </w:r>
        </w:p>
      </w:tc>
      <w:tc>
        <w:tcPr>
          <w:tcW w:w="4605" w:type="dxa"/>
        </w:tcPr>
        <w:p w14:paraId="795CE12D" w14:textId="77777777" w:rsidR="007D4ACF" w:rsidRDefault="00F146B8">
          <w:pPr>
            <w:pStyle w:val="Pieddepage"/>
          </w:pPr>
          <w:fldSimple w:instr=" FILENAME \p ">
            <w:r w:rsidR="004940D6">
              <w:rPr>
                <w:noProof/>
              </w:rPr>
              <w:t>I:\REQ\QUALITE INTERNE\FICHIERS NATIFS\MODELES\MODELES TYPE\MPC\Phase passation V1\Attestation de visite.doc</w:t>
            </w:r>
          </w:fldSimple>
        </w:p>
      </w:tc>
    </w:tr>
  </w:tbl>
  <w:p w14:paraId="199FEC94" w14:textId="77777777" w:rsidR="007D4ACF" w:rsidRDefault="007D4ACF">
    <w:pPr>
      <w:pStyle w:val="Pieddepage"/>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7B2F0487"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EA17AB">
      <w:rPr>
        <w:spacing w:val="20"/>
        <w:sz w:val="17"/>
      </w:rPr>
      <w:t>SID Méditerranée</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7C9CE" w14:textId="77777777" w:rsidR="00AA04C4" w:rsidRDefault="00AA04C4">
      <w:r>
        <w:separator/>
      </w:r>
    </w:p>
  </w:footnote>
  <w:footnote w:type="continuationSeparator" w:id="0">
    <w:p w14:paraId="3267DCD8" w14:textId="77777777" w:rsidR="00AA04C4" w:rsidRDefault="00AA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0017" w14:textId="77777777" w:rsidR="00F146B8" w:rsidRDefault="00F146B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77777777"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940D6">
      <w:rPr>
        <w:noProof/>
        <w:snapToGrid w:val="0"/>
      </w:rPr>
      <w:t>1</w:t>
    </w:r>
    <w:r>
      <w:rPr>
        <w:snapToGrid w:val="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fa986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51F46"/>
    <w:rsid w:val="00280431"/>
    <w:rsid w:val="0029395A"/>
    <w:rsid w:val="002A1105"/>
    <w:rsid w:val="002D1B24"/>
    <w:rsid w:val="002D75CB"/>
    <w:rsid w:val="002E3613"/>
    <w:rsid w:val="00323C79"/>
    <w:rsid w:val="00334CAB"/>
    <w:rsid w:val="003435B8"/>
    <w:rsid w:val="00374209"/>
    <w:rsid w:val="00374DAC"/>
    <w:rsid w:val="003A3087"/>
    <w:rsid w:val="003B09E1"/>
    <w:rsid w:val="003B21D1"/>
    <w:rsid w:val="003B76A2"/>
    <w:rsid w:val="00413AC0"/>
    <w:rsid w:val="004155B5"/>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B1C4F"/>
    <w:rsid w:val="006C4D3E"/>
    <w:rsid w:val="006D54B7"/>
    <w:rsid w:val="006E148C"/>
    <w:rsid w:val="00707D35"/>
    <w:rsid w:val="00720ACE"/>
    <w:rsid w:val="00733ADE"/>
    <w:rsid w:val="007444C9"/>
    <w:rsid w:val="0074649D"/>
    <w:rsid w:val="00764C4C"/>
    <w:rsid w:val="007669AB"/>
    <w:rsid w:val="007674B0"/>
    <w:rsid w:val="007B3724"/>
    <w:rsid w:val="007C6539"/>
    <w:rsid w:val="007D4ACF"/>
    <w:rsid w:val="007F32AA"/>
    <w:rsid w:val="0082018D"/>
    <w:rsid w:val="008203EF"/>
    <w:rsid w:val="00824DD7"/>
    <w:rsid w:val="00826FF1"/>
    <w:rsid w:val="008274A0"/>
    <w:rsid w:val="00834889"/>
    <w:rsid w:val="00840AAF"/>
    <w:rsid w:val="00851613"/>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54C07"/>
    <w:rsid w:val="00A66DAF"/>
    <w:rsid w:val="00A825F2"/>
    <w:rsid w:val="00A85256"/>
    <w:rsid w:val="00AA04C4"/>
    <w:rsid w:val="00AA04F9"/>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30E"/>
    <w:rsid w:val="00CA1527"/>
    <w:rsid w:val="00CA5C18"/>
    <w:rsid w:val="00CA7AC6"/>
    <w:rsid w:val="00CC533A"/>
    <w:rsid w:val="00CE51F3"/>
    <w:rsid w:val="00CE7837"/>
    <w:rsid w:val="00D12608"/>
    <w:rsid w:val="00D20CDF"/>
    <w:rsid w:val="00D6010A"/>
    <w:rsid w:val="00D97C08"/>
    <w:rsid w:val="00DA00F4"/>
    <w:rsid w:val="00DC2FF9"/>
    <w:rsid w:val="00DC6B8F"/>
    <w:rsid w:val="00DF4AB6"/>
    <w:rsid w:val="00E01AE8"/>
    <w:rsid w:val="00E364FE"/>
    <w:rsid w:val="00E36D1D"/>
    <w:rsid w:val="00E51492"/>
    <w:rsid w:val="00E56728"/>
    <w:rsid w:val="00E77B5A"/>
    <w:rsid w:val="00EA17AB"/>
    <w:rsid w:val="00ED6E45"/>
    <w:rsid w:val="00EE685F"/>
    <w:rsid w:val="00EF1E2B"/>
    <w:rsid w:val="00EF5A2E"/>
    <w:rsid w:val="00F019F5"/>
    <w:rsid w:val="00F146B8"/>
    <w:rsid w:val="00F21062"/>
    <w:rsid w:val="00F5023A"/>
    <w:rsid w:val="00F7123B"/>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a986c"/>
    </o:shapedefaults>
    <o:shapelayout v:ext="edit">
      <o:idmap v:ext="edit" data="1"/>
    </o:shapelayout>
  </w:shapeDefaults>
  <w:decimalSymbol w:val=","/>
  <w:listSeparator w:val=";"/>
  <w14:docId w14:val="5221D94D"/>
  <w15:docId w15:val="{72461D03-5CA2-4CB5-8DB6-FAD23EC4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4155B5"/>
    <w:pPr>
      <w:tabs>
        <w:tab w:val="right" w:pos="8732"/>
        <w:tab w:val="right" w:leader="dot" w:pos="9629"/>
      </w:tabs>
      <w:spacing w:before="120"/>
      <w:jc w:val="left"/>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335183596">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4.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3.xml><?xml version="1.0" encoding="utf-8"?>
<ds:datastoreItem xmlns:ds="http://schemas.openxmlformats.org/officeDocument/2006/customXml" ds:itemID="{01E05CD0-9B60-4C61-83DD-5030330E2AA8}">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4.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331999A6-CF8E-4314-846A-816491AFFC91}">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100</Words>
  <Characters>553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652</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ELMI ISMAN Djama SA CE MINDEF</cp:lastModifiedBy>
  <cp:revision>10</cp:revision>
  <cp:lastPrinted>2012-09-06T07:14:00Z</cp:lastPrinted>
  <dcterms:created xsi:type="dcterms:W3CDTF">2023-04-17T14:59:00Z</dcterms:created>
  <dcterms:modified xsi:type="dcterms:W3CDTF">2025-09-10T13:03:00Z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