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3497" w:rsidRDefault="002F3497" w:rsidP="002F3497">
      <w:pPr>
        <w:pStyle w:val="Titre1"/>
        <w:jc w:val="center"/>
        <w:rPr>
          <w:u w:val="single"/>
        </w:rPr>
      </w:pPr>
    </w:p>
    <w:p w:rsidR="00473A35" w:rsidRDefault="002F3497" w:rsidP="002F3497">
      <w:pPr>
        <w:pStyle w:val="Titre1"/>
        <w:jc w:val="center"/>
        <w:rPr>
          <w:u w:val="single"/>
        </w:rPr>
      </w:pPr>
      <w:r w:rsidRPr="002F3497">
        <w:rPr>
          <w:u w:val="single"/>
        </w:rPr>
        <w:t>CADRE DU MEMOIRE TECHNIQUE</w:t>
      </w:r>
    </w:p>
    <w:p w:rsidR="00505263" w:rsidRDefault="00505263" w:rsidP="00505263">
      <w:pPr>
        <w:spacing w:before="480" w:after="120" w:line="240" w:lineRule="auto"/>
        <w:jc w:val="center"/>
        <w:outlineLvl w:val="0"/>
        <w:rPr>
          <w:rFonts w:ascii="Times New Roman" w:eastAsia="Times New Roman" w:hAnsi="Times New Roman" w:cs="Times New Roman"/>
          <w:b/>
          <w:smallCaps/>
          <w:sz w:val="20"/>
          <w:szCs w:val="20"/>
          <w:u w:val="single"/>
          <w:lang w:eastAsia="fr-FR"/>
        </w:rPr>
      </w:pPr>
      <w:bookmarkStart w:id="0" w:name="_Toc327790725"/>
      <w:bookmarkStart w:id="1" w:name="_Toc333745425"/>
      <w:bookmarkStart w:id="2" w:name="_Toc169513120"/>
      <w:r>
        <w:rPr>
          <w:rFonts w:ascii="Times New Roman" w:eastAsia="Times New Roman" w:hAnsi="Times New Roman" w:cs="Times New Roman"/>
          <w:b/>
          <w:smallCaps/>
          <w:sz w:val="20"/>
          <w:szCs w:val="20"/>
          <w:u w:val="single"/>
          <w:lang w:eastAsia="fr-FR"/>
        </w:rPr>
        <w:t>Préambule :</w:t>
      </w:r>
    </w:p>
    <w:p w:rsidR="00E57805" w:rsidRPr="004508D2" w:rsidRDefault="00E57805" w:rsidP="00505263">
      <w:pPr>
        <w:spacing w:before="480" w:after="120" w:line="240" w:lineRule="auto"/>
        <w:jc w:val="center"/>
        <w:outlineLvl w:val="0"/>
        <w:rPr>
          <w:rFonts w:ascii="Times New Roman" w:eastAsia="Times New Roman" w:hAnsi="Times New Roman" w:cs="Times New Roman"/>
          <w:b/>
          <w:smallCaps/>
          <w:sz w:val="20"/>
          <w:szCs w:val="20"/>
          <w:u w:val="single"/>
          <w:lang w:eastAsia="fr-FR"/>
        </w:rPr>
      </w:pPr>
      <w:bookmarkStart w:id="3" w:name="_GoBack"/>
      <w:bookmarkEnd w:id="3"/>
    </w:p>
    <w:p w:rsidR="00505263" w:rsidRDefault="00505263" w:rsidP="004508D2">
      <w:pPr>
        <w:rPr>
          <w:rFonts w:ascii="Times New Roman" w:hAnsi="Times New Roman" w:cs="Times New Roman"/>
          <w:lang w:eastAsia="fr-FR"/>
        </w:rPr>
      </w:pPr>
      <w:r w:rsidRPr="004508D2">
        <w:rPr>
          <w:rFonts w:ascii="Times New Roman" w:hAnsi="Times New Roman" w:cs="Times New Roman"/>
          <w:lang w:eastAsia="fr-FR"/>
        </w:rPr>
        <w:t xml:space="preserve">Le candidat devra </w:t>
      </w:r>
      <w:r w:rsidR="004508D2">
        <w:rPr>
          <w:rFonts w:ascii="Times New Roman" w:hAnsi="Times New Roman" w:cs="Times New Roman"/>
          <w:lang w:eastAsia="fr-FR"/>
        </w:rPr>
        <w:t>organiser et réaliser son mémoire technique en respectant précisément l’ordre donné par le sommaire ci-dessous </w:t>
      </w:r>
      <w:r w:rsidR="004B3324">
        <w:rPr>
          <w:rFonts w:ascii="Times New Roman" w:hAnsi="Times New Roman" w:cs="Times New Roman"/>
          <w:lang w:eastAsia="fr-FR"/>
        </w:rPr>
        <w:t>pour chaque partie.</w:t>
      </w:r>
    </w:p>
    <w:p w:rsidR="00E57805" w:rsidRDefault="00E57805" w:rsidP="004508D2">
      <w:pPr>
        <w:rPr>
          <w:rFonts w:ascii="Times New Roman" w:eastAsia="Times New Roman" w:hAnsi="Times New Roman" w:cs="Times New Roman"/>
          <w:b/>
          <w:smallCaps/>
          <w:sz w:val="20"/>
          <w:szCs w:val="20"/>
          <w:u w:val="single"/>
          <w:lang w:eastAsia="fr-FR"/>
        </w:rPr>
      </w:pPr>
    </w:p>
    <w:bookmarkEnd w:id="0"/>
    <w:bookmarkEnd w:id="1"/>
    <w:bookmarkEnd w:id="2"/>
    <w:p w:rsidR="00B74C9F" w:rsidRPr="00B74C9F" w:rsidRDefault="00B74C9F" w:rsidP="00B74C9F">
      <w:pPr>
        <w:rPr>
          <w:rFonts w:ascii="Arial" w:hAnsi="Arial" w:cs="Arial"/>
          <w:b/>
          <w:i/>
          <w:iCs/>
        </w:rPr>
      </w:pPr>
      <w:r w:rsidRPr="00B74C9F">
        <w:rPr>
          <w:rFonts w:ascii="Arial" w:hAnsi="Arial" w:cs="Arial"/>
          <w:b/>
        </w:rPr>
        <w:t>Sous-critère 1 : qualité de la solution technique</w:t>
      </w:r>
    </w:p>
    <w:p w:rsidR="00B74C9F" w:rsidRPr="00B74C9F" w:rsidRDefault="00B74C9F" w:rsidP="00B74C9F">
      <w:pPr>
        <w:rPr>
          <w:rFonts w:ascii="Arial" w:hAnsi="Arial" w:cs="Arial"/>
          <w:i/>
          <w:iCs/>
          <w:u w:val="single"/>
        </w:rPr>
      </w:pPr>
      <w:r w:rsidRPr="00B74C9F">
        <w:rPr>
          <w:rFonts w:ascii="Arial" w:hAnsi="Arial" w:cs="Arial"/>
          <w:u w:val="single"/>
        </w:rPr>
        <w:t>Tableau des marques et fiches techniques 1pt par fiche (sur 4 points)</w:t>
      </w:r>
    </w:p>
    <w:p w:rsidR="000E5379" w:rsidRPr="000E5379" w:rsidRDefault="000E5379" w:rsidP="000E5379">
      <w:pPr>
        <w:tabs>
          <w:tab w:val="left" w:pos="1560"/>
        </w:tabs>
        <w:spacing w:before="120" w:after="120" w:line="240" w:lineRule="auto"/>
        <w:rPr>
          <w:rFonts w:ascii="Arial" w:eastAsia="Times New Roman" w:hAnsi="Arial" w:cs="Times New Roman"/>
          <w:sz w:val="20"/>
          <w:szCs w:val="20"/>
          <w:lang w:eastAsia="fr-FR"/>
        </w:rPr>
      </w:pPr>
      <w:r>
        <w:rPr>
          <w:rFonts w:ascii="Arial" w:hAnsi="Arial" w:cs="Arial"/>
        </w:rPr>
        <w:t>-</w:t>
      </w:r>
      <w:r w:rsidRPr="000E5379">
        <w:rPr>
          <w:rFonts w:ascii="Arial" w:eastAsia="Times New Roman" w:hAnsi="Arial" w:cs="Times New Roman"/>
          <w:sz w:val="20"/>
          <w:szCs w:val="20"/>
          <w:lang w:eastAsia="fr-FR"/>
        </w:rPr>
        <w:t>Parafoudres de type 1</w:t>
      </w:r>
    </w:p>
    <w:p w:rsidR="000E5379" w:rsidRPr="000E5379" w:rsidRDefault="000E5379" w:rsidP="000E5379">
      <w:pPr>
        <w:tabs>
          <w:tab w:val="left" w:pos="1560"/>
        </w:tabs>
        <w:spacing w:before="120" w:after="120" w:line="240" w:lineRule="auto"/>
        <w:rPr>
          <w:rFonts w:ascii="Arial" w:eastAsia="Times New Roman" w:hAnsi="Arial" w:cs="Times New Roman"/>
          <w:sz w:val="20"/>
          <w:szCs w:val="20"/>
          <w:lang w:eastAsia="fr-FR"/>
        </w:rPr>
      </w:pPr>
      <w:r>
        <w:rPr>
          <w:rFonts w:ascii="Arial" w:hAnsi="Arial" w:cs="Arial"/>
        </w:rPr>
        <w:t>-</w:t>
      </w:r>
      <w:r w:rsidRPr="000E5379">
        <w:rPr>
          <w:rFonts w:ascii="Arial" w:eastAsia="Times New Roman" w:hAnsi="Arial" w:cs="Times New Roman"/>
          <w:sz w:val="20"/>
          <w:szCs w:val="20"/>
          <w:lang w:eastAsia="fr-FR"/>
        </w:rPr>
        <w:t>Parafoudres de type 2</w:t>
      </w:r>
    </w:p>
    <w:p w:rsidR="000E5379" w:rsidRPr="000E5379" w:rsidRDefault="000E5379" w:rsidP="000E5379">
      <w:pPr>
        <w:tabs>
          <w:tab w:val="left" w:pos="1560"/>
        </w:tabs>
        <w:spacing w:before="120" w:after="120" w:line="240" w:lineRule="auto"/>
        <w:rPr>
          <w:rFonts w:ascii="Arial" w:eastAsia="Times New Roman" w:hAnsi="Arial" w:cs="Times New Roman"/>
          <w:sz w:val="20"/>
          <w:szCs w:val="20"/>
          <w:lang w:eastAsia="fr-FR"/>
        </w:rPr>
      </w:pPr>
      <w:r>
        <w:rPr>
          <w:rFonts w:ascii="Arial" w:hAnsi="Arial" w:cs="Arial"/>
        </w:rPr>
        <w:t>-</w:t>
      </w:r>
      <w:r w:rsidRPr="000E5379">
        <w:rPr>
          <w:rFonts w:ascii="Arial" w:eastAsia="Times New Roman" w:hAnsi="Arial" w:cs="Times New Roman"/>
          <w:sz w:val="20"/>
          <w:szCs w:val="20"/>
          <w:lang w:eastAsia="fr-FR"/>
        </w:rPr>
        <w:t>Paratonnerre</w:t>
      </w:r>
    </w:p>
    <w:p w:rsidR="000E5379" w:rsidRDefault="000E5379" w:rsidP="000E5379">
      <w:pPr>
        <w:rPr>
          <w:rFonts w:ascii="Arial" w:eastAsia="Times New Roman" w:hAnsi="Arial" w:cs="Times New Roman"/>
          <w:sz w:val="20"/>
          <w:szCs w:val="20"/>
          <w:lang w:eastAsia="fr-FR"/>
        </w:rPr>
      </w:pPr>
      <w:r>
        <w:rPr>
          <w:rFonts w:ascii="Arial" w:hAnsi="Arial" w:cs="Arial"/>
        </w:rPr>
        <w:t>-</w:t>
      </w:r>
      <w:r w:rsidRPr="000E5379">
        <w:rPr>
          <w:rFonts w:ascii="Arial" w:eastAsia="Times New Roman" w:hAnsi="Arial" w:cs="Times New Roman"/>
          <w:sz w:val="20"/>
          <w:szCs w:val="20"/>
          <w:lang w:eastAsia="fr-FR"/>
        </w:rPr>
        <w:t>Compteur de coup de foudre</w:t>
      </w:r>
    </w:p>
    <w:p w:rsidR="00B74C9F" w:rsidRPr="00B74C9F" w:rsidRDefault="00B74C9F" w:rsidP="00B74C9F">
      <w:pPr>
        <w:rPr>
          <w:rFonts w:ascii="Arial" w:hAnsi="Arial" w:cs="Arial"/>
        </w:rPr>
      </w:pPr>
    </w:p>
    <w:p w:rsidR="00B74C9F" w:rsidRPr="00B74C9F" w:rsidRDefault="00B74C9F" w:rsidP="00B74C9F">
      <w:pPr>
        <w:rPr>
          <w:rFonts w:ascii="Arial" w:eastAsia="Times New Roman" w:hAnsi="Arial" w:cs="Arial"/>
          <w:i/>
          <w:sz w:val="20"/>
          <w:szCs w:val="20"/>
          <w:u w:val="single"/>
          <w:lang w:eastAsia="fr-FR"/>
        </w:rPr>
      </w:pPr>
      <w:r w:rsidRPr="00B74C9F">
        <w:rPr>
          <w:rFonts w:ascii="Arial" w:eastAsia="Times New Roman" w:hAnsi="Arial" w:cs="Arial"/>
          <w:sz w:val="20"/>
          <w:szCs w:val="20"/>
          <w:u w:val="single"/>
          <w:lang w:eastAsia="fr-FR"/>
        </w:rPr>
        <w:t>Note technique détaillée concernant l’opération (sur 11 points)</w:t>
      </w:r>
      <w:r w:rsidRPr="00B74C9F">
        <w:rPr>
          <w:rFonts w:ascii="Arial" w:eastAsia="Times New Roman" w:hAnsi="Arial" w:cs="Arial"/>
          <w:i/>
          <w:sz w:val="20"/>
          <w:szCs w:val="20"/>
          <w:u w:val="single"/>
          <w:lang w:eastAsia="fr-FR"/>
        </w:rPr>
        <w:t xml:space="preserve">. </w:t>
      </w:r>
    </w:p>
    <w:p w:rsidR="00B74C9F" w:rsidRPr="00B74C9F" w:rsidRDefault="00B74C9F" w:rsidP="00B74C9F">
      <w:pPr>
        <w:rPr>
          <w:rFonts w:ascii="Arial" w:eastAsia="Times New Roman" w:hAnsi="Arial" w:cs="Arial"/>
          <w:sz w:val="20"/>
          <w:szCs w:val="20"/>
          <w:lang w:eastAsia="fr-FR"/>
        </w:rPr>
      </w:pPr>
      <w:r w:rsidRPr="00B74C9F">
        <w:rPr>
          <w:rFonts w:ascii="Arial" w:eastAsia="Times New Roman" w:hAnsi="Arial" w:cs="Arial"/>
          <w:sz w:val="20"/>
          <w:szCs w:val="20"/>
          <w:lang w:eastAsia="fr-FR"/>
        </w:rPr>
        <w:t>Cette note permet au RPA d’apprécier à la fois la pertinence et la qualité technique de la solution proposée par le candidat au regard des éléments du CCTP, et de s’assurer de la prise en compte de cette problématique. Le candidat joint dans cette note technique tout élément qui permet de présenter, expliquer et justifier la solution qu’il propose.</w:t>
      </w:r>
    </w:p>
    <w:p w:rsidR="00B74C9F" w:rsidRPr="00B74C9F" w:rsidRDefault="00B74C9F" w:rsidP="00B74C9F">
      <w:pPr>
        <w:rPr>
          <w:rFonts w:ascii="Arial" w:eastAsia="Times New Roman" w:hAnsi="Arial" w:cs="Arial"/>
          <w:sz w:val="20"/>
          <w:szCs w:val="20"/>
          <w:lang w:eastAsia="fr-FR"/>
        </w:rPr>
      </w:pPr>
      <w:r w:rsidRPr="00B74C9F">
        <w:rPr>
          <w:rFonts w:ascii="Arial" w:eastAsia="Times New Roman" w:hAnsi="Arial" w:cs="Arial"/>
          <w:sz w:val="20"/>
          <w:szCs w:val="20"/>
          <w:lang w:eastAsia="fr-FR"/>
        </w:rPr>
        <w:t>Cette fiche sera limitée à 5 pages.</w:t>
      </w:r>
    </w:p>
    <w:p w:rsidR="00B74C9F" w:rsidRPr="00B74C9F" w:rsidRDefault="00B74C9F" w:rsidP="00B74C9F">
      <w:pPr>
        <w:rPr>
          <w:rFonts w:ascii="Arial" w:eastAsia="Times New Roman" w:hAnsi="Arial" w:cs="Arial"/>
          <w:sz w:val="20"/>
          <w:szCs w:val="20"/>
          <w:lang w:eastAsia="fr-FR"/>
        </w:rPr>
      </w:pPr>
      <w:r w:rsidRPr="00B74C9F">
        <w:rPr>
          <w:rFonts w:ascii="Arial" w:eastAsia="Times New Roman" w:hAnsi="Arial" w:cs="Arial"/>
          <w:sz w:val="20"/>
          <w:szCs w:val="20"/>
          <w:lang w:eastAsia="fr-FR"/>
        </w:rPr>
        <w:t>Cette note technique portera sur les dispositions constructives relatives :</w:t>
      </w:r>
    </w:p>
    <w:p w:rsidR="00B74C9F" w:rsidRDefault="00B74C9F" w:rsidP="00B74C9F">
      <w:pPr>
        <w:rPr>
          <w:rFonts w:ascii="Arial" w:eastAsia="Times New Roman" w:hAnsi="Arial" w:cs="Arial"/>
          <w:sz w:val="20"/>
          <w:szCs w:val="20"/>
          <w:lang w:eastAsia="fr-FR"/>
        </w:rPr>
      </w:pPr>
      <w:r w:rsidRPr="00B74C9F">
        <w:rPr>
          <w:rFonts w:ascii="Arial" w:eastAsia="Times New Roman" w:hAnsi="Arial" w:cs="Arial"/>
          <w:sz w:val="20"/>
          <w:szCs w:val="20"/>
          <w:lang w:eastAsia="fr-FR"/>
        </w:rPr>
        <w:t xml:space="preserve">-aux </w:t>
      </w:r>
      <w:r w:rsidR="00E64F94">
        <w:rPr>
          <w:rFonts w:ascii="Arial" w:eastAsia="Times New Roman" w:hAnsi="Arial" w:cs="Arial"/>
          <w:sz w:val="20"/>
          <w:szCs w:val="20"/>
          <w:lang w:eastAsia="fr-FR"/>
        </w:rPr>
        <w:t xml:space="preserve">implantations des paratonnerres sur le site des travaux </w:t>
      </w:r>
      <w:r w:rsidRPr="00B74C9F">
        <w:rPr>
          <w:rFonts w:ascii="Arial" w:eastAsia="Times New Roman" w:hAnsi="Arial" w:cs="Arial"/>
          <w:sz w:val="20"/>
          <w:szCs w:val="20"/>
          <w:lang w:eastAsia="fr-FR"/>
        </w:rPr>
        <w:t xml:space="preserve">(4 pts), </w:t>
      </w:r>
    </w:p>
    <w:p w:rsidR="00E64F94" w:rsidRDefault="00E64F94" w:rsidP="00B74C9F">
      <w:pPr>
        <w:rPr>
          <w:rFonts w:ascii="Arial" w:eastAsia="Times New Roman" w:hAnsi="Arial" w:cs="Arial"/>
          <w:sz w:val="20"/>
          <w:szCs w:val="20"/>
          <w:lang w:eastAsia="fr-FR"/>
        </w:rPr>
      </w:pPr>
      <w:r>
        <w:rPr>
          <w:rFonts w:ascii="Arial" w:eastAsia="Times New Roman" w:hAnsi="Arial" w:cs="Arial"/>
          <w:sz w:val="20"/>
          <w:szCs w:val="20"/>
          <w:lang w:eastAsia="fr-FR"/>
        </w:rPr>
        <w:t>-aux implantations des paratonnerres sur les bâtiments (mur/couverture) (2 pts),</w:t>
      </w:r>
    </w:p>
    <w:p w:rsidR="00E64F94" w:rsidRPr="00B74C9F" w:rsidRDefault="00E64F94" w:rsidP="00B74C9F">
      <w:pPr>
        <w:rPr>
          <w:rFonts w:ascii="Arial" w:eastAsia="Times New Roman" w:hAnsi="Arial" w:cs="Arial"/>
          <w:sz w:val="20"/>
          <w:szCs w:val="20"/>
          <w:lang w:eastAsia="fr-FR"/>
        </w:rPr>
      </w:pPr>
      <w:r>
        <w:rPr>
          <w:rFonts w:ascii="Arial" w:eastAsia="Times New Roman" w:hAnsi="Arial" w:cs="Arial"/>
          <w:sz w:val="20"/>
          <w:szCs w:val="20"/>
          <w:lang w:eastAsia="fr-FR"/>
        </w:rPr>
        <w:t>-aux modes de fixation des paratonnerres sur le support existant suivant les implantations (3 pts)</w:t>
      </w:r>
    </w:p>
    <w:p w:rsidR="00B74C9F" w:rsidRPr="00B74C9F" w:rsidRDefault="00E64F94" w:rsidP="00B74C9F">
      <w:pPr>
        <w:rPr>
          <w:rFonts w:ascii="Arial" w:eastAsia="Times New Roman" w:hAnsi="Arial" w:cs="Arial"/>
          <w:sz w:val="20"/>
          <w:szCs w:val="20"/>
          <w:lang w:eastAsia="fr-FR"/>
        </w:rPr>
      </w:pPr>
      <w:r>
        <w:rPr>
          <w:rFonts w:ascii="Arial" w:eastAsia="Times New Roman" w:hAnsi="Arial" w:cs="Arial"/>
          <w:sz w:val="20"/>
          <w:szCs w:val="20"/>
          <w:lang w:eastAsia="fr-FR"/>
        </w:rPr>
        <w:t>-aux choix des parafoudres et aux implantations</w:t>
      </w:r>
      <w:r w:rsidR="00B74C9F" w:rsidRPr="00B74C9F">
        <w:rPr>
          <w:rFonts w:ascii="Arial" w:eastAsia="Times New Roman" w:hAnsi="Arial" w:cs="Arial"/>
          <w:sz w:val="20"/>
          <w:szCs w:val="20"/>
          <w:lang w:eastAsia="fr-FR"/>
        </w:rPr>
        <w:t xml:space="preserve"> </w:t>
      </w:r>
      <w:r>
        <w:rPr>
          <w:rFonts w:ascii="Arial" w:eastAsia="Times New Roman" w:hAnsi="Arial" w:cs="Arial"/>
          <w:sz w:val="20"/>
          <w:szCs w:val="20"/>
          <w:lang w:eastAsia="fr-FR"/>
        </w:rPr>
        <w:t>des parafoudres sur le site des travaux (2</w:t>
      </w:r>
      <w:r w:rsidR="00B74C9F" w:rsidRPr="00B74C9F">
        <w:rPr>
          <w:rFonts w:ascii="Arial" w:eastAsia="Times New Roman" w:hAnsi="Arial" w:cs="Arial"/>
          <w:sz w:val="20"/>
          <w:szCs w:val="20"/>
          <w:lang w:eastAsia="fr-FR"/>
        </w:rPr>
        <w:t xml:space="preserve"> pts), </w:t>
      </w:r>
    </w:p>
    <w:p w:rsidR="00B74C9F" w:rsidRPr="00B74C9F" w:rsidRDefault="00B74C9F" w:rsidP="00B74C9F">
      <w:pPr>
        <w:rPr>
          <w:rFonts w:ascii="Arial" w:hAnsi="Arial" w:cs="Arial"/>
          <w:i/>
          <w:iCs/>
        </w:rPr>
      </w:pPr>
    </w:p>
    <w:p w:rsidR="00B74C9F" w:rsidRPr="00B74C9F" w:rsidRDefault="00B74C9F" w:rsidP="00B74C9F">
      <w:pPr>
        <w:rPr>
          <w:rFonts w:ascii="Arial" w:hAnsi="Arial" w:cs="Arial"/>
          <w:b/>
          <w:i/>
          <w:iCs/>
        </w:rPr>
      </w:pPr>
      <w:r w:rsidRPr="00B74C9F">
        <w:rPr>
          <w:rFonts w:ascii="Arial" w:hAnsi="Arial" w:cs="Arial"/>
          <w:b/>
        </w:rPr>
        <w:t>Sous-critère 2 : Encadrement et main d’œuvre d’exécution (sur 5 points)</w:t>
      </w:r>
    </w:p>
    <w:p w:rsidR="00B74C9F" w:rsidRPr="00B74C9F" w:rsidRDefault="00B74C9F" w:rsidP="00B74C9F">
      <w:pPr>
        <w:rPr>
          <w:rFonts w:ascii="Arial" w:hAnsi="Arial" w:cs="Arial"/>
          <w:iCs/>
          <w:u w:val="single"/>
        </w:rPr>
      </w:pPr>
      <w:r w:rsidRPr="00B74C9F">
        <w:rPr>
          <w:rFonts w:ascii="Arial" w:hAnsi="Arial" w:cs="Arial"/>
          <w:iCs/>
          <w:u w:val="single"/>
        </w:rPr>
        <w:t>Éléments relatifs aux moyens humains dédiés à l'opération :</w:t>
      </w:r>
    </w:p>
    <w:p w:rsidR="00B74C9F" w:rsidRPr="00B74C9F" w:rsidRDefault="00B74C9F" w:rsidP="00B74C9F">
      <w:pPr>
        <w:rPr>
          <w:rFonts w:ascii="Arial" w:hAnsi="Arial" w:cs="Arial"/>
          <w:iCs/>
        </w:rPr>
      </w:pPr>
      <w:r w:rsidRPr="00B74C9F">
        <w:rPr>
          <w:rFonts w:ascii="Arial" w:hAnsi="Arial" w:cs="Arial"/>
          <w:iCs/>
        </w:rPr>
        <w:t>-composition de l'équipe de l’entreprise titulaire qui assurera le suivi de l’opération (3 points),</w:t>
      </w:r>
    </w:p>
    <w:p w:rsidR="00B74C9F" w:rsidRPr="00B74C9F" w:rsidRDefault="00B74C9F" w:rsidP="00B74C9F">
      <w:pPr>
        <w:rPr>
          <w:rFonts w:ascii="Arial" w:hAnsi="Arial" w:cs="Arial"/>
          <w:iCs/>
        </w:rPr>
      </w:pPr>
      <w:r w:rsidRPr="00B74C9F">
        <w:rPr>
          <w:rFonts w:ascii="Arial" w:hAnsi="Arial" w:cs="Arial"/>
          <w:iCs/>
        </w:rPr>
        <w:t>-nombre de personnes affectées à la main d'œuvre d'exécution à répartir par section technique (1 point),</w:t>
      </w:r>
    </w:p>
    <w:p w:rsidR="00B74C9F" w:rsidRPr="00B74C9F" w:rsidRDefault="00B74C9F" w:rsidP="00B74C9F">
      <w:pPr>
        <w:rPr>
          <w:rFonts w:ascii="Arial" w:hAnsi="Arial" w:cs="Arial"/>
          <w:iCs/>
        </w:rPr>
      </w:pPr>
      <w:r w:rsidRPr="00B74C9F">
        <w:rPr>
          <w:rFonts w:ascii="Arial" w:hAnsi="Arial" w:cs="Arial"/>
          <w:iCs/>
        </w:rPr>
        <w:t xml:space="preserve">-indiquer les sections techniques à sous-traiter (1 point). </w:t>
      </w:r>
    </w:p>
    <w:p w:rsidR="00B74C9F" w:rsidRPr="00B74C9F" w:rsidRDefault="00B74C9F" w:rsidP="00B74C9F">
      <w:pPr>
        <w:rPr>
          <w:rFonts w:ascii="Arial" w:hAnsi="Arial" w:cs="Arial"/>
          <w:i/>
          <w:iCs/>
        </w:rPr>
      </w:pPr>
    </w:p>
    <w:p w:rsidR="00B74C9F" w:rsidRPr="00B74C9F" w:rsidRDefault="00B74C9F" w:rsidP="00B74C9F">
      <w:pPr>
        <w:rPr>
          <w:rFonts w:ascii="Arial" w:hAnsi="Arial" w:cs="Arial"/>
          <w:b/>
          <w:i/>
          <w:iCs/>
        </w:rPr>
      </w:pPr>
      <w:r w:rsidRPr="00B74C9F">
        <w:rPr>
          <w:rFonts w:ascii="Arial" w:hAnsi="Arial" w:cs="Arial"/>
          <w:b/>
        </w:rPr>
        <w:t>Sous-critère 5 : Planning (sur 5 points)</w:t>
      </w:r>
    </w:p>
    <w:p w:rsidR="00B74C9F" w:rsidRPr="00B74C9F" w:rsidRDefault="00B74C9F" w:rsidP="00B74C9F">
      <w:pPr>
        <w:rPr>
          <w:rFonts w:ascii="Arial" w:hAnsi="Arial" w:cs="Arial"/>
          <w:iCs/>
        </w:rPr>
      </w:pPr>
      <w:r w:rsidRPr="00B74C9F">
        <w:rPr>
          <w:rFonts w:ascii="Arial" w:hAnsi="Arial" w:cs="Arial"/>
          <w:iCs/>
        </w:rPr>
        <w:t>Fourniture d’un planning détaillé des prestations à réaliser pour toutes les Sections Technique du projet.</w:t>
      </w:r>
    </w:p>
    <w:p w:rsidR="00B74C9F" w:rsidRPr="00B74C9F" w:rsidRDefault="00B74C9F" w:rsidP="00B74C9F">
      <w:pPr>
        <w:rPr>
          <w:rFonts w:ascii="Arial" w:hAnsi="Arial" w:cs="Arial"/>
        </w:rPr>
      </w:pPr>
    </w:p>
    <w:p w:rsidR="00B74C9F" w:rsidRPr="00B74C9F" w:rsidRDefault="00B74C9F" w:rsidP="00B74C9F">
      <w:pPr>
        <w:rPr>
          <w:rFonts w:ascii="Arial" w:eastAsia="Times New Roman" w:hAnsi="Arial" w:cs="Arial"/>
          <w:b/>
          <w:i/>
          <w:lang w:eastAsia="fr-FR"/>
        </w:rPr>
      </w:pPr>
      <w:r w:rsidRPr="00B74C9F">
        <w:rPr>
          <w:rFonts w:ascii="Arial" w:eastAsia="Times New Roman" w:hAnsi="Arial" w:cs="Arial"/>
          <w:b/>
          <w:lang w:eastAsia="fr-FR"/>
        </w:rPr>
        <w:t>Sous-critère 7 : Dispositions relatives à la qualité, la sécurité et à l’environnement (sur 5 points)</w:t>
      </w:r>
    </w:p>
    <w:p w:rsidR="00B74C9F" w:rsidRPr="00B74C9F" w:rsidRDefault="00B74C9F" w:rsidP="00B74C9F">
      <w:pPr>
        <w:rPr>
          <w:rFonts w:ascii="Arial" w:eastAsia="Times New Roman" w:hAnsi="Arial" w:cs="Arial"/>
          <w:sz w:val="20"/>
          <w:szCs w:val="20"/>
          <w:lang w:eastAsia="fr-FR"/>
        </w:rPr>
      </w:pPr>
      <w:r w:rsidRPr="00B74C9F">
        <w:rPr>
          <w:rFonts w:ascii="Arial" w:eastAsia="Times New Roman" w:hAnsi="Arial" w:cs="Arial"/>
          <w:sz w:val="20"/>
          <w:szCs w:val="20"/>
          <w:lang w:eastAsia="fr-FR"/>
        </w:rPr>
        <w:t>Cette fiche sera limitée à 5 pages.</w:t>
      </w:r>
    </w:p>
    <w:p w:rsidR="00B74C9F" w:rsidRPr="00B74C9F" w:rsidRDefault="00B74C9F" w:rsidP="00B74C9F">
      <w:pPr>
        <w:rPr>
          <w:rFonts w:ascii="Arial" w:hAnsi="Arial" w:cs="Arial"/>
          <w:lang w:eastAsia="fr-FR"/>
        </w:rPr>
      </w:pPr>
      <w:r w:rsidRPr="00B74C9F">
        <w:rPr>
          <w:rFonts w:ascii="Arial" w:hAnsi="Arial" w:cs="Arial"/>
          <w:lang w:eastAsia="fr-FR"/>
        </w:rPr>
        <w:t>-Dispositions prises pour assurer la gestion des déchets sur le chantier par l’entreprise générale (1 point),</w:t>
      </w:r>
    </w:p>
    <w:p w:rsidR="00B74C9F" w:rsidRPr="00B74C9F" w:rsidRDefault="00B74C9F" w:rsidP="00B74C9F">
      <w:pPr>
        <w:rPr>
          <w:rFonts w:ascii="Arial" w:hAnsi="Arial" w:cs="Arial"/>
          <w:lang w:eastAsia="fr-FR"/>
        </w:rPr>
      </w:pPr>
      <w:r w:rsidRPr="00B74C9F">
        <w:rPr>
          <w:rFonts w:ascii="Arial" w:hAnsi="Arial" w:cs="Arial"/>
          <w:lang w:eastAsia="fr-FR"/>
        </w:rPr>
        <w:t>-Dispositions prises pour assurer l’hygiène et la sécurité lors des travaux pour toutes les Sections Techniques (4 points).</w:t>
      </w:r>
    </w:p>
    <w:p w:rsidR="009726F8" w:rsidRDefault="009726F8" w:rsidP="009726F8">
      <w:pPr>
        <w:spacing w:before="480" w:after="120" w:line="240" w:lineRule="auto"/>
        <w:jc w:val="both"/>
        <w:outlineLvl w:val="0"/>
        <w:rPr>
          <w:rFonts w:ascii="Times New Roman" w:eastAsia="Times New Roman" w:hAnsi="Times New Roman" w:cs="Times New Roman"/>
          <w:b/>
          <w:smallCaps/>
          <w:sz w:val="20"/>
          <w:szCs w:val="20"/>
          <w:u w:val="single"/>
          <w:lang w:eastAsia="fr-FR"/>
        </w:rPr>
      </w:pPr>
    </w:p>
    <w:sectPr w:rsidR="009726F8">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5C1" w:rsidRDefault="009D15C1" w:rsidP="002F3497">
      <w:pPr>
        <w:spacing w:after="0" w:line="240" w:lineRule="auto"/>
      </w:pPr>
      <w:r>
        <w:separator/>
      </w:r>
    </w:p>
  </w:endnote>
  <w:endnote w:type="continuationSeparator" w:id="0">
    <w:p w:rsidR="009D15C1" w:rsidRDefault="009D15C1" w:rsidP="002F34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3497" w:rsidRPr="00E57805" w:rsidRDefault="00E57805" w:rsidP="00E57805">
    <w:pPr>
      <w:tabs>
        <w:tab w:val="center" w:pos="4536"/>
        <w:tab w:val="right" w:pos="9072"/>
      </w:tabs>
      <w:overflowPunct w:val="0"/>
      <w:autoSpaceDE w:val="0"/>
      <w:autoSpaceDN w:val="0"/>
      <w:adjustRightInd w:val="0"/>
      <w:spacing w:after="0" w:line="240" w:lineRule="auto"/>
      <w:ind w:left="851"/>
      <w:jc w:val="center"/>
      <w:textAlignment w:val="baseline"/>
      <w:rPr>
        <w:rFonts w:ascii="Times New Roman" w:eastAsia="Times New Roman" w:hAnsi="Times New Roman" w:cs="Times New Roman"/>
        <w:sz w:val="20"/>
        <w:szCs w:val="20"/>
        <w:lang w:eastAsia="fr-FR"/>
      </w:rPr>
    </w:pPr>
    <w:r w:rsidRPr="00E57805">
      <w:rPr>
        <w:rFonts w:ascii="Times New Roman" w:eastAsia="Times New Roman" w:hAnsi="Times New Roman" w:cs="Times New Roman"/>
        <w:sz w:val="20"/>
        <w:szCs w:val="20"/>
        <w:lang w:eastAsia="fr-FR"/>
      </w:rPr>
      <w:t xml:space="preserve">UZEIN (64) – Quartier CES DE ROSE – Mise en conformité du risque foudre des bâtiments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5C1" w:rsidRDefault="009D15C1" w:rsidP="002F3497">
      <w:pPr>
        <w:spacing w:after="0" w:line="240" w:lineRule="auto"/>
      </w:pPr>
      <w:r>
        <w:separator/>
      </w:r>
    </w:p>
  </w:footnote>
  <w:footnote w:type="continuationSeparator" w:id="0">
    <w:p w:rsidR="009D15C1" w:rsidRDefault="009D15C1" w:rsidP="002F34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307C" w:rsidRDefault="001A307C" w:rsidP="002F3497">
    <w:pPr>
      <w:pStyle w:val="En-tte"/>
    </w:pPr>
    <w:r>
      <w:t xml:space="preserve">Cadre du mémoire technique – </w:t>
    </w:r>
    <w:r>
      <w:tab/>
    </w:r>
    <w:r>
      <w:tab/>
    </w:r>
    <w:r w:rsidRPr="002F3497">
      <w:t xml:space="preserve">Page </w:t>
    </w:r>
    <w:r w:rsidRPr="002F3497">
      <w:fldChar w:fldCharType="begin"/>
    </w:r>
    <w:r w:rsidRPr="002F3497">
      <w:instrText xml:space="preserve"> PAGE  \* MERGEFORMAT </w:instrText>
    </w:r>
    <w:r w:rsidRPr="002F3497">
      <w:fldChar w:fldCharType="separate"/>
    </w:r>
    <w:r w:rsidR="00E57805">
      <w:rPr>
        <w:noProof/>
      </w:rPr>
      <w:t>1</w:t>
    </w:r>
    <w:r w:rsidRPr="002F3497">
      <w:fldChar w:fldCharType="end"/>
    </w:r>
  </w:p>
  <w:p w:rsidR="002F3497" w:rsidRPr="002F3497" w:rsidRDefault="00FE08F9" w:rsidP="002F3497">
    <w:pPr>
      <w:pStyle w:val="En-tte"/>
    </w:pPr>
    <w:r>
      <w:t>COSI n° 449620</w:t>
    </w:r>
    <w:r w:rsidR="002F3497" w:rsidRPr="002F3497">
      <w:tab/>
    </w:r>
    <w:r w:rsidR="002F3497" w:rsidRPr="002F3497">
      <w:tab/>
    </w:r>
  </w:p>
  <w:p w:rsidR="002F3497" w:rsidRPr="002F3497" w:rsidRDefault="002F3497" w:rsidP="002F3497">
    <w:pPr>
      <w:pStyle w:val="En-tte"/>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672B5"/>
    <w:multiLevelType w:val="hybridMultilevel"/>
    <w:tmpl w:val="4F8882EC"/>
    <w:lvl w:ilvl="0" w:tplc="889A0EF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0EC5496"/>
    <w:multiLevelType w:val="multilevel"/>
    <w:tmpl w:val="76AC39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4D0F018F"/>
    <w:multiLevelType w:val="hybridMultilevel"/>
    <w:tmpl w:val="F7FC3F3E"/>
    <w:lvl w:ilvl="0" w:tplc="F6C6C7A0">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56747410"/>
    <w:multiLevelType w:val="hybridMultilevel"/>
    <w:tmpl w:val="D7902AF2"/>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15:restartNumberingAfterBreak="0">
    <w:nsid w:val="7AF8481F"/>
    <w:multiLevelType w:val="multilevel"/>
    <w:tmpl w:val="D02A82E4"/>
    <w:lvl w:ilvl="0">
      <w:start w:val="2"/>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497"/>
    <w:rsid w:val="00057B82"/>
    <w:rsid w:val="000C39E5"/>
    <w:rsid w:val="000E5379"/>
    <w:rsid w:val="00157B9B"/>
    <w:rsid w:val="001A307C"/>
    <w:rsid w:val="002F3497"/>
    <w:rsid w:val="00310FA6"/>
    <w:rsid w:val="003365CB"/>
    <w:rsid w:val="004508D2"/>
    <w:rsid w:val="00473A35"/>
    <w:rsid w:val="00475E00"/>
    <w:rsid w:val="004A59AA"/>
    <w:rsid w:val="004B3324"/>
    <w:rsid w:val="004C3F6C"/>
    <w:rsid w:val="00505263"/>
    <w:rsid w:val="0055227B"/>
    <w:rsid w:val="00586471"/>
    <w:rsid w:val="005A7460"/>
    <w:rsid w:val="006B2BC4"/>
    <w:rsid w:val="006E2020"/>
    <w:rsid w:val="007334B5"/>
    <w:rsid w:val="00855276"/>
    <w:rsid w:val="009726F8"/>
    <w:rsid w:val="009D15C1"/>
    <w:rsid w:val="00A1426B"/>
    <w:rsid w:val="00A432F7"/>
    <w:rsid w:val="00AB4508"/>
    <w:rsid w:val="00AF4A7E"/>
    <w:rsid w:val="00B74C9F"/>
    <w:rsid w:val="00BA1A07"/>
    <w:rsid w:val="00BD174F"/>
    <w:rsid w:val="00D26809"/>
    <w:rsid w:val="00D77683"/>
    <w:rsid w:val="00E57805"/>
    <w:rsid w:val="00E64F94"/>
    <w:rsid w:val="00F270B1"/>
    <w:rsid w:val="00FE08F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172127"/>
  <w15:chartTrackingRefBased/>
  <w15:docId w15:val="{DCAB6A99-A68E-4480-AE3D-3CA1EB951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2F349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semiHidden/>
    <w:unhideWhenUsed/>
    <w:qFormat/>
    <w:rsid w:val="002F349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semiHidden/>
    <w:unhideWhenUsed/>
    <w:qFormat/>
    <w:rsid w:val="002F349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F3497"/>
    <w:rPr>
      <w:rFonts w:asciiTheme="majorHAnsi" w:eastAsiaTheme="majorEastAsia" w:hAnsiTheme="majorHAnsi" w:cstheme="majorBidi"/>
      <w:color w:val="2E74B5" w:themeColor="accent1" w:themeShade="BF"/>
      <w:sz w:val="32"/>
      <w:szCs w:val="32"/>
    </w:rPr>
  </w:style>
  <w:style w:type="paragraph" w:styleId="En-tte">
    <w:name w:val="header"/>
    <w:basedOn w:val="Normal"/>
    <w:link w:val="En-tteCar"/>
    <w:uiPriority w:val="99"/>
    <w:unhideWhenUsed/>
    <w:rsid w:val="002F3497"/>
    <w:pPr>
      <w:tabs>
        <w:tab w:val="center" w:pos="4536"/>
        <w:tab w:val="right" w:pos="9072"/>
      </w:tabs>
      <w:spacing w:after="0" w:line="240" w:lineRule="auto"/>
    </w:pPr>
  </w:style>
  <w:style w:type="character" w:customStyle="1" w:styleId="En-tteCar">
    <w:name w:val="En-tête Car"/>
    <w:basedOn w:val="Policepardfaut"/>
    <w:link w:val="En-tte"/>
    <w:uiPriority w:val="99"/>
    <w:rsid w:val="002F3497"/>
  </w:style>
  <w:style w:type="paragraph" w:styleId="Pieddepage">
    <w:name w:val="footer"/>
    <w:basedOn w:val="Normal"/>
    <w:link w:val="PieddepageCar"/>
    <w:unhideWhenUsed/>
    <w:rsid w:val="002F3497"/>
    <w:pPr>
      <w:tabs>
        <w:tab w:val="center" w:pos="4536"/>
        <w:tab w:val="right" w:pos="9072"/>
      </w:tabs>
      <w:spacing w:after="0" w:line="240" w:lineRule="auto"/>
    </w:pPr>
  </w:style>
  <w:style w:type="character" w:customStyle="1" w:styleId="PieddepageCar">
    <w:name w:val="Pied de page Car"/>
    <w:basedOn w:val="Policepardfaut"/>
    <w:link w:val="Pieddepage"/>
    <w:rsid w:val="002F3497"/>
  </w:style>
  <w:style w:type="character" w:customStyle="1" w:styleId="Titre2Car">
    <w:name w:val="Titre 2 Car"/>
    <w:basedOn w:val="Policepardfaut"/>
    <w:link w:val="Titre2"/>
    <w:uiPriority w:val="9"/>
    <w:semiHidden/>
    <w:rsid w:val="002F3497"/>
    <w:rPr>
      <w:rFonts w:asciiTheme="majorHAnsi" w:eastAsiaTheme="majorEastAsia" w:hAnsiTheme="majorHAnsi" w:cstheme="majorBidi"/>
      <w:color w:val="2E74B5" w:themeColor="accent1" w:themeShade="BF"/>
      <w:sz w:val="26"/>
      <w:szCs w:val="26"/>
    </w:rPr>
  </w:style>
  <w:style w:type="character" w:customStyle="1" w:styleId="Titre3Car">
    <w:name w:val="Titre 3 Car"/>
    <w:basedOn w:val="Policepardfaut"/>
    <w:link w:val="Titre3"/>
    <w:uiPriority w:val="9"/>
    <w:semiHidden/>
    <w:rsid w:val="002F3497"/>
    <w:rPr>
      <w:rFonts w:asciiTheme="majorHAnsi" w:eastAsiaTheme="majorEastAsia" w:hAnsiTheme="majorHAnsi" w:cstheme="majorBidi"/>
      <w:color w:val="1F4D78" w:themeColor="accent1" w:themeShade="7F"/>
      <w:sz w:val="24"/>
      <w:szCs w:val="24"/>
    </w:rPr>
  </w:style>
  <w:style w:type="paragraph" w:styleId="Paragraphedeliste">
    <w:name w:val="List Paragraph"/>
    <w:basedOn w:val="Normal"/>
    <w:uiPriority w:val="34"/>
    <w:qFormat/>
    <w:rsid w:val="005A74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338</Words>
  <Characters>1862</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2196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BETOUS Leandre TSEF 2 CLASSE</dc:creator>
  <cp:keywords/>
  <dc:description/>
  <cp:lastModifiedBy>BETOUS Leandre TSEF 2 CLASSE</cp:lastModifiedBy>
  <cp:revision>3</cp:revision>
  <dcterms:created xsi:type="dcterms:W3CDTF">2025-09-01T09:05:00Z</dcterms:created>
  <dcterms:modified xsi:type="dcterms:W3CDTF">2025-09-01T09:13:00Z</dcterms:modified>
</cp:coreProperties>
</file>