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FEB053" w14:textId="77777777" w:rsidR="000D4EC1" w:rsidRPr="002F773A" w:rsidRDefault="000D4EC1" w:rsidP="006B2D2E">
      <w:pPr>
        <w:pStyle w:val="Textbody"/>
      </w:pPr>
    </w:p>
    <w:p w14:paraId="5CDF9527" w14:textId="77777777" w:rsidR="008D054A" w:rsidRPr="002F773A" w:rsidRDefault="008D054A" w:rsidP="008D054A">
      <w:pPr>
        <w:pStyle w:val="ZEmetteur"/>
        <w:rPr>
          <w:rFonts w:ascii="Arial" w:hAnsi="Arial"/>
        </w:rPr>
      </w:pPr>
      <w:r w:rsidRPr="002F773A">
        <w:rPr>
          <w:rFonts w:ascii="Arial" w:hAnsi="Arial"/>
        </w:rPr>
        <w:drawing>
          <wp:anchor distT="0" distB="0" distL="114300" distR="114300" simplePos="0" relativeHeight="251659264" behindDoc="0" locked="0" layoutInCell="1" allowOverlap="1" wp14:anchorId="3B8382F9" wp14:editId="3F44559C">
            <wp:simplePos x="0" y="0"/>
            <wp:positionH relativeFrom="page">
              <wp:posOffset>548640</wp:posOffset>
            </wp:positionH>
            <wp:positionV relativeFrom="page">
              <wp:posOffset>459105</wp:posOffset>
            </wp:positionV>
            <wp:extent cx="1364615" cy="1224280"/>
            <wp:effectExtent l="0" t="0" r="698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pic:spPr>
                </pic:pic>
              </a:graphicData>
            </a:graphic>
            <wp14:sizeRelH relativeFrom="page">
              <wp14:pctWidth>0</wp14:pctWidth>
            </wp14:sizeRelH>
            <wp14:sizeRelV relativeFrom="page">
              <wp14:pctHeight>0</wp14:pctHeight>
            </wp14:sizeRelV>
          </wp:anchor>
        </w:drawing>
      </w:r>
      <w:r w:rsidRPr="002F773A">
        <w:rPr>
          <w:rFonts w:ascii="Arial" w:hAnsi="Arial"/>
        </w:rPr>
        <w:t>Armée de Terre</w:t>
      </w:r>
    </w:p>
    <w:p w14:paraId="0869DC01" w14:textId="77777777" w:rsidR="008D054A" w:rsidRPr="002F773A" w:rsidRDefault="008D054A" w:rsidP="008D054A">
      <w:pPr>
        <w:pStyle w:val="ZEmetteur"/>
        <w:rPr>
          <w:rFonts w:ascii="Arial" w:hAnsi="Arial"/>
        </w:rPr>
      </w:pPr>
      <w:r w:rsidRPr="002F773A">
        <w:rPr>
          <w:rFonts w:ascii="Arial" w:hAnsi="Arial"/>
        </w:rPr>
        <w:t>13</w:t>
      </w:r>
      <w:r w:rsidRPr="002F773A">
        <w:rPr>
          <w:rFonts w:ascii="Arial" w:hAnsi="Arial"/>
          <w:vertAlign w:val="superscript"/>
        </w:rPr>
        <w:t>e</w:t>
      </w:r>
      <w:r w:rsidRPr="002F773A">
        <w:rPr>
          <w:rFonts w:ascii="Arial" w:hAnsi="Arial"/>
        </w:rPr>
        <w:t xml:space="preserve"> base de soutien du Matériel</w:t>
      </w:r>
    </w:p>
    <w:p w14:paraId="6029B5E1" w14:textId="77777777" w:rsidR="008D054A" w:rsidRPr="002F773A" w:rsidRDefault="008D054A" w:rsidP="008D054A">
      <w:pPr>
        <w:pStyle w:val="ZEmetteur"/>
        <w:rPr>
          <w:rFonts w:ascii="Arial" w:hAnsi="Arial"/>
        </w:rPr>
      </w:pPr>
      <w:r w:rsidRPr="002F773A">
        <w:rPr>
          <w:rFonts w:ascii="Arial" w:hAnsi="Arial"/>
        </w:rPr>
        <w:t>Détachement d’Yzeure - Moulins</w:t>
      </w:r>
    </w:p>
    <w:p w14:paraId="3B335653" w14:textId="4DDA979A" w:rsidR="008D054A" w:rsidRPr="002F773A" w:rsidRDefault="008D054A" w:rsidP="008D054A">
      <w:pPr>
        <w:pStyle w:val="ZEmetteur"/>
        <w:rPr>
          <w:rFonts w:ascii="Arial" w:hAnsi="Arial"/>
        </w:rPr>
      </w:pPr>
      <w:r w:rsidRPr="002F773A">
        <w:rPr>
          <w:rFonts w:ascii="Arial" w:hAnsi="Arial"/>
        </w:rPr>
        <w:t xml:space="preserve">Antenne </w:t>
      </w:r>
      <w:r w:rsidR="00CB7AF6">
        <w:rPr>
          <w:rFonts w:ascii="Arial" w:hAnsi="Arial"/>
        </w:rPr>
        <w:t>S</w:t>
      </w:r>
      <w:r w:rsidRPr="002F773A">
        <w:rPr>
          <w:rFonts w:ascii="Arial" w:hAnsi="Arial"/>
        </w:rPr>
        <w:t xml:space="preserve">ection </w:t>
      </w:r>
      <w:r w:rsidR="00CB7AF6">
        <w:rPr>
          <w:rFonts w:ascii="Arial" w:hAnsi="Arial"/>
        </w:rPr>
        <w:t>A</w:t>
      </w:r>
      <w:r w:rsidRPr="002F773A">
        <w:rPr>
          <w:rFonts w:ascii="Arial" w:hAnsi="Arial"/>
        </w:rPr>
        <w:t xml:space="preserve">chats </w:t>
      </w:r>
      <w:r w:rsidR="00CB7AF6">
        <w:rPr>
          <w:rFonts w:ascii="Arial" w:hAnsi="Arial"/>
        </w:rPr>
        <w:t>R</w:t>
      </w:r>
      <w:r w:rsidRPr="002F773A">
        <w:rPr>
          <w:rFonts w:ascii="Arial" w:hAnsi="Arial"/>
        </w:rPr>
        <w:t>éactifs</w:t>
      </w:r>
    </w:p>
    <w:p w14:paraId="65BF3605" w14:textId="77777777" w:rsidR="000D4EC1" w:rsidRPr="002F773A" w:rsidRDefault="000D4EC1" w:rsidP="006B2D2E">
      <w:pPr>
        <w:pStyle w:val="Textbody"/>
      </w:pPr>
    </w:p>
    <w:p w14:paraId="73883DCC" w14:textId="77777777" w:rsidR="000D4EC1" w:rsidRPr="002F773A" w:rsidRDefault="000D4EC1" w:rsidP="006B2D2E">
      <w:pPr>
        <w:pStyle w:val="Textbody"/>
      </w:pPr>
    </w:p>
    <w:p w14:paraId="4CB7AF19" w14:textId="77777777" w:rsidR="000D4EC1" w:rsidRPr="002F773A" w:rsidRDefault="000D4EC1" w:rsidP="006B2D2E">
      <w:pPr>
        <w:pStyle w:val="Textbody"/>
      </w:pPr>
    </w:p>
    <w:p w14:paraId="3DC532D1" w14:textId="77777777" w:rsidR="000D4EC1" w:rsidRPr="002F773A" w:rsidRDefault="000D4EC1" w:rsidP="006B2D2E">
      <w:pPr>
        <w:pStyle w:val="Textbody"/>
      </w:pPr>
    </w:p>
    <w:p w14:paraId="513B4282" w14:textId="77777777" w:rsidR="000D4EC1" w:rsidRPr="002F773A" w:rsidRDefault="000D4EC1" w:rsidP="006B2D2E">
      <w:pPr>
        <w:pStyle w:val="Textbody"/>
      </w:pPr>
    </w:p>
    <w:p w14:paraId="6973531C" w14:textId="77777777" w:rsidR="000D4EC1" w:rsidRPr="002F773A" w:rsidRDefault="000D4EC1" w:rsidP="006B2D2E">
      <w:pPr>
        <w:pStyle w:val="Textbody"/>
      </w:pPr>
    </w:p>
    <w:p w14:paraId="084849DE" w14:textId="77777777" w:rsidR="000D4EC1" w:rsidRPr="002F773A" w:rsidRDefault="000D4EC1" w:rsidP="006B2D2E">
      <w:pPr>
        <w:pStyle w:val="Textbody"/>
      </w:pPr>
    </w:p>
    <w:p w14:paraId="58468451" w14:textId="77777777" w:rsidR="000D4EC1" w:rsidRPr="002F773A" w:rsidRDefault="000D4EC1" w:rsidP="006B2D2E">
      <w:pPr>
        <w:pStyle w:val="Textbody"/>
      </w:pPr>
    </w:p>
    <w:p w14:paraId="244EF9E2" w14:textId="77777777" w:rsidR="000D4EC1" w:rsidRPr="002F773A" w:rsidRDefault="000D4EC1" w:rsidP="006B2D2E">
      <w:pPr>
        <w:pStyle w:val="Textbody"/>
      </w:pPr>
    </w:p>
    <w:p w14:paraId="04D52082" w14:textId="77777777" w:rsidR="000D4EC1" w:rsidRPr="002F773A" w:rsidRDefault="000D4EC1" w:rsidP="006B2D2E">
      <w:pPr>
        <w:pStyle w:val="Textbody"/>
      </w:pPr>
    </w:p>
    <w:p w14:paraId="49A68A68" w14:textId="77777777" w:rsidR="000D4EC1" w:rsidRPr="002F773A" w:rsidRDefault="000D4EC1" w:rsidP="006B2D2E">
      <w:pPr>
        <w:pStyle w:val="Standard"/>
      </w:pPr>
    </w:p>
    <w:tbl>
      <w:tblPr>
        <w:tblStyle w:val="Grilledutableau"/>
        <w:tblW w:w="0" w:type="auto"/>
        <w:tblLook w:val="04A0" w:firstRow="1" w:lastRow="0" w:firstColumn="1" w:lastColumn="0" w:noHBand="0" w:noVBand="1"/>
      </w:tblPr>
      <w:tblGrid>
        <w:gridCol w:w="9627"/>
      </w:tblGrid>
      <w:tr w:rsidR="00987466" w:rsidRPr="002F773A" w14:paraId="7EFBA198" w14:textId="77777777" w:rsidTr="00987466">
        <w:trPr>
          <w:trHeight w:val="1415"/>
        </w:trPr>
        <w:tc>
          <w:tcPr>
            <w:tcW w:w="9627" w:type="dxa"/>
            <w:vAlign w:val="center"/>
          </w:tcPr>
          <w:p w14:paraId="61FE9734" w14:textId="3D19BC31" w:rsidR="00987466" w:rsidRPr="002F773A" w:rsidRDefault="00A145C0" w:rsidP="006B2D2E">
            <w:pPr>
              <w:pStyle w:val="Standard"/>
            </w:pPr>
            <w:r w:rsidRPr="00B51D3E">
              <w:t>CAHIER DES CLAUSES PARTICULIERES -  ACTE D'ENGAGEMENT</w:t>
            </w:r>
          </w:p>
        </w:tc>
      </w:tr>
    </w:tbl>
    <w:p w14:paraId="15189D2A" w14:textId="77777777" w:rsidR="000D4EC1" w:rsidRPr="002F773A" w:rsidRDefault="000D4EC1" w:rsidP="006B2D2E">
      <w:pPr>
        <w:pStyle w:val="Standard"/>
      </w:pPr>
    </w:p>
    <w:p w14:paraId="6C51FE84" w14:textId="77777777" w:rsidR="000D4EC1" w:rsidRPr="002F773A" w:rsidRDefault="000D4EC1" w:rsidP="006B2D2E">
      <w:pPr>
        <w:pStyle w:val="Standard"/>
      </w:pPr>
    </w:p>
    <w:p w14:paraId="209DF8E1" w14:textId="2DE61605" w:rsidR="000D4EC1" w:rsidRPr="002F773A" w:rsidRDefault="009D2330" w:rsidP="006B2D2E">
      <w:pPr>
        <w:pStyle w:val="Standard"/>
      </w:pPr>
      <w:r w:rsidRPr="002F773A">
        <w:t>N</w:t>
      </w:r>
      <w:r w:rsidR="00AE322F" w:rsidRPr="002F773A">
        <w:t>uméro de consultation</w:t>
      </w:r>
      <w:r w:rsidR="007D6259" w:rsidRPr="002F773A">
        <w:t xml:space="preserve"> :</w:t>
      </w:r>
      <w:r w:rsidR="00BE6A20">
        <w:t xml:space="preserve"> MLS25013</w:t>
      </w:r>
    </w:p>
    <w:p w14:paraId="67618B01" w14:textId="77777777" w:rsidR="001770D9" w:rsidRPr="002F773A" w:rsidRDefault="001770D9" w:rsidP="006B2D2E">
      <w:pPr>
        <w:pStyle w:val="Standard"/>
      </w:pPr>
    </w:p>
    <w:p w14:paraId="13092EE9" w14:textId="77777777" w:rsidR="004B559E" w:rsidRDefault="009D2330" w:rsidP="006B2D2E">
      <w:pPr>
        <w:pStyle w:val="Standard"/>
      </w:pPr>
      <w:r w:rsidRPr="002F773A">
        <w:t xml:space="preserve">Procédure de passation : </w:t>
      </w:r>
      <w:r w:rsidR="00AB5142" w:rsidRPr="002F773A">
        <w:t xml:space="preserve"> </w:t>
      </w:r>
    </w:p>
    <w:p w14:paraId="5D2CA755" w14:textId="6555FF15" w:rsidR="00F36817" w:rsidRPr="002F773A" w:rsidRDefault="00766CF6" w:rsidP="006B2D2E">
      <w:pPr>
        <w:pStyle w:val="Standard"/>
      </w:pPr>
      <w:r w:rsidRPr="002F773A">
        <w:t xml:space="preserve">Procédure </w:t>
      </w:r>
      <w:r w:rsidR="002F6FB9">
        <w:t>adaptée, M</w:t>
      </w:r>
      <w:r w:rsidR="0051106F">
        <w:t>arché défense ou sécurité</w:t>
      </w:r>
    </w:p>
    <w:p w14:paraId="1AED58C4" w14:textId="7AB9A612" w:rsidR="000D4EC1" w:rsidRPr="002F773A" w:rsidRDefault="00C01E06" w:rsidP="006B2D2E">
      <w:pPr>
        <w:pStyle w:val="Standard"/>
      </w:pPr>
      <w:r w:rsidRPr="004B559E">
        <w:t xml:space="preserve"> &gt; à </w:t>
      </w:r>
      <w:r w:rsidR="0051106F">
        <w:t xml:space="preserve">90 000 </w:t>
      </w:r>
      <w:r w:rsidRPr="004B559E">
        <w:t>€ HT</w:t>
      </w:r>
    </w:p>
    <w:p w14:paraId="7B973286" w14:textId="2C3983EE" w:rsidR="001B443A" w:rsidRPr="002F773A" w:rsidRDefault="001B443A" w:rsidP="006B2D2E">
      <w:pPr>
        <w:pStyle w:val="Standard"/>
      </w:pPr>
    </w:p>
    <w:p w14:paraId="61B57193" w14:textId="77777777" w:rsidR="00987466" w:rsidRPr="002F773A" w:rsidRDefault="00987466" w:rsidP="006B2D2E">
      <w:pPr>
        <w:pStyle w:val="Standard"/>
      </w:pPr>
      <w:r w:rsidRPr="002F773A">
        <w:t xml:space="preserve">Articles du code de la commande publique retenus : </w:t>
      </w:r>
    </w:p>
    <w:p w14:paraId="08D2FECE" w14:textId="63773ACC" w:rsidR="00987466" w:rsidRDefault="00987466" w:rsidP="006B2D2E">
      <w:pPr>
        <w:pStyle w:val="Standard"/>
      </w:pPr>
      <w:r w:rsidRPr="004716B7">
        <w:t>A</w:t>
      </w:r>
      <w:r w:rsidR="004716B7" w:rsidRPr="004716B7">
        <w:t xml:space="preserve">rt. </w:t>
      </w:r>
      <w:r w:rsidR="0051106F">
        <w:t>L2323-1</w:t>
      </w:r>
    </w:p>
    <w:p w14:paraId="37DCEC8A" w14:textId="281D2912" w:rsidR="0051106F" w:rsidRDefault="0051106F" w:rsidP="006B2D2E">
      <w:pPr>
        <w:pStyle w:val="Standard"/>
      </w:pPr>
      <w:r w:rsidRPr="004716B7">
        <w:t xml:space="preserve">Art. </w:t>
      </w:r>
      <w:r>
        <w:t>R2323-1</w:t>
      </w:r>
    </w:p>
    <w:p w14:paraId="00EA7BB5" w14:textId="5EF067FA" w:rsidR="0051106F" w:rsidRDefault="0051106F" w:rsidP="006B2D2E">
      <w:pPr>
        <w:pStyle w:val="Standard"/>
      </w:pPr>
      <w:r w:rsidRPr="004716B7">
        <w:t xml:space="preserve">Art. </w:t>
      </w:r>
      <w:r>
        <w:t>L2313-6</w:t>
      </w:r>
    </w:p>
    <w:p w14:paraId="677EE621" w14:textId="5928296D" w:rsidR="0051106F" w:rsidRDefault="0051106F" w:rsidP="006B2D2E">
      <w:pPr>
        <w:pStyle w:val="Standard"/>
      </w:pPr>
      <w:r w:rsidRPr="004716B7">
        <w:t xml:space="preserve">Art. </w:t>
      </w:r>
      <w:r>
        <w:t>R2313-3</w:t>
      </w:r>
    </w:p>
    <w:p w14:paraId="70178D88" w14:textId="77777777" w:rsidR="0051106F" w:rsidRDefault="0051106F" w:rsidP="006B2D2E">
      <w:pPr>
        <w:pStyle w:val="Standard"/>
      </w:pPr>
    </w:p>
    <w:p w14:paraId="1855ED5F" w14:textId="505C8EBE" w:rsidR="0051106F" w:rsidRPr="002F773A" w:rsidRDefault="0051106F" w:rsidP="006B2D2E">
      <w:pPr>
        <w:pStyle w:val="Standard"/>
      </w:pPr>
    </w:p>
    <w:p w14:paraId="3EEC0131" w14:textId="77777777" w:rsidR="00B614A7" w:rsidRPr="002F773A" w:rsidRDefault="00B614A7" w:rsidP="006B2D2E">
      <w:pPr>
        <w:pStyle w:val="Standard"/>
      </w:pPr>
    </w:p>
    <w:p w14:paraId="7EF698AD" w14:textId="4AAA73D7" w:rsidR="00B614A7" w:rsidRPr="002F773A" w:rsidRDefault="00B614A7" w:rsidP="006B2D2E">
      <w:pPr>
        <w:pStyle w:val="Standard"/>
      </w:pPr>
      <w:r w:rsidRPr="002F773A">
        <w:t xml:space="preserve">N° officiel du marché : </w:t>
      </w:r>
    </w:p>
    <w:p w14:paraId="554C29EB" w14:textId="77777777" w:rsidR="00B614A7" w:rsidRPr="002F773A" w:rsidRDefault="00B614A7" w:rsidP="006B2D2E">
      <w:pPr>
        <w:pStyle w:val="Standard"/>
      </w:pPr>
    </w:p>
    <w:p w14:paraId="65F10CFC" w14:textId="714A8610" w:rsidR="00B614A7" w:rsidRPr="002F773A" w:rsidRDefault="00B614A7" w:rsidP="006B2D2E">
      <w:pPr>
        <w:pStyle w:val="Standard"/>
      </w:pPr>
      <w:r w:rsidRPr="002F773A">
        <w:t xml:space="preserve">N° </w:t>
      </w:r>
      <w:r w:rsidR="00DA6011" w:rsidRPr="002F773A">
        <w:t xml:space="preserve">du marché </w:t>
      </w:r>
      <w:r w:rsidRPr="002F773A">
        <w:t>engage</w:t>
      </w:r>
      <w:r w:rsidR="00DA6011" w:rsidRPr="002F773A">
        <w:t>ment juridique Chorus</w:t>
      </w:r>
      <w:r w:rsidR="00F8630F" w:rsidRPr="002F773A">
        <w:t xml:space="preserve"> </w:t>
      </w:r>
      <w:r w:rsidRPr="002F773A">
        <w:t>:</w:t>
      </w:r>
      <w:r w:rsidR="002D7DA0" w:rsidRPr="002F773A">
        <w:t xml:space="preserve"> </w:t>
      </w:r>
    </w:p>
    <w:p w14:paraId="6B8C1FF9" w14:textId="63D54601" w:rsidR="00EC335D" w:rsidRPr="002F773A" w:rsidRDefault="00EC335D" w:rsidP="006B2D2E">
      <w:pPr>
        <w:pStyle w:val="Standard"/>
      </w:pPr>
    </w:p>
    <w:p w14:paraId="2DEFFB01" w14:textId="0D2F1920" w:rsidR="00987466" w:rsidRPr="002F773A" w:rsidRDefault="00987466" w:rsidP="006B2D2E">
      <w:pPr>
        <w:pStyle w:val="Standard"/>
      </w:pPr>
      <w:r w:rsidRPr="002F773A">
        <w:t xml:space="preserve">Code tiers fournisseur Chorus : </w:t>
      </w:r>
    </w:p>
    <w:p w14:paraId="79B37A08" w14:textId="77777777" w:rsidR="00EC335D" w:rsidRPr="002F773A" w:rsidRDefault="00EC335D" w:rsidP="006B2D2E">
      <w:pPr>
        <w:pStyle w:val="Standard"/>
      </w:pPr>
    </w:p>
    <w:p w14:paraId="755D785E" w14:textId="77777777" w:rsidR="00EC335D" w:rsidRPr="002F773A" w:rsidRDefault="00EC335D" w:rsidP="006B2D2E">
      <w:pPr>
        <w:pStyle w:val="Standard"/>
      </w:pPr>
    </w:p>
    <w:p w14:paraId="1DDFAAE8" w14:textId="77777777" w:rsidR="00EC335D" w:rsidRPr="002F773A" w:rsidRDefault="00EC335D" w:rsidP="006B2D2E">
      <w:pPr>
        <w:pStyle w:val="Standard"/>
      </w:pPr>
    </w:p>
    <w:p w14:paraId="28AC4A65" w14:textId="77777777" w:rsidR="00EC335D" w:rsidRPr="002F773A" w:rsidRDefault="00EC335D" w:rsidP="006B2D2E">
      <w:pPr>
        <w:pStyle w:val="Standard"/>
      </w:pPr>
    </w:p>
    <w:p w14:paraId="74AEBC6F" w14:textId="77777777" w:rsidR="00EC335D" w:rsidRPr="002F773A" w:rsidRDefault="00EC335D" w:rsidP="006B2D2E">
      <w:pPr>
        <w:pStyle w:val="Standard"/>
      </w:pPr>
    </w:p>
    <w:p w14:paraId="6E7FF3EB" w14:textId="73F49DC2" w:rsidR="00EC335D" w:rsidRPr="002F773A" w:rsidRDefault="00EC335D" w:rsidP="006B2D2E">
      <w:pPr>
        <w:pStyle w:val="Standard"/>
      </w:pPr>
    </w:p>
    <w:p w14:paraId="0A550EB8" w14:textId="6B3228AA" w:rsidR="00382EB2" w:rsidRPr="002F773A" w:rsidRDefault="00382EB2" w:rsidP="006B2D2E">
      <w:pPr>
        <w:pStyle w:val="Standard"/>
      </w:pPr>
    </w:p>
    <w:p w14:paraId="7E4EE6FC" w14:textId="15E2BF45" w:rsidR="00382EB2" w:rsidRPr="002F773A" w:rsidRDefault="00382EB2" w:rsidP="006B2D2E">
      <w:pPr>
        <w:pStyle w:val="Standard"/>
      </w:pPr>
    </w:p>
    <w:p w14:paraId="36D0739D" w14:textId="6CD6DA7E" w:rsidR="00382EB2" w:rsidRPr="002F773A" w:rsidRDefault="00382EB2" w:rsidP="006B2D2E">
      <w:pPr>
        <w:pStyle w:val="Standard"/>
      </w:pPr>
    </w:p>
    <w:p w14:paraId="09890179" w14:textId="5A2A3DE5" w:rsidR="00382EB2" w:rsidRPr="002F773A" w:rsidRDefault="00382EB2" w:rsidP="006B2D2E">
      <w:pPr>
        <w:pStyle w:val="Standard"/>
      </w:pPr>
    </w:p>
    <w:p w14:paraId="21956DF5" w14:textId="3A5CE6D3" w:rsidR="00382EB2" w:rsidRPr="002F773A" w:rsidRDefault="00382EB2" w:rsidP="006B2D2E">
      <w:pPr>
        <w:pStyle w:val="Standard"/>
      </w:pPr>
    </w:p>
    <w:p w14:paraId="190FF483" w14:textId="7EB7A635" w:rsidR="00382EB2" w:rsidRPr="002F773A" w:rsidRDefault="00382EB2" w:rsidP="006B2D2E">
      <w:pPr>
        <w:pStyle w:val="Standard"/>
      </w:pPr>
    </w:p>
    <w:p w14:paraId="66704932" w14:textId="374DA7E2" w:rsidR="00987466" w:rsidRDefault="00987466" w:rsidP="006B2D2E">
      <w:pPr>
        <w:pStyle w:val="Standard"/>
      </w:pPr>
    </w:p>
    <w:p w14:paraId="392E53F5" w14:textId="7D34BEAA" w:rsidR="00245647" w:rsidRDefault="00245647" w:rsidP="006B2D2E">
      <w:pPr>
        <w:pStyle w:val="Standard"/>
      </w:pPr>
    </w:p>
    <w:p w14:paraId="6B838B1F" w14:textId="77777777" w:rsidR="00245647" w:rsidRPr="002F773A" w:rsidRDefault="00245647" w:rsidP="006B2D2E">
      <w:pPr>
        <w:pStyle w:val="Standard"/>
      </w:pPr>
    </w:p>
    <w:p w14:paraId="5F1530D4" w14:textId="77777777" w:rsidR="00987466" w:rsidRPr="002F773A" w:rsidRDefault="00987466" w:rsidP="006B2D2E">
      <w:pPr>
        <w:pStyle w:val="Standard"/>
      </w:pPr>
    </w:p>
    <w:p w14:paraId="607CE158" w14:textId="55850157" w:rsidR="00382EB2" w:rsidRPr="002F773A" w:rsidRDefault="00382EB2" w:rsidP="006B2D2E">
      <w:pPr>
        <w:pStyle w:val="Standard"/>
      </w:pPr>
    </w:p>
    <w:p w14:paraId="0B5E7B48" w14:textId="77777777" w:rsidR="00382EB2" w:rsidRPr="002F773A" w:rsidRDefault="00382EB2" w:rsidP="006B2D2E">
      <w:pPr>
        <w:pStyle w:val="Standard"/>
      </w:pPr>
    </w:p>
    <w:p w14:paraId="551F28D3" w14:textId="77777777" w:rsidR="00EC335D" w:rsidRPr="002F773A" w:rsidRDefault="00EC335D" w:rsidP="006B2D2E">
      <w:pPr>
        <w:pStyle w:val="Standard"/>
      </w:pPr>
    </w:p>
    <w:p w14:paraId="276E0D02" w14:textId="77777777" w:rsidR="00205E2C" w:rsidRPr="002F773A" w:rsidRDefault="00E1599D" w:rsidP="00880231">
      <w:pPr>
        <w:pStyle w:val="TM1"/>
      </w:pPr>
      <w:r w:rsidRPr="002F773A">
        <w:t>SOMMAIRE</w:t>
      </w:r>
    </w:p>
    <w:p w14:paraId="43F5BDD9" w14:textId="77777777" w:rsidR="00205E2C" w:rsidRPr="002F773A" w:rsidRDefault="00205E2C" w:rsidP="00880231">
      <w:pPr>
        <w:pStyle w:val="TM1"/>
      </w:pPr>
    </w:p>
    <w:p w14:paraId="4581098B" w14:textId="77777777" w:rsidR="00205E2C" w:rsidRPr="002F773A" w:rsidRDefault="00205E2C" w:rsidP="00880231">
      <w:pPr>
        <w:pStyle w:val="TM1"/>
      </w:pPr>
    </w:p>
    <w:sdt>
      <w:sdtPr>
        <w:rPr>
          <w:rFonts w:ascii="Times New Roman" w:eastAsia="MS Mincho" w:hAnsi="Times New Roman" w:cs="Tahoma"/>
          <w:color w:val="auto"/>
          <w:kern w:val="3"/>
          <w:sz w:val="24"/>
          <w:szCs w:val="24"/>
          <w:lang w:eastAsia="ja-JP" w:bidi="fa-IR"/>
        </w:rPr>
        <w:id w:val="-1733303505"/>
        <w:docPartObj>
          <w:docPartGallery w:val="Table of Contents"/>
          <w:docPartUnique/>
        </w:docPartObj>
      </w:sdtPr>
      <w:sdtEndPr>
        <w:rPr>
          <w:b/>
          <w:bCs/>
        </w:rPr>
      </w:sdtEndPr>
      <w:sdtContent>
        <w:p w14:paraId="34967D78" w14:textId="0FB07465" w:rsidR="00AA2786" w:rsidRPr="00E93DDE" w:rsidRDefault="00AA2786">
          <w:pPr>
            <w:pStyle w:val="En-ttedetabledesmatires"/>
            <w:rPr>
              <w:rFonts w:ascii="Arial" w:hAnsi="Arial" w:cs="Arial"/>
              <w:color w:val="000000" w:themeColor="text1" w:themeShade="80"/>
              <w14:textFill>
                <w14:solidFill>
                  <w14:schemeClr w14:val="tx1">
                    <w14:lumMod w14:val="50000"/>
                    <w14:lumMod w14:val="75000"/>
                    <w14:lumMod w14:val="50000"/>
                  </w14:schemeClr>
                </w14:solidFill>
              </w14:textFill>
            </w:rPr>
          </w:pPr>
          <w:r w:rsidRPr="00E93DDE">
            <w:rPr>
              <w:rFonts w:ascii="Arial" w:hAnsi="Arial" w:cs="Arial"/>
              <w:color w:val="000000" w:themeColor="text1" w:themeShade="80"/>
              <w14:textFill>
                <w14:solidFill>
                  <w14:schemeClr w14:val="tx1">
                    <w14:lumMod w14:val="50000"/>
                    <w14:lumMod w14:val="75000"/>
                    <w14:lumMod w14:val="50000"/>
                  </w14:schemeClr>
                </w14:solidFill>
              </w14:textFill>
            </w:rPr>
            <w:t>Table des matières</w:t>
          </w:r>
        </w:p>
        <w:p w14:paraId="5BC286EF" w14:textId="7CCDF226" w:rsidR="00564137" w:rsidRPr="00E93DDE" w:rsidRDefault="00AA2786">
          <w:pPr>
            <w:pStyle w:val="TM1"/>
            <w:rPr>
              <w:rFonts w:eastAsiaTheme="minorEastAsia"/>
              <w:b w:val="0"/>
              <w:noProof/>
              <w:kern w:val="0"/>
              <w:sz w:val="22"/>
              <w:szCs w:val="22"/>
              <w:lang w:eastAsia="fr-FR" w:bidi="ar-SA"/>
            </w:rPr>
          </w:pPr>
          <w:r w:rsidRPr="00E93DDE">
            <w:fldChar w:fldCharType="begin"/>
          </w:r>
          <w:r w:rsidRPr="00E93DDE">
            <w:instrText xml:space="preserve"> TOC \o "1-3" \h \z \u </w:instrText>
          </w:r>
          <w:r w:rsidRPr="00E93DDE">
            <w:fldChar w:fldCharType="separate"/>
          </w:r>
          <w:hyperlink w:anchor="_Toc205806295" w:history="1">
            <w:r w:rsidR="00564137" w:rsidRPr="00E93DDE">
              <w:rPr>
                <w:rStyle w:val="Lienhypertexte"/>
                <w:noProof/>
              </w:rPr>
              <w:t>Article 1 -</w:t>
            </w:r>
            <w:r w:rsidR="00564137" w:rsidRPr="00E93DDE">
              <w:rPr>
                <w:rFonts w:eastAsiaTheme="minorEastAsia"/>
                <w:b w:val="0"/>
                <w:noProof/>
                <w:kern w:val="0"/>
                <w:sz w:val="22"/>
                <w:szCs w:val="22"/>
                <w:lang w:eastAsia="fr-FR" w:bidi="ar-SA"/>
              </w:rPr>
              <w:tab/>
            </w:r>
            <w:r w:rsidR="00564137" w:rsidRPr="00E93DDE">
              <w:rPr>
                <w:rStyle w:val="Lienhypertexte"/>
                <w:noProof/>
              </w:rPr>
              <w:t>IDENTIFICATION DES COCONTRACTANTS</w:t>
            </w:r>
            <w:r w:rsidR="00564137" w:rsidRPr="00E93DDE">
              <w:rPr>
                <w:noProof/>
                <w:webHidden/>
              </w:rPr>
              <w:tab/>
            </w:r>
            <w:r w:rsidR="00564137" w:rsidRPr="00E93DDE">
              <w:rPr>
                <w:noProof/>
                <w:webHidden/>
              </w:rPr>
              <w:fldChar w:fldCharType="begin"/>
            </w:r>
            <w:r w:rsidR="00564137" w:rsidRPr="00E93DDE">
              <w:rPr>
                <w:noProof/>
                <w:webHidden/>
              </w:rPr>
              <w:instrText xml:space="preserve"> PAGEREF _Toc205806295 \h </w:instrText>
            </w:r>
            <w:r w:rsidR="00564137" w:rsidRPr="00E93DDE">
              <w:rPr>
                <w:noProof/>
                <w:webHidden/>
              </w:rPr>
            </w:r>
            <w:r w:rsidR="00564137" w:rsidRPr="00E93DDE">
              <w:rPr>
                <w:noProof/>
                <w:webHidden/>
              </w:rPr>
              <w:fldChar w:fldCharType="separate"/>
            </w:r>
            <w:r w:rsidR="00564137" w:rsidRPr="00E93DDE">
              <w:rPr>
                <w:noProof/>
                <w:webHidden/>
              </w:rPr>
              <w:t>3</w:t>
            </w:r>
            <w:r w:rsidR="00564137" w:rsidRPr="00E93DDE">
              <w:rPr>
                <w:noProof/>
                <w:webHidden/>
              </w:rPr>
              <w:fldChar w:fldCharType="end"/>
            </w:r>
          </w:hyperlink>
        </w:p>
        <w:p w14:paraId="50BF65B3" w14:textId="6A8FB996" w:rsidR="00564137" w:rsidRPr="00E93DDE" w:rsidRDefault="00324375">
          <w:pPr>
            <w:pStyle w:val="TM2"/>
            <w:tabs>
              <w:tab w:val="left" w:pos="880"/>
              <w:tab w:val="right" w:leader="dot" w:pos="9627"/>
            </w:tabs>
            <w:rPr>
              <w:rFonts w:ascii="Arial" w:eastAsiaTheme="minorEastAsia" w:hAnsi="Arial" w:cs="Arial"/>
              <w:noProof/>
              <w:kern w:val="0"/>
              <w:sz w:val="22"/>
              <w:szCs w:val="22"/>
              <w:lang w:eastAsia="fr-FR" w:bidi="ar-SA"/>
            </w:rPr>
          </w:pPr>
          <w:hyperlink w:anchor="_Toc205806296" w:history="1">
            <w:r w:rsidR="00564137" w:rsidRPr="00E93DDE">
              <w:rPr>
                <w:rStyle w:val="Lienhypertexte"/>
                <w:rFonts w:ascii="Arial" w:hAnsi="Arial" w:cs="Arial"/>
                <w:noProof/>
              </w:rPr>
              <w:t>1.1</w:t>
            </w:r>
            <w:r w:rsidR="00564137" w:rsidRPr="00E93DDE">
              <w:rPr>
                <w:rFonts w:ascii="Arial" w:eastAsiaTheme="minorEastAsia" w:hAnsi="Arial" w:cs="Arial"/>
                <w:noProof/>
                <w:kern w:val="0"/>
                <w:sz w:val="22"/>
                <w:szCs w:val="22"/>
                <w:lang w:eastAsia="fr-FR" w:bidi="ar-SA"/>
              </w:rPr>
              <w:tab/>
            </w:r>
            <w:r w:rsidR="00564137" w:rsidRPr="00E93DDE">
              <w:rPr>
                <w:rStyle w:val="Lienhypertexte"/>
                <w:rFonts w:ascii="Arial" w:hAnsi="Arial" w:cs="Arial"/>
                <w:noProof/>
              </w:rPr>
              <w:t>Acheteur</w:t>
            </w:r>
            <w:r w:rsidR="00564137" w:rsidRPr="00E93DDE">
              <w:rPr>
                <w:rFonts w:ascii="Arial" w:hAnsi="Arial" w:cs="Arial"/>
                <w:noProof/>
                <w:webHidden/>
              </w:rPr>
              <w:tab/>
            </w:r>
            <w:r w:rsidR="00564137" w:rsidRPr="00E93DDE">
              <w:rPr>
                <w:rFonts w:ascii="Arial" w:hAnsi="Arial" w:cs="Arial"/>
                <w:noProof/>
                <w:webHidden/>
              </w:rPr>
              <w:fldChar w:fldCharType="begin"/>
            </w:r>
            <w:r w:rsidR="00564137" w:rsidRPr="00E93DDE">
              <w:rPr>
                <w:rFonts w:ascii="Arial" w:hAnsi="Arial" w:cs="Arial"/>
                <w:noProof/>
                <w:webHidden/>
              </w:rPr>
              <w:instrText xml:space="preserve"> PAGEREF _Toc205806296 \h </w:instrText>
            </w:r>
            <w:r w:rsidR="00564137" w:rsidRPr="00E93DDE">
              <w:rPr>
                <w:rFonts w:ascii="Arial" w:hAnsi="Arial" w:cs="Arial"/>
                <w:noProof/>
                <w:webHidden/>
              </w:rPr>
            </w:r>
            <w:r w:rsidR="00564137" w:rsidRPr="00E93DDE">
              <w:rPr>
                <w:rFonts w:ascii="Arial" w:hAnsi="Arial" w:cs="Arial"/>
                <w:noProof/>
                <w:webHidden/>
              </w:rPr>
              <w:fldChar w:fldCharType="separate"/>
            </w:r>
            <w:r w:rsidR="00564137" w:rsidRPr="00E93DDE">
              <w:rPr>
                <w:rFonts w:ascii="Arial" w:hAnsi="Arial" w:cs="Arial"/>
                <w:noProof/>
                <w:webHidden/>
              </w:rPr>
              <w:t>3</w:t>
            </w:r>
            <w:r w:rsidR="00564137" w:rsidRPr="00E93DDE">
              <w:rPr>
                <w:rFonts w:ascii="Arial" w:hAnsi="Arial" w:cs="Arial"/>
                <w:noProof/>
                <w:webHidden/>
              </w:rPr>
              <w:fldChar w:fldCharType="end"/>
            </w:r>
          </w:hyperlink>
        </w:p>
        <w:p w14:paraId="59AD6CED" w14:textId="67F503C7" w:rsidR="00564137" w:rsidRPr="00E93DDE" w:rsidRDefault="00324375">
          <w:pPr>
            <w:pStyle w:val="TM2"/>
            <w:tabs>
              <w:tab w:val="left" w:pos="880"/>
              <w:tab w:val="right" w:leader="dot" w:pos="9627"/>
            </w:tabs>
            <w:rPr>
              <w:rFonts w:ascii="Arial" w:eastAsiaTheme="minorEastAsia" w:hAnsi="Arial" w:cs="Arial"/>
              <w:noProof/>
              <w:kern w:val="0"/>
              <w:sz w:val="22"/>
              <w:szCs w:val="22"/>
              <w:lang w:eastAsia="fr-FR" w:bidi="ar-SA"/>
            </w:rPr>
          </w:pPr>
          <w:hyperlink w:anchor="_Toc205806297" w:history="1">
            <w:r w:rsidR="00564137" w:rsidRPr="00E93DDE">
              <w:rPr>
                <w:rStyle w:val="Lienhypertexte"/>
                <w:rFonts w:ascii="Arial" w:hAnsi="Arial" w:cs="Arial"/>
                <w:noProof/>
              </w:rPr>
              <w:t>1.2</w:t>
            </w:r>
            <w:r w:rsidR="00564137" w:rsidRPr="00E93DDE">
              <w:rPr>
                <w:rFonts w:ascii="Arial" w:eastAsiaTheme="minorEastAsia" w:hAnsi="Arial" w:cs="Arial"/>
                <w:noProof/>
                <w:kern w:val="0"/>
                <w:sz w:val="22"/>
                <w:szCs w:val="22"/>
                <w:lang w:eastAsia="fr-FR" w:bidi="ar-SA"/>
              </w:rPr>
              <w:tab/>
            </w:r>
            <w:r w:rsidR="00564137" w:rsidRPr="00E93DDE">
              <w:rPr>
                <w:rStyle w:val="Lienhypertexte"/>
                <w:rFonts w:ascii="Arial" w:hAnsi="Arial" w:cs="Arial"/>
                <w:noProof/>
              </w:rPr>
              <w:t>Titulaire</w:t>
            </w:r>
            <w:r w:rsidR="00564137" w:rsidRPr="00E93DDE">
              <w:rPr>
                <w:rFonts w:ascii="Arial" w:hAnsi="Arial" w:cs="Arial"/>
                <w:noProof/>
                <w:webHidden/>
              </w:rPr>
              <w:tab/>
            </w:r>
            <w:r w:rsidR="00564137" w:rsidRPr="00E93DDE">
              <w:rPr>
                <w:rFonts w:ascii="Arial" w:hAnsi="Arial" w:cs="Arial"/>
                <w:noProof/>
                <w:webHidden/>
              </w:rPr>
              <w:fldChar w:fldCharType="begin"/>
            </w:r>
            <w:r w:rsidR="00564137" w:rsidRPr="00E93DDE">
              <w:rPr>
                <w:rFonts w:ascii="Arial" w:hAnsi="Arial" w:cs="Arial"/>
                <w:noProof/>
                <w:webHidden/>
              </w:rPr>
              <w:instrText xml:space="preserve"> PAGEREF _Toc205806297 \h </w:instrText>
            </w:r>
            <w:r w:rsidR="00564137" w:rsidRPr="00E93DDE">
              <w:rPr>
                <w:rFonts w:ascii="Arial" w:hAnsi="Arial" w:cs="Arial"/>
                <w:noProof/>
                <w:webHidden/>
              </w:rPr>
            </w:r>
            <w:r w:rsidR="00564137" w:rsidRPr="00E93DDE">
              <w:rPr>
                <w:rFonts w:ascii="Arial" w:hAnsi="Arial" w:cs="Arial"/>
                <w:noProof/>
                <w:webHidden/>
              </w:rPr>
              <w:fldChar w:fldCharType="separate"/>
            </w:r>
            <w:r w:rsidR="00564137" w:rsidRPr="00E93DDE">
              <w:rPr>
                <w:rFonts w:ascii="Arial" w:hAnsi="Arial" w:cs="Arial"/>
                <w:noProof/>
                <w:webHidden/>
              </w:rPr>
              <w:t>4</w:t>
            </w:r>
            <w:r w:rsidR="00564137" w:rsidRPr="00E93DDE">
              <w:rPr>
                <w:rFonts w:ascii="Arial" w:hAnsi="Arial" w:cs="Arial"/>
                <w:noProof/>
                <w:webHidden/>
              </w:rPr>
              <w:fldChar w:fldCharType="end"/>
            </w:r>
          </w:hyperlink>
        </w:p>
        <w:p w14:paraId="6D38A553" w14:textId="0056C19C" w:rsidR="00564137" w:rsidRPr="00E93DDE" w:rsidRDefault="00324375">
          <w:pPr>
            <w:pStyle w:val="TM1"/>
            <w:rPr>
              <w:rFonts w:eastAsiaTheme="minorEastAsia"/>
              <w:b w:val="0"/>
              <w:noProof/>
              <w:kern w:val="0"/>
              <w:sz w:val="22"/>
              <w:szCs w:val="22"/>
              <w:lang w:eastAsia="fr-FR" w:bidi="ar-SA"/>
            </w:rPr>
          </w:pPr>
          <w:hyperlink w:anchor="_Toc205806298" w:history="1">
            <w:r w:rsidR="00564137" w:rsidRPr="00E93DDE">
              <w:rPr>
                <w:rStyle w:val="Lienhypertexte"/>
                <w:noProof/>
              </w:rPr>
              <w:t>Article 2 -</w:t>
            </w:r>
            <w:r w:rsidR="00564137" w:rsidRPr="00E93DDE">
              <w:rPr>
                <w:rFonts w:eastAsiaTheme="minorEastAsia"/>
                <w:b w:val="0"/>
                <w:noProof/>
                <w:kern w:val="0"/>
                <w:sz w:val="22"/>
                <w:szCs w:val="22"/>
                <w:lang w:eastAsia="fr-FR" w:bidi="ar-SA"/>
              </w:rPr>
              <w:tab/>
            </w:r>
            <w:r w:rsidR="00564137" w:rsidRPr="00E93DDE">
              <w:rPr>
                <w:rStyle w:val="Lienhypertexte"/>
                <w:noProof/>
              </w:rPr>
              <w:t>OBJET DU MARCHE ET DOCUMENTS CONTRACTUELS</w:t>
            </w:r>
            <w:r w:rsidR="00564137" w:rsidRPr="00E93DDE">
              <w:rPr>
                <w:noProof/>
                <w:webHidden/>
              </w:rPr>
              <w:tab/>
            </w:r>
            <w:r w:rsidR="00564137" w:rsidRPr="00E93DDE">
              <w:rPr>
                <w:noProof/>
                <w:webHidden/>
              </w:rPr>
              <w:fldChar w:fldCharType="begin"/>
            </w:r>
            <w:r w:rsidR="00564137" w:rsidRPr="00E93DDE">
              <w:rPr>
                <w:noProof/>
                <w:webHidden/>
              </w:rPr>
              <w:instrText xml:space="preserve"> PAGEREF _Toc205806298 \h </w:instrText>
            </w:r>
            <w:r w:rsidR="00564137" w:rsidRPr="00E93DDE">
              <w:rPr>
                <w:noProof/>
                <w:webHidden/>
              </w:rPr>
            </w:r>
            <w:r w:rsidR="00564137" w:rsidRPr="00E93DDE">
              <w:rPr>
                <w:noProof/>
                <w:webHidden/>
              </w:rPr>
              <w:fldChar w:fldCharType="separate"/>
            </w:r>
            <w:r w:rsidR="00564137" w:rsidRPr="00E93DDE">
              <w:rPr>
                <w:noProof/>
                <w:webHidden/>
              </w:rPr>
              <w:t>5</w:t>
            </w:r>
            <w:r w:rsidR="00564137" w:rsidRPr="00E93DDE">
              <w:rPr>
                <w:noProof/>
                <w:webHidden/>
              </w:rPr>
              <w:fldChar w:fldCharType="end"/>
            </w:r>
          </w:hyperlink>
        </w:p>
        <w:p w14:paraId="312B4A34" w14:textId="1C1950D8" w:rsidR="00564137" w:rsidRPr="00E93DDE" w:rsidRDefault="00324375">
          <w:pPr>
            <w:pStyle w:val="TM1"/>
            <w:rPr>
              <w:rFonts w:eastAsiaTheme="minorEastAsia"/>
              <w:b w:val="0"/>
              <w:noProof/>
              <w:kern w:val="0"/>
              <w:sz w:val="22"/>
              <w:szCs w:val="22"/>
              <w:lang w:eastAsia="fr-FR" w:bidi="ar-SA"/>
            </w:rPr>
          </w:pPr>
          <w:hyperlink w:anchor="_Toc205806299" w:history="1">
            <w:r w:rsidR="00564137" w:rsidRPr="00E93DDE">
              <w:rPr>
                <w:rStyle w:val="Lienhypertexte"/>
                <w:noProof/>
              </w:rPr>
              <w:t>Article 3 -</w:t>
            </w:r>
            <w:r w:rsidR="00564137" w:rsidRPr="00E93DDE">
              <w:rPr>
                <w:rFonts w:eastAsiaTheme="minorEastAsia"/>
                <w:b w:val="0"/>
                <w:noProof/>
                <w:kern w:val="0"/>
                <w:sz w:val="22"/>
                <w:szCs w:val="22"/>
                <w:lang w:eastAsia="fr-FR" w:bidi="ar-SA"/>
              </w:rPr>
              <w:tab/>
            </w:r>
            <w:r w:rsidR="00564137" w:rsidRPr="00E93DDE">
              <w:rPr>
                <w:rStyle w:val="Lienhypertexte"/>
                <w:noProof/>
              </w:rPr>
              <w:t>FORME DU MARCHE</w:t>
            </w:r>
            <w:r w:rsidR="00564137" w:rsidRPr="00E93DDE">
              <w:rPr>
                <w:noProof/>
                <w:webHidden/>
              </w:rPr>
              <w:tab/>
            </w:r>
            <w:r w:rsidR="00564137" w:rsidRPr="00E93DDE">
              <w:rPr>
                <w:noProof/>
                <w:webHidden/>
              </w:rPr>
              <w:fldChar w:fldCharType="begin"/>
            </w:r>
            <w:r w:rsidR="00564137" w:rsidRPr="00E93DDE">
              <w:rPr>
                <w:noProof/>
                <w:webHidden/>
              </w:rPr>
              <w:instrText xml:space="preserve"> PAGEREF _Toc205806299 \h </w:instrText>
            </w:r>
            <w:r w:rsidR="00564137" w:rsidRPr="00E93DDE">
              <w:rPr>
                <w:noProof/>
                <w:webHidden/>
              </w:rPr>
            </w:r>
            <w:r w:rsidR="00564137" w:rsidRPr="00E93DDE">
              <w:rPr>
                <w:noProof/>
                <w:webHidden/>
              </w:rPr>
              <w:fldChar w:fldCharType="separate"/>
            </w:r>
            <w:r w:rsidR="00564137" w:rsidRPr="00E93DDE">
              <w:rPr>
                <w:noProof/>
                <w:webHidden/>
              </w:rPr>
              <w:t>5</w:t>
            </w:r>
            <w:r w:rsidR="00564137" w:rsidRPr="00E93DDE">
              <w:rPr>
                <w:noProof/>
                <w:webHidden/>
              </w:rPr>
              <w:fldChar w:fldCharType="end"/>
            </w:r>
          </w:hyperlink>
        </w:p>
        <w:p w14:paraId="64CA79D7" w14:textId="04613FDD" w:rsidR="00564137" w:rsidRPr="00E93DDE" w:rsidRDefault="00324375">
          <w:pPr>
            <w:pStyle w:val="TM1"/>
            <w:rPr>
              <w:rFonts w:eastAsiaTheme="minorEastAsia"/>
              <w:b w:val="0"/>
              <w:noProof/>
              <w:kern w:val="0"/>
              <w:sz w:val="22"/>
              <w:szCs w:val="22"/>
              <w:lang w:eastAsia="fr-FR" w:bidi="ar-SA"/>
            </w:rPr>
          </w:pPr>
          <w:hyperlink w:anchor="_Toc205806300" w:history="1">
            <w:r w:rsidR="00564137" w:rsidRPr="00E93DDE">
              <w:rPr>
                <w:rStyle w:val="Lienhypertexte"/>
                <w:noProof/>
              </w:rPr>
              <w:t>Article 4 -</w:t>
            </w:r>
            <w:r w:rsidR="00564137" w:rsidRPr="00E93DDE">
              <w:rPr>
                <w:rFonts w:eastAsiaTheme="minorEastAsia"/>
                <w:b w:val="0"/>
                <w:noProof/>
                <w:kern w:val="0"/>
                <w:sz w:val="22"/>
                <w:szCs w:val="22"/>
                <w:lang w:eastAsia="fr-FR" w:bidi="ar-SA"/>
              </w:rPr>
              <w:tab/>
            </w:r>
            <w:r w:rsidR="00564137" w:rsidRPr="00E93DDE">
              <w:rPr>
                <w:rStyle w:val="Lienhypertexte"/>
                <w:noProof/>
              </w:rPr>
              <w:t>ETENDUE DU MARCHE ET CONTENU DES PRIX</w:t>
            </w:r>
            <w:r w:rsidR="00564137" w:rsidRPr="00E93DDE">
              <w:rPr>
                <w:noProof/>
                <w:webHidden/>
              </w:rPr>
              <w:tab/>
            </w:r>
            <w:r w:rsidR="00564137" w:rsidRPr="00E93DDE">
              <w:rPr>
                <w:noProof/>
                <w:webHidden/>
              </w:rPr>
              <w:fldChar w:fldCharType="begin"/>
            </w:r>
            <w:r w:rsidR="00564137" w:rsidRPr="00E93DDE">
              <w:rPr>
                <w:noProof/>
                <w:webHidden/>
              </w:rPr>
              <w:instrText xml:space="preserve"> PAGEREF _Toc205806300 \h </w:instrText>
            </w:r>
            <w:r w:rsidR="00564137" w:rsidRPr="00E93DDE">
              <w:rPr>
                <w:noProof/>
                <w:webHidden/>
              </w:rPr>
            </w:r>
            <w:r w:rsidR="00564137" w:rsidRPr="00E93DDE">
              <w:rPr>
                <w:noProof/>
                <w:webHidden/>
              </w:rPr>
              <w:fldChar w:fldCharType="separate"/>
            </w:r>
            <w:r w:rsidR="00564137" w:rsidRPr="00E93DDE">
              <w:rPr>
                <w:noProof/>
                <w:webHidden/>
              </w:rPr>
              <w:t>5</w:t>
            </w:r>
            <w:r w:rsidR="00564137" w:rsidRPr="00E93DDE">
              <w:rPr>
                <w:noProof/>
                <w:webHidden/>
              </w:rPr>
              <w:fldChar w:fldCharType="end"/>
            </w:r>
          </w:hyperlink>
        </w:p>
        <w:p w14:paraId="46B11BD9" w14:textId="79FFD109" w:rsidR="00564137" w:rsidRPr="00E93DDE" w:rsidRDefault="00324375">
          <w:pPr>
            <w:pStyle w:val="TM1"/>
            <w:rPr>
              <w:rFonts w:eastAsiaTheme="minorEastAsia"/>
              <w:b w:val="0"/>
              <w:noProof/>
              <w:kern w:val="0"/>
              <w:sz w:val="22"/>
              <w:szCs w:val="22"/>
              <w:lang w:eastAsia="fr-FR" w:bidi="ar-SA"/>
            </w:rPr>
          </w:pPr>
          <w:hyperlink w:anchor="_Toc205806301" w:history="1">
            <w:r w:rsidR="00564137" w:rsidRPr="00E93DDE">
              <w:rPr>
                <w:rStyle w:val="Lienhypertexte"/>
                <w:noProof/>
              </w:rPr>
              <w:t>Article 5 -</w:t>
            </w:r>
            <w:r w:rsidR="00564137" w:rsidRPr="00E93DDE">
              <w:rPr>
                <w:rFonts w:eastAsiaTheme="minorEastAsia"/>
                <w:b w:val="0"/>
                <w:noProof/>
                <w:kern w:val="0"/>
                <w:sz w:val="22"/>
                <w:szCs w:val="22"/>
                <w:lang w:eastAsia="fr-FR" w:bidi="ar-SA"/>
              </w:rPr>
              <w:tab/>
            </w:r>
            <w:r w:rsidR="00564137" w:rsidRPr="00E93DDE">
              <w:rPr>
                <w:rStyle w:val="Lienhypertexte"/>
                <w:noProof/>
              </w:rPr>
              <w:t>DUREE ET EXECUTION DU MARCHE</w:t>
            </w:r>
            <w:r w:rsidR="00564137" w:rsidRPr="00E93DDE">
              <w:rPr>
                <w:noProof/>
                <w:webHidden/>
              </w:rPr>
              <w:tab/>
            </w:r>
            <w:r w:rsidR="00564137" w:rsidRPr="00E93DDE">
              <w:rPr>
                <w:noProof/>
                <w:webHidden/>
              </w:rPr>
              <w:fldChar w:fldCharType="begin"/>
            </w:r>
            <w:r w:rsidR="00564137" w:rsidRPr="00E93DDE">
              <w:rPr>
                <w:noProof/>
                <w:webHidden/>
              </w:rPr>
              <w:instrText xml:space="preserve"> PAGEREF _Toc205806301 \h </w:instrText>
            </w:r>
            <w:r w:rsidR="00564137" w:rsidRPr="00E93DDE">
              <w:rPr>
                <w:noProof/>
                <w:webHidden/>
              </w:rPr>
            </w:r>
            <w:r w:rsidR="00564137" w:rsidRPr="00E93DDE">
              <w:rPr>
                <w:noProof/>
                <w:webHidden/>
              </w:rPr>
              <w:fldChar w:fldCharType="separate"/>
            </w:r>
            <w:r w:rsidR="00564137" w:rsidRPr="00E93DDE">
              <w:rPr>
                <w:noProof/>
                <w:webHidden/>
              </w:rPr>
              <w:t>5</w:t>
            </w:r>
            <w:r w:rsidR="00564137" w:rsidRPr="00E93DDE">
              <w:rPr>
                <w:noProof/>
                <w:webHidden/>
              </w:rPr>
              <w:fldChar w:fldCharType="end"/>
            </w:r>
          </w:hyperlink>
        </w:p>
        <w:p w14:paraId="13863F82" w14:textId="5976ECD2" w:rsidR="00564137" w:rsidRPr="00E93DDE" w:rsidRDefault="00324375">
          <w:pPr>
            <w:pStyle w:val="TM2"/>
            <w:tabs>
              <w:tab w:val="left" w:pos="880"/>
              <w:tab w:val="right" w:leader="dot" w:pos="9627"/>
            </w:tabs>
            <w:rPr>
              <w:rFonts w:ascii="Arial" w:eastAsiaTheme="minorEastAsia" w:hAnsi="Arial" w:cs="Arial"/>
              <w:noProof/>
              <w:kern w:val="0"/>
              <w:sz w:val="22"/>
              <w:szCs w:val="22"/>
              <w:lang w:eastAsia="fr-FR" w:bidi="ar-SA"/>
            </w:rPr>
          </w:pPr>
          <w:hyperlink w:anchor="_Toc205806302" w:history="1">
            <w:r w:rsidR="00564137" w:rsidRPr="00E93DDE">
              <w:rPr>
                <w:rStyle w:val="Lienhypertexte"/>
                <w:rFonts w:ascii="Arial" w:hAnsi="Arial" w:cs="Arial"/>
                <w:noProof/>
              </w:rPr>
              <w:t>5.1</w:t>
            </w:r>
            <w:r w:rsidR="00564137" w:rsidRPr="00E93DDE">
              <w:rPr>
                <w:rFonts w:ascii="Arial" w:eastAsiaTheme="minorEastAsia" w:hAnsi="Arial" w:cs="Arial"/>
                <w:noProof/>
                <w:kern w:val="0"/>
                <w:sz w:val="22"/>
                <w:szCs w:val="22"/>
                <w:lang w:eastAsia="fr-FR" w:bidi="ar-SA"/>
              </w:rPr>
              <w:tab/>
            </w:r>
            <w:r w:rsidR="00564137" w:rsidRPr="00E93DDE">
              <w:rPr>
                <w:rStyle w:val="Lienhypertexte"/>
                <w:rFonts w:ascii="Arial" w:hAnsi="Arial" w:cs="Arial"/>
                <w:noProof/>
              </w:rPr>
              <w:t>Durée du marché et délai d'exécution</w:t>
            </w:r>
            <w:r w:rsidR="00564137" w:rsidRPr="00E93DDE">
              <w:rPr>
                <w:rFonts w:ascii="Arial" w:hAnsi="Arial" w:cs="Arial"/>
                <w:noProof/>
                <w:webHidden/>
              </w:rPr>
              <w:tab/>
            </w:r>
            <w:r w:rsidR="00564137" w:rsidRPr="00E93DDE">
              <w:rPr>
                <w:rFonts w:ascii="Arial" w:hAnsi="Arial" w:cs="Arial"/>
                <w:noProof/>
                <w:webHidden/>
              </w:rPr>
              <w:fldChar w:fldCharType="begin"/>
            </w:r>
            <w:r w:rsidR="00564137" w:rsidRPr="00E93DDE">
              <w:rPr>
                <w:rFonts w:ascii="Arial" w:hAnsi="Arial" w:cs="Arial"/>
                <w:noProof/>
                <w:webHidden/>
              </w:rPr>
              <w:instrText xml:space="preserve"> PAGEREF _Toc205806302 \h </w:instrText>
            </w:r>
            <w:r w:rsidR="00564137" w:rsidRPr="00E93DDE">
              <w:rPr>
                <w:rFonts w:ascii="Arial" w:hAnsi="Arial" w:cs="Arial"/>
                <w:noProof/>
                <w:webHidden/>
              </w:rPr>
            </w:r>
            <w:r w:rsidR="00564137" w:rsidRPr="00E93DDE">
              <w:rPr>
                <w:rFonts w:ascii="Arial" w:hAnsi="Arial" w:cs="Arial"/>
                <w:noProof/>
                <w:webHidden/>
              </w:rPr>
              <w:fldChar w:fldCharType="separate"/>
            </w:r>
            <w:r w:rsidR="00564137" w:rsidRPr="00E93DDE">
              <w:rPr>
                <w:rFonts w:ascii="Arial" w:hAnsi="Arial" w:cs="Arial"/>
                <w:noProof/>
                <w:webHidden/>
              </w:rPr>
              <w:t>5</w:t>
            </w:r>
            <w:r w:rsidR="00564137" w:rsidRPr="00E93DDE">
              <w:rPr>
                <w:rFonts w:ascii="Arial" w:hAnsi="Arial" w:cs="Arial"/>
                <w:noProof/>
                <w:webHidden/>
              </w:rPr>
              <w:fldChar w:fldCharType="end"/>
            </w:r>
          </w:hyperlink>
        </w:p>
        <w:p w14:paraId="203F1261" w14:textId="49CCF641" w:rsidR="00564137" w:rsidRPr="00E93DDE" w:rsidRDefault="00324375">
          <w:pPr>
            <w:pStyle w:val="TM1"/>
            <w:rPr>
              <w:rFonts w:eastAsiaTheme="minorEastAsia"/>
              <w:b w:val="0"/>
              <w:noProof/>
              <w:kern w:val="0"/>
              <w:sz w:val="22"/>
              <w:szCs w:val="22"/>
              <w:lang w:eastAsia="fr-FR" w:bidi="ar-SA"/>
            </w:rPr>
          </w:pPr>
          <w:hyperlink w:anchor="_Toc205806303" w:history="1">
            <w:r w:rsidR="00564137" w:rsidRPr="00E93DDE">
              <w:rPr>
                <w:rStyle w:val="Lienhypertexte"/>
                <w:noProof/>
              </w:rPr>
              <w:t>Article 6 -</w:t>
            </w:r>
            <w:r w:rsidR="00564137" w:rsidRPr="00E93DDE">
              <w:rPr>
                <w:rFonts w:eastAsiaTheme="minorEastAsia"/>
                <w:b w:val="0"/>
                <w:noProof/>
                <w:kern w:val="0"/>
                <w:sz w:val="22"/>
                <w:szCs w:val="22"/>
                <w:lang w:eastAsia="fr-FR" w:bidi="ar-SA"/>
              </w:rPr>
              <w:tab/>
            </w:r>
            <w:r w:rsidR="00564137" w:rsidRPr="00E93DDE">
              <w:rPr>
                <w:rStyle w:val="Lienhypertexte"/>
                <w:noProof/>
              </w:rPr>
              <w:t>MODALITES D'EXECUTION DU MARCHE</w:t>
            </w:r>
            <w:r w:rsidR="00564137" w:rsidRPr="00E93DDE">
              <w:rPr>
                <w:noProof/>
                <w:webHidden/>
              </w:rPr>
              <w:tab/>
            </w:r>
            <w:r w:rsidR="00564137" w:rsidRPr="00E93DDE">
              <w:rPr>
                <w:noProof/>
                <w:webHidden/>
              </w:rPr>
              <w:fldChar w:fldCharType="begin"/>
            </w:r>
            <w:r w:rsidR="00564137" w:rsidRPr="00E93DDE">
              <w:rPr>
                <w:noProof/>
                <w:webHidden/>
              </w:rPr>
              <w:instrText xml:space="preserve"> PAGEREF _Toc205806303 \h </w:instrText>
            </w:r>
            <w:r w:rsidR="00564137" w:rsidRPr="00E93DDE">
              <w:rPr>
                <w:noProof/>
                <w:webHidden/>
              </w:rPr>
            </w:r>
            <w:r w:rsidR="00564137" w:rsidRPr="00E93DDE">
              <w:rPr>
                <w:noProof/>
                <w:webHidden/>
              </w:rPr>
              <w:fldChar w:fldCharType="separate"/>
            </w:r>
            <w:r w:rsidR="00564137" w:rsidRPr="00E93DDE">
              <w:rPr>
                <w:noProof/>
                <w:webHidden/>
              </w:rPr>
              <w:t>6</w:t>
            </w:r>
            <w:r w:rsidR="00564137" w:rsidRPr="00E93DDE">
              <w:rPr>
                <w:noProof/>
                <w:webHidden/>
              </w:rPr>
              <w:fldChar w:fldCharType="end"/>
            </w:r>
          </w:hyperlink>
        </w:p>
        <w:p w14:paraId="2EB0D6E6" w14:textId="6E0FC895" w:rsidR="00564137" w:rsidRPr="00E93DDE" w:rsidRDefault="00324375">
          <w:pPr>
            <w:pStyle w:val="TM2"/>
            <w:tabs>
              <w:tab w:val="left" w:pos="880"/>
              <w:tab w:val="right" w:leader="dot" w:pos="9627"/>
            </w:tabs>
            <w:rPr>
              <w:rFonts w:ascii="Arial" w:eastAsiaTheme="minorEastAsia" w:hAnsi="Arial" w:cs="Arial"/>
              <w:noProof/>
              <w:kern w:val="0"/>
              <w:sz w:val="22"/>
              <w:szCs w:val="22"/>
              <w:lang w:eastAsia="fr-FR" w:bidi="ar-SA"/>
            </w:rPr>
          </w:pPr>
          <w:hyperlink w:anchor="_Toc205806304" w:history="1">
            <w:r w:rsidR="00564137" w:rsidRPr="00E93DDE">
              <w:rPr>
                <w:rStyle w:val="Lienhypertexte"/>
                <w:rFonts w:ascii="Arial" w:hAnsi="Arial" w:cs="Arial"/>
                <w:noProof/>
              </w:rPr>
              <w:t>6.1</w:t>
            </w:r>
            <w:r w:rsidR="00564137" w:rsidRPr="00E93DDE">
              <w:rPr>
                <w:rFonts w:ascii="Arial" w:eastAsiaTheme="minorEastAsia" w:hAnsi="Arial" w:cs="Arial"/>
                <w:noProof/>
                <w:kern w:val="0"/>
                <w:sz w:val="22"/>
                <w:szCs w:val="22"/>
                <w:lang w:eastAsia="fr-FR" w:bidi="ar-SA"/>
              </w:rPr>
              <w:tab/>
            </w:r>
            <w:r w:rsidR="00564137" w:rsidRPr="00E93DDE">
              <w:rPr>
                <w:rStyle w:val="Lienhypertexte"/>
                <w:rFonts w:ascii="Arial" w:hAnsi="Arial" w:cs="Arial"/>
                <w:noProof/>
              </w:rPr>
              <w:t>Obligations du titulaire</w:t>
            </w:r>
            <w:r w:rsidR="00564137" w:rsidRPr="00E93DDE">
              <w:rPr>
                <w:rFonts w:ascii="Arial" w:hAnsi="Arial" w:cs="Arial"/>
                <w:noProof/>
                <w:webHidden/>
              </w:rPr>
              <w:tab/>
            </w:r>
            <w:r w:rsidR="00564137" w:rsidRPr="00E93DDE">
              <w:rPr>
                <w:rFonts w:ascii="Arial" w:hAnsi="Arial" w:cs="Arial"/>
                <w:noProof/>
                <w:webHidden/>
              </w:rPr>
              <w:fldChar w:fldCharType="begin"/>
            </w:r>
            <w:r w:rsidR="00564137" w:rsidRPr="00E93DDE">
              <w:rPr>
                <w:rFonts w:ascii="Arial" w:hAnsi="Arial" w:cs="Arial"/>
                <w:noProof/>
                <w:webHidden/>
              </w:rPr>
              <w:instrText xml:space="preserve"> PAGEREF _Toc205806304 \h </w:instrText>
            </w:r>
            <w:r w:rsidR="00564137" w:rsidRPr="00E93DDE">
              <w:rPr>
                <w:rFonts w:ascii="Arial" w:hAnsi="Arial" w:cs="Arial"/>
                <w:noProof/>
                <w:webHidden/>
              </w:rPr>
            </w:r>
            <w:r w:rsidR="00564137" w:rsidRPr="00E93DDE">
              <w:rPr>
                <w:rFonts w:ascii="Arial" w:hAnsi="Arial" w:cs="Arial"/>
                <w:noProof/>
                <w:webHidden/>
              </w:rPr>
              <w:fldChar w:fldCharType="separate"/>
            </w:r>
            <w:r w:rsidR="00564137" w:rsidRPr="00E93DDE">
              <w:rPr>
                <w:rFonts w:ascii="Arial" w:hAnsi="Arial" w:cs="Arial"/>
                <w:noProof/>
                <w:webHidden/>
              </w:rPr>
              <w:t>6</w:t>
            </w:r>
            <w:r w:rsidR="00564137" w:rsidRPr="00E93DDE">
              <w:rPr>
                <w:rFonts w:ascii="Arial" w:hAnsi="Arial" w:cs="Arial"/>
                <w:noProof/>
                <w:webHidden/>
              </w:rPr>
              <w:fldChar w:fldCharType="end"/>
            </w:r>
          </w:hyperlink>
        </w:p>
        <w:p w14:paraId="51311038" w14:textId="15EC1FAB" w:rsidR="00564137" w:rsidRPr="00E93DDE" w:rsidRDefault="00324375">
          <w:pPr>
            <w:pStyle w:val="TM1"/>
            <w:rPr>
              <w:rFonts w:eastAsiaTheme="minorEastAsia"/>
              <w:b w:val="0"/>
              <w:noProof/>
              <w:kern w:val="0"/>
              <w:sz w:val="22"/>
              <w:szCs w:val="22"/>
              <w:lang w:eastAsia="fr-FR" w:bidi="ar-SA"/>
            </w:rPr>
          </w:pPr>
          <w:hyperlink w:anchor="_Toc205806305" w:history="1">
            <w:r w:rsidR="00564137" w:rsidRPr="00E93DDE">
              <w:rPr>
                <w:rStyle w:val="Lienhypertexte"/>
                <w:noProof/>
              </w:rPr>
              <w:t>Article 7 -</w:t>
            </w:r>
            <w:r w:rsidR="00564137" w:rsidRPr="00E93DDE">
              <w:rPr>
                <w:rFonts w:eastAsiaTheme="minorEastAsia"/>
                <w:b w:val="0"/>
                <w:noProof/>
                <w:kern w:val="0"/>
                <w:sz w:val="22"/>
                <w:szCs w:val="22"/>
                <w:lang w:eastAsia="fr-FR" w:bidi="ar-SA"/>
              </w:rPr>
              <w:tab/>
            </w:r>
            <w:r w:rsidR="00564137" w:rsidRPr="00E93DDE">
              <w:rPr>
                <w:rStyle w:val="Lienhypertexte"/>
                <w:noProof/>
              </w:rPr>
              <w:t>PENALITES</w:t>
            </w:r>
            <w:r w:rsidR="00564137" w:rsidRPr="00E93DDE">
              <w:rPr>
                <w:noProof/>
                <w:webHidden/>
              </w:rPr>
              <w:tab/>
            </w:r>
            <w:r w:rsidR="00564137" w:rsidRPr="00E93DDE">
              <w:rPr>
                <w:noProof/>
                <w:webHidden/>
              </w:rPr>
              <w:fldChar w:fldCharType="begin"/>
            </w:r>
            <w:r w:rsidR="00564137" w:rsidRPr="00E93DDE">
              <w:rPr>
                <w:noProof/>
                <w:webHidden/>
              </w:rPr>
              <w:instrText xml:space="preserve"> PAGEREF _Toc205806305 \h </w:instrText>
            </w:r>
            <w:r w:rsidR="00564137" w:rsidRPr="00E93DDE">
              <w:rPr>
                <w:noProof/>
                <w:webHidden/>
              </w:rPr>
            </w:r>
            <w:r w:rsidR="00564137" w:rsidRPr="00E93DDE">
              <w:rPr>
                <w:noProof/>
                <w:webHidden/>
              </w:rPr>
              <w:fldChar w:fldCharType="separate"/>
            </w:r>
            <w:r w:rsidR="00564137" w:rsidRPr="00E93DDE">
              <w:rPr>
                <w:noProof/>
                <w:webHidden/>
              </w:rPr>
              <w:t>7</w:t>
            </w:r>
            <w:r w:rsidR="00564137" w:rsidRPr="00E93DDE">
              <w:rPr>
                <w:noProof/>
                <w:webHidden/>
              </w:rPr>
              <w:fldChar w:fldCharType="end"/>
            </w:r>
          </w:hyperlink>
        </w:p>
        <w:p w14:paraId="624805F0" w14:textId="5987D914" w:rsidR="00564137" w:rsidRPr="00E93DDE" w:rsidRDefault="00324375">
          <w:pPr>
            <w:pStyle w:val="TM1"/>
            <w:rPr>
              <w:rFonts w:eastAsiaTheme="minorEastAsia"/>
              <w:b w:val="0"/>
              <w:noProof/>
              <w:kern w:val="0"/>
              <w:sz w:val="22"/>
              <w:szCs w:val="22"/>
              <w:lang w:eastAsia="fr-FR" w:bidi="ar-SA"/>
            </w:rPr>
          </w:pPr>
          <w:hyperlink w:anchor="_Toc205806306" w:history="1">
            <w:r w:rsidR="00564137" w:rsidRPr="00E93DDE">
              <w:rPr>
                <w:rStyle w:val="Lienhypertexte"/>
                <w:noProof/>
              </w:rPr>
              <w:t>Article 8 -</w:t>
            </w:r>
            <w:r w:rsidR="00564137" w:rsidRPr="00E93DDE">
              <w:rPr>
                <w:rFonts w:eastAsiaTheme="minorEastAsia"/>
                <w:b w:val="0"/>
                <w:noProof/>
                <w:kern w:val="0"/>
                <w:sz w:val="22"/>
                <w:szCs w:val="22"/>
                <w:lang w:eastAsia="fr-FR" w:bidi="ar-SA"/>
              </w:rPr>
              <w:tab/>
            </w:r>
            <w:r w:rsidR="00564137" w:rsidRPr="00E93DDE">
              <w:rPr>
                <w:rStyle w:val="Lienhypertexte"/>
                <w:noProof/>
              </w:rPr>
              <w:t>REGIME FINANCIER</w:t>
            </w:r>
            <w:r w:rsidR="00564137" w:rsidRPr="00E93DDE">
              <w:rPr>
                <w:noProof/>
                <w:webHidden/>
              </w:rPr>
              <w:tab/>
            </w:r>
            <w:r w:rsidR="00564137" w:rsidRPr="00E93DDE">
              <w:rPr>
                <w:noProof/>
                <w:webHidden/>
              </w:rPr>
              <w:fldChar w:fldCharType="begin"/>
            </w:r>
            <w:r w:rsidR="00564137" w:rsidRPr="00E93DDE">
              <w:rPr>
                <w:noProof/>
                <w:webHidden/>
              </w:rPr>
              <w:instrText xml:space="preserve"> PAGEREF _Toc205806306 \h </w:instrText>
            </w:r>
            <w:r w:rsidR="00564137" w:rsidRPr="00E93DDE">
              <w:rPr>
                <w:noProof/>
                <w:webHidden/>
              </w:rPr>
            </w:r>
            <w:r w:rsidR="00564137" w:rsidRPr="00E93DDE">
              <w:rPr>
                <w:noProof/>
                <w:webHidden/>
              </w:rPr>
              <w:fldChar w:fldCharType="separate"/>
            </w:r>
            <w:r w:rsidR="00564137" w:rsidRPr="00E93DDE">
              <w:rPr>
                <w:noProof/>
                <w:webHidden/>
              </w:rPr>
              <w:t>7</w:t>
            </w:r>
            <w:r w:rsidR="00564137" w:rsidRPr="00E93DDE">
              <w:rPr>
                <w:noProof/>
                <w:webHidden/>
              </w:rPr>
              <w:fldChar w:fldCharType="end"/>
            </w:r>
          </w:hyperlink>
        </w:p>
        <w:p w14:paraId="0018C0FA" w14:textId="679EFF38" w:rsidR="00564137" w:rsidRPr="00E93DDE" w:rsidRDefault="00324375">
          <w:pPr>
            <w:pStyle w:val="TM2"/>
            <w:tabs>
              <w:tab w:val="left" w:pos="880"/>
              <w:tab w:val="right" w:leader="dot" w:pos="9627"/>
            </w:tabs>
            <w:rPr>
              <w:rFonts w:ascii="Arial" w:eastAsiaTheme="minorEastAsia" w:hAnsi="Arial" w:cs="Arial"/>
              <w:noProof/>
              <w:kern w:val="0"/>
              <w:sz w:val="22"/>
              <w:szCs w:val="22"/>
              <w:lang w:eastAsia="fr-FR" w:bidi="ar-SA"/>
            </w:rPr>
          </w:pPr>
          <w:hyperlink w:anchor="_Toc205806307" w:history="1">
            <w:r w:rsidR="00564137" w:rsidRPr="00E93DDE">
              <w:rPr>
                <w:rStyle w:val="Lienhypertexte"/>
                <w:rFonts w:ascii="Arial" w:hAnsi="Arial" w:cs="Arial"/>
                <w:noProof/>
              </w:rPr>
              <w:t>8.1</w:t>
            </w:r>
            <w:r w:rsidR="00564137" w:rsidRPr="00E93DDE">
              <w:rPr>
                <w:rFonts w:ascii="Arial" w:eastAsiaTheme="minorEastAsia" w:hAnsi="Arial" w:cs="Arial"/>
                <w:noProof/>
                <w:kern w:val="0"/>
                <w:sz w:val="22"/>
                <w:szCs w:val="22"/>
                <w:lang w:eastAsia="fr-FR" w:bidi="ar-SA"/>
              </w:rPr>
              <w:tab/>
            </w:r>
            <w:r w:rsidR="00564137" w:rsidRPr="00E93DDE">
              <w:rPr>
                <w:rStyle w:val="Lienhypertexte"/>
                <w:rFonts w:ascii="Arial" w:hAnsi="Arial" w:cs="Arial"/>
                <w:noProof/>
              </w:rPr>
              <w:t>Avances</w:t>
            </w:r>
            <w:r w:rsidR="00564137" w:rsidRPr="00E93DDE">
              <w:rPr>
                <w:rFonts w:ascii="Arial" w:hAnsi="Arial" w:cs="Arial"/>
                <w:noProof/>
                <w:webHidden/>
              </w:rPr>
              <w:tab/>
            </w:r>
            <w:r w:rsidR="00564137" w:rsidRPr="00E93DDE">
              <w:rPr>
                <w:rFonts w:ascii="Arial" w:hAnsi="Arial" w:cs="Arial"/>
                <w:noProof/>
                <w:webHidden/>
              </w:rPr>
              <w:fldChar w:fldCharType="begin"/>
            </w:r>
            <w:r w:rsidR="00564137" w:rsidRPr="00E93DDE">
              <w:rPr>
                <w:rFonts w:ascii="Arial" w:hAnsi="Arial" w:cs="Arial"/>
                <w:noProof/>
                <w:webHidden/>
              </w:rPr>
              <w:instrText xml:space="preserve"> PAGEREF _Toc205806307 \h </w:instrText>
            </w:r>
            <w:r w:rsidR="00564137" w:rsidRPr="00E93DDE">
              <w:rPr>
                <w:rFonts w:ascii="Arial" w:hAnsi="Arial" w:cs="Arial"/>
                <w:noProof/>
                <w:webHidden/>
              </w:rPr>
            </w:r>
            <w:r w:rsidR="00564137" w:rsidRPr="00E93DDE">
              <w:rPr>
                <w:rFonts w:ascii="Arial" w:hAnsi="Arial" w:cs="Arial"/>
                <w:noProof/>
                <w:webHidden/>
              </w:rPr>
              <w:fldChar w:fldCharType="separate"/>
            </w:r>
            <w:r w:rsidR="00564137" w:rsidRPr="00E93DDE">
              <w:rPr>
                <w:rFonts w:ascii="Arial" w:hAnsi="Arial" w:cs="Arial"/>
                <w:noProof/>
                <w:webHidden/>
              </w:rPr>
              <w:t>7</w:t>
            </w:r>
            <w:r w:rsidR="00564137" w:rsidRPr="00E93DDE">
              <w:rPr>
                <w:rFonts w:ascii="Arial" w:hAnsi="Arial" w:cs="Arial"/>
                <w:noProof/>
                <w:webHidden/>
              </w:rPr>
              <w:fldChar w:fldCharType="end"/>
            </w:r>
          </w:hyperlink>
        </w:p>
        <w:p w14:paraId="50AFE2CD" w14:textId="3DDCEEAA" w:rsidR="00564137" w:rsidRPr="00E93DDE" w:rsidRDefault="00324375">
          <w:pPr>
            <w:pStyle w:val="TM2"/>
            <w:tabs>
              <w:tab w:val="left" w:pos="880"/>
              <w:tab w:val="right" w:leader="dot" w:pos="9627"/>
            </w:tabs>
            <w:rPr>
              <w:rFonts w:ascii="Arial" w:eastAsiaTheme="minorEastAsia" w:hAnsi="Arial" w:cs="Arial"/>
              <w:noProof/>
              <w:kern w:val="0"/>
              <w:sz w:val="22"/>
              <w:szCs w:val="22"/>
              <w:lang w:eastAsia="fr-FR" w:bidi="ar-SA"/>
            </w:rPr>
          </w:pPr>
          <w:hyperlink w:anchor="_Toc205806308" w:history="1">
            <w:r w:rsidR="00564137" w:rsidRPr="00E93DDE">
              <w:rPr>
                <w:rStyle w:val="Lienhypertexte"/>
                <w:rFonts w:ascii="Arial" w:hAnsi="Arial" w:cs="Arial"/>
                <w:noProof/>
              </w:rPr>
              <w:t>8.2</w:t>
            </w:r>
            <w:r w:rsidR="00564137" w:rsidRPr="00E93DDE">
              <w:rPr>
                <w:rFonts w:ascii="Arial" w:eastAsiaTheme="minorEastAsia" w:hAnsi="Arial" w:cs="Arial"/>
                <w:noProof/>
                <w:kern w:val="0"/>
                <w:sz w:val="22"/>
                <w:szCs w:val="22"/>
                <w:lang w:eastAsia="fr-FR" w:bidi="ar-SA"/>
              </w:rPr>
              <w:tab/>
            </w:r>
            <w:r w:rsidR="00564137" w:rsidRPr="00E93DDE">
              <w:rPr>
                <w:rStyle w:val="Lienhypertexte"/>
                <w:rFonts w:ascii="Arial" w:hAnsi="Arial" w:cs="Arial"/>
                <w:noProof/>
              </w:rPr>
              <w:t>Acomptes</w:t>
            </w:r>
            <w:r w:rsidR="00564137" w:rsidRPr="00E93DDE">
              <w:rPr>
                <w:rFonts w:ascii="Arial" w:hAnsi="Arial" w:cs="Arial"/>
                <w:noProof/>
                <w:webHidden/>
              </w:rPr>
              <w:tab/>
            </w:r>
            <w:r w:rsidR="00564137" w:rsidRPr="00E93DDE">
              <w:rPr>
                <w:rFonts w:ascii="Arial" w:hAnsi="Arial" w:cs="Arial"/>
                <w:noProof/>
                <w:webHidden/>
              </w:rPr>
              <w:fldChar w:fldCharType="begin"/>
            </w:r>
            <w:r w:rsidR="00564137" w:rsidRPr="00E93DDE">
              <w:rPr>
                <w:rFonts w:ascii="Arial" w:hAnsi="Arial" w:cs="Arial"/>
                <w:noProof/>
                <w:webHidden/>
              </w:rPr>
              <w:instrText xml:space="preserve"> PAGEREF _Toc205806308 \h </w:instrText>
            </w:r>
            <w:r w:rsidR="00564137" w:rsidRPr="00E93DDE">
              <w:rPr>
                <w:rFonts w:ascii="Arial" w:hAnsi="Arial" w:cs="Arial"/>
                <w:noProof/>
                <w:webHidden/>
              </w:rPr>
            </w:r>
            <w:r w:rsidR="00564137" w:rsidRPr="00E93DDE">
              <w:rPr>
                <w:rFonts w:ascii="Arial" w:hAnsi="Arial" w:cs="Arial"/>
                <w:noProof/>
                <w:webHidden/>
              </w:rPr>
              <w:fldChar w:fldCharType="separate"/>
            </w:r>
            <w:r w:rsidR="00564137" w:rsidRPr="00E93DDE">
              <w:rPr>
                <w:rFonts w:ascii="Arial" w:hAnsi="Arial" w:cs="Arial"/>
                <w:noProof/>
                <w:webHidden/>
              </w:rPr>
              <w:t>7</w:t>
            </w:r>
            <w:r w:rsidR="00564137" w:rsidRPr="00E93DDE">
              <w:rPr>
                <w:rFonts w:ascii="Arial" w:hAnsi="Arial" w:cs="Arial"/>
                <w:noProof/>
                <w:webHidden/>
              </w:rPr>
              <w:fldChar w:fldCharType="end"/>
            </w:r>
          </w:hyperlink>
        </w:p>
        <w:p w14:paraId="069CC438" w14:textId="4344F4FC" w:rsidR="00564137" w:rsidRPr="00E93DDE" w:rsidRDefault="00324375">
          <w:pPr>
            <w:pStyle w:val="TM2"/>
            <w:tabs>
              <w:tab w:val="left" w:pos="880"/>
              <w:tab w:val="right" w:leader="dot" w:pos="9627"/>
            </w:tabs>
            <w:rPr>
              <w:rFonts w:ascii="Arial" w:eastAsiaTheme="minorEastAsia" w:hAnsi="Arial" w:cs="Arial"/>
              <w:noProof/>
              <w:kern w:val="0"/>
              <w:sz w:val="22"/>
              <w:szCs w:val="22"/>
              <w:lang w:eastAsia="fr-FR" w:bidi="ar-SA"/>
            </w:rPr>
          </w:pPr>
          <w:hyperlink w:anchor="_Toc205806309" w:history="1">
            <w:r w:rsidR="00564137" w:rsidRPr="00E93DDE">
              <w:rPr>
                <w:rStyle w:val="Lienhypertexte"/>
                <w:rFonts w:ascii="Arial" w:hAnsi="Arial" w:cs="Arial"/>
                <w:noProof/>
              </w:rPr>
              <w:t>8.3</w:t>
            </w:r>
            <w:r w:rsidR="00564137" w:rsidRPr="00E93DDE">
              <w:rPr>
                <w:rFonts w:ascii="Arial" w:eastAsiaTheme="minorEastAsia" w:hAnsi="Arial" w:cs="Arial"/>
                <w:noProof/>
                <w:kern w:val="0"/>
                <w:sz w:val="22"/>
                <w:szCs w:val="22"/>
                <w:lang w:eastAsia="fr-FR" w:bidi="ar-SA"/>
              </w:rPr>
              <w:tab/>
            </w:r>
            <w:r w:rsidR="00564137" w:rsidRPr="00E93DDE">
              <w:rPr>
                <w:rStyle w:val="Lienhypertexte"/>
                <w:rFonts w:ascii="Arial" w:hAnsi="Arial" w:cs="Arial"/>
                <w:noProof/>
              </w:rPr>
              <w:t>Variation des prix</w:t>
            </w:r>
            <w:r w:rsidR="00564137" w:rsidRPr="00E93DDE">
              <w:rPr>
                <w:rFonts w:ascii="Arial" w:hAnsi="Arial" w:cs="Arial"/>
                <w:noProof/>
                <w:webHidden/>
              </w:rPr>
              <w:tab/>
            </w:r>
            <w:r w:rsidR="00564137" w:rsidRPr="00E93DDE">
              <w:rPr>
                <w:rFonts w:ascii="Arial" w:hAnsi="Arial" w:cs="Arial"/>
                <w:noProof/>
                <w:webHidden/>
              </w:rPr>
              <w:fldChar w:fldCharType="begin"/>
            </w:r>
            <w:r w:rsidR="00564137" w:rsidRPr="00E93DDE">
              <w:rPr>
                <w:rFonts w:ascii="Arial" w:hAnsi="Arial" w:cs="Arial"/>
                <w:noProof/>
                <w:webHidden/>
              </w:rPr>
              <w:instrText xml:space="preserve"> PAGEREF _Toc205806309 \h </w:instrText>
            </w:r>
            <w:r w:rsidR="00564137" w:rsidRPr="00E93DDE">
              <w:rPr>
                <w:rFonts w:ascii="Arial" w:hAnsi="Arial" w:cs="Arial"/>
                <w:noProof/>
                <w:webHidden/>
              </w:rPr>
            </w:r>
            <w:r w:rsidR="00564137" w:rsidRPr="00E93DDE">
              <w:rPr>
                <w:rFonts w:ascii="Arial" w:hAnsi="Arial" w:cs="Arial"/>
                <w:noProof/>
                <w:webHidden/>
              </w:rPr>
              <w:fldChar w:fldCharType="separate"/>
            </w:r>
            <w:r w:rsidR="00564137" w:rsidRPr="00E93DDE">
              <w:rPr>
                <w:rFonts w:ascii="Arial" w:hAnsi="Arial" w:cs="Arial"/>
                <w:noProof/>
                <w:webHidden/>
              </w:rPr>
              <w:t>7</w:t>
            </w:r>
            <w:r w:rsidR="00564137" w:rsidRPr="00E93DDE">
              <w:rPr>
                <w:rFonts w:ascii="Arial" w:hAnsi="Arial" w:cs="Arial"/>
                <w:noProof/>
                <w:webHidden/>
              </w:rPr>
              <w:fldChar w:fldCharType="end"/>
            </w:r>
          </w:hyperlink>
        </w:p>
        <w:p w14:paraId="47204F1E" w14:textId="0DF038FE" w:rsidR="00564137" w:rsidRPr="00E93DDE" w:rsidRDefault="00324375">
          <w:pPr>
            <w:pStyle w:val="TM2"/>
            <w:tabs>
              <w:tab w:val="left" w:pos="880"/>
              <w:tab w:val="right" w:leader="dot" w:pos="9627"/>
            </w:tabs>
            <w:rPr>
              <w:rFonts w:ascii="Arial" w:eastAsiaTheme="minorEastAsia" w:hAnsi="Arial" w:cs="Arial"/>
              <w:noProof/>
              <w:kern w:val="0"/>
              <w:sz w:val="22"/>
              <w:szCs w:val="22"/>
              <w:lang w:eastAsia="fr-FR" w:bidi="ar-SA"/>
            </w:rPr>
          </w:pPr>
          <w:hyperlink w:anchor="_Toc205806310" w:history="1">
            <w:r w:rsidR="00564137" w:rsidRPr="00E93DDE">
              <w:rPr>
                <w:rStyle w:val="Lienhypertexte"/>
                <w:rFonts w:ascii="Arial" w:hAnsi="Arial" w:cs="Arial"/>
                <w:noProof/>
              </w:rPr>
              <w:t>8.4</w:t>
            </w:r>
            <w:r w:rsidR="00564137" w:rsidRPr="00E93DDE">
              <w:rPr>
                <w:rFonts w:ascii="Arial" w:eastAsiaTheme="minorEastAsia" w:hAnsi="Arial" w:cs="Arial"/>
                <w:noProof/>
                <w:kern w:val="0"/>
                <w:sz w:val="22"/>
                <w:szCs w:val="22"/>
                <w:lang w:eastAsia="fr-FR" w:bidi="ar-SA"/>
              </w:rPr>
              <w:tab/>
            </w:r>
            <w:r w:rsidR="00564137" w:rsidRPr="00E93DDE">
              <w:rPr>
                <w:rStyle w:val="Lienhypertexte"/>
                <w:rFonts w:ascii="Arial" w:hAnsi="Arial" w:cs="Arial"/>
                <w:noProof/>
              </w:rPr>
              <w:t>Informations comptables</w:t>
            </w:r>
            <w:r w:rsidR="00564137" w:rsidRPr="00E93DDE">
              <w:rPr>
                <w:rFonts w:ascii="Arial" w:hAnsi="Arial" w:cs="Arial"/>
                <w:noProof/>
                <w:webHidden/>
              </w:rPr>
              <w:tab/>
            </w:r>
            <w:r w:rsidR="00564137" w:rsidRPr="00E93DDE">
              <w:rPr>
                <w:rFonts w:ascii="Arial" w:hAnsi="Arial" w:cs="Arial"/>
                <w:noProof/>
                <w:webHidden/>
              </w:rPr>
              <w:fldChar w:fldCharType="begin"/>
            </w:r>
            <w:r w:rsidR="00564137" w:rsidRPr="00E93DDE">
              <w:rPr>
                <w:rFonts w:ascii="Arial" w:hAnsi="Arial" w:cs="Arial"/>
                <w:noProof/>
                <w:webHidden/>
              </w:rPr>
              <w:instrText xml:space="preserve"> PAGEREF _Toc205806310 \h </w:instrText>
            </w:r>
            <w:r w:rsidR="00564137" w:rsidRPr="00E93DDE">
              <w:rPr>
                <w:rFonts w:ascii="Arial" w:hAnsi="Arial" w:cs="Arial"/>
                <w:noProof/>
                <w:webHidden/>
              </w:rPr>
            </w:r>
            <w:r w:rsidR="00564137" w:rsidRPr="00E93DDE">
              <w:rPr>
                <w:rFonts w:ascii="Arial" w:hAnsi="Arial" w:cs="Arial"/>
                <w:noProof/>
                <w:webHidden/>
              </w:rPr>
              <w:fldChar w:fldCharType="separate"/>
            </w:r>
            <w:r w:rsidR="00564137" w:rsidRPr="00E93DDE">
              <w:rPr>
                <w:rFonts w:ascii="Arial" w:hAnsi="Arial" w:cs="Arial"/>
                <w:noProof/>
                <w:webHidden/>
              </w:rPr>
              <w:t>8</w:t>
            </w:r>
            <w:r w:rsidR="00564137" w:rsidRPr="00E93DDE">
              <w:rPr>
                <w:rFonts w:ascii="Arial" w:hAnsi="Arial" w:cs="Arial"/>
                <w:noProof/>
                <w:webHidden/>
              </w:rPr>
              <w:fldChar w:fldCharType="end"/>
            </w:r>
          </w:hyperlink>
        </w:p>
        <w:p w14:paraId="3D880345" w14:textId="5E5A6BDC" w:rsidR="00564137" w:rsidRPr="00E93DDE" w:rsidRDefault="00324375">
          <w:pPr>
            <w:pStyle w:val="TM2"/>
            <w:tabs>
              <w:tab w:val="left" w:pos="880"/>
              <w:tab w:val="right" w:leader="dot" w:pos="9627"/>
            </w:tabs>
            <w:rPr>
              <w:rFonts w:ascii="Arial" w:eastAsiaTheme="minorEastAsia" w:hAnsi="Arial" w:cs="Arial"/>
              <w:noProof/>
              <w:kern w:val="0"/>
              <w:sz w:val="22"/>
              <w:szCs w:val="22"/>
              <w:lang w:eastAsia="fr-FR" w:bidi="ar-SA"/>
            </w:rPr>
          </w:pPr>
          <w:hyperlink w:anchor="_Toc205806311" w:history="1">
            <w:r w:rsidR="00564137" w:rsidRPr="00E93DDE">
              <w:rPr>
                <w:rStyle w:val="Lienhypertexte"/>
                <w:rFonts w:ascii="Arial" w:hAnsi="Arial" w:cs="Arial"/>
                <w:noProof/>
              </w:rPr>
              <w:t>8.5</w:t>
            </w:r>
            <w:r w:rsidR="00564137" w:rsidRPr="00E93DDE">
              <w:rPr>
                <w:rFonts w:ascii="Arial" w:eastAsiaTheme="minorEastAsia" w:hAnsi="Arial" w:cs="Arial"/>
                <w:noProof/>
                <w:kern w:val="0"/>
                <w:sz w:val="22"/>
                <w:szCs w:val="22"/>
                <w:lang w:eastAsia="fr-FR" w:bidi="ar-SA"/>
              </w:rPr>
              <w:tab/>
            </w:r>
            <w:r w:rsidR="00564137" w:rsidRPr="00E93DDE">
              <w:rPr>
                <w:rStyle w:val="Lienhypertexte"/>
                <w:rFonts w:ascii="Arial" w:hAnsi="Arial" w:cs="Arial"/>
                <w:noProof/>
              </w:rPr>
              <w:t>Modalités de facturation</w:t>
            </w:r>
            <w:r w:rsidR="00564137" w:rsidRPr="00E93DDE">
              <w:rPr>
                <w:rFonts w:ascii="Arial" w:hAnsi="Arial" w:cs="Arial"/>
                <w:noProof/>
                <w:webHidden/>
              </w:rPr>
              <w:tab/>
            </w:r>
            <w:r w:rsidR="00564137" w:rsidRPr="00E93DDE">
              <w:rPr>
                <w:rFonts w:ascii="Arial" w:hAnsi="Arial" w:cs="Arial"/>
                <w:noProof/>
                <w:webHidden/>
              </w:rPr>
              <w:fldChar w:fldCharType="begin"/>
            </w:r>
            <w:r w:rsidR="00564137" w:rsidRPr="00E93DDE">
              <w:rPr>
                <w:rFonts w:ascii="Arial" w:hAnsi="Arial" w:cs="Arial"/>
                <w:noProof/>
                <w:webHidden/>
              </w:rPr>
              <w:instrText xml:space="preserve"> PAGEREF _Toc205806311 \h </w:instrText>
            </w:r>
            <w:r w:rsidR="00564137" w:rsidRPr="00E93DDE">
              <w:rPr>
                <w:rFonts w:ascii="Arial" w:hAnsi="Arial" w:cs="Arial"/>
                <w:noProof/>
                <w:webHidden/>
              </w:rPr>
            </w:r>
            <w:r w:rsidR="00564137" w:rsidRPr="00E93DDE">
              <w:rPr>
                <w:rFonts w:ascii="Arial" w:hAnsi="Arial" w:cs="Arial"/>
                <w:noProof/>
                <w:webHidden/>
              </w:rPr>
              <w:fldChar w:fldCharType="separate"/>
            </w:r>
            <w:r w:rsidR="00564137" w:rsidRPr="00E93DDE">
              <w:rPr>
                <w:rFonts w:ascii="Arial" w:hAnsi="Arial" w:cs="Arial"/>
                <w:noProof/>
                <w:webHidden/>
              </w:rPr>
              <w:t>8</w:t>
            </w:r>
            <w:r w:rsidR="00564137" w:rsidRPr="00E93DDE">
              <w:rPr>
                <w:rFonts w:ascii="Arial" w:hAnsi="Arial" w:cs="Arial"/>
                <w:noProof/>
                <w:webHidden/>
              </w:rPr>
              <w:fldChar w:fldCharType="end"/>
            </w:r>
          </w:hyperlink>
        </w:p>
        <w:p w14:paraId="25F251F3" w14:textId="31F0C69D" w:rsidR="00564137" w:rsidRPr="00E93DDE" w:rsidRDefault="00324375">
          <w:pPr>
            <w:pStyle w:val="TM1"/>
            <w:rPr>
              <w:rFonts w:eastAsiaTheme="minorEastAsia"/>
              <w:b w:val="0"/>
              <w:noProof/>
              <w:kern w:val="0"/>
              <w:sz w:val="22"/>
              <w:szCs w:val="22"/>
              <w:lang w:eastAsia="fr-FR" w:bidi="ar-SA"/>
            </w:rPr>
          </w:pPr>
          <w:hyperlink w:anchor="_Toc205806312" w:history="1">
            <w:r w:rsidR="00564137" w:rsidRPr="00E93DDE">
              <w:rPr>
                <w:rStyle w:val="Lienhypertexte"/>
                <w:noProof/>
              </w:rPr>
              <w:t>Article 9 -</w:t>
            </w:r>
            <w:r w:rsidR="00564137" w:rsidRPr="00E93DDE">
              <w:rPr>
                <w:rFonts w:eastAsiaTheme="minorEastAsia"/>
                <w:b w:val="0"/>
                <w:noProof/>
                <w:kern w:val="0"/>
                <w:sz w:val="22"/>
                <w:szCs w:val="22"/>
                <w:lang w:eastAsia="fr-FR" w:bidi="ar-SA"/>
              </w:rPr>
              <w:tab/>
            </w:r>
            <w:r w:rsidR="00564137" w:rsidRPr="00E93DDE">
              <w:rPr>
                <w:rStyle w:val="Lienhypertexte"/>
                <w:noProof/>
              </w:rPr>
              <w:t>DISPOSITIONS DIVERSES</w:t>
            </w:r>
            <w:r w:rsidR="00564137" w:rsidRPr="00E93DDE">
              <w:rPr>
                <w:noProof/>
                <w:webHidden/>
              </w:rPr>
              <w:tab/>
            </w:r>
            <w:r w:rsidR="00564137" w:rsidRPr="00E93DDE">
              <w:rPr>
                <w:noProof/>
                <w:webHidden/>
              </w:rPr>
              <w:fldChar w:fldCharType="begin"/>
            </w:r>
            <w:r w:rsidR="00564137" w:rsidRPr="00E93DDE">
              <w:rPr>
                <w:noProof/>
                <w:webHidden/>
              </w:rPr>
              <w:instrText xml:space="preserve"> PAGEREF _Toc205806312 \h </w:instrText>
            </w:r>
            <w:r w:rsidR="00564137" w:rsidRPr="00E93DDE">
              <w:rPr>
                <w:noProof/>
                <w:webHidden/>
              </w:rPr>
            </w:r>
            <w:r w:rsidR="00564137" w:rsidRPr="00E93DDE">
              <w:rPr>
                <w:noProof/>
                <w:webHidden/>
              </w:rPr>
              <w:fldChar w:fldCharType="separate"/>
            </w:r>
            <w:r w:rsidR="00564137" w:rsidRPr="00E93DDE">
              <w:rPr>
                <w:noProof/>
                <w:webHidden/>
              </w:rPr>
              <w:t>10</w:t>
            </w:r>
            <w:r w:rsidR="00564137" w:rsidRPr="00E93DDE">
              <w:rPr>
                <w:noProof/>
                <w:webHidden/>
              </w:rPr>
              <w:fldChar w:fldCharType="end"/>
            </w:r>
          </w:hyperlink>
        </w:p>
        <w:p w14:paraId="5C3E8F9F" w14:textId="537B6BAE" w:rsidR="00564137" w:rsidRPr="00E93DDE" w:rsidRDefault="00324375">
          <w:pPr>
            <w:pStyle w:val="TM2"/>
            <w:tabs>
              <w:tab w:val="left" w:pos="880"/>
              <w:tab w:val="right" w:leader="dot" w:pos="9627"/>
            </w:tabs>
            <w:rPr>
              <w:rFonts w:ascii="Arial" w:eastAsiaTheme="minorEastAsia" w:hAnsi="Arial" w:cs="Arial"/>
              <w:noProof/>
              <w:kern w:val="0"/>
              <w:sz w:val="22"/>
              <w:szCs w:val="22"/>
              <w:lang w:eastAsia="fr-FR" w:bidi="ar-SA"/>
            </w:rPr>
          </w:pPr>
          <w:hyperlink w:anchor="_Toc205806313" w:history="1">
            <w:r w:rsidR="00564137" w:rsidRPr="00E93DDE">
              <w:rPr>
                <w:rStyle w:val="Lienhypertexte"/>
                <w:rFonts w:ascii="Arial" w:hAnsi="Arial" w:cs="Arial"/>
                <w:noProof/>
              </w:rPr>
              <w:t>9.1</w:t>
            </w:r>
            <w:r w:rsidR="00564137" w:rsidRPr="00E93DDE">
              <w:rPr>
                <w:rFonts w:ascii="Arial" w:eastAsiaTheme="minorEastAsia" w:hAnsi="Arial" w:cs="Arial"/>
                <w:noProof/>
                <w:kern w:val="0"/>
                <w:sz w:val="22"/>
                <w:szCs w:val="22"/>
                <w:lang w:eastAsia="fr-FR" w:bidi="ar-SA"/>
              </w:rPr>
              <w:tab/>
            </w:r>
            <w:r w:rsidR="00564137" w:rsidRPr="00E93DDE">
              <w:rPr>
                <w:rStyle w:val="Lienhypertexte"/>
                <w:rFonts w:ascii="Arial" w:hAnsi="Arial" w:cs="Arial"/>
                <w:noProof/>
              </w:rPr>
              <w:t>Assurances</w:t>
            </w:r>
            <w:r w:rsidR="00564137" w:rsidRPr="00E93DDE">
              <w:rPr>
                <w:rFonts w:ascii="Arial" w:hAnsi="Arial" w:cs="Arial"/>
                <w:noProof/>
                <w:webHidden/>
              </w:rPr>
              <w:tab/>
            </w:r>
            <w:r w:rsidR="00564137" w:rsidRPr="00E93DDE">
              <w:rPr>
                <w:rFonts w:ascii="Arial" w:hAnsi="Arial" w:cs="Arial"/>
                <w:noProof/>
                <w:webHidden/>
              </w:rPr>
              <w:fldChar w:fldCharType="begin"/>
            </w:r>
            <w:r w:rsidR="00564137" w:rsidRPr="00E93DDE">
              <w:rPr>
                <w:rFonts w:ascii="Arial" w:hAnsi="Arial" w:cs="Arial"/>
                <w:noProof/>
                <w:webHidden/>
              </w:rPr>
              <w:instrText xml:space="preserve"> PAGEREF _Toc205806313 \h </w:instrText>
            </w:r>
            <w:r w:rsidR="00564137" w:rsidRPr="00E93DDE">
              <w:rPr>
                <w:rFonts w:ascii="Arial" w:hAnsi="Arial" w:cs="Arial"/>
                <w:noProof/>
                <w:webHidden/>
              </w:rPr>
            </w:r>
            <w:r w:rsidR="00564137" w:rsidRPr="00E93DDE">
              <w:rPr>
                <w:rFonts w:ascii="Arial" w:hAnsi="Arial" w:cs="Arial"/>
                <w:noProof/>
                <w:webHidden/>
              </w:rPr>
              <w:fldChar w:fldCharType="separate"/>
            </w:r>
            <w:r w:rsidR="00564137" w:rsidRPr="00E93DDE">
              <w:rPr>
                <w:rFonts w:ascii="Arial" w:hAnsi="Arial" w:cs="Arial"/>
                <w:noProof/>
                <w:webHidden/>
              </w:rPr>
              <w:t>10</w:t>
            </w:r>
            <w:r w:rsidR="00564137" w:rsidRPr="00E93DDE">
              <w:rPr>
                <w:rFonts w:ascii="Arial" w:hAnsi="Arial" w:cs="Arial"/>
                <w:noProof/>
                <w:webHidden/>
              </w:rPr>
              <w:fldChar w:fldCharType="end"/>
            </w:r>
          </w:hyperlink>
        </w:p>
        <w:p w14:paraId="6718B760" w14:textId="151972CF" w:rsidR="00564137" w:rsidRPr="00E93DDE" w:rsidRDefault="00324375">
          <w:pPr>
            <w:pStyle w:val="TM2"/>
            <w:tabs>
              <w:tab w:val="left" w:pos="880"/>
              <w:tab w:val="right" w:leader="dot" w:pos="9627"/>
            </w:tabs>
            <w:rPr>
              <w:rFonts w:ascii="Arial" w:eastAsiaTheme="minorEastAsia" w:hAnsi="Arial" w:cs="Arial"/>
              <w:noProof/>
              <w:kern w:val="0"/>
              <w:sz w:val="22"/>
              <w:szCs w:val="22"/>
              <w:lang w:eastAsia="fr-FR" w:bidi="ar-SA"/>
            </w:rPr>
          </w:pPr>
          <w:hyperlink w:anchor="_Toc205806314" w:history="1">
            <w:r w:rsidR="00564137" w:rsidRPr="00E93DDE">
              <w:rPr>
                <w:rStyle w:val="Lienhypertexte"/>
                <w:rFonts w:ascii="Arial" w:hAnsi="Arial" w:cs="Arial"/>
                <w:noProof/>
              </w:rPr>
              <w:t>9.2</w:t>
            </w:r>
            <w:r w:rsidR="00564137" w:rsidRPr="00E93DDE">
              <w:rPr>
                <w:rFonts w:ascii="Arial" w:eastAsiaTheme="minorEastAsia" w:hAnsi="Arial" w:cs="Arial"/>
                <w:noProof/>
                <w:kern w:val="0"/>
                <w:sz w:val="22"/>
                <w:szCs w:val="22"/>
                <w:lang w:eastAsia="fr-FR" w:bidi="ar-SA"/>
              </w:rPr>
              <w:tab/>
            </w:r>
            <w:r w:rsidR="00564137" w:rsidRPr="00E93DDE">
              <w:rPr>
                <w:rStyle w:val="Lienhypertexte"/>
                <w:rFonts w:ascii="Arial" w:hAnsi="Arial" w:cs="Arial"/>
                <w:noProof/>
              </w:rPr>
              <w:t>Changement affectant le titulaire</w:t>
            </w:r>
            <w:r w:rsidR="00564137" w:rsidRPr="00E93DDE">
              <w:rPr>
                <w:rFonts w:ascii="Arial" w:hAnsi="Arial" w:cs="Arial"/>
                <w:noProof/>
                <w:webHidden/>
              </w:rPr>
              <w:tab/>
            </w:r>
            <w:r w:rsidR="00564137" w:rsidRPr="00E93DDE">
              <w:rPr>
                <w:rFonts w:ascii="Arial" w:hAnsi="Arial" w:cs="Arial"/>
                <w:noProof/>
                <w:webHidden/>
              </w:rPr>
              <w:fldChar w:fldCharType="begin"/>
            </w:r>
            <w:r w:rsidR="00564137" w:rsidRPr="00E93DDE">
              <w:rPr>
                <w:rFonts w:ascii="Arial" w:hAnsi="Arial" w:cs="Arial"/>
                <w:noProof/>
                <w:webHidden/>
              </w:rPr>
              <w:instrText xml:space="preserve"> PAGEREF _Toc205806314 \h </w:instrText>
            </w:r>
            <w:r w:rsidR="00564137" w:rsidRPr="00E93DDE">
              <w:rPr>
                <w:rFonts w:ascii="Arial" w:hAnsi="Arial" w:cs="Arial"/>
                <w:noProof/>
                <w:webHidden/>
              </w:rPr>
            </w:r>
            <w:r w:rsidR="00564137" w:rsidRPr="00E93DDE">
              <w:rPr>
                <w:rFonts w:ascii="Arial" w:hAnsi="Arial" w:cs="Arial"/>
                <w:noProof/>
                <w:webHidden/>
              </w:rPr>
              <w:fldChar w:fldCharType="separate"/>
            </w:r>
            <w:r w:rsidR="00564137" w:rsidRPr="00E93DDE">
              <w:rPr>
                <w:rFonts w:ascii="Arial" w:hAnsi="Arial" w:cs="Arial"/>
                <w:noProof/>
                <w:webHidden/>
              </w:rPr>
              <w:t>10</w:t>
            </w:r>
            <w:r w:rsidR="00564137" w:rsidRPr="00E93DDE">
              <w:rPr>
                <w:rFonts w:ascii="Arial" w:hAnsi="Arial" w:cs="Arial"/>
                <w:noProof/>
                <w:webHidden/>
              </w:rPr>
              <w:fldChar w:fldCharType="end"/>
            </w:r>
          </w:hyperlink>
        </w:p>
        <w:p w14:paraId="3A3FDE4E" w14:textId="2F1BAFD4" w:rsidR="00564137" w:rsidRPr="00E93DDE" w:rsidRDefault="00324375">
          <w:pPr>
            <w:pStyle w:val="TM2"/>
            <w:tabs>
              <w:tab w:val="left" w:pos="880"/>
              <w:tab w:val="right" w:leader="dot" w:pos="9627"/>
            </w:tabs>
            <w:rPr>
              <w:rFonts w:ascii="Arial" w:eastAsiaTheme="minorEastAsia" w:hAnsi="Arial" w:cs="Arial"/>
              <w:noProof/>
              <w:kern w:val="0"/>
              <w:sz w:val="22"/>
              <w:szCs w:val="22"/>
              <w:lang w:eastAsia="fr-FR" w:bidi="ar-SA"/>
            </w:rPr>
          </w:pPr>
          <w:hyperlink w:anchor="_Toc205806315" w:history="1">
            <w:r w:rsidR="00564137" w:rsidRPr="00E93DDE">
              <w:rPr>
                <w:rStyle w:val="Lienhypertexte"/>
                <w:rFonts w:ascii="Arial" w:hAnsi="Arial" w:cs="Arial"/>
                <w:noProof/>
              </w:rPr>
              <w:t>9.3</w:t>
            </w:r>
            <w:r w:rsidR="00564137" w:rsidRPr="00E93DDE">
              <w:rPr>
                <w:rFonts w:ascii="Arial" w:eastAsiaTheme="minorEastAsia" w:hAnsi="Arial" w:cs="Arial"/>
                <w:noProof/>
                <w:kern w:val="0"/>
                <w:sz w:val="22"/>
                <w:szCs w:val="22"/>
                <w:lang w:eastAsia="fr-FR" w:bidi="ar-SA"/>
              </w:rPr>
              <w:tab/>
            </w:r>
            <w:r w:rsidR="00564137" w:rsidRPr="00E93DDE">
              <w:rPr>
                <w:rStyle w:val="Lienhypertexte"/>
                <w:rFonts w:ascii="Arial" w:hAnsi="Arial" w:cs="Arial"/>
                <w:noProof/>
              </w:rPr>
              <w:t>Résiliation</w:t>
            </w:r>
            <w:r w:rsidR="00564137" w:rsidRPr="00E93DDE">
              <w:rPr>
                <w:rFonts w:ascii="Arial" w:hAnsi="Arial" w:cs="Arial"/>
                <w:noProof/>
                <w:webHidden/>
              </w:rPr>
              <w:tab/>
            </w:r>
            <w:r w:rsidR="00564137" w:rsidRPr="00E93DDE">
              <w:rPr>
                <w:rFonts w:ascii="Arial" w:hAnsi="Arial" w:cs="Arial"/>
                <w:noProof/>
                <w:webHidden/>
              </w:rPr>
              <w:fldChar w:fldCharType="begin"/>
            </w:r>
            <w:r w:rsidR="00564137" w:rsidRPr="00E93DDE">
              <w:rPr>
                <w:rFonts w:ascii="Arial" w:hAnsi="Arial" w:cs="Arial"/>
                <w:noProof/>
                <w:webHidden/>
              </w:rPr>
              <w:instrText xml:space="preserve"> PAGEREF _Toc205806315 \h </w:instrText>
            </w:r>
            <w:r w:rsidR="00564137" w:rsidRPr="00E93DDE">
              <w:rPr>
                <w:rFonts w:ascii="Arial" w:hAnsi="Arial" w:cs="Arial"/>
                <w:noProof/>
                <w:webHidden/>
              </w:rPr>
            </w:r>
            <w:r w:rsidR="00564137" w:rsidRPr="00E93DDE">
              <w:rPr>
                <w:rFonts w:ascii="Arial" w:hAnsi="Arial" w:cs="Arial"/>
                <w:noProof/>
                <w:webHidden/>
              </w:rPr>
              <w:fldChar w:fldCharType="separate"/>
            </w:r>
            <w:r w:rsidR="00564137" w:rsidRPr="00E93DDE">
              <w:rPr>
                <w:rFonts w:ascii="Arial" w:hAnsi="Arial" w:cs="Arial"/>
                <w:noProof/>
                <w:webHidden/>
              </w:rPr>
              <w:t>10</w:t>
            </w:r>
            <w:r w:rsidR="00564137" w:rsidRPr="00E93DDE">
              <w:rPr>
                <w:rFonts w:ascii="Arial" w:hAnsi="Arial" w:cs="Arial"/>
                <w:noProof/>
                <w:webHidden/>
              </w:rPr>
              <w:fldChar w:fldCharType="end"/>
            </w:r>
          </w:hyperlink>
        </w:p>
        <w:p w14:paraId="3F40168D" w14:textId="670D0A8E" w:rsidR="00564137" w:rsidRPr="00E93DDE" w:rsidRDefault="00324375">
          <w:pPr>
            <w:pStyle w:val="TM2"/>
            <w:tabs>
              <w:tab w:val="left" w:pos="880"/>
              <w:tab w:val="right" w:leader="dot" w:pos="9627"/>
            </w:tabs>
            <w:rPr>
              <w:rFonts w:ascii="Arial" w:eastAsiaTheme="minorEastAsia" w:hAnsi="Arial" w:cs="Arial"/>
              <w:noProof/>
              <w:kern w:val="0"/>
              <w:sz w:val="22"/>
              <w:szCs w:val="22"/>
              <w:lang w:eastAsia="fr-FR" w:bidi="ar-SA"/>
            </w:rPr>
          </w:pPr>
          <w:hyperlink w:anchor="_Toc205806316" w:history="1">
            <w:r w:rsidR="00564137" w:rsidRPr="00E93DDE">
              <w:rPr>
                <w:rStyle w:val="Lienhypertexte"/>
                <w:rFonts w:ascii="Arial" w:hAnsi="Arial" w:cs="Arial"/>
                <w:noProof/>
              </w:rPr>
              <w:t>9.4</w:t>
            </w:r>
            <w:r w:rsidR="00564137" w:rsidRPr="00E93DDE">
              <w:rPr>
                <w:rFonts w:ascii="Arial" w:eastAsiaTheme="minorEastAsia" w:hAnsi="Arial" w:cs="Arial"/>
                <w:noProof/>
                <w:kern w:val="0"/>
                <w:sz w:val="22"/>
                <w:szCs w:val="22"/>
                <w:lang w:eastAsia="fr-FR" w:bidi="ar-SA"/>
              </w:rPr>
              <w:tab/>
            </w:r>
            <w:r w:rsidR="00564137" w:rsidRPr="00E93DDE">
              <w:rPr>
                <w:rStyle w:val="Lienhypertexte"/>
                <w:rFonts w:ascii="Arial" w:hAnsi="Arial" w:cs="Arial"/>
                <w:noProof/>
              </w:rPr>
              <w:t>Litiges et contentieux</w:t>
            </w:r>
            <w:r w:rsidR="00564137" w:rsidRPr="00E93DDE">
              <w:rPr>
                <w:rFonts w:ascii="Arial" w:hAnsi="Arial" w:cs="Arial"/>
                <w:noProof/>
                <w:webHidden/>
              </w:rPr>
              <w:tab/>
            </w:r>
            <w:r w:rsidR="00564137" w:rsidRPr="00E93DDE">
              <w:rPr>
                <w:rFonts w:ascii="Arial" w:hAnsi="Arial" w:cs="Arial"/>
                <w:noProof/>
                <w:webHidden/>
              </w:rPr>
              <w:fldChar w:fldCharType="begin"/>
            </w:r>
            <w:r w:rsidR="00564137" w:rsidRPr="00E93DDE">
              <w:rPr>
                <w:rFonts w:ascii="Arial" w:hAnsi="Arial" w:cs="Arial"/>
                <w:noProof/>
                <w:webHidden/>
              </w:rPr>
              <w:instrText xml:space="preserve"> PAGEREF _Toc205806316 \h </w:instrText>
            </w:r>
            <w:r w:rsidR="00564137" w:rsidRPr="00E93DDE">
              <w:rPr>
                <w:rFonts w:ascii="Arial" w:hAnsi="Arial" w:cs="Arial"/>
                <w:noProof/>
                <w:webHidden/>
              </w:rPr>
            </w:r>
            <w:r w:rsidR="00564137" w:rsidRPr="00E93DDE">
              <w:rPr>
                <w:rFonts w:ascii="Arial" w:hAnsi="Arial" w:cs="Arial"/>
                <w:noProof/>
                <w:webHidden/>
              </w:rPr>
              <w:fldChar w:fldCharType="separate"/>
            </w:r>
            <w:r w:rsidR="00564137" w:rsidRPr="00E93DDE">
              <w:rPr>
                <w:rFonts w:ascii="Arial" w:hAnsi="Arial" w:cs="Arial"/>
                <w:noProof/>
                <w:webHidden/>
              </w:rPr>
              <w:t>10</w:t>
            </w:r>
            <w:r w:rsidR="00564137" w:rsidRPr="00E93DDE">
              <w:rPr>
                <w:rFonts w:ascii="Arial" w:hAnsi="Arial" w:cs="Arial"/>
                <w:noProof/>
                <w:webHidden/>
              </w:rPr>
              <w:fldChar w:fldCharType="end"/>
            </w:r>
          </w:hyperlink>
        </w:p>
        <w:p w14:paraId="18ADEC40" w14:textId="2F8E4DF9" w:rsidR="00564137" w:rsidRPr="00E93DDE" w:rsidRDefault="00324375">
          <w:pPr>
            <w:pStyle w:val="TM1"/>
            <w:tabs>
              <w:tab w:val="left" w:pos="1760"/>
            </w:tabs>
            <w:rPr>
              <w:rFonts w:eastAsiaTheme="minorEastAsia"/>
              <w:b w:val="0"/>
              <w:noProof/>
              <w:color w:val="000000" w:themeColor="text1"/>
              <w:kern w:val="0"/>
              <w:sz w:val="22"/>
              <w:szCs w:val="22"/>
              <w:lang w:eastAsia="fr-FR" w:bidi="ar-SA"/>
            </w:rPr>
          </w:pPr>
          <w:hyperlink w:anchor="_Toc205806317" w:history="1">
            <w:r w:rsidR="00564137" w:rsidRPr="00E93DDE">
              <w:rPr>
                <w:rStyle w:val="Lienhypertexte"/>
                <w:noProof/>
                <w:color w:val="000000" w:themeColor="text1"/>
              </w:rPr>
              <w:t>Article 10 -</w:t>
            </w:r>
            <w:r w:rsidR="00564137" w:rsidRPr="00E93DDE">
              <w:rPr>
                <w:rFonts w:eastAsiaTheme="minorEastAsia"/>
                <w:b w:val="0"/>
                <w:noProof/>
                <w:color w:val="000000" w:themeColor="text1"/>
                <w:kern w:val="0"/>
                <w:sz w:val="22"/>
                <w:szCs w:val="22"/>
                <w:lang w:eastAsia="fr-FR" w:bidi="ar-SA"/>
              </w:rPr>
              <w:tab/>
            </w:r>
            <w:r w:rsidR="00564137" w:rsidRPr="00E93DDE">
              <w:rPr>
                <w:rStyle w:val="Lienhypertexte"/>
                <w:noProof/>
                <w:color w:val="000000" w:themeColor="text1"/>
              </w:rPr>
              <w:t>SIGNATURES</w:t>
            </w:r>
            <w:r w:rsidR="00564137" w:rsidRPr="00E93DDE">
              <w:rPr>
                <w:noProof/>
                <w:webHidden/>
                <w:color w:val="000000" w:themeColor="text1"/>
              </w:rPr>
              <w:tab/>
            </w:r>
            <w:r w:rsidR="00564137" w:rsidRPr="00E93DDE">
              <w:rPr>
                <w:noProof/>
                <w:webHidden/>
                <w:color w:val="000000" w:themeColor="text1"/>
              </w:rPr>
              <w:fldChar w:fldCharType="begin"/>
            </w:r>
            <w:r w:rsidR="00564137" w:rsidRPr="00E93DDE">
              <w:rPr>
                <w:noProof/>
                <w:webHidden/>
                <w:color w:val="000000" w:themeColor="text1"/>
              </w:rPr>
              <w:instrText xml:space="preserve"> PAGEREF _Toc205806317 \h </w:instrText>
            </w:r>
            <w:r w:rsidR="00564137" w:rsidRPr="00E93DDE">
              <w:rPr>
                <w:noProof/>
                <w:webHidden/>
                <w:color w:val="000000" w:themeColor="text1"/>
              </w:rPr>
            </w:r>
            <w:r w:rsidR="00564137" w:rsidRPr="00E93DDE">
              <w:rPr>
                <w:noProof/>
                <w:webHidden/>
                <w:color w:val="000000" w:themeColor="text1"/>
              </w:rPr>
              <w:fldChar w:fldCharType="separate"/>
            </w:r>
            <w:r w:rsidR="00564137" w:rsidRPr="00E93DDE">
              <w:rPr>
                <w:noProof/>
                <w:webHidden/>
                <w:color w:val="000000" w:themeColor="text1"/>
              </w:rPr>
              <w:t>11</w:t>
            </w:r>
            <w:r w:rsidR="00564137" w:rsidRPr="00E93DDE">
              <w:rPr>
                <w:noProof/>
                <w:webHidden/>
                <w:color w:val="000000" w:themeColor="text1"/>
              </w:rPr>
              <w:fldChar w:fldCharType="end"/>
            </w:r>
          </w:hyperlink>
        </w:p>
        <w:p w14:paraId="634D2299" w14:textId="40C3D7F7" w:rsidR="00564137" w:rsidRPr="00E93DDE" w:rsidRDefault="00324375">
          <w:pPr>
            <w:pStyle w:val="TM1"/>
            <w:tabs>
              <w:tab w:val="left" w:pos="1760"/>
            </w:tabs>
            <w:rPr>
              <w:rFonts w:eastAsiaTheme="minorEastAsia"/>
              <w:b w:val="0"/>
              <w:noProof/>
              <w:color w:val="000000" w:themeColor="text1"/>
              <w:kern w:val="0"/>
              <w:sz w:val="22"/>
              <w:szCs w:val="22"/>
              <w:lang w:eastAsia="fr-FR" w:bidi="ar-SA"/>
            </w:rPr>
          </w:pPr>
          <w:hyperlink w:anchor="_Toc205806318" w:history="1">
            <w:r w:rsidR="00564137" w:rsidRPr="00E93DDE">
              <w:rPr>
                <w:rStyle w:val="Lienhypertexte"/>
                <w:noProof/>
                <w:color w:val="000000" w:themeColor="text1"/>
              </w:rPr>
              <w:t>Article 11 -</w:t>
            </w:r>
            <w:r w:rsidR="00564137" w:rsidRPr="00E93DDE">
              <w:rPr>
                <w:rFonts w:eastAsiaTheme="minorEastAsia"/>
                <w:b w:val="0"/>
                <w:noProof/>
                <w:color w:val="000000" w:themeColor="text1"/>
                <w:kern w:val="0"/>
                <w:sz w:val="22"/>
                <w:szCs w:val="22"/>
                <w:lang w:eastAsia="fr-FR" w:bidi="ar-SA"/>
              </w:rPr>
              <w:tab/>
            </w:r>
            <w:r w:rsidR="00564137" w:rsidRPr="00E93DDE">
              <w:rPr>
                <w:rStyle w:val="Lienhypertexte"/>
                <w:noProof/>
                <w:color w:val="000000" w:themeColor="text1"/>
              </w:rPr>
              <w:t>NOTIFICATION</w:t>
            </w:r>
            <w:r w:rsidR="00564137" w:rsidRPr="00E93DDE">
              <w:rPr>
                <w:noProof/>
                <w:webHidden/>
                <w:color w:val="000000" w:themeColor="text1"/>
              </w:rPr>
              <w:tab/>
            </w:r>
            <w:r w:rsidR="00564137" w:rsidRPr="00E93DDE">
              <w:rPr>
                <w:noProof/>
                <w:webHidden/>
                <w:color w:val="000000" w:themeColor="text1"/>
              </w:rPr>
              <w:fldChar w:fldCharType="begin"/>
            </w:r>
            <w:r w:rsidR="00564137" w:rsidRPr="00E93DDE">
              <w:rPr>
                <w:noProof/>
                <w:webHidden/>
                <w:color w:val="000000" w:themeColor="text1"/>
              </w:rPr>
              <w:instrText xml:space="preserve"> PAGEREF _Toc205806318 \h </w:instrText>
            </w:r>
            <w:r w:rsidR="00564137" w:rsidRPr="00E93DDE">
              <w:rPr>
                <w:noProof/>
                <w:webHidden/>
                <w:color w:val="000000" w:themeColor="text1"/>
              </w:rPr>
            </w:r>
            <w:r w:rsidR="00564137" w:rsidRPr="00E93DDE">
              <w:rPr>
                <w:noProof/>
                <w:webHidden/>
                <w:color w:val="000000" w:themeColor="text1"/>
              </w:rPr>
              <w:fldChar w:fldCharType="separate"/>
            </w:r>
            <w:r w:rsidR="00564137" w:rsidRPr="00E93DDE">
              <w:rPr>
                <w:noProof/>
                <w:webHidden/>
                <w:color w:val="000000" w:themeColor="text1"/>
              </w:rPr>
              <w:t>11</w:t>
            </w:r>
            <w:r w:rsidR="00564137" w:rsidRPr="00E93DDE">
              <w:rPr>
                <w:noProof/>
                <w:webHidden/>
                <w:color w:val="000000" w:themeColor="text1"/>
              </w:rPr>
              <w:fldChar w:fldCharType="end"/>
            </w:r>
          </w:hyperlink>
        </w:p>
        <w:p w14:paraId="21352F23" w14:textId="570CFBB8" w:rsidR="00564137" w:rsidRPr="00E93DDE" w:rsidRDefault="00324375">
          <w:pPr>
            <w:pStyle w:val="TM1"/>
            <w:tabs>
              <w:tab w:val="left" w:pos="1760"/>
            </w:tabs>
            <w:rPr>
              <w:rFonts w:eastAsiaTheme="minorEastAsia"/>
              <w:b w:val="0"/>
              <w:noProof/>
              <w:color w:val="000000" w:themeColor="text1"/>
              <w:kern w:val="0"/>
              <w:sz w:val="22"/>
              <w:szCs w:val="22"/>
              <w:lang w:eastAsia="fr-FR" w:bidi="ar-SA"/>
            </w:rPr>
          </w:pPr>
          <w:hyperlink w:anchor="_Toc205806319" w:history="1">
            <w:r w:rsidR="00564137" w:rsidRPr="00E93DDE">
              <w:rPr>
                <w:rStyle w:val="Lienhypertexte"/>
                <w:noProof/>
                <w:color w:val="000000" w:themeColor="text1"/>
              </w:rPr>
              <w:t>Article 12 -</w:t>
            </w:r>
            <w:r w:rsidR="00564137" w:rsidRPr="00E93DDE">
              <w:rPr>
                <w:rFonts w:eastAsiaTheme="minorEastAsia"/>
                <w:b w:val="0"/>
                <w:noProof/>
                <w:color w:val="000000" w:themeColor="text1"/>
                <w:kern w:val="0"/>
                <w:sz w:val="22"/>
                <w:szCs w:val="22"/>
                <w:lang w:eastAsia="fr-FR" w:bidi="ar-SA"/>
              </w:rPr>
              <w:tab/>
            </w:r>
            <w:r w:rsidR="00564137" w:rsidRPr="00E93DDE">
              <w:rPr>
                <w:rStyle w:val="Lienhypertexte"/>
                <w:noProof/>
                <w:color w:val="000000" w:themeColor="text1"/>
              </w:rPr>
              <w:t>ANNEXE</w:t>
            </w:r>
            <w:r w:rsidR="00564137" w:rsidRPr="00E93DDE">
              <w:rPr>
                <w:noProof/>
                <w:webHidden/>
                <w:color w:val="000000" w:themeColor="text1"/>
              </w:rPr>
              <w:tab/>
            </w:r>
            <w:r w:rsidR="00564137" w:rsidRPr="00E93DDE">
              <w:rPr>
                <w:noProof/>
                <w:webHidden/>
                <w:color w:val="000000" w:themeColor="text1"/>
              </w:rPr>
              <w:fldChar w:fldCharType="begin"/>
            </w:r>
            <w:r w:rsidR="00564137" w:rsidRPr="00E93DDE">
              <w:rPr>
                <w:noProof/>
                <w:webHidden/>
                <w:color w:val="000000" w:themeColor="text1"/>
              </w:rPr>
              <w:instrText xml:space="preserve"> PAGEREF _Toc205806319 \h </w:instrText>
            </w:r>
            <w:r w:rsidR="00564137" w:rsidRPr="00E93DDE">
              <w:rPr>
                <w:noProof/>
                <w:webHidden/>
                <w:color w:val="000000" w:themeColor="text1"/>
              </w:rPr>
            </w:r>
            <w:r w:rsidR="00564137" w:rsidRPr="00E93DDE">
              <w:rPr>
                <w:noProof/>
                <w:webHidden/>
                <w:color w:val="000000" w:themeColor="text1"/>
              </w:rPr>
              <w:fldChar w:fldCharType="separate"/>
            </w:r>
            <w:r w:rsidR="00564137" w:rsidRPr="00E93DDE">
              <w:rPr>
                <w:noProof/>
                <w:webHidden/>
                <w:color w:val="000000" w:themeColor="text1"/>
              </w:rPr>
              <w:t>11</w:t>
            </w:r>
            <w:r w:rsidR="00564137" w:rsidRPr="00E93DDE">
              <w:rPr>
                <w:noProof/>
                <w:webHidden/>
                <w:color w:val="000000" w:themeColor="text1"/>
              </w:rPr>
              <w:fldChar w:fldCharType="end"/>
            </w:r>
          </w:hyperlink>
        </w:p>
        <w:p w14:paraId="0C5842DB" w14:textId="0DC1B828" w:rsidR="00AA2786" w:rsidRDefault="00AA2786">
          <w:r w:rsidRPr="00E93DDE">
            <w:rPr>
              <w:rFonts w:ascii="Arial" w:hAnsi="Arial" w:cs="Arial"/>
              <w:b/>
              <w:bCs/>
            </w:rPr>
            <w:fldChar w:fldCharType="end"/>
          </w:r>
        </w:p>
      </w:sdtContent>
    </w:sdt>
    <w:p w14:paraId="4FC7A889" w14:textId="281F7863" w:rsidR="000D4EC1" w:rsidRPr="002F773A" w:rsidRDefault="009D2330" w:rsidP="006B2D2E">
      <w:pPr>
        <w:pStyle w:val="Contents3"/>
      </w:pPr>
      <w:r w:rsidRPr="002F773A">
        <w:br w:type="page"/>
      </w:r>
    </w:p>
    <w:p w14:paraId="399965F0" w14:textId="46AB6F24" w:rsidR="000D4EC1" w:rsidRPr="002F773A" w:rsidRDefault="009D2330" w:rsidP="006B2D2E">
      <w:pPr>
        <w:pStyle w:val="Titre1"/>
      </w:pPr>
      <w:bookmarkStart w:id="0" w:name="_Toc205802182"/>
      <w:bookmarkStart w:id="1" w:name="_Toc205806295"/>
      <w:r w:rsidRPr="002F773A">
        <w:lastRenderedPageBreak/>
        <w:t>IDENTIFICATION DES COCONTRACTANTS</w:t>
      </w:r>
      <w:bookmarkEnd w:id="0"/>
      <w:bookmarkEnd w:id="1"/>
    </w:p>
    <w:p w14:paraId="4CE87DAE" w14:textId="77777777" w:rsidR="000D4EC1" w:rsidRPr="002F773A" w:rsidRDefault="000D4EC1" w:rsidP="006B2D2E">
      <w:pPr>
        <w:pStyle w:val="Standard"/>
      </w:pPr>
    </w:p>
    <w:p w14:paraId="0E2A5FB8" w14:textId="76FDBBB6" w:rsidR="000D4EC1" w:rsidRPr="002F773A" w:rsidRDefault="009D2330" w:rsidP="006B2D2E">
      <w:pPr>
        <w:pStyle w:val="Titre2"/>
      </w:pPr>
      <w:bookmarkStart w:id="2" w:name="_Toc205802183"/>
      <w:bookmarkStart w:id="3" w:name="_Toc205806296"/>
      <w:r w:rsidRPr="002F773A">
        <w:t>Acheteur</w:t>
      </w:r>
      <w:bookmarkEnd w:id="2"/>
      <w:bookmarkEnd w:id="3"/>
    </w:p>
    <w:p w14:paraId="0AA6D1B7" w14:textId="77777777" w:rsidR="00EC335D" w:rsidRPr="002F773A" w:rsidRDefault="00EC335D" w:rsidP="006B2D2E">
      <w:pPr>
        <w:pStyle w:val="Standard"/>
      </w:pPr>
    </w:p>
    <w:p w14:paraId="3CC811FA" w14:textId="77777777" w:rsidR="000D4EC1" w:rsidRPr="002F773A" w:rsidRDefault="009D2330" w:rsidP="006B2D2E">
      <w:pPr>
        <w:pStyle w:val="Standard"/>
      </w:pPr>
      <w:r w:rsidRPr="002F773A">
        <w:t>Ministère de</w:t>
      </w:r>
      <w:r w:rsidR="00472E1C" w:rsidRPr="002F773A">
        <w:t>s Armées</w:t>
      </w:r>
      <w:r w:rsidRPr="002F773A">
        <w:t> </w:t>
      </w:r>
    </w:p>
    <w:p w14:paraId="62667C02" w14:textId="77777777" w:rsidR="000D4EC1" w:rsidRPr="002F773A" w:rsidRDefault="009D2330" w:rsidP="006B2D2E">
      <w:pPr>
        <w:pStyle w:val="Standard"/>
      </w:pPr>
      <w:r w:rsidRPr="002F773A">
        <w:t>Service de la Maintenance Industrielle Terrestre</w:t>
      </w:r>
    </w:p>
    <w:p w14:paraId="10B050EA" w14:textId="77777777" w:rsidR="000D4EC1" w:rsidRPr="002F773A" w:rsidRDefault="000D4EC1" w:rsidP="006B2D2E">
      <w:pPr>
        <w:pStyle w:val="Standard"/>
      </w:pPr>
    </w:p>
    <w:p w14:paraId="571CE1F8" w14:textId="77777777" w:rsidR="000D4EC1" w:rsidRPr="002F773A" w:rsidRDefault="009D2330" w:rsidP="006B2D2E">
      <w:pPr>
        <w:pStyle w:val="Standard"/>
      </w:pPr>
      <w:r w:rsidRPr="002F773A">
        <w:t>13ème BSMAT - Détachement de Moulins</w:t>
      </w:r>
    </w:p>
    <w:p w14:paraId="0A15D372" w14:textId="77777777" w:rsidR="000D4EC1" w:rsidRPr="002F773A" w:rsidRDefault="00946723" w:rsidP="006B2D2E">
      <w:pPr>
        <w:pStyle w:val="Standard"/>
      </w:pPr>
      <w:r w:rsidRPr="002F773A">
        <w:t>Antenne SA</w:t>
      </w:r>
      <w:r w:rsidR="009D2330" w:rsidRPr="002F773A">
        <w:t>R Chorus</w:t>
      </w:r>
    </w:p>
    <w:p w14:paraId="025D628F" w14:textId="77777777" w:rsidR="000D4EC1" w:rsidRPr="002F773A" w:rsidRDefault="009D2330" w:rsidP="006B2D2E">
      <w:pPr>
        <w:pStyle w:val="Standard"/>
      </w:pPr>
      <w:r w:rsidRPr="002F773A">
        <w:t>Bureau Procédures Marchés</w:t>
      </w:r>
    </w:p>
    <w:p w14:paraId="539AA685" w14:textId="77777777" w:rsidR="0026541B" w:rsidRPr="002F773A" w:rsidRDefault="009D2330" w:rsidP="006B2D2E">
      <w:pPr>
        <w:pStyle w:val="Standard"/>
      </w:pPr>
      <w:r w:rsidRPr="002F773A">
        <w:t xml:space="preserve">57 rue des Epoux </w:t>
      </w:r>
      <w:proofErr w:type="spellStart"/>
      <w:r w:rsidRPr="002F773A">
        <w:t>Contoux</w:t>
      </w:r>
      <w:proofErr w:type="spellEnd"/>
    </w:p>
    <w:p w14:paraId="6EF31A5A" w14:textId="77777777" w:rsidR="000D4EC1" w:rsidRPr="002F773A" w:rsidRDefault="009D2330" w:rsidP="006B2D2E">
      <w:pPr>
        <w:pStyle w:val="Standard"/>
        <w:rPr>
          <w:b/>
        </w:rPr>
      </w:pPr>
      <w:r w:rsidRPr="002F773A">
        <w:t>BP 74</w:t>
      </w:r>
    </w:p>
    <w:p w14:paraId="7F46DDF6" w14:textId="77777777" w:rsidR="00720E37" w:rsidRPr="002F773A" w:rsidRDefault="009D2330" w:rsidP="006B2D2E">
      <w:pPr>
        <w:pStyle w:val="Standard"/>
      </w:pPr>
      <w:r w:rsidRPr="002F773A">
        <w:t>03402 YZEURE CEDEX</w:t>
      </w:r>
    </w:p>
    <w:p w14:paraId="5CBE1C87" w14:textId="77777777" w:rsidR="00720E37" w:rsidRPr="002F773A" w:rsidRDefault="00720E37" w:rsidP="006B2D2E">
      <w:pPr>
        <w:pStyle w:val="Standard"/>
      </w:pPr>
    </w:p>
    <w:p w14:paraId="0459521F" w14:textId="77777777" w:rsidR="000D4EC1" w:rsidRPr="002F773A" w:rsidRDefault="009D2330" w:rsidP="006B2D2E">
      <w:pPr>
        <w:pStyle w:val="Standard"/>
      </w:pPr>
      <w:r w:rsidRPr="002F773A">
        <w:t>SIRET : 150 000 651 00011</w:t>
      </w:r>
    </w:p>
    <w:p w14:paraId="71B01207" w14:textId="77777777" w:rsidR="000D4EC1" w:rsidRPr="002F773A" w:rsidRDefault="009D2330" w:rsidP="006B2D2E">
      <w:pPr>
        <w:pStyle w:val="Standard"/>
      </w:pPr>
      <w:r w:rsidRPr="002F773A">
        <w:t>CODE APE : 8422Z Défense</w:t>
      </w:r>
    </w:p>
    <w:p w14:paraId="0AB07B2D" w14:textId="77777777" w:rsidR="000D4EC1" w:rsidRPr="002F773A" w:rsidRDefault="009D2330" w:rsidP="006B2D2E">
      <w:pPr>
        <w:pStyle w:val="Standard"/>
      </w:pPr>
      <w:r w:rsidRPr="002F773A">
        <w:t>NIC : FR50 150 000</w:t>
      </w:r>
      <w:r w:rsidR="00FE2CF0" w:rsidRPr="002F773A">
        <w:t> </w:t>
      </w:r>
      <w:r w:rsidRPr="002F773A">
        <w:t>651</w:t>
      </w:r>
    </w:p>
    <w:p w14:paraId="2F721EBA" w14:textId="77777777" w:rsidR="000D4EC1" w:rsidRPr="002F773A" w:rsidRDefault="000D4EC1" w:rsidP="006B2D2E">
      <w:pPr>
        <w:pStyle w:val="Standard"/>
      </w:pPr>
    </w:p>
    <w:p w14:paraId="7C5696F8" w14:textId="77777777" w:rsidR="0031327D" w:rsidRPr="002F773A" w:rsidRDefault="0031327D" w:rsidP="006B2D2E">
      <w:pPr>
        <w:pStyle w:val="Standard"/>
      </w:pPr>
    </w:p>
    <w:p w14:paraId="6565849A" w14:textId="23BBF299" w:rsidR="000D4EC1" w:rsidRPr="002F773A" w:rsidRDefault="009D2330" w:rsidP="006B2D2E">
      <w:pPr>
        <w:pStyle w:val="Standard"/>
      </w:pPr>
      <w:r w:rsidRPr="002F773A">
        <w:t>Pouvoir Adjudicateur :</w:t>
      </w:r>
    </w:p>
    <w:p w14:paraId="07063700" w14:textId="5AA33A46" w:rsidR="00280534" w:rsidRPr="002F773A" w:rsidRDefault="00584843" w:rsidP="006B2D2E">
      <w:pPr>
        <w:pStyle w:val="Standard"/>
      </w:pPr>
      <w:r w:rsidRPr="002F773A">
        <w:t>Chef du détachement de Moulins, nommé personne signataire des marchés publics et d</w:t>
      </w:r>
      <w:r w:rsidR="008F3C3D" w:rsidRPr="002F773A">
        <w:t xml:space="preserve">es accords-cadres par arrêté </w:t>
      </w:r>
      <w:r w:rsidRPr="002F773A">
        <w:t>du 22 juin 2007 portant désignation des personnes n’appartenant pas à l’administration centrale signataire des marchés publics et des accords-cadres au ministère</w:t>
      </w:r>
      <w:r w:rsidR="003A7627" w:rsidRPr="002F773A">
        <w:t xml:space="preserve"> des armées</w:t>
      </w:r>
      <w:r w:rsidRPr="002F773A">
        <w:t xml:space="preserve"> – version consolidée du</w:t>
      </w:r>
      <w:r w:rsidR="00280534" w:rsidRPr="002F773A">
        <w:t xml:space="preserve"> </w:t>
      </w:r>
      <w:r w:rsidR="00953541">
        <w:t>1</w:t>
      </w:r>
      <w:r w:rsidR="00953541" w:rsidRPr="00953541">
        <w:rPr>
          <w:vertAlign w:val="superscript"/>
        </w:rPr>
        <w:t>er</w:t>
      </w:r>
      <w:r w:rsidR="00953541">
        <w:t xml:space="preserve"> janvier</w:t>
      </w:r>
      <w:r w:rsidR="007902AE" w:rsidRPr="007902AE">
        <w:t xml:space="preserve"> 202</w:t>
      </w:r>
      <w:r w:rsidR="00953541">
        <w:t>2</w:t>
      </w:r>
      <w:r w:rsidR="008F3C3D" w:rsidRPr="002F773A">
        <w:t>.</w:t>
      </w:r>
    </w:p>
    <w:p w14:paraId="59FE71A0" w14:textId="77777777" w:rsidR="000D4EC1" w:rsidRPr="002F773A" w:rsidRDefault="000D4EC1" w:rsidP="006B2D2E">
      <w:pPr>
        <w:pStyle w:val="Standard"/>
      </w:pPr>
    </w:p>
    <w:p w14:paraId="1159FAF8" w14:textId="77777777" w:rsidR="00FE2CF0" w:rsidRPr="002F773A" w:rsidRDefault="00FE2CF0" w:rsidP="006B2D2E">
      <w:pPr>
        <w:pStyle w:val="Standard"/>
      </w:pPr>
    </w:p>
    <w:p w14:paraId="4BBD2C87" w14:textId="77777777" w:rsidR="00A35C4C" w:rsidRPr="00565FF6" w:rsidRDefault="00A35C4C" w:rsidP="006B2D2E">
      <w:pPr>
        <w:pStyle w:val="Standard"/>
      </w:pPr>
      <w:r w:rsidRPr="00565FF6">
        <w:t>Responsable marchés :</w:t>
      </w:r>
    </w:p>
    <w:p w14:paraId="33620F89" w14:textId="77777777" w:rsidR="00A35C4C" w:rsidRPr="004E4D4C" w:rsidRDefault="00A35C4C" w:rsidP="006B2D2E">
      <w:pPr>
        <w:pStyle w:val="Standard"/>
      </w:pPr>
    </w:p>
    <w:p w14:paraId="53FAC21A" w14:textId="77777777" w:rsidR="00A35C4C" w:rsidRPr="004E4D4C" w:rsidRDefault="00A35C4C" w:rsidP="006B2D2E">
      <w:pPr>
        <w:pStyle w:val="Standard"/>
      </w:pPr>
      <w:r w:rsidRPr="004E4D4C">
        <w:t>Madame Claire ROCHAS</w:t>
      </w:r>
    </w:p>
    <w:p w14:paraId="55F53649" w14:textId="77777777" w:rsidR="00A35C4C" w:rsidRPr="004E4D4C" w:rsidRDefault="00A35C4C" w:rsidP="006B2D2E">
      <w:pPr>
        <w:pStyle w:val="Standard"/>
      </w:pPr>
      <w:r w:rsidRPr="004E4D4C">
        <w:t>Tel : 04 70 48 88 73</w:t>
      </w:r>
    </w:p>
    <w:p w14:paraId="3B307C5D" w14:textId="77777777" w:rsidR="00A35C4C" w:rsidRPr="004E4D4C" w:rsidRDefault="00A35C4C" w:rsidP="006B2D2E">
      <w:pPr>
        <w:pStyle w:val="Standard"/>
      </w:pPr>
      <w:r w:rsidRPr="004E4D4C">
        <w:t xml:space="preserve">Courriel : </w:t>
      </w:r>
      <w:hyperlink r:id="rId9" w:history="1">
        <w:r w:rsidRPr="004E4D4C">
          <w:rPr>
            <w:rStyle w:val="Lienhypertexte"/>
          </w:rPr>
          <w:t>claire.rochas@intradef.gouv.fr</w:t>
        </w:r>
      </w:hyperlink>
      <w:r w:rsidRPr="004E4D4C">
        <w:t xml:space="preserve"> </w:t>
      </w:r>
    </w:p>
    <w:p w14:paraId="4E1FE090" w14:textId="77777777" w:rsidR="00A35C4C" w:rsidRPr="004E4D4C" w:rsidRDefault="00A35C4C" w:rsidP="006B2D2E">
      <w:pPr>
        <w:pStyle w:val="Standard"/>
      </w:pPr>
    </w:p>
    <w:p w14:paraId="37F6D9EB" w14:textId="77777777" w:rsidR="00A35C4C" w:rsidRPr="004E4D4C" w:rsidRDefault="00A35C4C" w:rsidP="006B2D2E">
      <w:pPr>
        <w:pStyle w:val="Standard"/>
        <w:rPr>
          <w:b/>
        </w:rPr>
      </w:pPr>
      <w:r w:rsidRPr="004E4D4C">
        <w:t>Monsieur Benoît BRUNOT</w:t>
      </w:r>
    </w:p>
    <w:p w14:paraId="1412CB8A" w14:textId="77777777" w:rsidR="00A35C4C" w:rsidRPr="004E4D4C" w:rsidRDefault="00A35C4C" w:rsidP="006B2D2E">
      <w:pPr>
        <w:pStyle w:val="Standard"/>
        <w:rPr>
          <w:b/>
        </w:rPr>
      </w:pPr>
      <w:r w:rsidRPr="004E4D4C">
        <w:t>Tél: 04 70 48 88 28</w:t>
      </w:r>
    </w:p>
    <w:p w14:paraId="30172555" w14:textId="77777777" w:rsidR="00A35C4C" w:rsidRPr="004E4D4C" w:rsidRDefault="00A35C4C" w:rsidP="006B2D2E">
      <w:pPr>
        <w:pStyle w:val="Standard"/>
      </w:pPr>
      <w:r w:rsidRPr="004E4D4C">
        <w:t xml:space="preserve">Courriel : </w:t>
      </w:r>
      <w:hyperlink r:id="rId10" w:history="1">
        <w:r w:rsidRPr="004E4D4C">
          <w:rPr>
            <w:rStyle w:val="Lienhypertexte"/>
          </w:rPr>
          <w:t>benoit-joseph.brunot@intradef.gouv.fr</w:t>
        </w:r>
      </w:hyperlink>
    </w:p>
    <w:p w14:paraId="02FFEA33" w14:textId="77777777" w:rsidR="00A35C4C" w:rsidRPr="004E4D4C" w:rsidRDefault="00A35C4C" w:rsidP="006B2D2E">
      <w:pPr>
        <w:pStyle w:val="Standard"/>
      </w:pPr>
    </w:p>
    <w:p w14:paraId="2EC86279" w14:textId="0C61F64C" w:rsidR="00A35C4C" w:rsidRPr="00565FF6" w:rsidRDefault="00A35C4C" w:rsidP="006B2D2E">
      <w:pPr>
        <w:pStyle w:val="Standard"/>
      </w:pPr>
      <w:r w:rsidRPr="00565FF6">
        <w:t>Rédacteurs :</w:t>
      </w:r>
    </w:p>
    <w:p w14:paraId="25326B7F" w14:textId="77777777" w:rsidR="00565FF6" w:rsidRPr="004E4D4C" w:rsidRDefault="00565FF6" w:rsidP="006B2D2E">
      <w:pPr>
        <w:pStyle w:val="Standard"/>
      </w:pPr>
    </w:p>
    <w:p w14:paraId="58767B6C" w14:textId="77777777" w:rsidR="00A35C4C" w:rsidRPr="004E4D4C" w:rsidRDefault="00A35C4C" w:rsidP="006B2D2E">
      <w:pPr>
        <w:pStyle w:val="Standard"/>
      </w:pPr>
      <w:r w:rsidRPr="004E4D4C">
        <w:t>Madame Brigitte BOURNAT</w:t>
      </w:r>
    </w:p>
    <w:p w14:paraId="5469C94E" w14:textId="77777777" w:rsidR="00A35C4C" w:rsidRPr="004E4D4C" w:rsidRDefault="00A35C4C" w:rsidP="006B2D2E">
      <w:pPr>
        <w:pStyle w:val="Standard"/>
        <w:rPr>
          <w:b/>
        </w:rPr>
      </w:pPr>
      <w:r w:rsidRPr="004E4D4C">
        <w:t>Tél: 04 70 48 88 47</w:t>
      </w:r>
    </w:p>
    <w:p w14:paraId="795CA4D3" w14:textId="77777777" w:rsidR="00A35C4C" w:rsidRPr="004E4D4C" w:rsidRDefault="00A35C4C" w:rsidP="006B2D2E">
      <w:pPr>
        <w:pStyle w:val="Standard"/>
        <w:rPr>
          <w:rStyle w:val="Lienhypertexte"/>
        </w:rPr>
      </w:pPr>
      <w:r w:rsidRPr="004E4D4C">
        <w:t xml:space="preserve">Courriel : </w:t>
      </w:r>
      <w:hyperlink r:id="rId11" w:history="1">
        <w:r w:rsidRPr="004E4D4C">
          <w:rPr>
            <w:rStyle w:val="Lienhypertexte"/>
          </w:rPr>
          <w:t>brigitte.bournat@intradef.gouv.fr</w:t>
        </w:r>
      </w:hyperlink>
    </w:p>
    <w:p w14:paraId="722C3DA4" w14:textId="77777777" w:rsidR="00A35C4C" w:rsidRPr="004E4D4C" w:rsidRDefault="00A35C4C" w:rsidP="006B2D2E">
      <w:pPr>
        <w:pStyle w:val="Standard"/>
        <w:rPr>
          <w:rStyle w:val="Lienhypertexte"/>
        </w:rPr>
      </w:pPr>
    </w:p>
    <w:p w14:paraId="2645BAAF" w14:textId="33A598B0" w:rsidR="00A35C4C" w:rsidRPr="004E4D4C" w:rsidRDefault="00000DE3" w:rsidP="00A35C4C">
      <w:pPr>
        <w:jc w:val="both"/>
        <w:textAlignment w:val="center"/>
        <w:rPr>
          <w:rFonts w:ascii="Arial" w:hAnsi="Arial" w:cs="Arial"/>
          <w:sz w:val="22"/>
          <w:szCs w:val="22"/>
        </w:rPr>
      </w:pPr>
      <w:r>
        <w:rPr>
          <w:rFonts w:ascii="Arial" w:hAnsi="Arial" w:cs="Arial"/>
          <w:sz w:val="22"/>
          <w:szCs w:val="22"/>
        </w:rPr>
        <w:t>Madame Thi Ngoc Vang VAISSIERE</w:t>
      </w:r>
    </w:p>
    <w:p w14:paraId="5C179A06" w14:textId="77777777" w:rsidR="00A35C4C" w:rsidRPr="004E4D4C" w:rsidRDefault="00A35C4C" w:rsidP="00A35C4C">
      <w:pPr>
        <w:jc w:val="both"/>
        <w:textAlignment w:val="center"/>
        <w:rPr>
          <w:rFonts w:ascii="Arial" w:hAnsi="Arial" w:cs="Arial"/>
          <w:sz w:val="22"/>
          <w:szCs w:val="22"/>
        </w:rPr>
      </w:pPr>
      <w:r w:rsidRPr="004E4D4C">
        <w:rPr>
          <w:rFonts w:ascii="Arial" w:hAnsi="Arial" w:cs="Arial"/>
          <w:sz w:val="22"/>
          <w:szCs w:val="22"/>
        </w:rPr>
        <w:t>Tél: 04 70 48 88 47</w:t>
      </w:r>
    </w:p>
    <w:p w14:paraId="107CB8D7" w14:textId="77777777" w:rsidR="00A35C4C" w:rsidRPr="004E4D4C" w:rsidRDefault="00A35C4C" w:rsidP="00A35C4C">
      <w:pPr>
        <w:jc w:val="both"/>
        <w:textAlignment w:val="center"/>
        <w:rPr>
          <w:rFonts w:ascii="Arial" w:hAnsi="Arial" w:cs="Arial"/>
          <w:color w:val="000080" w:themeColor="hyperlink" w:themeShade="80"/>
          <w:sz w:val="22"/>
          <w:szCs w:val="22"/>
          <w:u w:val="single"/>
        </w:rPr>
      </w:pPr>
      <w:r w:rsidRPr="004E4D4C">
        <w:rPr>
          <w:rFonts w:ascii="Arial" w:hAnsi="Arial" w:cs="Arial"/>
          <w:sz w:val="22"/>
          <w:szCs w:val="22"/>
        </w:rPr>
        <w:t xml:space="preserve">Courriel : </w:t>
      </w:r>
      <w:r w:rsidRPr="004E4D4C">
        <w:rPr>
          <w:rFonts w:ascii="Arial" w:hAnsi="Arial" w:cs="Arial"/>
          <w:color w:val="0000FF" w:themeColor="hyperlink"/>
          <w:sz w:val="22"/>
          <w:szCs w:val="22"/>
          <w:u w:val="single"/>
        </w:rPr>
        <w:t>thi-ngoc-vang.le@intradef.gouv.fr</w:t>
      </w:r>
    </w:p>
    <w:p w14:paraId="24F8CE64" w14:textId="77777777" w:rsidR="00433DBC" w:rsidRPr="004E4D4C" w:rsidRDefault="00433DBC" w:rsidP="006B2D2E">
      <w:pPr>
        <w:pStyle w:val="Standard"/>
        <w:rPr>
          <w:rStyle w:val="Lienhypertexte"/>
          <w:color w:val="auto"/>
          <w:u w:val="none"/>
        </w:rPr>
      </w:pPr>
    </w:p>
    <w:p w14:paraId="0417EDD5" w14:textId="77777777" w:rsidR="00A005F8" w:rsidRPr="004E4D4C" w:rsidRDefault="00A005F8" w:rsidP="006B2D2E">
      <w:pPr>
        <w:pStyle w:val="Standard"/>
        <w:rPr>
          <w:rStyle w:val="Lienhypertexte"/>
          <w:color w:val="000080" w:themeColor="hyperlink" w:themeShade="80"/>
        </w:rPr>
      </w:pPr>
    </w:p>
    <w:p w14:paraId="38D659F5" w14:textId="77777777" w:rsidR="00582A33" w:rsidRPr="002F773A" w:rsidRDefault="00582A33" w:rsidP="006B2D2E">
      <w:pPr>
        <w:pStyle w:val="Standard"/>
      </w:pPr>
      <w:r w:rsidRPr="00F933B6">
        <w:t>Correspondant technique</w:t>
      </w:r>
      <w:r w:rsidRPr="002F773A">
        <w:t xml:space="preserve"> : </w:t>
      </w:r>
    </w:p>
    <w:p w14:paraId="4F90340C" w14:textId="77777777" w:rsidR="00F933B6" w:rsidRDefault="00F933B6" w:rsidP="006B2D2E">
      <w:pPr>
        <w:pStyle w:val="Standard"/>
      </w:pPr>
    </w:p>
    <w:p w14:paraId="1245E7A5" w14:textId="0FB28B21" w:rsidR="00582A33" w:rsidRPr="002F773A" w:rsidRDefault="00582A33" w:rsidP="006B2D2E">
      <w:pPr>
        <w:pStyle w:val="Standard"/>
      </w:pPr>
      <w:r w:rsidRPr="002F773A">
        <w:t>M</w:t>
      </w:r>
      <w:r>
        <w:t>adame VILLARD Laurence</w:t>
      </w:r>
    </w:p>
    <w:p w14:paraId="1ED45E0A" w14:textId="77777777" w:rsidR="00582A33" w:rsidRPr="002F773A" w:rsidRDefault="00582A33" w:rsidP="006B2D2E">
      <w:pPr>
        <w:pStyle w:val="Standard"/>
      </w:pPr>
      <w:r w:rsidRPr="002F773A">
        <w:t xml:space="preserve">Tél : </w:t>
      </w:r>
      <w:r>
        <w:t>04 70 48 87 41</w:t>
      </w:r>
    </w:p>
    <w:p w14:paraId="542868D8" w14:textId="77777777" w:rsidR="00582A33" w:rsidRPr="00206D0E" w:rsidRDefault="00582A33" w:rsidP="00582A33">
      <w:pPr>
        <w:jc w:val="both"/>
        <w:textAlignment w:val="center"/>
        <w:rPr>
          <w:rStyle w:val="Lienhypertexte"/>
          <w:rFonts w:ascii="Arial" w:hAnsi="Arial" w:cs="Arial"/>
          <w:color w:val="000080" w:themeColor="hyperlink" w:themeShade="80"/>
          <w:sz w:val="22"/>
          <w:szCs w:val="22"/>
        </w:rPr>
      </w:pPr>
      <w:r w:rsidRPr="005C0FCB">
        <w:t xml:space="preserve">Courriel : </w:t>
      </w:r>
      <w:hyperlink r:id="rId12" w:history="1">
        <w:r w:rsidRPr="00206D0E">
          <w:rPr>
            <w:rStyle w:val="Lienhypertexte"/>
            <w:rFonts w:ascii="Arial" w:hAnsi="Arial" w:cs="Arial"/>
            <w:sz w:val="22"/>
            <w:szCs w:val="22"/>
            <w:lang w:eastAsia="fr-FR"/>
          </w:rPr>
          <w:t>laurence1.villard@intradef.gouv.fr</w:t>
        </w:r>
      </w:hyperlink>
      <w:r w:rsidRPr="00206D0E">
        <w:rPr>
          <w:rFonts w:ascii="Arial" w:hAnsi="Arial" w:cs="Arial"/>
          <w:sz w:val="22"/>
          <w:szCs w:val="22"/>
          <w:lang w:eastAsia="fr-FR"/>
        </w:rPr>
        <w:t xml:space="preserve">; </w:t>
      </w:r>
    </w:p>
    <w:p w14:paraId="4EA19255" w14:textId="77777777" w:rsidR="00A005F8" w:rsidRPr="002F773A" w:rsidRDefault="00A005F8" w:rsidP="006B2D2E">
      <w:pPr>
        <w:pStyle w:val="Standard"/>
        <w:rPr>
          <w:rStyle w:val="Lienhypertexte"/>
          <w:color w:val="000080" w:themeColor="hyperlink" w:themeShade="80"/>
        </w:rPr>
      </w:pPr>
    </w:p>
    <w:p w14:paraId="2777A4C4" w14:textId="77777777" w:rsidR="00A005F8" w:rsidRPr="002F773A" w:rsidRDefault="00A005F8" w:rsidP="006B2D2E">
      <w:pPr>
        <w:pStyle w:val="Standard"/>
        <w:rPr>
          <w:rStyle w:val="Lienhypertexte"/>
          <w:color w:val="000080" w:themeColor="hyperlink" w:themeShade="80"/>
        </w:rPr>
      </w:pPr>
    </w:p>
    <w:p w14:paraId="33F8BD88" w14:textId="77777777" w:rsidR="00A005F8" w:rsidRPr="002F773A" w:rsidRDefault="00A005F8" w:rsidP="006B2D2E">
      <w:pPr>
        <w:pStyle w:val="Standard"/>
        <w:rPr>
          <w:rStyle w:val="Lienhypertexte"/>
          <w:color w:val="000080" w:themeColor="hyperlink" w:themeShade="80"/>
        </w:rPr>
      </w:pPr>
    </w:p>
    <w:p w14:paraId="688BEB70" w14:textId="42310D6F" w:rsidR="00A005F8" w:rsidRPr="002F773A" w:rsidRDefault="00A005F8" w:rsidP="006B2D2E">
      <w:pPr>
        <w:pStyle w:val="Standard"/>
        <w:rPr>
          <w:rStyle w:val="Lienhypertexte"/>
          <w:color w:val="000080" w:themeColor="hyperlink" w:themeShade="80"/>
        </w:rPr>
      </w:pPr>
    </w:p>
    <w:p w14:paraId="66ACFEC8" w14:textId="6CA90940" w:rsidR="00382EB2" w:rsidRPr="002F773A" w:rsidRDefault="00382EB2" w:rsidP="006B2D2E">
      <w:pPr>
        <w:pStyle w:val="Standard"/>
        <w:rPr>
          <w:rStyle w:val="Lienhypertexte"/>
          <w:color w:val="000080" w:themeColor="hyperlink" w:themeShade="80"/>
        </w:rPr>
      </w:pPr>
    </w:p>
    <w:p w14:paraId="2AA79E6C" w14:textId="70823B17" w:rsidR="000D4EC1" w:rsidRPr="002F773A" w:rsidRDefault="009D2330" w:rsidP="006B2D2E">
      <w:pPr>
        <w:pStyle w:val="Titre2"/>
      </w:pPr>
      <w:bookmarkStart w:id="4" w:name="_Toc205802184"/>
      <w:bookmarkStart w:id="5" w:name="_Toc205806297"/>
      <w:r w:rsidRPr="002F773A">
        <w:t>Titulaire</w:t>
      </w:r>
      <w:bookmarkEnd w:id="4"/>
      <w:bookmarkEnd w:id="5"/>
    </w:p>
    <w:p w14:paraId="7B757118" w14:textId="77777777" w:rsidR="00EC335D" w:rsidRPr="002F773A" w:rsidRDefault="00EC335D" w:rsidP="006B2D2E">
      <w:pPr>
        <w:pStyle w:val="Standard"/>
      </w:pPr>
    </w:p>
    <w:p w14:paraId="63809A15" w14:textId="57D4F52F" w:rsidR="000D4EC1" w:rsidRPr="002F773A" w:rsidRDefault="009D2330" w:rsidP="006B2D2E">
      <w:pPr>
        <w:pStyle w:val="Standard"/>
      </w:pPr>
      <w:r w:rsidRPr="002F773A">
        <w:t>Le signataire :</w:t>
      </w:r>
    </w:p>
    <w:p w14:paraId="57A3F4EA" w14:textId="77777777" w:rsidR="007D6259" w:rsidRPr="002F773A" w:rsidRDefault="007D6259" w:rsidP="006B2D2E">
      <w:pPr>
        <w:pStyle w:val="Standard"/>
      </w:pPr>
    </w:p>
    <w:tbl>
      <w:tblPr>
        <w:tblW w:w="9638" w:type="dxa"/>
        <w:tblInd w:w="45" w:type="dxa"/>
        <w:tblLayout w:type="fixed"/>
        <w:tblCellMar>
          <w:left w:w="10" w:type="dxa"/>
          <w:right w:w="10" w:type="dxa"/>
        </w:tblCellMar>
        <w:tblLook w:val="0000" w:firstRow="0" w:lastRow="0" w:firstColumn="0" w:lastColumn="0" w:noHBand="0" w:noVBand="0"/>
      </w:tblPr>
      <w:tblGrid>
        <w:gridCol w:w="4819"/>
        <w:gridCol w:w="4819"/>
      </w:tblGrid>
      <w:tr w:rsidR="000D4EC1" w:rsidRPr="002F773A" w14:paraId="5EA51C45" w14:textId="77777777">
        <w:tc>
          <w:tcPr>
            <w:tcW w:w="4819" w:type="dxa"/>
            <w:tcBorders>
              <w:top w:val="single" w:sz="2" w:space="0" w:color="000000"/>
              <w:left w:val="single" w:sz="2" w:space="0" w:color="000000"/>
              <w:bottom w:val="single" w:sz="2" w:space="0" w:color="000000"/>
            </w:tcBorders>
            <w:tcMar>
              <w:top w:w="55" w:type="dxa"/>
              <w:left w:w="55" w:type="dxa"/>
              <w:bottom w:w="55" w:type="dxa"/>
              <w:right w:w="55" w:type="dxa"/>
            </w:tcMar>
          </w:tcPr>
          <w:p w14:paraId="47F79451" w14:textId="77777777" w:rsidR="000D4EC1" w:rsidRPr="002F773A" w:rsidRDefault="009D2330" w:rsidP="006B2D2E">
            <w:pPr>
              <w:pStyle w:val="Table"/>
            </w:pPr>
            <w:r w:rsidRPr="002F773A">
              <w:t>Nom, prénom et qualité du signataire :</w:t>
            </w:r>
          </w:p>
        </w:tc>
        <w:tc>
          <w:tcPr>
            <w:tcW w:w="4819"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001C311" w14:textId="77777777" w:rsidR="000D4EC1" w:rsidRPr="002F773A" w:rsidRDefault="000D4EC1" w:rsidP="006B2D2E">
            <w:pPr>
              <w:pStyle w:val="Table"/>
            </w:pPr>
          </w:p>
        </w:tc>
      </w:tr>
      <w:tr w:rsidR="000D4EC1" w:rsidRPr="002F773A" w14:paraId="222D6C39" w14:textId="77777777">
        <w:tc>
          <w:tcPr>
            <w:tcW w:w="4819" w:type="dxa"/>
            <w:tcBorders>
              <w:left w:val="single" w:sz="2" w:space="0" w:color="000000"/>
              <w:bottom w:val="single" w:sz="2" w:space="0" w:color="000000"/>
            </w:tcBorders>
            <w:tcMar>
              <w:top w:w="55" w:type="dxa"/>
              <w:left w:w="55" w:type="dxa"/>
              <w:bottom w:w="55" w:type="dxa"/>
              <w:right w:w="55" w:type="dxa"/>
            </w:tcMar>
          </w:tcPr>
          <w:p w14:paraId="7F3A6CA3" w14:textId="77777777" w:rsidR="000D4EC1" w:rsidRPr="002F773A" w:rsidRDefault="009D2330" w:rsidP="006B2D2E">
            <w:pPr>
              <w:pStyle w:val="Table"/>
            </w:pPr>
            <w:r w:rsidRPr="002F773A">
              <w:t>Adresse professionnelle :</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14:paraId="7F66B4A7" w14:textId="77777777" w:rsidR="000D4EC1" w:rsidRPr="002F773A" w:rsidRDefault="000D4EC1" w:rsidP="006B2D2E">
            <w:pPr>
              <w:pStyle w:val="Table"/>
            </w:pPr>
          </w:p>
        </w:tc>
      </w:tr>
      <w:tr w:rsidR="000D4EC1" w:rsidRPr="002F773A" w14:paraId="2FFF977F" w14:textId="77777777">
        <w:tc>
          <w:tcPr>
            <w:tcW w:w="4819" w:type="dxa"/>
            <w:tcBorders>
              <w:left w:val="single" w:sz="2" w:space="0" w:color="000000"/>
              <w:bottom w:val="single" w:sz="2" w:space="0" w:color="000000"/>
            </w:tcBorders>
            <w:tcMar>
              <w:top w:w="55" w:type="dxa"/>
              <w:left w:w="55" w:type="dxa"/>
              <w:bottom w:w="55" w:type="dxa"/>
              <w:right w:w="55" w:type="dxa"/>
            </w:tcMar>
          </w:tcPr>
          <w:p w14:paraId="439D7C6E" w14:textId="77777777" w:rsidR="000D4EC1" w:rsidRPr="002F773A" w:rsidRDefault="009D2330" w:rsidP="006B2D2E">
            <w:pPr>
              <w:pStyle w:val="Table"/>
            </w:pPr>
            <w:r w:rsidRPr="002F773A">
              <w:t>Téléphone :</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14:paraId="0BBB6ADF" w14:textId="77777777" w:rsidR="000D4EC1" w:rsidRPr="002F773A" w:rsidRDefault="000D4EC1" w:rsidP="006B2D2E">
            <w:pPr>
              <w:pStyle w:val="Table"/>
            </w:pPr>
          </w:p>
        </w:tc>
      </w:tr>
      <w:tr w:rsidR="000D4EC1" w:rsidRPr="002F773A" w14:paraId="12CE6DCA" w14:textId="77777777">
        <w:tc>
          <w:tcPr>
            <w:tcW w:w="4819" w:type="dxa"/>
            <w:tcBorders>
              <w:left w:val="single" w:sz="2" w:space="0" w:color="000000"/>
              <w:bottom w:val="single" w:sz="2" w:space="0" w:color="000000"/>
            </w:tcBorders>
            <w:tcMar>
              <w:top w:w="55" w:type="dxa"/>
              <w:left w:w="55" w:type="dxa"/>
              <w:bottom w:w="55" w:type="dxa"/>
              <w:right w:w="55" w:type="dxa"/>
            </w:tcMar>
          </w:tcPr>
          <w:p w14:paraId="7B63BC99" w14:textId="77777777" w:rsidR="000D4EC1" w:rsidRPr="002F773A" w:rsidRDefault="009D2330" w:rsidP="006B2D2E">
            <w:pPr>
              <w:pStyle w:val="Table"/>
            </w:pPr>
            <w:r w:rsidRPr="002F773A">
              <w:t>Télécopie :</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14:paraId="3C473524" w14:textId="77777777" w:rsidR="000D4EC1" w:rsidRPr="002F773A" w:rsidRDefault="000D4EC1" w:rsidP="006B2D2E">
            <w:pPr>
              <w:pStyle w:val="Table"/>
            </w:pPr>
          </w:p>
        </w:tc>
      </w:tr>
      <w:tr w:rsidR="000D4EC1" w:rsidRPr="002F773A" w14:paraId="5CB2821E" w14:textId="77777777">
        <w:tc>
          <w:tcPr>
            <w:tcW w:w="4819" w:type="dxa"/>
            <w:tcBorders>
              <w:left w:val="single" w:sz="2" w:space="0" w:color="000000"/>
              <w:bottom w:val="single" w:sz="2" w:space="0" w:color="000000"/>
            </w:tcBorders>
            <w:tcMar>
              <w:top w:w="55" w:type="dxa"/>
              <w:left w:w="55" w:type="dxa"/>
              <w:bottom w:w="55" w:type="dxa"/>
              <w:right w:w="55" w:type="dxa"/>
            </w:tcMar>
          </w:tcPr>
          <w:p w14:paraId="14568B58" w14:textId="77777777" w:rsidR="000D4EC1" w:rsidRPr="002F773A" w:rsidRDefault="009D2330" w:rsidP="006B2D2E">
            <w:pPr>
              <w:pStyle w:val="Table"/>
            </w:pPr>
            <w:r w:rsidRPr="002F773A">
              <w:t>Courriel :</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14:paraId="572C61D8" w14:textId="77777777" w:rsidR="000D4EC1" w:rsidRPr="002F773A" w:rsidRDefault="000D4EC1" w:rsidP="006B2D2E">
            <w:pPr>
              <w:pStyle w:val="Table"/>
            </w:pPr>
          </w:p>
        </w:tc>
      </w:tr>
      <w:tr w:rsidR="000D4EC1" w:rsidRPr="002F773A" w14:paraId="2965D0D1" w14:textId="77777777">
        <w:tc>
          <w:tcPr>
            <w:tcW w:w="4819" w:type="dxa"/>
            <w:tcBorders>
              <w:left w:val="single" w:sz="2" w:space="0" w:color="000000"/>
              <w:bottom w:val="single" w:sz="2" w:space="0" w:color="000000"/>
            </w:tcBorders>
            <w:tcMar>
              <w:top w:w="55" w:type="dxa"/>
              <w:left w:w="55" w:type="dxa"/>
              <w:bottom w:w="55" w:type="dxa"/>
              <w:right w:w="55" w:type="dxa"/>
            </w:tcMar>
          </w:tcPr>
          <w:p w14:paraId="4736B342" w14:textId="77777777" w:rsidR="000D4EC1" w:rsidRPr="002F773A" w:rsidRDefault="009D2330" w:rsidP="006B2D2E">
            <w:pPr>
              <w:pStyle w:val="Table"/>
            </w:pPr>
            <w:r w:rsidRPr="002F773A">
              <w:t xml:space="preserve">* agissant pour mon compte                   </w:t>
            </w:r>
            <w:r w:rsidRPr="002F773A">
              <w:br/>
              <w:t>* agissant pour le compte de la société (indiquer SA, SARL, ...)</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14:paraId="1887B635" w14:textId="77777777" w:rsidR="000D4EC1" w:rsidRPr="002F773A" w:rsidRDefault="000D4EC1" w:rsidP="006B2D2E">
            <w:pPr>
              <w:pStyle w:val="Table"/>
            </w:pPr>
          </w:p>
        </w:tc>
      </w:tr>
      <w:tr w:rsidR="000D4EC1" w:rsidRPr="002F773A" w14:paraId="5578075F" w14:textId="77777777">
        <w:tc>
          <w:tcPr>
            <w:tcW w:w="4819" w:type="dxa"/>
            <w:tcBorders>
              <w:left w:val="single" w:sz="2" w:space="0" w:color="000000"/>
              <w:bottom w:val="single" w:sz="2" w:space="0" w:color="000000"/>
            </w:tcBorders>
            <w:tcMar>
              <w:top w:w="55" w:type="dxa"/>
              <w:left w:w="55" w:type="dxa"/>
              <w:bottom w:w="55" w:type="dxa"/>
              <w:right w:w="55" w:type="dxa"/>
            </w:tcMar>
          </w:tcPr>
          <w:p w14:paraId="4208B94B" w14:textId="77777777" w:rsidR="000D4EC1" w:rsidRPr="002F773A" w:rsidRDefault="009D2330" w:rsidP="006B2D2E">
            <w:pPr>
              <w:pStyle w:val="Table"/>
            </w:pPr>
            <w:r w:rsidRPr="002F773A">
              <w:t>Raison sociale :</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14:paraId="63B94424" w14:textId="77777777" w:rsidR="000D4EC1" w:rsidRPr="002F773A" w:rsidRDefault="000D4EC1" w:rsidP="006B2D2E">
            <w:pPr>
              <w:pStyle w:val="Table"/>
            </w:pPr>
          </w:p>
        </w:tc>
      </w:tr>
      <w:tr w:rsidR="000D4EC1" w:rsidRPr="002F773A" w14:paraId="775F19B1" w14:textId="77777777">
        <w:tc>
          <w:tcPr>
            <w:tcW w:w="4819" w:type="dxa"/>
            <w:tcBorders>
              <w:left w:val="single" w:sz="2" w:space="0" w:color="000000"/>
              <w:bottom w:val="single" w:sz="2" w:space="0" w:color="000000"/>
            </w:tcBorders>
            <w:tcMar>
              <w:top w:w="55" w:type="dxa"/>
              <w:left w:w="55" w:type="dxa"/>
              <w:bottom w:w="55" w:type="dxa"/>
              <w:right w:w="55" w:type="dxa"/>
            </w:tcMar>
          </w:tcPr>
          <w:p w14:paraId="78BFAFBC" w14:textId="77777777" w:rsidR="000D4EC1" w:rsidRPr="002F773A" w:rsidRDefault="009D2330" w:rsidP="006B2D2E">
            <w:pPr>
              <w:pStyle w:val="Table"/>
            </w:pPr>
            <w:r w:rsidRPr="002F773A">
              <w:t>Domicilié à :</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14:paraId="6CC5B289" w14:textId="77777777" w:rsidR="000D4EC1" w:rsidRPr="002F773A" w:rsidRDefault="000D4EC1" w:rsidP="006B2D2E">
            <w:pPr>
              <w:pStyle w:val="Table"/>
            </w:pPr>
          </w:p>
        </w:tc>
      </w:tr>
      <w:tr w:rsidR="000D4EC1" w:rsidRPr="002F773A" w14:paraId="28028588" w14:textId="77777777">
        <w:tc>
          <w:tcPr>
            <w:tcW w:w="4819" w:type="dxa"/>
            <w:tcBorders>
              <w:left w:val="single" w:sz="2" w:space="0" w:color="000000"/>
              <w:bottom w:val="single" w:sz="2" w:space="0" w:color="000000"/>
            </w:tcBorders>
            <w:tcMar>
              <w:top w:w="55" w:type="dxa"/>
              <w:left w:w="55" w:type="dxa"/>
              <w:bottom w:w="55" w:type="dxa"/>
              <w:right w:w="55" w:type="dxa"/>
            </w:tcMar>
          </w:tcPr>
          <w:p w14:paraId="1669991C" w14:textId="77777777" w:rsidR="000D4EC1" w:rsidRPr="002F773A" w:rsidRDefault="009D2330" w:rsidP="006B2D2E">
            <w:pPr>
              <w:pStyle w:val="Table"/>
            </w:pPr>
            <w:r w:rsidRPr="002F773A">
              <w:t>Téléphone :</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14:paraId="6C2379BF" w14:textId="77777777" w:rsidR="000D4EC1" w:rsidRPr="002F773A" w:rsidRDefault="000D4EC1" w:rsidP="006B2D2E">
            <w:pPr>
              <w:pStyle w:val="Table"/>
            </w:pPr>
          </w:p>
        </w:tc>
      </w:tr>
      <w:tr w:rsidR="000D4EC1" w:rsidRPr="002F773A" w14:paraId="7466F592" w14:textId="77777777">
        <w:tc>
          <w:tcPr>
            <w:tcW w:w="4819" w:type="dxa"/>
            <w:tcBorders>
              <w:left w:val="single" w:sz="2" w:space="0" w:color="000000"/>
              <w:bottom w:val="single" w:sz="2" w:space="0" w:color="000000"/>
            </w:tcBorders>
            <w:tcMar>
              <w:top w:w="55" w:type="dxa"/>
              <w:left w:w="55" w:type="dxa"/>
              <w:bottom w:w="55" w:type="dxa"/>
              <w:right w:w="55" w:type="dxa"/>
            </w:tcMar>
          </w:tcPr>
          <w:p w14:paraId="03C970AD" w14:textId="77777777" w:rsidR="000D4EC1" w:rsidRPr="002F773A" w:rsidRDefault="009D2330" w:rsidP="006B2D2E">
            <w:pPr>
              <w:pStyle w:val="Table"/>
            </w:pPr>
            <w:r w:rsidRPr="002F773A">
              <w:t>Télécopie :</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14:paraId="61F44E26" w14:textId="77777777" w:rsidR="000D4EC1" w:rsidRPr="002F773A" w:rsidRDefault="000D4EC1" w:rsidP="006B2D2E">
            <w:pPr>
              <w:pStyle w:val="Table"/>
            </w:pPr>
          </w:p>
        </w:tc>
      </w:tr>
      <w:tr w:rsidR="000D4EC1" w:rsidRPr="002F773A" w14:paraId="20C2E1C3" w14:textId="77777777">
        <w:tc>
          <w:tcPr>
            <w:tcW w:w="4819" w:type="dxa"/>
            <w:tcBorders>
              <w:left w:val="single" w:sz="2" w:space="0" w:color="000000"/>
              <w:bottom w:val="single" w:sz="2" w:space="0" w:color="000000"/>
            </w:tcBorders>
            <w:tcMar>
              <w:top w:w="55" w:type="dxa"/>
              <w:left w:w="55" w:type="dxa"/>
              <w:bottom w:w="55" w:type="dxa"/>
              <w:right w:w="55" w:type="dxa"/>
            </w:tcMar>
          </w:tcPr>
          <w:p w14:paraId="2CE7E637" w14:textId="77777777" w:rsidR="000D4EC1" w:rsidRPr="002F773A" w:rsidRDefault="009D2330" w:rsidP="006B2D2E">
            <w:pPr>
              <w:pStyle w:val="Table"/>
            </w:pPr>
            <w:r w:rsidRPr="002F773A">
              <w:t>Courriel :</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14:paraId="57778F57" w14:textId="77777777" w:rsidR="000D4EC1" w:rsidRPr="002F773A" w:rsidRDefault="000D4EC1" w:rsidP="006B2D2E">
            <w:pPr>
              <w:pStyle w:val="Table"/>
            </w:pPr>
          </w:p>
        </w:tc>
      </w:tr>
      <w:tr w:rsidR="000D4EC1" w:rsidRPr="002F773A" w14:paraId="3B7DCA72" w14:textId="77777777">
        <w:tc>
          <w:tcPr>
            <w:tcW w:w="4819" w:type="dxa"/>
            <w:tcBorders>
              <w:left w:val="single" w:sz="2" w:space="0" w:color="000000"/>
              <w:bottom w:val="single" w:sz="2" w:space="0" w:color="000000"/>
            </w:tcBorders>
            <w:tcMar>
              <w:top w:w="55" w:type="dxa"/>
              <w:left w:w="55" w:type="dxa"/>
              <w:bottom w:w="55" w:type="dxa"/>
              <w:right w:w="55" w:type="dxa"/>
            </w:tcMar>
          </w:tcPr>
          <w:p w14:paraId="6F5BB18E" w14:textId="77777777" w:rsidR="000D4EC1" w:rsidRPr="002F773A" w:rsidRDefault="009D2330" w:rsidP="006B2D2E">
            <w:pPr>
              <w:pStyle w:val="Table"/>
            </w:pPr>
            <w:r w:rsidRPr="002F773A">
              <w:t>Dont le siège social est à :</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14:paraId="2BB78BE0" w14:textId="77777777" w:rsidR="000D4EC1" w:rsidRPr="002F773A" w:rsidRDefault="000D4EC1" w:rsidP="006B2D2E">
            <w:pPr>
              <w:pStyle w:val="Table"/>
            </w:pPr>
          </w:p>
        </w:tc>
      </w:tr>
      <w:tr w:rsidR="000D4EC1" w:rsidRPr="002F773A" w14:paraId="078DF0B5" w14:textId="77777777">
        <w:tc>
          <w:tcPr>
            <w:tcW w:w="4819" w:type="dxa"/>
            <w:tcBorders>
              <w:left w:val="single" w:sz="2" w:space="0" w:color="000000"/>
              <w:bottom w:val="single" w:sz="2" w:space="0" w:color="000000"/>
            </w:tcBorders>
            <w:tcMar>
              <w:top w:w="55" w:type="dxa"/>
              <w:left w:w="55" w:type="dxa"/>
              <w:bottom w:w="55" w:type="dxa"/>
              <w:right w:w="55" w:type="dxa"/>
            </w:tcMar>
          </w:tcPr>
          <w:p w14:paraId="63CC487C" w14:textId="77777777" w:rsidR="000D4EC1" w:rsidRPr="002F773A" w:rsidRDefault="009D2330" w:rsidP="006B2D2E">
            <w:pPr>
              <w:pStyle w:val="Table"/>
            </w:pPr>
            <w:r w:rsidRPr="002F773A">
              <w:t>Téléphone :</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14:paraId="2F05AB6B" w14:textId="77777777" w:rsidR="000D4EC1" w:rsidRPr="002F773A" w:rsidRDefault="000D4EC1" w:rsidP="006B2D2E">
            <w:pPr>
              <w:pStyle w:val="Table"/>
            </w:pPr>
          </w:p>
        </w:tc>
      </w:tr>
      <w:tr w:rsidR="000D4EC1" w:rsidRPr="002F773A" w14:paraId="71A05646" w14:textId="77777777">
        <w:tc>
          <w:tcPr>
            <w:tcW w:w="4819" w:type="dxa"/>
            <w:tcBorders>
              <w:left w:val="single" w:sz="2" w:space="0" w:color="000000"/>
              <w:bottom w:val="single" w:sz="2" w:space="0" w:color="000000"/>
            </w:tcBorders>
            <w:tcMar>
              <w:top w:w="55" w:type="dxa"/>
              <w:left w:w="55" w:type="dxa"/>
              <w:bottom w:w="55" w:type="dxa"/>
              <w:right w:w="55" w:type="dxa"/>
            </w:tcMar>
          </w:tcPr>
          <w:p w14:paraId="6B57F225" w14:textId="77777777" w:rsidR="000D4EC1" w:rsidRPr="002F773A" w:rsidRDefault="009D2330" w:rsidP="006B2D2E">
            <w:pPr>
              <w:pStyle w:val="Table"/>
            </w:pPr>
            <w:r w:rsidRPr="002F773A">
              <w:t>Télécopie :</w:t>
            </w:r>
          </w:p>
        </w:tc>
        <w:tc>
          <w:tcPr>
            <w:tcW w:w="4819" w:type="dxa"/>
            <w:tcBorders>
              <w:left w:val="single" w:sz="2" w:space="0" w:color="000000"/>
              <w:bottom w:val="single" w:sz="2" w:space="0" w:color="000000"/>
              <w:right w:val="single" w:sz="2" w:space="0" w:color="000000"/>
            </w:tcBorders>
            <w:tcMar>
              <w:top w:w="55" w:type="dxa"/>
              <w:left w:w="55" w:type="dxa"/>
              <w:bottom w:w="55" w:type="dxa"/>
              <w:right w:w="55" w:type="dxa"/>
            </w:tcMar>
          </w:tcPr>
          <w:p w14:paraId="27F15D98" w14:textId="77777777" w:rsidR="000D4EC1" w:rsidRPr="002F773A" w:rsidRDefault="000D4EC1" w:rsidP="006B2D2E">
            <w:pPr>
              <w:pStyle w:val="Table"/>
            </w:pPr>
          </w:p>
        </w:tc>
      </w:tr>
      <w:tr w:rsidR="000D4EC1" w:rsidRPr="002F773A" w14:paraId="18DB101B" w14:textId="77777777" w:rsidTr="00F36817">
        <w:tc>
          <w:tcPr>
            <w:tcW w:w="4819" w:type="dxa"/>
            <w:tcBorders>
              <w:left w:val="single" w:sz="2" w:space="0" w:color="000000"/>
              <w:bottom w:val="single" w:sz="4" w:space="0" w:color="auto"/>
            </w:tcBorders>
            <w:tcMar>
              <w:top w:w="55" w:type="dxa"/>
              <w:left w:w="55" w:type="dxa"/>
              <w:bottom w:w="55" w:type="dxa"/>
              <w:right w:w="55" w:type="dxa"/>
            </w:tcMar>
          </w:tcPr>
          <w:p w14:paraId="2F1AB544" w14:textId="77777777" w:rsidR="000D4EC1" w:rsidRPr="002F773A" w:rsidRDefault="009D2330" w:rsidP="006B2D2E">
            <w:pPr>
              <w:pStyle w:val="Table"/>
            </w:pPr>
            <w:r w:rsidRPr="002F773A">
              <w:t>N° Siret :</w:t>
            </w:r>
          </w:p>
        </w:tc>
        <w:tc>
          <w:tcPr>
            <w:tcW w:w="4819" w:type="dxa"/>
            <w:tcBorders>
              <w:left w:val="single" w:sz="2" w:space="0" w:color="000000"/>
              <w:bottom w:val="single" w:sz="4" w:space="0" w:color="auto"/>
              <w:right w:val="single" w:sz="2" w:space="0" w:color="000000"/>
            </w:tcBorders>
            <w:tcMar>
              <w:top w:w="55" w:type="dxa"/>
              <w:left w:w="55" w:type="dxa"/>
              <w:bottom w:w="55" w:type="dxa"/>
              <w:right w:w="55" w:type="dxa"/>
            </w:tcMar>
          </w:tcPr>
          <w:p w14:paraId="2EA8B2AB" w14:textId="77777777" w:rsidR="000D4EC1" w:rsidRPr="002F773A" w:rsidRDefault="000D4EC1" w:rsidP="006B2D2E">
            <w:pPr>
              <w:pStyle w:val="Table"/>
            </w:pPr>
          </w:p>
        </w:tc>
      </w:tr>
      <w:tr w:rsidR="000D4EC1" w:rsidRPr="002F773A" w14:paraId="485019AC" w14:textId="77777777" w:rsidTr="00F36817">
        <w:tc>
          <w:tcPr>
            <w:tcW w:w="48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2705A850" w14:textId="77777777" w:rsidR="000D4EC1" w:rsidRPr="002F773A" w:rsidRDefault="009D2330" w:rsidP="006B2D2E">
            <w:pPr>
              <w:pStyle w:val="Table"/>
            </w:pPr>
            <w:r w:rsidRPr="002F773A">
              <w:t>Code APE :</w:t>
            </w:r>
          </w:p>
        </w:tc>
        <w:tc>
          <w:tcPr>
            <w:tcW w:w="48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F16CA00" w14:textId="77777777" w:rsidR="000D4EC1" w:rsidRPr="002F773A" w:rsidRDefault="000D4EC1" w:rsidP="006B2D2E">
            <w:pPr>
              <w:pStyle w:val="Table"/>
            </w:pPr>
          </w:p>
        </w:tc>
      </w:tr>
      <w:tr w:rsidR="00F36817" w:rsidRPr="002F773A" w14:paraId="71C08D57" w14:textId="77777777" w:rsidTr="00F36817">
        <w:tc>
          <w:tcPr>
            <w:tcW w:w="48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0F9D2BBD" w14:textId="7EE1967E" w:rsidR="00F36817" w:rsidRPr="002F773A" w:rsidRDefault="00F36817" w:rsidP="006B2D2E">
            <w:pPr>
              <w:pStyle w:val="Table"/>
            </w:pPr>
            <w:r w:rsidRPr="002F773A">
              <w:t>PME-PMI :</w:t>
            </w:r>
          </w:p>
        </w:tc>
        <w:tc>
          <w:tcPr>
            <w:tcW w:w="4819" w:type="dxa"/>
            <w:tcBorders>
              <w:top w:val="single" w:sz="4" w:space="0" w:color="auto"/>
              <w:left w:val="single" w:sz="4" w:space="0" w:color="auto"/>
              <w:bottom w:val="single" w:sz="4" w:space="0" w:color="auto"/>
              <w:right w:val="single" w:sz="4" w:space="0" w:color="auto"/>
            </w:tcBorders>
            <w:tcMar>
              <w:top w:w="55" w:type="dxa"/>
              <w:left w:w="55" w:type="dxa"/>
              <w:bottom w:w="55" w:type="dxa"/>
              <w:right w:w="55" w:type="dxa"/>
            </w:tcMar>
          </w:tcPr>
          <w:p w14:paraId="1BA3B0C1" w14:textId="4234D243" w:rsidR="00F36817" w:rsidRPr="002F773A" w:rsidRDefault="00FE1D85" w:rsidP="006B2D2E">
            <w:pPr>
              <w:pStyle w:val="Table"/>
            </w:pPr>
            <w:r w:rsidRPr="00FE1D85">
              <w:t>OUI      -      NON  (1) barrez la mention inutile</w:t>
            </w:r>
          </w:p>
        </w:tc>
      </w:tr>
    </w:tbl>
    <w:p w14:paraId="3411FB71" w14:textId="77777777" w:rsidR="00502C54" w:rsidRDefault="00502C54" w:rsidP="006B2D2E">
      <w:pPr>
        <w:pStyle w:val="Standard"/>
      </w:pPr>
    </w:p>
    <w:p w14:paraId="166FCB2C" w14:textId="499D56A6" w:rsidR="00502C54" w:rsidRPr="00B6248E" w:rsidRDefault="00502C54" w:rsidP="006B2D2E">
      <w:pPr>
        <w:pStyle w:val="Standard"/>
      </w:pPr>
      <w:r w:rsidRPr="00B6248E">
        <w:t>Compte ouvert au nom de :</w:t>
      </w:r>
    </w:p>
    <w:p w14:paraId="59D2243C" w14:textId="77777777" w:rsidR="00502C54" w:rsidRPr="00B6248E" w:rsidRDefault="00502C54" w:rsidP="006B2D2E">
      <w:pPr>
        <w:pStyle w:val="Standard"/>
      </w:pPr>
      <w:r w:rsidRPr="00B6248E">
        <w:t>Domiciliation :</w:t>
      </w:r>
    </w:p>
    <w:p w14:paraId="6DC4F60C" w14:textId="77777777" w:rsidR="00502C54" w:rsidRPr="00B6248E" w:rsidRDefault="00502C54" w:rsidP="006B2D2E">
      <w:pPr>
        <w:pStyle w:val="Standard"/>
      </w:pPr>
      <w:r w:rsidRPr="00B6248E">
        <w:t>Code banque :</w:t>
      </w:r>
    </w:p>
    <w:p w14:paraId="38202BE9" w14:textId="77777777" w:rsidR="00502C54" w:rsidRPr="00B6248E" w:rsidRDefault="00502C54" w:rsidP="006B2D2E">
      <w:pPr>
        <w:pStyle w:val="Standard"/>
      </w:pPr>
      <w:r w:rsidRPr="00B6248E">
        <w:t>Code guichet :</w:t>
      </w:r>
    </w:p>
    <w:p w14:paraId="454165BB" w14:textId="77777777" w:rsidR="00502C54" w:rsidRPr="00B6248E" w:rsidRDefault="00502C54" w:rsidP="006B2D2E">
      <w:pPr>
        <w:pStyle w:val="Standard"/>
      </w:pPr>
      <w:r w:rsidRPr="00B6248E">
        <w:t>N° de compte :</w:t>
      </w:r>
    </w:p>
    <w:p w14:paraId="78E899D6" w14:textId="77777777" w:rsidR="00502C54" w:rsidRPr="00EC335D" w:rsidRDefault="00502C54" w:rsidP="006B2D2E">
      <w:pPr>
        <w:pStyle w:val="Standard"/>
      </w:pPr>
      <w:r w:rsidRPr="00EC335D">
        <w:t>Clé RIB :</w:t>
      </w:r>
    </w:p>
    <w:p w14:paraId="2F106E64" w14:textId="577DE007" w:rsidR="00F54D7B" w:rsidRDefault="00F54D7B" w:rsidP="006B2D2E">
      <w:pPr>
        <w:pStyle w:val="Standard"/>
      </w:pPr>
    </w:p>
    <w:p w14:paraId="7E47A3CE" w14:textId="35B2EACD" w:rsidR="00133BF3" w:rsidRPr="002F773A" w:rsidRDefault="00133BF3" w:rsidP="006B2D2E">
      <w:pPr>
        <w:pStyle w:val="Standard"/>
      </w:pPr>
    </w:p>
    <w:p w14:paraId="3D2E7C64" w14:textId="12ED7C53" w:rsidR="004F4084" w:rsidRDefault="004F4084" w:rsidP="006B2D2E">
      <w:pPr>
        <w:pStyle w:val="Standard"/>
      </w:pPr>
    </w:p>
    <w:p w14:paraId="3BC747E8" w14:textId="0EE3598F" w:rsidR="005B51DE" w:rsidRDefault="005B51DE" w:rsidP="006B2D2E">
      <w:pPr>
        <w:pStyle w:val="Standard"/>
      </w:pPr>
    </w:p>
    <w:p w14:paraId="42EF7C45" w14:textId="39D9B00D" w:rsidR="005B51DE" w:rsidRDefault="005B51DE" w:rsidP="006B2D2E">
      <w:pPr>
        <w:pStyle w:val="Standard"/>
      </w:pPr>
    </w:p>
    <w:p w14:paraId="6F43BAD6" w14:textId="31E0A92C" w:rsidR="005B51DE" w:rsidRDefault="005B51DE" w:rsidP="006B2D2E">
      <w:pPr>
        <w:pStyle w:val="Standard"/>
      </w:pPr>
    </w:p>
    <w:p w14:paraId="12C6DDCB" w14:textId="77777777" w:rsidR="005B51DE" w:rsidRDefault="005B51DE" w:rsidP="006B2D2E">
      <w:pPr>
        <w:pStyle w:val="Standard"/>
      </w:pPr>
    </w:p>
    <w:p w14:paraId="7ADDFA04" w14:textId="77777777" w:rsidR="000540BB" w:rsidRPr="002F773A" w:rsidRDefault="000540BB" w:rsidP="006B2D2E">
      <w:pPr>
        <w:pStyle w:val="Standard"/>
      </w:pPr>
    </w:p>
    <w:p w14:paraId="1A6CD33E" w14:textId="750268E4" w:rsidR="000D4EC1" w:rsidRPr="002F773A" w:rsidRDefault="009D2330" w:rsidP="006B2D2E">
      <w:pPr>
        <w:pStyle w:val="Titre1"/>
      </w:pPr>
      <w:bookmarkStart w:id="6" w:name="_Toc205802185"/>
      <w:bookmarkStart w:id="7" w:name="_Toc205806298"/>
      <w:r w:rsidRPr="002F773A">
        <w:t xml:space="preserve">OBJET DU MARCHE ET DOCUMENTS </w:t>
      </w:r>
      <w:r w:rsidR="001B66D6" w:rsidRPr="002F773A">
        <w:t>C</w:t>
      </w:r>
      <w:r w:rsidRPr="002F773A">
        <w:t>ONTRACTUELS</w:t>
      </w:r>
      <w:bookmarkEnd w:id="6"/>
      <w:bookmarkEnd w:id="7"/>
    </w:p>
    <w:p w14:paraId="5BF0A320" w14:textId="77777777" w:rsidR="007978C3" w:rsidRPr="002F773A" w:rsidRDefault="007978C3" w:rsidP="006B2D2E">
      <w:pPr>
        <w:pStyle w:val="Standard"/>
      </w:pPr>
    </w:p>
    <w:p w14:paraId="102F3753" w14:textId="77777777" w:rsidR="00485158" w:rsidRPr="003608C0" w:rsidRDefault="00485158" w:rsidP="00485158">
      <w:pPr>
        <w:jc w:val="both"/>
        <w:rPr>
          <w:rFonts w:ascii="Arial" w:hAnsi="Arial" w:cs="Arial"/>
          <w:sz w:val="22"/>
          <w:szCs w:val="22"/>
        </w:rPr>
      </w:pPr>
      <w:r w:rsidRPr="003608C0">
        <w:rPr>
          <w:rFonts w:ascii="Arial" w:hAnsi="Arial" w:cs="Arial"/>
          <w:sz w:val="22"/>
          <w:szCs w:val="22"/>
        </w:rPr>
        <w:t>Le présent marché a pour objet la prestation de consolidation du référentiel par un inventaire terrain réalisé par un établissement et service d’accompagnement par le travail au profit de la 13ème BSMAT Détachement de Moulins.</w:t>
      </w:r>
    </w:p>
    <w:p w14:paraId="7E6A2E82" w14:textId="77777777" w:rsidR="00485158" w:rsidRPr="003608C0" w:rsidRDefault="00485158" w:rsidP="00485158">
      <w:pPr>
        <w:jc w:val="both"/>
      </w:pPr>
      <w:r w:rsidRPr="003608C0">
        <w:t xml:space="preserve"> </w:t>
      </w:r>
    </w:p>
    <w:p w14:paraId="4A873CBE" w14:textId="0BD4D119" w:rsidR="00485158" w:rsidRDefault="00485158" w:rsidP="006B2D2E">
      <w:pPr>
        <w:pStyle w:val="Standard"/>
      </w:pPr>
      <w:r w:rsidRPr="003608C0">
        <w:t>Le marché est constitué des éléments contractuels énumérés ci-dessous, par ordre de priorité décroissant :</w:t>
      </w:r>
    </w:p>
    <w:p w14:paraId="41322741" w14:textId="3255FD36" w:rsidR="00485158" w:rsidRPr="003608C0" w:rsidRDefault="00485158" w:rsidP="006B2D2E">
      <w:pPr>
        <w:pStyle w:val="Standard"/>
      </w:pPr>
    </w:p>
    <w:p w14:paraId="3C18C779" w14:textId="68DC3DB2" w:rsidR="00485158" w:rsidRPr="003608C0" w:rsidRDefault="00485158" w:rsidP="00485158">
      <w:pPr>
        <w:pStyle w:val="Paragraphedeliste"/>
        <w:numPr>
          <w:ilvl w:val="0"/>
          <w:numId w:val="17"/>
        </w:numPr>
        <w:textAlignment w:val="center"/>
        <w:rPr>
          <w:rFonts w:ascii="Arial" w:hAnsi="Arial" w:cs="Arial"/>
          <w:color w:val="000000" w:themeColor="text1"/>
          <w:sz w:val="22"/>
          <w:szCs w:val="22"/>
        </w:rPr>
      </w:pPr>
      <w:r w:rsidRPr="003608C0">
        <w:rPr>
          <w:rFonts w:ascii="Arial" w:hAnsi="Arial" w:cs="Arial"/>
          <w:color w:val="000000" w:themeColor="text1"/>
          <w:sz w:val="22"/>
          <w:szCs w:val="22"/>
        </w:rPr>
        <w:t>Le présent acte d'engagement valant cahier des clauses</w:t>
      </w:r>
      <w:r w:rsidR="009A3A07">
        <w:rPr>
          <w:rFonts w:ascii="Arial" w:hAnsi="Arial" w:cs="Arial"/>
          <w:color w:val="000000" w:themeColor="text1"/>
          <w:sz w:val="22"/>
          <w:szCs w:val="22"/>
        </w:rPr>
        <w:t xml:space="preserve"> administratives</w:t>
      </w:r>
      <w:r w:rsidRPr="003608C0">
        <w:rPr>
          <w:rFonts w:ascii="Arial" w:hAnsi="Arial" w:cs="Arial"/>
          <w:color w:val="000000" w:themeColor="text1"/>
          <w:sz w:val="22"/>
          <w:szCs w:val="22"/>
        </w:rPr>
        <w:t xml:space="preserve"> particulières (</w:t>
      </w:r>
      <w:r w:rsidR="0073564A">
        <w:rPr>
          <w:rFonts w:ascii="Arial" w:hAnsi="Arial" w:cs="Arial"/>
          <w:color w:val="000000" w:themeColor="text1"/>
          <w:sz w:val="22"/>
          <w:szCs w:val="22"/>
        </w:rPr>
        <w:t>AE-CCP</w:t>
      </w:r>
      <w:r w:rsidRPr="003608C0">
        <w:rPr>
          <w:rFonts w:ascii="Arial" w:hAnsi="Arial" w:cs="Arial"/>
          <w:color w:val="000000" w:themeColor="text1"/>
          <w:sz w:val="22"/>
          <w:szCs w:val="22"/>
        </w:rPr>
        <w:t>) ;</w:t>
      </w:r>
    </w:p>
    <w:p w14:paraId="1DA94526" w14:textId="77777777" w:rsidR="00485158" w:rsidRDefault="00485158" w:rsidP="00485158">
      <w:pPr>
        <w:pStyle w:val="Paragraphedeliste"/>
        <w:numPr>
          <w:ilvl w:val="0"/>
          <w:numId w:val="17"/>
        </w:numPr>
        <w:textAlignment w:val="center"/>
        <w:rPr>
          <w:rFonts w:ascii="Arial" w:hAnsi="Arial" w:cs="Arial"/>
          <w:color w:val="000000" w:themeColor="text1"/>
          <w:sz w:val="22"/>
          <w:szCs w:val="22"/>
        </w:rPr>
      </w:pPr>
      <w:r w:rsidRPr="003608C0">
        <w:rPr>
          <w:rFonts w:ascii="Arial" w:hAnsi="Arial" w:cs="Arial"/>
          <w:color w:val="000000" w:themeColor="text1"/>
          <w:sz w:val="22"/>
          <w:szCs w:val="22"/>
        </w:rPr>
        <w:t>Le cahier des clauses techniques particulières CCTP;</w:t>
      </w:r>
    </w:p>
    <w:p w14:paraId="01CE94A1" w14:textId="04BF265A" w:rsidR="00485158" w:rsidRPr="003608C0" w:rsidRDefault="00D05CB8" w:rsidP="00485158">
      <w:pPr>
        <w:pStyle w:val="Paragraphedeliste"/>
        <w:numPr>
          <w:ilvl w:val="0"/>
          <w:numId w:val="17"/>
        </w:numPr>
        <w:textAlignment w:val="center"/>
        <w:rPr>
          <w:rFonts w:ascii="Arial" w:hAnsi="Arial" w:cs="Arial"/>
          <w:color w:val="000000" w:themeColor="text1"/>
          <w:sz w:val="22"/>
          <w:szCs w:val="22"/>
        </w:rPr>
      </w:pPr>
      <w:r>
        <w:rPr>
          <w:rFonts w:ascii="Arial" w:hAnsi="Arial" w:cs="Arial"/>
          <w:color w:val="000000" w:themeColor="text1"/>
          <w:sz w:val="22"/>
          <w:szCs w:val="22"/>
        </w:rPr>
        <w:t>Table de prix</w:t>
      </w:r>
      <w:r w:rsidR="00485158">
        <w:rPr>
          <w:rFonts w:ascii="Arial" w:hAnsi="Arial" w:cs="Arial"/>
          <w:color w:val="000000" w:themeColor="text1"/>
          <w:sz w:val="22"/>
          <w:szCs w:val="22"/>
        </w:rPr>
        <w:t> ;</w:t>
      </w:r>
    </w:p>
    <w:p w14:paraId="6D28A573" w14:textId="77777777" w:rsidR="00485158" w:rsidRPr="003608C0" w:rsidRDefault="00485158" w:rsidP="006B2D2E">
      <w:pPr>
        <w:pStyle w:val="Standard"/>
        <w:numPr>
          <w:ilvl w:val="0"/>
          <w:numId w:val="17"/>
        </w:numPr>
      </w:pPr>
      <w:r w:rsidRPr="003608C0">
        <w:t xml:space="preserve">  Le cahier des clauses administratives générales applicables aux marchés publics de fournitures courantes et de services approuvé par l'arrêté du 30 mars 2021.</w:t>
      </w:r>
    </w:p>
    <w:p w14:paraId="4B601920" w14:textId="77777777" w:rsidR="00485158" w:rsidRPr="003608C0" w:rsidRDefault="00485158" w:rsidP="006B2D2E">
      <w:pPr>
        <w:pStyle w:val="Standard"/>
      </w:pPr>
    </w:p>
    <w:p w14:paraId="35CE825F" w14:textId="77777777" w:rsidR="000D4EC1" w:rsidRPr="002F773A" w:rsidRDefault="000D4EC1" w:rsidP="006B2D2E">
      <w:pPr>
        <w:pStyle w:val="Standard"/>
      </w:pPr>
    </w:p>
    <w:p w14:paraId="4E6C3DFE" w14:textId="46CEC003" w:rsidR="000D4EC1" w:rsidRPr="002F773A" w:rsidRDefault="009D2330" w:rsidP="006B2D2E">
      <w:pPr>
        <w:pStyle w:val="Titre1"/>
      </w:pPr>
      <w:bookmarkStart w:id="8" w:name="__RefHeading__2564_1900509989"/>
      <w:bookmarkStart w:id="9" w:name="_Toc205802186"/>
      <w:bookmarkStart w:id="10" w:name="_Toc205806299"/>
      <w:bookmarkEnd w:id="8"/>
      <w:r w:rsidRPr="002F773A">
        <w:t>FORME DU MARCHE</w:t>
      </w:r>
      <w:bookmarkEnd w:id="9"/>
      <w:bookmarkEnd w:id="10"/>
    </w:p>
    <w:p w14:paraId="69A79D9B" w14:textId="77777777" w:rsidR="001B66D6" w:rsidRPr="002F773A" w:rsidRDefault="001B66D6" w:rsidP="006B2D2E">
      <w:pPr>
        <w:pStyle w:val="Standard"/>
      </w:pPr>
    </w:p>
    <w:p w14:paraId="39BA03AC" w14:textId="7B5C0D07" w:rsidR="00F54D7B" w:rsidRDefault="00FE4010" w:rsidP="006B2D2E">
      <w:pPr>
        <w:pStyle w:val="Standard"/>
      </w:pPr>
      <w:r w:rsidRPr="002F773A">
        <w:t>Ce</w:t>
      </w:r>
      <w:r w:rsidR="009D2330" w:rsidRPr="002F773A">
        <w:t xml:space="preserve"> contrat est un </w:t>
      </w:r>
      <w:r w:rsidR="00987466" w:rsidRPr="002F773A">
        <w:t>marché</w:t>
      </w:r>
      <w:r w:rsidR="00F54D7B">
        <w:t> :</w:t>
      </w:r>
    </w:p>
    <w:p w14:paraId="156CC6F2" w14:textId="2171CA71" w:rsidR="00563698" w:rsidRDefault="00563698" w:rsidP="00563698">
      <w:pPr>
        <w:pStyle w:val="Standard"/>
        <w:numPr>
          <w:ilvl w:val="0"/>
          <w:numId w:val="17"/>
        </w:numPr>
      </w:pPr>
      <w:proofErr w:type="gramStart"/>
      <w:r>
        <w:t>de</w:t>
      </w:r>
      <w:proofErr w:type="gramEnd"/>
      <w:r>
        <w:t xml:space="preserve"> défense ou de sécurité</w:t>
      </w:r>
    </w:p>
    <w:p w14:paraId="19256D3B" w14:textId="5B19B285" w:rsidR="00F54D7B" w:rsidRDefault="00F54D7B" w:rsidP="006B2D2E">
      <w:pPr>
        <w:pStyle w:val="Standard"/>
        <w:numPr>
          <w:ilvl w:val="0"/>
          <w:numId w:val="17"/>
        </w:numPr>
      </w:pPr>
      <w:proofErr w:type="gramStart"/>
      <w:r>
        <w:t>à</w:t>
      </w:r>
      <w:proofErr w:type="gramEnd"/>
      <w:r>
        <w:t xml:space="preserve"> procédure </w:t>
      </w:r>
      <w:r w:rsidR="002F6FB9">
        <w:t>adapt</w:t>
      </w:r>
      <w:r w:rsidR="0047551A">
        <w:t>ée</w:t>
      </w:r>
      <w:r>
        <w:t>;</w:t>
      </w:r>
    </w:p>
    <w:p w14:paraId="625F1C40" w14:textId="20AA0C82" w:rsidR="0047551A" w:rsidRDefault="0047551A" w:rsidP="006B2D2E">
      <w:pPr>
        <w:pStyle w:val="Standard"/>
        <w:numPr>
          <w:ilvl w:val="0"/>
          <w:numId w:val="17"/>
        </w:numPr>
      </w:pPr>
      <w:proofErr w:type="gramStart"/>
      <w:r>
        <w:t>à</w:t>
      </w:r>
      <w:proofErr w:type="gramEnd"/>
      <w:r>
        <w:t xml:space="preserve"> tranches</w:t>
      </w:r>
      <w:r w:rsidR="002F6FB9">
        <w:t> ;</w:t>
      </w:r>
    </w:p>
    <w:p w14:paraId="5E04B134" w14:textId="5A2865CF" w:rsidR="00F54D7B" w:rsidRDefault="00247A49" w:rsidP="006B2D2E">
      <w:pPr>
        <w:pStyle w:val="Standard"/>
        <w:numPr>
          <w:ilvl w:val="0"/>
          <w:numId w:val="17"/>
        </w:numPr>
      </w:pPr>
      <w:proofErr w:type="gramStart"/>
      <w:r w:rsidRPr="002F773A">
        <w:t>mono</w:t>
      </w:r>
      <w:proofErr w:type="gramEnd"/>
      <w:r w:rsidRPr="002F773A">
        <w:t>-attributaire</w:t>
      </w:r>
      <w:r w:rsidR="00F54D7B">
        <w:t> ;</w:t>
      </w:r>
    </w:p>
    <w:p w14:paraId="5AD6A790" w14:textId="3E252934" w:rsidR="00453476" w:rsidRDefault="00453476" w:rsidP="006B2D2E">
      <w:pPr>
        <w:pStyle w:val="Standard"/>
        <w:numPr>
          <w:ilvl w:val="0"/>
          <w:numId w:val="17"/>
        </w:numPr>
      </w:pPr>
      <w:proofErr w:type="gramStart"/>
      <w:r>
        <w:t>réservé</w:t>
      </w:r>
      <w:proofErr w:type="gramEnd"/>
      <w:r w:rsidR="001C2707">
        <w:t xml:space="preserve"> aux opérateurs économiques qui emploient des travailleurs en situation de handicap ;</w:t>
      </w:r>
      <w:r>
        <w:t xml:space="preserve"> </w:t>
      </w:r>
    </w:p>
    <w:p w14:paraId="3B3F88A7" w14:textId="77777777" w:rsidR="00987466" w:rsidRPr="002F773A" w:rsidRDefault="00987466" w:rsidP="006B2D2E">
      <w:pPr>
        <w:pStyle w:val="Standard"/>
      </w:pPr>
    </w:p>
    <w:p w14:paraId="0B6800C6" w14:textId="77777777" w:rsidR="00DB680C" w:rsidRPr="002F773A" w:rsidRDefault="00DB680C" w:rsidP="006B2D2E">
      <w:pPr>
        <w:pStyle w:val="Standard"/>
      </w:pPr>
    </w:p>
    <w:p w14:paraId="2FF26840" w14:textId="78A73F75" w:rsidR="000D4EC1" w:rsidRPr="002F773A" w:rsidRDefault="009D2330" w:rsidP="006B2D2E">
      <w:pPr>
        <w:pStyle w:val="Titre1"/>
      </w:pPr>
      <w:bookmarkStart w:id="11" w:name="_Toc205802187"/>
      <w:bookmarkStart w:id="12" w:name="_Toc205806300"/>
      <w:r w:rsidRPr="002F773A">
        <w:t>ETENDUE DU MARCHE ET CONTENU DES PRIX</w:t>
      </w:r>
      <w:bookmarkEnd w:id="11"/>
      <w:bookmarkEnd w:id="12"/>
    </w:p>
    <w:p w14:paraId="5E26C232" w14:textId="77777777" w:rsidR="001B66D6" w:rsidRPr="002F773A" w:rsidRDefault="001B66D6" w:rsidP="006B2D2E">
      <w:pPr>
        <w:pStyle w:val="Standard"/>
      </w:pPr>
    </w:p>
    <w:p w14:paraId="679FB9A1" w14:textId="77777777" w:rsidR="00133BF3" w:rsidRPr="002F773A" w:rsidRDefault="00247A49" w:rsidP="006B2D2E">
      <w:pPr>
        <w:pStyle w:val="Standard"/>
      </w:pPr>
      <w:r w:rsidRPr="002F773A">
        <w:t>Valeur du marché :</w:t>
      </w:r>
      <w:r w:rsidR="001B66D6" w:rsidRPr="002F773A">
        <w:t xml:space="preserve"> </w:t>
      </w:r>
      <w:r w:rsidR="001952D4" w:rsidRPr="002F773A">
        <w:t> </w:t>
      </w:r>
    </w:p>
    <w:p w14:paraId="28575090" w14:textId="17E7C260" w:rsidR="00247A49" w:rsidRPr="002F773A" w:rsidRDefault="00485158" w:rsidP="006B2D2E">
      <w:pPr>
        <w:pStyle w:val="Standard"/>
      </w:pPr>
      <w:r w:rsidRPr="0051106F">
        <w:t>4</w:t>
      </w:r>
      <w:r w:rsidR="0051106F" w:rsidRPr="0051106F">
        <w:t>28</w:t>
      </w:r>
      <w:r w:rsidRPr="0051106F">
        <w:t xml:space="preserve"> 000.00 </w:t>
      </w:r>
      <w:r w:rsidR="00247A49" w:rsidRPr="0051106F">
        <w:t>€ HT maximum.</w:t>
      </w:r>
    </w:p>
    <w:p w14:paraId="38BA5BAF" w14:textId="77777777" w:rsidR="00247A49" w:rsidRPr="002F773A" w:rsidRDefault="00247A49" w:rsidP="006B2D2E">
      <w:pPr>
        <w:pStyle w:val="Standard"/>
      </w:pPr>
    </w:p>
    <w:p w14:paraId="605C2B54" w14:textId="77777777" w:rsidR="000D4EC1" w:rsidRPr="002F773A" w:rsidRDefault="009D2330" w:rsidP="006B2D2E">
      <w:pPr>
        <w:pStyle w:val="Standard"/>
      </w:pPr>
      <w:r w:rsidRPr="002F773A">
        <w:t>Nature des prix :</w:t>
      </w:r>
    </w:p>
    <w:p w14:paraId="4AF71ECA" w14:textId="77777777" w:rsidR="000D4EC1" w:rsidRPr="002F773A" w:rsidRDefault="009D2330" w:rsidP="006B2D2E">
      <w:pPr>
        <w:pStyle w:val="Standard"/>
      </w:pPr>
      <w:r w:rsidRPr="002F773A">
        <w:t>Les prix sont unitaires.</w:t>
      </w:r>
    </w:p>
    <w:p w14:paraId="05650D18" w14:textId="77777777" w:rsidR="001551DA" w:rsidRPr="002F773A" w:rsidRDefault="001551DA" w:rsidP="006B2D2E">
      <w:pPr>
        <w:pStyle w:val="Standard"/>
      </w:pPr>
    </w:p>
    <w:p w14:paraId="10B3FFCE" w14:textId="77777777" w:rsidR="000D4EC1" w:rsidRPr="002F773A" w:rsidRDefault="009D2330" w:rsidP="006B2D2E">
      <w:pPr>
        <w:pStyle w:val="Standard"/>
      </w:pPr>
      <w:r w:rsidRPr="002F773A">
        <w:t>Date d'établissement des prix :</w:t>
      </w:r>
    </w:p>
    <w:p w14:paraId="64692A25" w14:textId="77777777" w:rsidR="000D4EC1" w:rsidRPr="002F773A" w:rsidRDefault="009D2330" w:rsidP="006B2D2E">
      <w:pPr>
        <w:pStyle w:val="Standard"/>
        <w:rPr>
          <w:b/>
        </w:rPr>
      </w:pPr>
      <w:r w:rsidRPr="002F773A">
        <w:t>La date d'établissement des prix correspond à la date de signature par le candidat.</w:t>
      </w:r>
    </w:p>
    <w:p w14:paraId="3182C301" w14:textId="77777777" w:rsidR="001551DA" w:rsidRPr="002F773A" w:rsidRDefault="001551DA" w:rsidP="006B2D2E">
      <w:pPr>
        <w:pStyle w:val="Standard"/>
      </w:pPr>
    </w:p>
    <w:p w14:paraId="007FD6FB" w14:textId="77777777" w:rsidR="000D4EC1" w:rsidRPr="002F773A" w:rsidRDefault="009D2330" w:rsidP="006B2D2E">
      <w:pPr>
        <w:pStyle w:val="Standard"/>
      </w:pPr>
      <w:r w:rsidRPr="002F773A">
        <w:t>Régime des prix :</w:t>
      </w:r>
    </w:p>
    <w:p w14:paraId="28A55326" w14:textId="14A1B4A1" w:rsidR="001C55E9" w:rsidRPr="003A24EA" w:rsidRDefault="009D2330" w:rsidP="006B2D2E">
      <w:pPr>
        <w:pStyle w:val="Standard"/>
      </w:pPr>
      <w:r w:rsidRPr="003A24EA">
        <w:t xml:space="preserve">Le prix proposé </w:t>
      </w:r>
      <w:r w:rsidR="00DE2A67" w:rsidRPr="003A24EA">
        <w:t>est</w:t>
      </w:r>
      <w:r w:rsidRPr="003A24EA">
        <w:t xml:space="preserve"> ferme et définitifs </w:t>
      </w:r>
      <w:r w:rsidR="001770D9" w:rsidRPr="003A24EA">
        <w:t xml:space="preserve">la première </w:t>
      </w:r>
      <w:r w:rsidR="00DE2A67" w:rsidRPr="003A24EA">
        <w:t>tranche</w:t>
      </w:r>
      <w:r w:rsidR="001770D9" w:rsidRPr="003A24EA">
        <w:t xml:space="preserve"> du marché</w:t>
      </w:r>
      <w:r w:rsidRPr="003A24EA">
        <w:t>.</w:t>
      </w:r>
    </w:p>
    <w:p w14:paraId="2737BCF9" w14:textId="68E60131" w:rsidR="009B258F" w:rsidRPr="003A24EA" w:rsidRDefault="009B258F" w:rsidP="006B2D2E">
      <w:pPr>
        <w:pStyle w:val="Standard"/>
      </w:pPr>
      <w:r w:rsidRPr="003A24EA">
        <w:t xml:space="preserve">Le prix </w:t>
      </w:r>
      <w:r w:rsidR="00DE2A67" w:rsidRPr="003A24EA">
        <w:t xml:space="preserve">de chaque tranche est </w:t>
      </w:r>
      <w:r w:rsidR="002D048D" w:rsidRPr="003A24EA">
        <w:t>révis</w:t>
      </w:r>
      <w:r w:rsidR="00DE2A67" w:rsidRPr="003A24EA">
        <w:t>able</w:t>
      </w:r>
      <w:r w:rsidRPr="003A24EA">
        <w:t>.</w:t>
      </w:r>
    </w:p>
    <w:p w14:paraId="3C1AFBE5" w14:textId="77777777" w:rsidR="003959FA" w:rsidRPr="002F773A" w:rsidRDefault="003959FA" w:rsidP="006B2D2E">
      <w:pPr>
        <w:pStyle w:val="Standard"/>
      </w:pPr>
    </w:p>
    <w:p w14:paraId="46893A10" w14:textId="69652646" w:rsidR="003959FA" w:rsidRDefault="003959FA" w:rsidP="006B2D2E">
      <w:pPr>
        <w:pStyle w:val="Standard"/>
      </w:pPr>
      <w:r w:rsidRPr="002F773A">
        <w:t>L'unité monétaire qui s'applique est l'Euro.</w:t>
      </w:r>
    </w:p>
    <w:p w14:paraId="687A48B5" w14:textId="110D8B3A" w:rsidR="00620934" w:rsidRDefault="00620934" w:rsidP="006B2D2E">
      <w:pPr>
        <w:pStyle w:val="Standard"/>
      </w:pPr>
    </w:p>
    <w:p w14:paraId="1DF4557D" w14:textId="77777777" w:rsidR="00620934" w:rsidRPr="00620934" w:rsidRDefault="00620934" w:rsidP="006B2D2E">
      <w:pPr>
        <w:pStyle w:val="Standard"/>
      </w:pPr>
      <w:r w:rsidRPr="00620934">
        <w:t>Sont applicables les taux de TVA en vigueur lors du fait générateur de la taxe au sens de l'article 269 du code général des impôts.</w:t>
      </w:r>
    </w:p>
    <w:p w14:paraId="1148D64D" w14:textId="0888CAB5" w:rsidR="001B66D6" w:rsidRPr="002F773A" w:rsidRDefault="001B66D6" w:rsidP="006B2D2E">
      <w:pPr>
        <w:pStyle w:val="Standard"/>
      </w:pPr>
    </w:p>
    <w:p w14:paraId="3DFAE0C6" w14:textId="77777777" w:rsidR="003157F4" w:rsidRPr="002F773A" w:rsidRDefault="003157F4" w:rsidP="00BD6CDF">
      <w:pPr>
        <w:jc w:val="both"/>
        <w:rPr>
          <w:rFonts w:ascii="Arial" w:hAnsi="Arial" w:cs="Arial"/>
          <w:sz w:val="22"/>
          <w:szCs w:val="22"/>
        </w:rPr>
      </w:pPr>
    </w:p>
    <w:p w14:paraId="5C8DDAC1" w14:textId="41EFB539" w:rsidR="000D4EC1" w:rsidRPr="002F773A" w:rsidRDefault="00DA62FD" w:rsidP="006B2D2E">
      <w:pPr>
        <w:pStyle w:val="Titre1"/>
      </w:pPr>
      <w:bookmarkStart w:id="13" w:name="_Toc205802188"/>
      <w:bookmarkStart w:id="14" w:name="_Toc205806301"/>
      <w:r w:rsidRPr="002F773A">
        <w:t>DUREE</w:t>
      </w:r>
      <w:r w:rsidR="009D2330" w:rsidRPr="002F773A">
        <w:t xml:space="preserve"> </w:t>
      </w:r>
      <w:r w:rsidR="00384835">
        <w:t xml:space="preserve">ET EXECUTION </w:t>
      </w:r>
      <w:r w:rsidR="009D2330" w:rsidRPr="002F773A">
        <w:t>DU MARCHE</w:t>
      </w:r>
      <w:bookmarkEnd w:id="13"/>
      <w:bookmarkEnd w:id="14"/>
    </w:p>
    <w:p w14:paraId="490DFB40" w14:textId="7D7B65F5" w:rsidR="000D4EC1" w:rsidRPr="00384835" w:rsidRDefault="009D2330" w:rsidP="006B2D2E">
      <w:pPr>
        <w:pStyle w:val="Titre2"/>
      </w:pPr>
      <w:bookmarkStart w:id="15" w:name="__RefHeading__2570_1900509989"/>
      <w:bookmarkStart w:id="16" w:name="_Toc205802189"/>
      <w:bookmarkStart w:id="17" w:name="_Toc205806302"/>
      <w:bookmarkEnd w:id="15"/>
      <w:r w:rsidRPr="00384835">
        <w:t>Durée du marché et délai d'exécution</w:t>
      </w:r>
      <w:bookmarkEnd w:id="16"/>
      <w:bookmarkEnd w:id="17"/>
    </w:p>
    <w:p w14:paraId="386C979F" w14:textId="49EEB11B" w:rsidR="00247A49" w:rsidRPr="002F773A" w:rsidRDefault="00247A49" w:rsidP="006B2D2E">
      <w:pPr>
        <w:pStyle w:val="Standard"/>
      </w:pPr>
      <w:r w:rsidRPr="002F773A">
        <w:t xml:space="preserve">Le marché court à compter </w:t>
      </w:r>
      <w:r w:rsidR="00BB7109" w:rsidRPr="002F773A">
        <w:t>d</w:t>
      </w:r>
      <w:r w:rsidRPr="002F773A">
        <w:t xml:space="preserve">e </w:t>
      </w:r>
      <w:r w:rsidR="00BB7109" w:rsidRPr="002F773A">
        <w:t>l</w:t>
      </w:r>
      <w:r w:rsidRPr="002F773A">
        <w:t>a date de</w:t>
      </w:r>
      <w:r w:rsidR="003A331E">
        <w:t xml:space="preserve"> sa</w:t>
      </w:r>
      <w:r w:rsidRPr="002F773A">
        <w:t xml:space="preserve"> notification pour </w:t>
      </w:r>
      <w:r w:rsidR="00AD157D">
        <w:t>une durée de 6</w:t>
      </w:r>
      <w:r w:rsidRPr="002F773A">
        <w:t xml:space="preserve"> mois </w:t>
      </w:r>
      <w:r w:rsidR="00AD157D">
        <w:t xml:space="preserve">(tranche ferme) </w:t>
      </w:r>
      <w:r w:rsidRPr="00D66582">
        <w:t xml:space="preserve">reconductible </w:t>
      </w:r>
      <w:r w:rsidR="00AD157D" w:rsidRPr="00D66582">
        <w:t>par tranche de 6 mois sans que sa durée ne puisse excéder trois ans</w:t>
      </w:r>
      <w:r w:rsidRPr="00D66582">
        <w:t xml:space="preserve"> (</w:t>
      </w:r>
      <w:r w:rsidR="00AD157D" w:rsidRPr="00D66582">
        <w:t>36 mois</w:t>
      </w:r>
      <w:r w:rsidRPr="00D66582">
        <w:t>).</w:t>
      </w:r>
    </w:p>
    <w:p w14:paraId="15E81EE9" w14:textId="77777777" w:rsidR="00AD157D" w:rsidRDefault="00AD157D" w:rsidP="006B2D2E">
      <w:pPr>
        <w:pStyle w:val="Standard"/>
      </w:pPr>
    </w:p>
    <w:p w14:paraId="357A915E" w14:textId="5FE4209D" w:rsidR="00AD157D" w:rsidRDefault="00AD157D" w:rsidP="006B2D2E">
      <w:pPr>
        <w:pStyle w:val="Standard"/>
      </w:pPr>
      <w:r>
        <w:t>La reconduction dépendra de l’affermissement des tranches optionnelles (5 tranches optionnelles) :</w:t>
      </w:r>
    </w:p>
    <w:p w14:paraId="097830EF" w14:textId="1C22FB7A" w:rsidR="00BB7109" w:rsidRDefault="00BB7109" w:rsidP="006B2D2E">
      <w:pPr>
        <w:pStyle w:val="Standard"/>
      </w:pPr>
    </w:p>
    <w:p w14:paraId="7214D9EF" w14:textId="77777777" w:rsidR="00EB1BE3" w:rsidRPr="00D61CB7" w:rsidRDefault="00EB1BE3" w:rsidP="00EB1BE3">
      <w:pPr>
        <w:spacing w:line="225" w:lineRule="exact"/>
        <w:jc w:val="both"/>
        <w:rPr>
          <w:rFonts w:ascii="Arial" w:eastAsia="Arial" w:hAnsi="Arial" w:cs="Arial"/>
          <w:color w:val="000000"/>
          <w:sz w:val="22"/>
          <w:szCs w:val="22"/>
        </w:rPr>
      </w:pPr>
      <w:r w:rsidRPr="00D61CB7">
        <w:rPr>
          <w:rFonts w:ascii="Arial" w:eastAsia="Arial" w:hAnsi="Arial" w:cs="Arial"/>
          <w:color w:val="000000"/>
          <w:sz w:val="22"/>
          <w:szCs w:val="22"/>
        </w:rPr>
        <w:t>Il n’est pas prévu le versement d’indemnités dans le cas où la ou les tranches optionnelle(s) ne sera(seraient) pas affermie(s).</w:t>
      </w:r>
    </w:p>
    <w:p w14:paraId="24F9A102" w14:textId="77777777" w:rsidR="00EB1BE3" w:rsidRPr="00D61CB7" w:rsidRDefault="00EB1BE3" w:rsidP="00EB1BE3">
      <w:pPr>
        <w:spacing w:line="225" w:lineRule="exact"/>
        <w:jc w:val="both"/>
        <w:rPr>
          <w:rFonts w:ascii="Arial" w:eastAsia="Arial" w:hAnsi="Arial" w:cs="Arial"/>
          <w:color w:val="000000"/>
          <w:sz w:val="22"/>
          <w:szCs w:val="22"/>
        </w:rPr>
      </w:pPr>
    </w:p>
    <w:p w14:paraId="17A294E2" w14:textId="08EA40DF" w:rsidR="00EB1BE3" w:rsidRPr="00D61CB7" w:rsidRDefault="00EB1BE3" w:rsidP="00EB1BE3">
      <w:pPr>
        <w:spacing w:line="225" w:lineRule="exact"/>
        <w:jc w:val="both"/>
        <w:rPr>
          <w:rFonts w:ascii="Arial" w:eastAsia="Arial" w:hAnsi="Arial" w:cs="Arial"/>
          <w:color w:val="000000"/>
          <w:sz w:val="22"/>
          <w:szCs w:val="22"/>
        </w:rPr>
      </w:pPr>
      <w:r w:rsidRPr="00D61CB7">
        <w:rPr>
          <w:rFonts w:ascii="Arial" w:eastAsia="Arial" w:hAnsi="Arial" w:cs="Arial"/>
          <w:color w:val="000000"/>
          <w:sz w:val="22"/>
          <w:szCs w:val="22"/>
        </w:rPr>
        <w:t xml:space="preserve">La décision de l’acheteur d’affermir la première tranche optionnelle sera notifiée au titulaire par ordre de service un mois </w:t>
      </w:r>
      <w:r w:rsidRPr="00D61CB7">
        <w:rPr>
          <w:rFonts w:ascii="Arial" w:eastAsia="Arial" w:hAnsi="Arial" w:cs="Arial"/>
          <w:b/>
          <w:color w:val="000000"/>
          <w:sz w:val="22"/>
          <w:szCs w:val="22"/>
        </w:rPr>
        <w:t>avant la fin de la période de 6 mois.</w:t>
      </w:r>
      <w:r w:rsidRPr="00D61CB7">
        <w:rPr>
          <w:rFonts w:ascii="Arial" w:eastAsia="Arial" w:hAnsi="Arial" w:cs="Arial"/>
          <w:color w:val="000000"/>
          <w:sz w:val="22"/>
          <w:szCs w:val="22"/>
        </w:rPr>
        <w:t xml:space="preserve"> Si aucun ordre de service n’est émis avant la fin de cette période, la première tranche optionnelle ne sera pas affermie.</w:t>
      </w:r>
    </w:p>
    <w:p w14:paraId="53365CB2" w14:textId="77777777" w:rsidR="00EB1BE3" w:rsidRPr="00D61CB7" w:rsidRDefault="00EB1BE3" w:rsidP="00EB1BE3">
      <w:pPr>
        <w:spacing w:line="225" w:lineRule="exact"/>
        <w:jc w:val="both"/>
        <w:rPr>
          <w:rFonts w:ascii="Arial" w:eastAsia="Arial" w:hAnsi="Arial" w:cs="Arial"/>
          <w:color w:val="000000"/>
          <w:sz w:val="22"/>
          <w:szCs w:val="22"/>
        </w:rPr>
      </w:pPr>
    </w:p>
    <w:p w14:paraId="678EF426" w14:textId="6673D786" w:rsidR="00EB1BE3" w:rsidRPr="00D61CB7" w:rsidRDefault="00EB1BE3" w:rsidP="00EB1BE3">
      <w:pPr>
        <w:spacing w:line="225" w:lineRule="exact"/>
        <w:jc w:val="both"/>
        <w:rPr>
          <w:rFonts w:ascii="Arial" w:eastAsia="Arial" w:hAnsi="Arial" w:cs="Arial"/>
          <w:color w:val="000000"/>
          <w:sz w:val="22"/>
          <w:szCs w:val="22"/>
        </w:rPr>
      </w:pPr>
      <w:r w:rsidRPr="00D61CB7">
        <w:rPr>
          <w:rFonts w:ascii="Arial" w:eastAsia="Arial" w:hAnsi="Arial" w:cs="Arial"/>
          <w:color w:val="000000"/>
          <w:sz w:val="22"/>
          <w:szCs w:val="22"/>
        </w:rPr>
        <w:t xml:space="preserve">La décision de l’acheteur d’affermir la deuxième tranche optionnelle sera notifiée au titulaire par ordre de service un mois </w:t>
      </w:r>
      <w:r w:rsidRPr="00D61CB7">
        <w:rPr>
          <w:rFonts w:ascii="Arial" w:eastAsia="Arial" w:hAnsi="Arial" w:cs="Arial"/>
          <w:b/>
          <w:color w:val="000000"/>
          <w:sz w:val="22"/>
          <w:szCs w:val="22"/>
        </w:rPr>
        <w:t>avant la fin des 12 mois</w:t>
      </w:r>
      <w:r w:rsidRPr="00D61CB7">
        <w:rPr>
          <w:rFonts w:ascii="Arial" w:eastAsia="Arial" w:hAnsi="Arial" w:cs="Arial"/>
          <w:color w:val="000000"/>
          <w:sz w:val="22"/>
          <w:szCs w:val="22"/>
        </w:rPr>
        <w:t>. Si aucun ordre de service n’est émis avant la fin de cette période, la deuxième tranche optionnelle ne sera pas affermie.</w:t>
      </w:r>
    </w:p>
    <w:p w14:paraId="05163A16" w14:textId="35DFB271" w:rsidR="00EB1BE3" w:rsidRPr="00D61CB7" w:rsidRDefault="00EB1BE3" w:rsidP="006B2D2E">
      <w:pPr>
        <w:pStyle w:val="Standard"/>
      </w:pPr>
    </w:p>
    <w:p w14:paraId="6C909491" w14:textId="1FC2BAC2" w:rsidR="00EB1BE3" w:rsidRPr="00D61CB7" w:rsidRDefault="00EB1BE3" w:rsidP="00EB1BE3">
      <w:pPr>
        <w:spacing w:line="225" w:lineRule="exact"/>
        <w:jc w:val="both"/>
        <w:rPr>
          <w:rFonts w:ascii="Arial" w:eastAsia="Arial" w:hAnsi="Arial" w:cs="Arial"/>
          <w:color w:val="000000"/>
          <w:sz w:val="22"/>
          <w:szCs w:val="22"/>
        </w:rPr>
      </w:pPr>
      <w:r w:rsidRPr="00D61CB7">
        <w:rPr>
          <w:rFonts w:ascii="Arial" w:eastAsia="Arial" w:hAnsi="Arial" w:cs="Arial"/>
          <w:color w:val="000000"/>
          <w:sz w:val="22"/>
          <w:szCs w:val="22"/>
        </w:rPr>
        <w:t xml:space="preserve">La décision de l’acheteur d’affermir la </w:t>
      </w:r>
      <w:r w:rsidR="00163976" w:rsidRPr="00D61CB7">
        <w:rPr>
          <w:rFonts w:ascii="Arial" w:eastAsia="Arial" w:hAnsi="Arial" w:cs="Arial"/>
          <w:color w:val="000000"/>
          <w:sz w:val="22"/>
          <w:szCs w:val="22"/>
        </w:rPr>
        <w:t>trois</w:t>
      </w:r>
      <w:r w:rsidRPr="00D61CB7">
        <w:rPr>
          <w:rFonts w:ascii="Arial" w:eastAsia="Arial" w:hAnsi="Arial" w:cs="Arial"/>
          <w:color w:val="000000"/>
          <w:sz w:val="22"/>
          <w:szCs w:val="22"/>
        </w:rPr>
        <w:t xml:space="preserve">ième tranche optionnelle sera notifiée au titulaire par ordre de service un mois </w:t>
      </w:r>
      <w:r w:rsidRPr="00D61CB7">
        <w:rPr>
          <w:rFonts w:ascii="Arial" w:eastAsia="Arial" w:hAnsi="Arial" w:cs="Arial"/>
          <w:b/>
          <w:color w:val="000000"/>
          <w:sz w:val="22"/>
          <w:szCs w:val="22"/>
        </w:rPr>
        <w:t>avant la fin des 18 mois</w:t>
      </w:r>
      <w:r w:rsidRPr="00D61CB7">
        <w:rPr>
          <w:rFonts w:ascii="Arial" w:eastAsia="Arial" w:hAnsi="Arial" w:cs="Arial"/>
          <w:color w:val="000000"/>
          <w:sz w:val="22"/>
          <w:szCs w:val="22"/>
        </w:rPr>
        <w:t>. Si aucun ordre de service n’est émis avant la fin de cette période, la troisième tranche optionnelle ne sera pas affermie.</w:t>
      </w:r>
    </w:p>
    <w:p w14:paraId="61CD5E82" w14:textId="37EA4EA6" w:rsidR="00EB1BE3" w:rsidRPr="00D61CB7" w:rsidRDefault="00EB1BE3" w:rsidP="006B2D2E">
      <w:pPr>
        <w:pStyle w:val="Standard"/>
      </w:pPr>
    </w:p>
    <w:p w14:paraId="07951299" w14:textId="6F46BEDE" w:rsidR="00EB1BE3" w:rsidRPr="00D61CB7" w:rsidRDefault="00EB1BE3" w:rsidP="00EB1BE3">
      <w:pPr>
        <w:spacing w:line="225" w:lineRule="exact"/>
        <w:jc w:val="both"/>
        <w:rPr>
          <w:rFonts w:ascii="Arial" w:eastAsia="Arial" w:hAnsi="Arial" w:cs="Arial"/>
          <w:color w:val="000000"/>
          <w:sz w:val="22"/>
          <w:szCs w:val="22"/>
        </w:rPr>
      </w:pPr>
      <w:r w:rsidRPr="00D61CB7">
        <w:rPr>
          <w:rFonts w:ascii="Arial" w:eastAsia="Arial" w:hAnsi="Arial" w:cs="Arial"/>
          <w:color w:val="000000"/>
          <w:sz w:val="22"/>
          <w:szCs w:val="22"/>
        </w:rPr>
        <w:t xml:space="preserve">La décision de l’acheteur d’affermir la </w:t>
      </w:r>
      <w:r w:rsidR="00163976" w:rsidRPr="00D61CB7">
        <w:rPr>
          <w:rFonts w:ascii="Arial" w:eastAsia="Arial" w:hAnsi="Arial" w:cs="Arial"/>
          <w:color w:val="000000"/>
          <w:sz w:val="22"/>
          <w:szCs w:val="22"/>
        </w:rPr>
        <w:t>quatr</w:t>
      </w:r>
      <w:r w:rsidRPr="00D61CB7">
        <w:rPr>
          <w:rFonts w:ascii="Arial" w:eastAsia="Arial" w:hAnsi="Arial" w:cs="Arial"/>
          <w:color w:val="000000"/>
          <w:sz w:val="22"/>
          <w:szCs w:val="22"/>
        </w:rPr>
        <w:t xml:space="preserve">ième tranche optionnelle sera notifiée au titulaire par ordre de service un mois </w:t>
      </w:r>
      <w:r w:rsidRPr="00D61CB7">
        <w:rPr>
          <w:rFonts w:ascii="Arial" w:eastAsia="Arial" w:hAnsi="Arial" w:cs="Arial"/>
          <w:b/>
          <w:color w:val="000000"/>
          <w:sz w:val="22"/>
          <w:szCs w:val="22"/>
        </w:rPr>
        <w:t>avant la fin des 24 mois</w:t>
      </w:r>
      <w:r w:rsidRPr="00D61CB7">
        <w:rPr>
          <w:rFonts w:ascii="Arial" w:eastAsia="Arial" w:hAnsi="Arial" w:cs="Arial"/>
          <w:color w:val="000000"/>
          <w:sz w:val="22"/>
          <w:szCs w:val="22"/>
        </w:rPr>
        <w:t>. Si aucun ordre de service n’est émis avant la fin de cette période, la quatrième tranche optionnelle ne sera pas affermie.</w:t>
      </w:r>
    </w:p>
    <w:p w14:paraId="32D800A2" w14:textId="77777777" w:rsidR="00EB1BE3" w:rsidRPr="00D61CB7" w:rsidRDefault="00EB1BE3" w:rsidP="006B2D2E">
      <w:pPr>
        <w:pStyle w:val="Standard"/>
      </w:pPr>
    </w:p>
    <w:p w14:paraId="1BB9E2E1" w14:textId="2373DEA6" w:rsidR="00EB1BE3" w:rsidRPr="00D61CB7" w:rsidRDefault="00EB1BE3" w:rsidP="00EB1BE3">
      <w:pPr>
        <w:spacing w:line="225" w:lineRule="exact"/>
        <w:jc w:val="both"/>
        <w:rPr>
          <w:rFonts w:ascii="Arial" w:eastAsia="Arial" w:hAnsi="Arial" w:cs="Arial"/>
          <w:color w:val="000000"/>
          <w:sz w:val="22"/>
          <w:szCs w:val="22"/>
        </w:rPr>
      </w:pPr>
      <w:r w:rsidRPr="00D61CB7">
        <w:rPr>
          <w:rFonts w:ascii="Arial" w:eastAsia="Arial" w:hAnsi="Arial" w:cs="Arial"/>
          <w:color w:val="000000"/>
          <w:sz w:val="22"/>
          <w:szCs w:val="22"/>
        </w:rPr>
        <w:t xml:space="preserve">La décision de l’acheteur d’affermir la </w:t>
      </w:r>
      <w:r w:rsidR="00163976" w:rsidRPr="00D61CB7">
        <w:rPr>
          <w:rFonts w:ascii="Arial" w:eastAsia="Arial" w:hAnsi="Arial" w:cs="Arial"/>
          <w:color w:val="000000"/>
          <w:sz w:val="22"/>
          <w:szCs w:val="22"/>
        </w:rPr>
        <w:t>cinqu</w:t>
      </w:r>
      <w:r w:rsidRPr="00D61CB7">
        <w:rPr>
          <w:rFonts w:ascii="Arial" w:eastAsia="Arial" w:hAnsi="Arial" w:cs="Arial"/>
          <w:color w:val="000000"/>
          <w:sz w:val="22"/>
          <w:szCs w:val="22"/>
        </w:rPr>
        <w:t xml:space="preserve">ième tranche optionnelle sera notifiée au titulaire par ordre de service un mois </w:t>
      </w:r>
      <w:r w:rsidRPr="00D61CB7">
        <w:rPr>
          <w:rFonts w:ascii="Arial" w:eastAsia="Arial" w:hAnsi="Arial" w:cs="Arial"/>
          <w:b/>
          <w:color w:val="000000"/>
          <w:sz w:val="22"/>
          <w:szCs w:val="22"/>
        </w:rPr>
        <w:t>avant la fin des 30 mois</w:t>
      </w:r>
      <w:r w:rsidRPr="00D61CB7">
        <w:rPr>
          <w:rFonts w:ascii="Arial" w:eastAsia="Arial" w:hAnsi="Arial" w:cs="Arial"/>
          <w:color w:val="000000"/>
          <w:sz w:val="22"/>
          <w:szCs w:val="22"/>
        </w:rPr>
        <w:t>. Si aucun ordre de service n’est émis avant la fin de cette période, la cinquième tranche optionnelle ne sera pas affermie.</w:t>
      </w:r>
    </w:p>
    <w:p w14:paraId="4CE6F5D4" w14:textId="2195EACC" w:rsidR="00CA7E78" w:rsidRPr="00672AD9" w:rsidRDefault="00CA7E78" w:rsidP="006B2D2E">
      <w:pPr>
        <w:pStyle w:val="Standard"/>
      </w:pPr>
    </w:p>
    <w:p w14:paraId="66DDEE62" w14:textId="77777777" w:rsidR="00CA7E78" w:rsidRPr="002F773A" w:rsidRDefault="00CA7E78" w:rsidP="006B2D2E">
      <w:pPr>
        <w:pStyle w:val="Standard"/>
      </w:pPr>
    </w:p>
    <w:p w14:paraId="10FB85DF" w14:textId="74808EC8" w:rsidR="000D4EC1" w:rsidRPr="002F773A" w:rsidRDefault="009D2330" w:rsidP="006B2D2E">
      <w:pPr>
        <w:pStyle w:val="Titre1"/>
      </w:pPr>
      <w:bookmarkStart w:id="18" w:name="__RefHeading__2576_1900509989"/>
      <w:bookmarkStart w:id="19" w:name="_Toc205802190"/>
      <w:bookmarkStart w:id="20" w:name="_Toc205806303"/>
      <w:bookmarkEnd w:id="18"/>
      <w:r w:rsidRPr="002F773A">
        <w:t>MODALITES D'EXECUTION DU MARCHE</w:t>
      </w:r>
      <w:bookmarkEnd w:id="19"/>
      <w:bookmarkEnd w:id="20"/>
    </w:p>
    <w:p w14:paraId="1C4B890A" w14:textId="77777777" w:rsidR="00847D3F" w:rsidRPr="002F773A" w:rsidRDefault="00847D3F" w:rsidP="006B2D2E">
      <w:pPr>
        <w:pStyle w:val="Standard"/>
      </w:pPr>
    </w:p>
    <w:p w14:paraId="06E48E5B" w14:textId="7232FDDC" w:rsidR="00AD157D" w:rsidRPr="003608C0" w:rsidRDefault="00AD157D" w:rsidP="006B2D2E">
      <w:pPr>
        <w:pStyle w:val="Standard"/>
      </w:pPr>
      <w:r w:rsidRPr="003608C0">
        <w:t xml:space="preserve">L’engagement juridique régis par le présent marché sera signé par le </w:t>
      </w:r>
      <w:r w:rsidR="003A24EA">
        <w:t>Pouvoir adjudicateur délégué (Chef du détachement de Moulins).</w:t>
      </w:r>
    </w:p>
    <w:p w14:paraId="136CC1D4" w14:textId="2591DC08" w:rsidR="00AD157D" w:rsidRPr="003608C0" w:rsidRDefault="00AD157D" w:rsidP="006B2D2E">
      <w:pPr>
        <w:pStyle w:val="Standard"/>
      </w:pPr>
    </w:p>
    <w:p w14:paraId="61F145D2" w14:textId="7509ED4D" w:rsidR="00AD157D" w:rsidRPr="00063D02" w:rsidRDefault="00AD157D" w:rsidP="006B2D2E">
      <w:pPr>
        <w:pStyle w:val="Standard"/>
      </w:pPr>
      <w:r w:rsidRPr="003608C0">
        <w:t>Le titulaire s'engage à exécuter la totalité de l’engagement juridique qui lui sera notifié.</w:t>
      </w:r>
    </w:p>
    <w:p w14:paraId="345B7020" w14:textId="2160F4E3" w:rsidR="000D4EC1" w:rsidRPr="003A331E" w:rsidRDefault="009D2330" w:rsidP="006B2D2E">
      <w:pPr>
        <w:pStyle w:val="Titre2"/>
      </w:pPr>
      <w:bookmarkStart w:id="21" w:name="_Toc205802191"/>
      <w:bookmarkStart w:id="22" w:name="_Toc205806304"/>
      <w:r w:rsidRPr="003A331E">
        <w:t>Obligations du titulaire</w:t>
      </w:r>
      <w:bookmarkEnd w:id="21"/>
      <w:bookmarkEnd w:id="22"/>
    </w:p>
    <w:p w14:paraId="32E93C70" w14:textId="77777777" w:rsidR="000D4EC1" w:rsidRPr="002F773A" w:rsidRDefault="009D2330" w:rsidP="006B2D2E">
      <w:pPr>
        <w:pStyle w:val="Standard"/>
      </w:pPr>
      <w:r w:rsidRPr="002F773A">
        <w:t>Le titulaire est tenu de signaler à l'acheteur tous les éléments qui lui paraissent de nature à compromettre la bonne exécution de la prestation.</w:t>
      </w:r>
    </w:p>
    <w:p w14:paraId="38C07319" w14:textId="77777777" w:rsidR="000D4EC1" w:rsidRPr="002F773A" w:rsidRDefault="009D2330" w:rsidP="006B2D2E">
      <w:pPr>
        <w:pStyle w:val="Standard"/>
      </w:pPr>
      <w:r w:rsidRPr="002F773A">
        <w:t>L'acheteur s'engage à collaborer avec le titulaire tout au long de l'exécution du marché. </w:t>
      </w:r>
    </w:p>
    <w:p w14:paraId="4A0C5AD3" w14:textId="00A7741A" w:rsidR="000D4EC1" w:rsidRPr="002F773A" w:rsidRDefault="009D2330" w:rsidP="006B2D2E">
      <w:pPr>
        <w:pStyle w:val="Standard"/>
      </w:pPr>
      <w:r w:rsidRPr="002F773A">
        <w:t xml:space="preserve">Le titulaire s'engage à mettre en </w:t>
      </w:r>
      <w:r w:rsidR="00946723" w:rsidRPr="002F773A">
        <w:t>œuvre</w:t>
      </w:r>
      <w:r w:rsidRPr="002F773A">
        <w:t xml:space="preserve"> les moyens appropr</w:t>
      </w:r>
      <w:r w:rsidR="000E5099" w:rsidRPr="002F773A">
        <w:t>iés afin de garder confidentiels</w:t>
      </w:r>
      <w:r w:rsidRPr="002F773A">
        <w:t xml:space="preserve"> les informations, les documents et les objets auxquels il aura eu accès lors de l'exécution du présent marché, sans qu'il soit besoin d'en expliciter systématiquement le caractère confidentiel.</w:t>
      </w:r>
    </w:p>
    <w:p w14:paraId="331DA88B" w14:textId="77777777" w:rsidR="00CA7E78" w:rsidRPr="002F773A" w:rsidRDefault="00CA7E78" w:rsidP="006B2D2E">
      <w:pPr>
        <w:pStyle w:val="Standard"/>
      </w:pPr>
    </w:p>
    <w:p w14:paraId="048AB024" w14:textId="6AF65562" w:rsidR="00CA7E78" w:rsidRPr="002F773A" w:rsidRDefault="009D2330" w:rsidP="006B2D2E">
      <w:pPr>
        <w:pStyle w:val="Standard"/>
      </w:pPr>
      <w:r w:rsidRPr="002F773A">
        <w:t>Ces informations, documents ou objets ne peuvent être, sans autorisation expresse de l'acheteur, divulgués, publiés, communiqués à des tiers ou être utilisés directement par le titulaire, hors du présent marché ou à l'issue de son exécution.</w:t>
      </w:r>
    </w:p>
    <w:p w14:paraId="7EBCF89A" w14:textId="1B5D565C" w:rsidR="000D4EC1" w:rsidRPr="002F773A" w:rsidRDefault="009D2330" w:rsidP="006B2D2E">
      <w:pPr>
        <w:pStyle w:val="Standard"/>
      </w:pPr>
      <w:r w:rsidRPr="002F773A">
        <w:t>Le titulaire s'engage à faire respecter ces obligations à l'ensemble de son personnel, le cas échéant à ses sous-traitants et fournisseurs.</w:t>
      </w:r>
    </w:p>
    <w:p w14:paraId="66C6CD8D" w14:textId="77777777" w:rsidR="00CA7E78" w:rsidRPr="002F773A" w:rsidRDefault="00CA7E78" w:rsidP="006B2D2E">
      <w:pPr>
        <w:pStyle w:val="Standard"/>
      </w:pPr>
    </w:p>
    <w:p w14:paraId="329A2D6C" w14:textId="431DD07B" w:rsidR="000D4EC1" w:rsidRPr="002F773A" w:rsidRDefault="009D2330" w:rsidP="006B2D2E">
      <w:pPr>
        <w:pStyle w:val="Standard"/>
      </w:pPr>
      <w:r w:rsidRPr="002F773A">
        <w:t>L'acheteur pourra demander, à tout moment, au titulaire, de lui retourner ou de détruire les éléments ou supports d'informations confid</w:t>
      </w:r>
      <w:r w:rsidR="009A3195" w:rsidRPr="002F773A">
        <w:t>entiel</w:t>
      </w:r>
      <w:r w:rsidRPr="002F773A">
        <w:t>s qui lui auraient été fournis.</w:t>
      </w:r>
    </w:p>
    <w:p w14:paraId="69D3CA95" w14:textId="77777777" w:rsidR="00CA7E78" w:rsidRPr="002F773A" w:rsidRDefault="00CA7E78" w:rsidP="006B2D2E">
      <w:pPr>
        <w:pStyle w:val="Standard"/>
      </w:pPr>
    </w:p>
    <w:p w14:paraId="26064AEE" w14:textId="77777777" w:rsidR="00CA7E78" w:rsidRPr="002F773A" w:rsidRDefault="009D2330" w:rsidP="006B2D2E">
      <w:pPr>
        <w:pStyle w:val="Standard"/>
      </w:pPr>
      <w:r w:rsidRPr="002F773A">
        <w:t>La violation grave des obligations de confidentialité par le titulaire pourra entraîner la résiliation du marché aux torts du titulaire.</w:t>
      </w:r>
    </w:p>
    <w:p w14:paraId="677EE33F" w14:textId="77777777" w:rsidR="00CA7E78" w:rsidRPr="002F773A" w:rsidRDefault="00CA7E78" w:rsidP="006B2D2E">
      <w:pPr>
        <w:pStyle w:val="Standard"/>
      </w:pPr>
    </w:p>
    <w:p w14:paraId="5FCD5D47" w14:textId="0361A5BC" w:rsidR="000D4EC1" w:rsidRPr="002F773A" w:rsidRDefault="009D2330" w:rsidP="006B2D2E">
      <w:pPr>
        <w:pStyle w:val="Standard"/>
      </w:pPr>
      <w:r w:rsidRPr="002F773A">
        <w:t xml:space="preserve">Le titulaire est tenu de mettre en </w:t>
      </w:r>
      <w:r w:rsidR="00946723" w:rsidRPr="002F773A">
        <w:t>œuvre</w:t>
      </w:r>
      <w:r w:rsidRPr="002F773A">
        <w:t>, dans le cadre des missions qui lui sont confiées, tous les procédés et moyens lui permettant de réaliser les prestations conformément aux spécifications du cahier des charges.</w:t>
      </w:r>
    </w:p>
    <w:p w14:paraId="64804CD9" w14:textId="77777777" w:rsidR="000D4EC1" w:rsidRPr="002F773A" w:rsidRDefault="000D4EC1" w:rsidP="006B2D2E">
      <w:pPr>
        <w:pStyle w:val="Standard"/>
      </w:pPr>
    </w:p>
    <w:p w14:paraId="29111BCB" w14:textId="4FB5379B" w:rsidR="000D4EC1" w:rsidRPr="002F773A" w:rsidRDefault="009D2330" w:rsidP="006B2D2E">
      <w:pPr>
        <w:pStyle w:val="Standard"/>
      </w:pPr>
      <w:r w:rsidRPr="002F773A">
        <w:t>Pour les prestations qui lui incombent, le titulaire doit strictement respecter les délais, les coûts et les niveaux de qualité prévus dans les documents contractuels régissant le marché. Les prestations devront être conformes aux prescriptions de l'ensemble des normes homologuées ou à toute norme européenne équivalente.</w:t>
      </w:r>
    </w:p>
    <w:p w14:paraId="76231836" w14:textId="77777777" w:rsidR="00CA7E78" w:rsidRPr="002F773A" w:rsidRDefault="00CA7E78" w:rsidP="006B2D2E">
      <w:pPr>
        <w:pStyle w:val="Standard"/>
      </w:pPr>
    </w:p>
    <w:p w14:paraId="1063F0FF" w14:textId="6378AAEF" w:rsidR="000D4EC1" w:rsidRPr="002F773A" w:rsidRDefault="009D2330" w:rsidP="006B2D2E">
      <w:pPr>
        <w:pStyle w:val="Standard"/>
      </w:pPr>
      <w:r w:rsidRPr="002F773A">
        <w:t>Cette disposition vaut non seulement pour les normes en vigueur au jour de la passation du marché mais également pour toutes les nouvelles normes qui deviendraient effectives en cours d'exécution du marché.</w:t>
      </w:r>
    </w:p>
    <w:p w14:paraId="27429055" w14:textId="02644A5D" w:rsidR="00CA7E78" w:rsidRPr="002F773A" w:rsidRDefault="00CA7E78" w:rsidP="006B2D2E">
      <w:pPr>
        <w:pStyle w:val="Standard"/>
      </w:pPr>
    </w:p>
    <w:p w14:paraId="53DFF4F7" w14:textId="77777777" w:rsidR="00CA7E78" w:rsidRPr="002F773A" w:rsidRDefault="00CA7E78" w:rsidP="006B2D2E">
      <w:pPr>
        <w:pStyle w:val="Standard"/>
      </w:pPr>
      <w:r w:rsidRPr="002F773A">
        <w:t>Dans le cas du suivi qualité des fournisseurs, l’Administration peut être amenée à évaluer les prestations fournies par le titulaire (délais de livraison, litige(s) sur factures, anomalie(s) sur documents administratifs, etc…)</w:t>
      </w:r>
    </w:p>
    <w:p w14:paraId="108F84E5" w14:textId="280B8489" w:rsidR="00FC3C79" w:rsidRDefault="00FC3C79" w:rsidP="002E6396">
      <w:pPr>
        <w:jc w:val="both"/>
        <w:rPr>
          <w:rFonts w:ascii="Arial" w:hAnsi="Arial" w:cs="Arial"/>
          <w:sz w:val="22"/>
          <w:szCs w:val="22"/>
        </w:rPr>
      </w:pPr>
      <w:bookmarkStart w:id="23" w:name="__RefHeading__2588_1900509989"/>
      <w:bookmarkEnd w:id="23"/>
    </w:p>
    <w:p w14:paraId="1BC9CB78" w14:textId="77777777" w:rsidR="00A97DB1" w:rsidRPr="002F773A" w:rsidRDefault="00A97DB1" w:rsidP="0089635D">
      <w:pPr>
        <w:ind w:left="426"/>
        <w:jc w:val="both"/>
        <w:rPr>
          <w:rFonts w:ascii="Arial" w:hAnsi="Arial" w:cs="Arial"/>
          <w:sz w:val="22"/>
          <w:szCs w:val="22"/>
        </w:rPr>
      </w:pPr>
    </w:p>
    <w:p w14:paraId="47570750" w14:textId="27052843" w:rsidR="000D4EC1" w:rsidRPr="002F773A" w:rsidRDefault="009D2330" w:rsidP="006B2D2E">
      <w:pPr>
        <w:pStyle w:val="Titre1"/>
      </w:pPr>
      <w:bookmarkStart w:id="24" w:name="_Toc205802192"/>
      <w:bookmarkStart w:id="25" w:name="_Toc205806305"/>
      <w:r w:rsidRPr="002F773A">
        <w:t>PENALITES</w:t>
      </w:r>
      <w:bookmarkEnd w:id="24"/>
      <w:bookmarkEnd w:id="25"/>
    </w:p>
    <w:p w14:paraId="70C06186" w14:textId="77777777" w:rsidR="00EC335D" w:rsidRPr="002F773A" w:rsidRDefault="00EC335D" w:rsidP="006B2D2E">
      <w:pPr>
        <w:pStyle w:val="Standard"/>
      </w:pPr>
    </w:p>
    <w:p w14:paraId="5828E76F" w14:textId="77777777" w:rsidR="00D36CEE" w:rsidRPr="00F54D7B" w:rsidRDefault="00D36CEE" w:rsidP="006B2D2E">
      <w:pPr>
        <w:pStyle w:val="Standard"/>
      </w:pPr>
      <w:r w:rsidRPr="00F54D7B">
        <w:t>Tout manquement du titulaire à ses obligations peut donner lieu à pénalités.</w:t>
      </w:r>
    </w:p>
    <w:p w14:paraId="3443630B" w14:textId="77777777" w:rsidR="00D36CEE" w:rsidRPr="00F54D7B" w:rsidRDefault="00D36CEE" w:rsidP="006B2D2E">
      <w:pPr>
        <w:pStyle w:val="Standard"/>
      </w:pPr>
      <w:r w:rsidRPr="00F54D7B">
        <w:t>Conformément à l’article 14.1.1 du CCAG, les pénalités sont applicables de plein droit, sans mise en demeure préalable.</w:t>
      </w:r>
    </w:p>
    <w:p w14:paraId="183B6F0C" w14:textId="77777777" w:rsidR="00D36CEE" w:rsidRPr="00F54D7B" w:rsidRDefault="00D36CEE" w:rsidP="006B2D2E">
      <w:pPr>
        <w:pStyle w:val="Standard"/>
      </w:pPr>
    </w:p>
    <w:p w14:paraId="3B1FCEDD" w14:textId="77777777" w:rsidR="00D36CEE" w:rsidRPr="00F54D7B" w:rsidRDefault="00D36CEE" w:rsidP="006B2D2E">
      <w:pPr>
        <w:pStyle w:val="Standard"/>
      </w:pPr>
      <w:r w:rsidRPr="00F54D7B">
        <w:t>Les pénalités sont calculées par application de la formule suivante :</w:t>
      </w:r>
    </w:p>
    <w:p w14:paraId="4E4FD445" w14:textId="77777777" w:rsidR="00D36CEE" w:rsidRPr="00F54D7B" w:rsidRDefault="00D36CEE" w:rsidP="006B2D2E">
      <w:pPr>
        <w:pStyle w:val="Standard"/>
      </w:pPr>
      <w:r w:rsidRPr="00F54D7B">
        <w:t>En cas de dépassement du délai contractuel d'exécution des prestations, le titulaire encourt sans mise en demeure préalable, des pénalités calculées en application de la formule suivante :</w:t>
      </w:r>
    </w:p>
    <w:p w14:paraId="678F28B1" w14:textId="77777777" w:rsidR="00D36CEE" w:rsidRPr="00F54D7B" w:rsidRDefault="00D36CEE" w:rsidP="006B2D2E">
      <w:pPr>
        <w:pStyle w:val="Standard"/>
      </w:pPr>
      <w:r w:rsidRPr="00F54D7B">
        <w:t>P = V x R/1000 dans laquelle</w:t>
      </w:r>
    </w:p>
    <w:p w14:paraId="7A18EF08" w14:textId="77777777" w:rsidR="00D36CEE" w:rsidRPr="00F54D7B" w:rsidRDefault="00D36CEE" w:rsidP="006B2D2E">
      <w:pPr>
        <w:pStyle w:val="Standard"/>
      </w:pPr>
      <w:r w:rsidRPr="00F54D7B">
        <w:t>P = le montant de la pénalité en € HT</w:t>
      </w:r>
    </w:p>
    <w:p w14:paraId="2996F2DB" w14:textId="77777777" w:rsidR="00D36CEE" w:rsidRPr="00F54D7B" w:rsidRDefault="00D36CEE" w:rsidP="006B2D2E">
      <w:pPr>
        <w:pStyle w:val="Standard"/>
      </w:pPr>
      <w:r w:rsidRPr="00F54D7B">
        <w:t>R = nombre de jours de retard</w:t>
      </w:r>
    </w:p>
    <w:p w14:paraId="1EEF733C" w14:textId="77777777" w:rsidR="00D36CEE" w:rsidRPr="00F54D7B" w:rsidRDefault="00D36CEE" w:rsidP="006B2D2E">
      <w:pPr>
        <w:pStyle w:val="Standard"/>
      </w:pPr>
      <w:r w:rsidRPr="00F54D7B">
        <w:t>V = valeur des fournitures sur laquelle est calculée la pénalité.</w:t>
      </w:r>
    </w:p>
    <w:p w14:paraId="632476B3" w14:textId="77777777" w:rsidR="00D36CEE" w:rsidRPr="00F54D7B" w:rsidRDefault="00D36CEE" w:rsidP="006B2D2E">
      <w:pPr>
        <w:pStyle w:val="Standard"/>
      </w:pPr>
    </w:p>
    <w:p w14:paraId="08EA89D2" w14:textId="77777777" w:rsidR="00D36CEE" w:rsidRPr="00F54D7B" w:rsidRDefault="00D36CEE" w:rsidP="006B2D2E">
      <w:pPr>
        <w:pStyle w:val="Standard"/>
      </w:pPr>
      <w:r w:rsidRPr="00672AD9">
        <w:t>Le titulaire peut être exonéré des pénalités dont le montant est manifestement dérisoire (l’application des pénalités restera à l'appréciation de l’acheteur).</w:t>
      </w:r>
    </w:p>
    <w:p w14:paraId="6D7C7659" w14:textId="5B1362D6" w:rsidR="000D4EC1" w:rsidRPr="002F773A" w:rsidRDefault="000D4EC1" w:rsidP="006B2D2E">
      <w:pPr>
        <w:pStyle w:val="Standard"/>
      </w:pPr>
    </w:p>
    <w:p w14:paraId="5AD527A5" w14:textId="68B501AA" w:rsidR="000D4EC1" w:rsidRPr="002F773A" w:rsidRDefault="009D2330" w:rsidP="006B2D2E">
      <w:pPr>
        <w:pStyle w:val="Titre1"/>
      </w:pPr>
      <w:bookmarkStart w:id="26" w:name="_Toc205802193"/>
      <w:bookmarkStart w:id="27" w:name="_Toc205806306"/>
      <w:r w:rsidRPr="002F773A">
        <w:t>REGIME FINANCIER</w:t>
      </w:r>
      <w:bookmarkEnd w:id="26"/>
      <w:bookmarkEnd w:id="27"/>
    </w:p>
    <w:p w14:paraId="3E5ED3C3" w14:textId="3E4D2671" w:rsidR="000D4EC1" w:rsidRPr="003A331E" w:rsidRDefault="009D2330" w:rsidP="006B2D2E">
      <w:pPr>
        <w:pStyle w:val="Titre2"/>
      </w:pPr>
      <w:bookmarkStart w:id="28" w:name="_Toc205802194"/>
      <w:bookmarkStart w:id="29" w:name="_Toc205806307"/>
      <w:r w:rsidRPr="003A331E">
        <w:t>Avances</w:t>
      </w:r>
      <w:bookmarkEnd w:id="28"/>
      <w:bookmarkEnd w:id="29"/>
    </w:p>
    <w:p w14:paraId="44FF1D3D" w14:textId="46E4B6EC" w:rsidR="006B2D2E" w:rsidRDefault="0073564A" w:rsidP="006B2D2E">
      <w:pPr>
        <w:pStyle w:val="Standard"/>
      </w:pPr>
      <w:r w:rsidRPr="0073564A">
        <w:t>Une avance sera consentie, si le titulaire ne s’y oppose pas, aux termes de l’article R.2391-1 du code de la commande publique uniquement pour les PME si le montant de la tranche dépasse les 50 000 € HT et si le délai de la prestation est supérieur à deux mois, le montant de l’avance sera dans ce cas porté à 30% du montant du montant de la tranche. Aucune avance ne sera consentie dans les autres cas.</w:t>
      </w:r>
    </w:p>
    <w:p w14:paraId="4F4A44F0" w14:textId="4F52F696" w:rsidR="006B2D2E" w:rsidRDefault="006B2D2E" w:rsidP="006B2D2E">
      <w:pPr>
        <w:pStyle w:val="Standard"/>
      </w:pPr>
    </w:p>
    <w:p w14:paraId="55AB687A" w14:textId="576339AD" w:rsidR="006B2D2E" w:rsidRDefault="006B2D2E" w:rsidP="006B2D2E">
      <w:pPr>
        <w:pStyle w:val="Titre2"/>
      </w:pPr>
      <w:bookmarkStart w:id="30" w:name="_Toc205802195"/>
      <w:bookmarkStart w:id="31" w:name="_Toc205806308"/>
      <w:r>
        <w:t>Acomptes</w:t>
      </w:r>
      <w:bookmarkEnd w:id="30"/>
      <w:bookmarkEnd w:id="31"/>
    </w:p>
    <w:p w14:paraId="14A890AB" w14:textId="127EC0DE" w:rsidR="006B2D2E" w:rsidRPr="006B2D2E" w:rsidRDefault="006B2D2E" w:rsidP="006B2D2E">
      <w:pPr>
        <w:pStyle w:val="Standard"/>
      </w:pPr>
      <w:r w:rsidRPr="006B2D2E">
        <w:t>Des acomptes seront consentis mensuellement, si le titulaire ne s’y oppose pas, aux termes des articles R.2391-16 et 17 du code de la commande publique. Le montant de l’acompte sera calculé sur la base de la valeur des prestations auxquelles il se rapporte. Il sera diminué du montant de l’avance, le cas échéant.</w:t>
      </w:r>
    </w:p>
    <w:p w14:paraId="3CCAC3CA" w14:textId="77777777" w:rsidR="006B2D2E" w:rsidRPr="0073564A" w:rsidRDefault="006B2D2E" w:rsidP="006B2D2E">
      <w:pPr>
        <w:pStyle w:val="Standard"/>
      </w:pPr>
    </w:p>
    <w:p w14:paraId="790237FD" w14:textId="6248C5FF" w:rsidR="006B2D2E" w:rsidRPr="006B2D2E" w:rsidRDefault="009D2330" w:rsidP="006B2D2E">
      <w:pPr>
        <w:pStyle w:val="Titre2"/>
      </w:pPr>
      <w:bookmarkStart w:id="32" w:name="_Toc205802196"/>
      <w:bookmarkStart w:id="33" w:name="_Toc205806309"/>
      <w:r w:rsidRPr="001557CB">
        <w:t>Variation des prix</w:t>
      </w:r>
      <w:bookmarkEnd w:id="32"/>
      <w:bookmarkEnd w:id="33"/>
    </w:p>
    <w:p w14:paraId="00F167F0" w14:textId="370ACD40" w:rsidR="00717313" w:rsidRPr="001557CB" w:rsidRDefault="00717313" w:rsidP="006B2D2E">
      <w:pPr>
        <w:pStyle w:val="Standard"/>
      </w:pPr>
      <w:r w:rsidRPr="001557CB">
        <w:t>Le titulaire a la possibilité d</w:t>
      </w:r>
      <w:r w:rsidR="00265B91" w:rsidRPr="001557CB">
        <w:t>e réviser</w:t>
      </w:r>
      <w:r w:rsidRPr="001557CB">
        <w:t xml:space="preserve"> les prix sur la base du tarif initial qu’il applique à ce marché en utilisant la formule d’indexation ci-dessous.  </w:t>
      </w:r>
    </w:p>
    <w:p w14:paraId="28509CCA" w14:textId="77777777" w:rsidR="00717313" w:rsidRPr="001557CB" w:rsidRDefault="00717313" w:rsidP="006B2D2E">
      <w:pPr>
        <w:pStyle w:val="Standard"/>
      </w:pPr>
    </w:p>
    <w:p w14:paraId="50498404" w14:textId="77777777" w:rsidR="004754CA" w:rsidRPr="001557CB" w:rsidRDefault="004754CA" w:rsidP="006B2D2E">
      <w:pPr>
        <w:pStyle w:val="Standard"/>
      </w:pPr>
      <w:r w:rsidRPr="001557CB">
        <w:t>Le prix proposé est ferme et définitifs la première tranche du marché.</w:t>
      </w:r>
    </w:p>
    <w:p w14:paraId="2F5A64BF" w14:textId="2F258D22" w:rsidR="004754CA" w:rsidRDefault="004754CA" w:rsidP="006B2D2E">
      <w:pPr>
        <w:pStyle w:val="Standard"/>
      </w:pPr>
      <w:r w:rsidRPr="001557CB">
        <w:t xml:space="preserve">Le prix de chaque tranche est </w:t>
      </w:r>
      <w:r w:rsidR="00265B91" w:rsidRPr="001557CB">
        <w:t>révi</w:t>
      </w:r>
      <w:r w:rsidRPr="001557CB">
        <w:t>sable.</w:t>
      </w:r>
    </w:p>
    <w:p w14:paraId="4EA41E4D" w14:textId="77777777" w:rsidR="001557CB" w:rsidRDefault="001557CB" w:rsidP="006B2D2E">
      <w:pPr>
        <w:pStyle w:val="Standard"/>
      </w:pPr>
    </w:p>
    <w:p w14:paraId="3725CABB" w14:textId="6F1F9DEA" w:rsidR="001557CB" w:rsidRPr="001557CB" w:rsidRDefault="001557CB" w:rsidP="006B2D2E">
      <w:pPr>
        <w:pStyle w:val="Standard"/>
      </w:pPr>
      <w:r w:rsidRPr="001557CB">
        <w:t xml:space="preserve">Le montant est révisable </w:t>
      </w:r>
      <w:r>
        <w:t>par tranche</w:t>
      </w:r>
      <w:r w:rsidRPr="001557CB">
        <w:t>, par application de la formule d'indexation suivante :</w:t>
      </w:r>
    </w:p>
    <w:p w14:paraId="3FDF4A04" w14:textId="2A36FE6B" w:rsidR="001557CB" w:rsidRPr="001557CB" w:rsidRDefault="001557CB" w:rsidP="006B2D2E">
      <w:pPr>
        <w:pStyle w:val="Standard"/>
        <w:rPr>
          <w:lang w:val="en-US"/>
        </w:rPr>
      </w:pPr>
      <w:r>
        <w:rPr>
          <w:lang w:val="en-US"/>
        </w:rPr>
        <w:t>P = Po (</w:t>
      </w:r>
      <w:proofErr w:type="spellStart"/>
      <w:r>
        <w:rPr>
          <w:lang w:val="en-US"/>
        </w:rPr>
        <w:t>indice</w:t>
      </w:r>
      <w:proofErr w:type="spellEnd"/>
      <w:r>
        <w:rPr>
          <w:lang w:val="en-US"/>
        </w:rPr>
        <w:t xml:space="preserve"> INSEE 1 / </w:t>
      </w:r>
      <w:proofErr w:type="spellStart"/>
      <w:r>
        <w:rPr>
          <w:lang w:val="en-US"/>
        </w:rPr>
        <w:t>indice</w:t>
      </w:r>
      <w:proofErr w:type="spellEnd"/>
      <w:r w:rsidRPr="001557CB">
        <w:rPr>
          <w:lang w:val="en-US"/>
        </w:rPr>
        <w:t xml:space="preserve"> INSEE 0)</w:t>
      </w:r>
    </w:p>
    <w:p w14:paraId="74274C5F" w14:textId="77777777" w:rsidR="001557CB" w:rsidRPr="001557CB" w:rsidRDefault="001557CB" w:rsidP="006B2D2E">
      <w:pPr>
        <w:pStyle w:val="Standard"/>
      </w:pPr>
      <w:r w:rsidRPr="001557CB">
        <w:t>Dans laquelle :</w:t>
      </w:r>
    </w:p>
    <w:p w14:paraId="22A9DF4F" w14:textId="77777777" w:rsidR="001557CB" w:rsidRPr="001557CB" w:rsidRDefault="001557CB" w:rsidP="006B2D2E">
      <w:pPr>
        <w:pStyle w:val="Standard"/>
      </w:pPr>
      <w:r w:rsidRPr="001557CB">
        <w:t>P = montant ajusté hors taxe remise déduite ;</w:t>
      </w:r>
    </w:p>
    <w:p w14:paraId="69E8AAD8" w14:textId="2EF27705" w:rsidR="001557CB" w:rsidRPr="001557CB" w:rsidRDefault="001557CB" w:rsidP="006B2D2E">
      <w:pPr>
        <w:pStyle w:val="Standard"/>
      </w:pPr>
      <w:r w:rsidRPr="001557CB">
        <w:t>Po = montant initial hors taxe</w:t>
      </w:r>
      <w:r>
        <w:t>, figurant sur le tarif de base</w:t>
      </w:r>
      <w:r w:rsidRPr="001557CB">
        <w:t>;</w:t>
      </w:r>
    </w:p>
    <w:p w14:paraId="1DEF15CF" w14:textId="77777777" w:rsidR="001557CB" w:rsidRPr="001557CB" w:rsidRDefault="001557CB" w:rsidP="006B2D2E">
      <w:pPr>
        <w:pStyle w:val="Standard"/>
      </w:pPr>
      <w:r w:rsidRPr="001557CB">
        <w:t>INSEE 0 = dernier indice publié à la date de dépôt des offres puis à la date de la révision précédente ;</w:t>
      </w:r>
    </w:p>
    <w:p w14:paraId="78246AE8" w14:textId="77777777" w:rsidR="001557CB" w:rsidRPr="001557CB" w:rsidRDefault="001557CB" w:rsidP="006B2D2E">
      <w:pPr>
        <w:pStyle w:val="Standard"/>
      </w:pPr>
      <w:r w:rsidRPr="001557CB">
        <w:t>INSEE 1 = dernier indice publié au moment de la révision.</w:t>
      </w:r>
    </w:p>
    <w:p w14:paraId="282635C7" w14:textId="77777777" w:rsidR="001557CB" w:rsidRPr="001557CB" w:rsidRDefault="001557CB" w:rsidP="006B2D2E">
      <w:pPr>
        <w:pStyle w:val="Standard"/>
      </w:pPr>
      <w:r w:rsidRPr="001557CB">
        <w:t>Le coefficient ainsi obtenu ne comportera pas plus de quatre (4) chiffres après la virgule.</w:t>
      </w:r>
    </w:p>
    <w:p w14:paraId="5CE9D18F" w14:textId="77777777" w:rsidR="001557CB" w:rsidRPr="001557CB" w:rsidRDefault="001557CB" w:rsidP="006B2D2E">
      <w:pPr>
        <w:pStyle w:val="Standard"/>
      </w:pPr>
    </w:p>
    <w:p w14:paraId="1119329E" w14:textId="77777777" w:rsidR="001557CB" w:rsidRPr="001557CB" w:rsidRDefault="001557CB" w:rsidP="001557CB">
      <w:pPr>
        <w:jc w:val="both"/>
        <w:rPr>
          <w:rFonts w:ascii="Arial" w:hAnsi="Arial" w:cs="Arial"/>
          <w:sz w:val="22"/>
          <w:szCs w:val="22"/>
        </w:rPr>
      </w:pPr>
      <w:r w:rsidRPr="001557CB">
        <w:rPr>
          <w:rFonts w:ascii="Arial" w:hAnsi="Arial" w:cs="Arial"/>
          <w:sz w:val="22"/>
          <w:szCs w:val="22"/>
        </w:rPr>
        <w:t>Les indices figurant aux dénominateurs représentent les valeurs initiales des derniers indices définitifs connus sur le site internet de l’INSEE du mois correspondant à la date d’établissement des prix.</w:t>
      </w:r>
    </w:p>
    <w:p w14:paraId="1AE8620A" w14:textId="5A887229" w:rsidR="00265B91" w:rsidRPr="001557CB" w:rsidRDefault="00265B91" w:rsidP="006B2D2E">
      <w:pPr>
        <w:pStyle w:val="Standard"/>
      </w:pPr>
    </w:p>
    <w:p w14:paraId="3F907E2A" w14:textId="06823BCB" w:rsidR="00265B91" w:rsidRPr="001557CB" w:rsidRDefault="001557CB" w:rsidP="006B2D2E">
      <w:pPr>
        <w:pStyle w:val="Standard"/>
      </w:pPr>
      <w:r w:rsidRPr="001557CB">
        <w:t>Les indices figurant aux numérateurs représentent les valeurs finales des derniers indices définitifs connus sur le site internet de l’INSEE.</w:t>
      </w:r>
    </w:p>
    <w:p w14:paraId="53D5B51A" w14:textId="57F7AD93" w:rsidR="001557CB" w:rsidRPr="001557CB" w:rsidRDefault="001557CB" w:rsidP="006B2D2E">
      <w:pPr>
        <w:pStyle w:val="Standard"/>
      </w:pPr>
    </w:p>
    <w:p w14:paraId="53CAC1A9" w14:textId="4130D2C1" w:rsidR="001557CB" w:rsidRPr="001557CB" w:rsidRDefault="001557CB" w:rsidP="006B2D2E">
      <w:pPr>
        <w:pStyle w:val="Standard"/>
      </w:pPr>
      <w:r w:rsidRPr="001557CB">
        <w:t>Le coefficient ainsi obtenu ne comportera pas plus de QUATRE chiffres après la virgule. Les valeurs des indices sont à relever sur le site internet de l’INSEE.</w:t>
      </w:r>
    </w:p>
    <w:p w14:paraId="245C1C75" w14:textId="77777777" w:rsidR="00717313" w:rsidRPr="00F84463" w:rsidRDefault="00717313" w:rsidP="006B2D2E">
      <w:pPr>
        <w:pStyle w:val="Standard"/>
        <w:rPr>
          <w:highlight w:val="green"/>
        </w:rPr>
      </w:pPr>
    </w:p>
    <w:p w14:paraId="7CBC685A" w14:textId="05140093" w:rsidR="00717313" w:rsidRPr="001557CB" w:rsidRDefault="00717313" w:rsidP="006B2D2E">
      <w:pPr>
        <w:pStyle w:val="Standard"/>
      </w:pPr>
      <w:r w:rsidRPr="001557CB">
        <w:t xml:space="preserve">L’indice INSEE à prendre en compte est : </w:t>
      </w:r>
    </w:p>
    <w:p w14:paraId="4A7C8990" w14:textId="488CDD7A" w:rsidR="008331A0" w:rsidRPr="001557CB" w:rsidRDefault="00717313" w:rsidP="006B2D2E">
      <w:pPr>
        <w:pStyle w:val="Standard"/>
      </w:pPr>
      <w:r w:rsidRPr="001557CB">
        <w:t>« </w:t>
      </w:r>
      <w:r w:rsidR="001557CB" w:rsidRPr="001557CB">
        <w:t>Indice mensuel du coût horaire du travail révisé »</w:t>
      </w:r>
    </w:p>
    <w:p w14:paraId="62FC3935" w14:textId="5E0053E5" w:rsidR="00717313" w:rsidRPr="001557CB" w:rsidRDefault="001557CB" w:rsidP="006B2D2E">
      <w:pPr>
        <w:pStyle w:val="Standard"/>
      </w:pPr>
      <w:r w:rsidRPr="001557CB">
        <w:t>Identifiant : 001565183.</w:t>
      </w:r>
    </w:p>
    <w:p w14:paraId="012B917B" w14:textId="77777777" w:rsidR="00717313" w:rsidRPr="001557CB" w:rsidRDefault="00717313" w:rsidP="006B2D2E">
      <w:pPr>
        <w:pStyle w:val="Standard"/>
      </w:pPr>
    </w:p>
    <w:p w14:paraId="090A36BA" w14:textId="51F8EB16" w:rsidR="00717313" w:rsidRPr="002F773A" w:rsidRDefault="00717313" w:rsidP="006B2D2E">
      <w:pPr>
        <w:pStyle w:val="Standard"/>
      </w:pPr>
      <w:r w:rsidRPr="001557CB">
        <w:t>Les valeurs des indices correspondant au secteur d’activité sont relevées sur le site internet de l'INSEE</w:t>
      </w:r>
      <w:r w:rsidR="005B6F9A">
        <w:t xml:space="preserve"> avec l’identifiant idoine</w:t>
      </w:r>
      <w:r w:rsidRPr="001557CB">
        <w:t>.</w:t>
      </w:r>
    </w:p>
    <w:p w14:paraId="172DB3A8" w14:textId="77777777" w:rsidR="00717313" w:rsidRPr="002F773A" w:rsidRDefault="00717313" w:rsidP="006B2D2E">
      <w:pPr>
        <w:pStyle w:val="Standard"/>
      </w:pPr>
    </w:p>
    <w:p w14:paraId="13D0668B" w14:textId="26F27987" w:rsidR="000D4EC1" w:rsidRPr="003A331E" w:rsidRDefault="009D2330" w:rsidP="006B2D2E">
      <w:pPr>
        <w:pStyle w:val="Titre2"/>
      </w:pPr>
      <w:bookmarkStart w:id="34" w:name="__RefHeading__2602_1900509989"/>
      <w:bookmarkStart w:id="35" w:name="_Toc205802197"/>
      <w:bookmarkStart w:id="36" w:name="_Toc205806310"/>
      <w:bookmarkEnd w:id="34"/>
      <w:r w:rsidRPr="003A331E">
        <w:t>Informations comptables</w:t>
      </w:r>
      <w:bookmarkEnd w:id="35"/>
      <w:bookmarkEnd w:id="36"/>
    </w:p>
    <w:p w14:paraId="3CFAA209" w14:textId="77777777" w:rsidR="00752D61" w:rsidRPr="002F773A" w:rsidRDefault="009D2330" w:rsidP="006B2D2E">
      <w:pPr>
        <w:pStyle w:val="Standard"/>
      </w:pPr>
      <w:r w:rsidRPr="002F773A">
        <w:t>Le comptable assignataire des paiements est :</w:t>
      </w:r>
    </w:p>
    <w:p w14:paraId="76270E4E" w14:textId="77777777" w:rsidR="000D4EC1" w:rsidRPr="002F773A" w:rsidRDefault="009D2330" w:rsidP="006B2D2E">
      <w:pPr>
        <w:pStyle w:val="Standard"/>
        <w:rPr>
          <w:b/>
        </w:rPr>
      </w:pPr>
      <w:r w:rsidRPr="002F773A">
        <w:t>Agent Comptable des Services Industriels de l'Armement (ACSIA)</w:t>
      </w:r>
    </w:p>
    <w:p w14:paraId="535CBAC6" w14:textId="77777777" w:rsidR="000D4EC1" w:rsidRPr="002F773A" w:rsidRDefault="009D2330" w:rsidP="006B2D2E">
      <w:pPr>
        <w:pStyle w:val="Standard"/>
        <w:rPr>
          <w:b/>
        </w:rPr>
      </w:pPr>
      <w:r w:rsidRPr="002F773A">
        <w:t xml:space="preserve">Le Vendôme III - 11 rue du Rempart - 93196 Noisy-Le-Grand </w:t>
      </w:r>
      <w:r w:rsidR="00946723" w:rsidRPr="002F773A">
        <w:t>Cedex</w:t>
      </w:r>
    </w:p>
    <w:p w14:paraId="4467F5A3" w14:textId="77777777" w:rsidR="006126D7" w:rsidRPr="002F773A" w:rsidRDefault="006126D7" w:rsidP="006B2D2E">
      <w:pPr>
        <w:pStyle w:val="Standard"/>
      </w:pPr>
    </w:p>
    <w:p w14:paraId="2EC44373" w14:textId="77777777" w:rsidR="007724D2" w:rsidRPr="004E34CB" w:rsidRDefault="007724D2" w:rsidP="006B2D2E">
      <w:pPr>
        <w:pStyle w:val="Standard"/>
      </w:pPr>
      <w:r w:rsidRPr="004E34CB">
        <w:t>Code nomenclature CPV : 79900000-3</w:t>
      </w:r>
    </w:p>
    <w:p w14:paraId="3A5C6F64" w14:textId="77777777" w:rsidR="007724D2" w:rsidRPr="004E34CB" w:rsidRDefault="007724D2" w:rsidP="006B2D2E">
      <w:pPr>
        <w:pStyle w:val="Standard"/>
      </w:pPr>
      <w:r w:rsidRPr="004E34CB">
        <w:t>Intitulé de la nomenclature :  services divers aux entreprises et services connexes</w:t>
      </w:r>
    </w:p>
    <w:p w14:paraId="072A164A" w14:textId="77777777" w:rsidR="007724D2" w:rsidRPr="004E34CB" w:rsidRDefault="007724D2" w:rsidP="006B2D2E">
      <w:pPr>
        <w:pStyle w:val="Standard"/>
      </w:pPr>
      <w:r w:rsidRPr="004E34CB">
        <w:t>Imputation budgétaire : AO 06 – 0178160101Z1 - D1816K0991</w:t>
      </w:r>
    </w:p>
    <w:p w14:paraId="74A5C8E1" w14:textId="77777777" w:rsidR="007724D2" w:rsidRPr="003608C0" w:rsidRDefault="007724D2" w:rsidP="006B2D2E">
      <w:pPr>
        <w:pStyle w:val="Standard"/>
      </w:pPr>
      <w:r w:rsidRPr="004E34CB">
        <w:t>Groupe marchandises : 35.02.06 prestations de logistiques (manutention et gestion stocks)</w:t>
      </w:r>
    </w:p>
    <w:p w14:paraId="5B17F59C" w14:textId="7A98D74A" w:rsidR="006B2D2E" w:rsidRPr="006B2D2E" w:rsidRDefault="009D2330" w:rsidP="006B2D2E">
      <w:pPr>
        <w:pStyle w:val="Titre2"/>
      </w:pPr>
      <w:bookmarkStart w:id="37" w:name="_Toc205802198"/>
      <w:bookmarkStart w:id="38" w:name="_Toc205806311"/>
      <w:r w:rsidRPr="003A331E">
        <w:t>Modalités de facturation</w:t>
      </w:r>
      <w:bookmarkEnd w:id="37"/>
      <w:bookmarkEnd w:id="38"/>
    </w:p>
    <w:p w14:paraId="7F9F93EC" w14:textId="77777777" w:rsidR="007724D2" w:rsidRDefault="007724D2" w:rsidP="006B2D2E">
      <w:pPr>
        <w:pStyle w:val="Standard"/>
      </w:pPr>
    </w:p>
    <w:p w14:paraId="02114C17" w14:textId="77777777" w:rsidR="007724D2" w:rsidRPr="003608C0" w:rsidRDefault="007724D2" w:rsidP="006B2D2E">
      <w:pPr>
        <w:pStyle w:val="Standard"/>
      </w:pPr>
      <w:r w:rsidRPr="00063D02">
        <w:t>Mensuellement après services faits comme indiqué au paragraphe 5 du CCTP « à la fin du mois, le titulaire nous adressera une facture sur la base des attestations de présence. »</w:t>
      </w:r>
    </w:p>
    <w:p w14:paraId="013F294D" w14:textId="77777777" w:rsidR="007724D2" w:rsidRDefault="007724D2" w:rsidP="006B2D2E">
      <w:pPr>
        <w:pStyle w:val="Standard"/>
      </w:pPr>
    </w:p>
    <w:p w14:paraId="523DA32D" w14:textId="7A85FCC6" w:rsidR="0065667C" w:rsidRPr="002F773A" w:rsidRDefault="0065667C" w:rsidP="006B2D2E">
      <w:pPr>
        <w:pStyle w:val="Standard"/>
      </w:pPr>
      <w:r w:rsidRPr="002F773A">
        <w:t xml:space="preserve">Le paiement est effectué sur demande de paiement émise par le titulaire et après </w:t>
      </w:r>
      <w:r w:rsidR="002C7696" w:rsidRPr="002F773A">
        <w:t>réception de la prestation</w:t>
      </w:r>
      <w:r w:rsidRPr="002F773A">
        <w:t>.</w:t>
      </w:r>
    </w:p>
    <w:p w14:paraId="1B88158A" w14:textId="77777777" w:rsidR="006126D7" w:rsidRPr="002F773A" w:rsidRDefault="0065667C" w:rsidP="006B2D2E">
      <w:pPr>
        <w:pStyle w:val="Standard"/>
      </w:pPr>
      <w:r w:rsidRPr="002F773A">
        <w:t> </w:t>
      </w:r>
      <w:r w:rsidR="00B80D3F" w:rsidRPr="002F773A">
        <w:t xml:space="preserve"> </w:t>
      </w:r>
    </w:p>
    <w:p w14:paraId="21A9D050" w14:textId="047870B2" w:rsidR="0065667C" w:rsidRPr="002F773A" w:rsidRDefault="0065667C" w:rsidP="006B2D2E">
      <w:pPr>
        <w:pStyle w:val="Standard"/>
      </w:pPr>
      <w:r w:rsidRPr="002F773A">
        <w:t>Le règlement des sommes dues demeure subordonn</w:t>
      </w:r>
      <w:r w:rsidR="007E490C" w:rsidRPr="002F773A">
        <w:t>é à la production des factures</w:t>
      </w:r>
      <w:r w:rsidRPr="002F773A">
        <w:t>. Le temps mis par ce dernier pour les faire parvenir à l'administration ne pourra pas donner lieu au versement d'intérêts moratoires.</w:t>
      </w:r>
    </w:p>
    <w:p w14:paraId="0AA9542C" w14:textId="0B849692" w:rsidR="0065667C" w:rsidRPr="002F773A" w:rsidRDefault="0065667C" w:rsidP="006B2D2E">
      <w:pPr>
        <w:pStyle w:val="Standard"/>
      </w:pPr>
      <w:r w:rsidRPr="002F773A">
        <w:t>Les factures comportent, outre les mentions légales, les indications suivantes :</w:t>
      </w:r>
    </w:p>
    <w:p w14:paraId="1D0EDDEC" w14:textId="24C5F56A" w:rsidR="0065667C" w:rsidRPr="002F773A" w:rsidRDefault="008663E9" w:rsidP="006B2D2E">
      <w:pPr>
        <w:pStyle w:val="Standard"/>
        <w:numPr>
          <w:ilvl w:val="0"/>
          <w:numId w:val="16"/>
        </w:numPr>
      </w:pPr>
      <w:proofErr w:type="gramStart"/>
      <w:r w:rsidRPr="002F773A">
        <w:t>l</w:t>
      </w:r>
      <w:r w:rsidR="00467ABD" w:rsidRPr="002F773A">
        <w:t>e</w:t>
      </w:r>
      <w:proofErr w:type="gramEnd"/>
      <w:r w:rsidR="00467ABD" w:rsidRPr="002F773A">
        <w:t xml:space="preserve"> numéro du service exécutant : D1816JM078 ;</w:t>
      </w:r>
    </w:p>
    <w:p w14:paraId="5E647A94" w14:textId="5952AA09" w:rsidR="0065667C" w:rsidRPr="002F773A" w:rsidRDefault="008663E9" w:rsidP="006B2D2E">
      <w:pPr>
        <w:pStyle w:val="Standard"/>
        <w:numPr>
          <w:ilvl w:val="0"/>
          <w:numId w:val="16"/>
        </w:numPr>
      </w:pPr>
      <w:proofErr w:type="gramStart"/>
      <w:r w:rsidRPr="002F773A">
        <w:t>l</w:t>
      </w:r>
      <w:r w:rsidR="0065667C" w:rsidRPr="002F773A">
        <w:t>e</w:t>
      </w:r>
      <w:proofErr w:type="gramEnd"/>
      <w:r w:rsidR="0065667C" w:rsidRPr="002F773A">
        <w:t xml:space="preserve"> numéro du marché ;</w:t>
      </w:r>
    </w:p>
    <w:p w14:paraId="4FBF636B" w14:textId="7E71EBF2" w:rsidR="0065667C" w:rsidRPr="002F773A" w:rsidRDefault="008663E9" w:rsidP="006B2D2E">
      <w:pPr>
        <w:pStyle w:val="Standard"/>
        <w:numPr>
          <w:ilvl w:val="0"/>
          <w:numId w:val="16"/>
        </w:numPr>
      </w:pPr>
      <w:proofErr w:type="gramStart"/>
      <w:r w:rsidRPr="002F773A">
        <w:t>l</w:t>
      </w:r>
      <w:r w:rsidR="00E71DE1" w:rsidRPr="002F773A">
        <w:t>e</w:t>
      </w:r>
      <w:proofErr w:type="gramEnd"/>
      <w:r w:rsidR="00E71DE1" w:rsidRPr="002F773A">
        <w:t xml:space="preserve"> numéro de l’engagement juridique (bon de commande)</w:t>
      </w:r>
      <w:r w:rsidR="0065667C" w:rsidRPr="002F773A">
        <w:t>.</w:t>
      </w:r>
    </w:p>
    <w:p w14:paraId="59B96D61" w14:textId="77777777" w:rsidR="002C7696" w:rsidRPr="002F773A" w:rsidRDefault="002C7696" w:rsidP="006B2D2E">
      <w:pPr>
        <w:pStyle w:val="Standard"/>
      </w:pPr>
    </w:p>
    <w:p w14:paraId="7C55F009" w14:textId="41781FD8" w:rsidR="00BA5198" w:rsidRPr="002F773A" w:rsidRDefault="002C7696" w:rsidP="006B2D2E">
      <w:pPr>
        <w:pStyle w:val="Standard"/>
      </w:pPr>
      <w:r w:rsidRPr="002F773A">
        <w:t>L</w:t>
      </w:r>
      <w:r w:rsidR="00BA5198" w:rsidRPr="002F773A">
        <w:t>a transmission des factures dans le cadre du présent marché doit être effectuée conformément aux dispositions de l'ordonnance 2014-697 du 26 juin 2014 modifiée relative au développement de la facture électronique.</w:t>
      </w:r>
    </w:p>
    <w:p w14:paraId="386A7F0E" w14:textId="55224322" w:rsidR="00717313" w:rsidRPr="002F773A" w:rsidRDefault="00717313" w:rsidP="006B2D2E">
      <w:pPr>
        <w:pStyle w:val="Standard"/>
      </w:pPr>
    </w:p>
    <w:p w14:paraId="07E68641" w14:textId="77777777" w:rsidR="00467ABD" w:rsidRPr="002F773A" w:rsidRDefault="0065667C" w:rsidP="006B2D2E">
      <w:pPr>
        <w:pStyle w:val="Standard"/>
      </w:pPr>
      <w:r w:rsidRPr="002F773A">
        <w:t xml:space="preserve">Le titulaire a deux possibilités en utilisant le portail Chorus pro </w:t>
      </w:r>
      <w:r w:rsidR="00467ABD" w:rsidRPr="002F773A">
        <w:t>accessible par internet à l'URL</w:t>
      </w:r>
      <w:r w:rsidRPr="002F773A">
        <w:t xml:space="preserve">: </w:t>
      </w:r>
    </w:p>
    <w:p w14:paraId="31B91E31" w14:textId="25EA2917" w:rsidR="0065667C" w:rsidRPr="002F773A" w:rsidRDefault="00324375" w:rsidP="006B2D2E">
      <w:pPr>
        <w:pStyle w:val="Standard"/>
      </w:pPr>
      <w:hyperlink r:id="rId13" w:history="1">
        <w:r w:rsidR="00BB2C5B" w:rsidRPr="002F773A">
          <w:rPr>
            <w:rStyle w:val="Lienhypertexte"/>
          </w:rPr>
          <w:t>https://chorus-pro.gouv.fr</w:t>
        </w:r>
      </w:hyperlink>
      <w:r w:rsidR="0065667C" w:rsidRPr="002F773A">
        <w:t>.</w:t>
      </w:r>
    </w:p>
    <w:p w14:paraId="05FDFA40" w14:textId="148E9111" w:rsidR="0065667C" w:rsidRPr="002F773A" w:rsidRDefault="008663E9" w:rsidP="006B2D2E">
      <w:pPr>
        <w:pStyle w:val="Standard"/>
        <w:numPr>
          <w:ilvl w:val="0"/>
          <w:numId w:val="16"/>
        </w:numPr>
      </w:pPr>
      <w:proofErr w:type="gramStart"/>
      <w:r w:rsidRPr="002F773A">
        <w:t>e</w:t>
      </w:r>
      <w:r w:rsidR="0065667C" w:rsidRPr="002F773A">
        <w:t>n</w:t>
      </w:r>
      <w:proofErr w:type="gramEnd"/>
      <w:r w:rsidR="0065667C" w:rsidRPr="002F773A">
        <w:t xml:space="preserve"> déposant ses factures,</w:t>
      </w:r>
    </w:p>
    <w:p w14:paraId="7B760C9D" w14:textId="0FC4DF2F" w:rsidR="0065667C" w:rsidRPr="002F773A" w:rsidRDefault="008663E9" w:rsidP="006B2D2E">
      <w:pPr>
        <w:pStyle w:val="Standard"/>
        <w:numPr>
          <w:ilvl w:val="0"/>
          <w:numId w:val="16"/>
        </w:numPr>
      </w:pPr>
      <w:proofErr w:type="gramStart"/>
      <w:r w:rsidRPr="002F773A">
        <w:t>e</w:t>
      </w:r>
      <w:r w:rsidR="0065667C" w:rsidRPr="002F773A">
        <w:t>n</w:t>
      </w:r>
      <w:proofErr w:type="gramEnd"/>
      <w:r w:rsidR="0065667C" w:rsidRPr="002F773A">
        <w:t xml:space="preserve"> saisissant en ligne ses factures.</w:t>
      </w:r>
    </w:p>
    <w:p w14:paraId="7ACED90B" w14:textId="77777777" w:rsidR="0065667C" w:rsidRPr="002F773A" w:rsidRDefault="0065667C" w:rsidP="006B2D2E">
      <w:pPr>
        <w:pStyle w:val="Standard"/>
      </w:pPr>
    </w:p>
    <w:p w14:paraId="6C697E7E" w14:textId="77777777" w:rsidR="0065667C" w:rsidRPr="002F773A" w:rsidRDefault="0065667C" w:rsidP="006B2D2E">
      <w:pPr>
        <w:pStyle w:val="Standard"/>
      </w:pPr>
      <w:r w:rsidRPr="002F773A">
        <w:t>Conditions préalables techniques et réglementaires :</w:t>
      </w:r>
    </w:p>
    <w:p w14:paraId="26269F96" w14:textId="77777777" w:rsidR="0065667C" w:rsidRPr="002F773A" w:rsidRDefault="0065667C" w:rsidP="006B2D2E">
      <w:pPr>
        <w:pStyle w:val="Standard"/>
        <w:rPr>
          <w:b/>
        </w:rPr>
      </w:pPr>
      <w:r w:rsidRPr="002F773A">
        <w:t xml:space="preserve">Pour connaître les conditions techniques (guide utilisateurs du portail, kit de raccordement technique et spécifications du format normalisé d'échange) et réglementaires dans lesquelles s'opère la dématérialisation des factures, le titulaire est invité à consulter le portail internet à l'adresse ci-dessous : </w:t>
      </w:r>
      <w:hyperlink r:id="rId14" w:history="1">
        <w:r w:rsidRPr="002F773A">
          <w:rPr>
            <w:rStyle w:val="Lienhypertexte"/>
          </w:rPr>
          <w:t>https://communaute-chorus-pro.finances.gouv.fr</w:t>
        </w:r>
      </w:hyperlink>
    </w:p>
    <w:p w14:paraId="4088E3C9" w14:textId="77777777" w:rsidR="00395D4E" w:rsidRPr="002F773A" w:rsidRDefault="00395D4E" w:rsidP="006B2D2E">
      <w:pPr>
        <w:pStyle w:val="Standard"/>
      </w:pPr>
    </w:p>
    <w:p w14:paraId="4AEC8E47" w14:textId="77777777" w:rsidR="0065667C" w:rsidRPr="002F773A" w:rsidRDefault="0065667C" w:rsidP="006B2D2E">
      <w:pPr>
        <w:pStyle w:val="Standard"/>
      </w:pPr>
      <w:r w:rsidRPr="002F773A">
        <w:t>Nota :</w:t>
      </w:r>
    </w:p>
    <w:p w14:paraId="701B26A9" w14:textId="77777777" w:rsidR="00B33A01" w:rsidRPr="002F773A" w:rsidRDefault="00B33A01" w:rsidP="006B2D2E">
      <w:pPr>
        <w:pStyle w:val="Standard"/>
      </w:pPr>
      <w:r w:rsidRPr="002F773A">
        <w:t>P</w:t>
      </w:r>
      <w:r w:rsidR="00467ABD" w:rsidRPr="002F773A">
        <w:t>our déposer vos</w:t>
      </w:r>
      <w:r w:rsidRPr="002F773A">
        <w:t xml:space="preserve"> facture</w:t>
      </w:r>
      <w:r w:rsidR="00467ABD" w:rsidRPr="002F773A">
        <w:t>s</w:t>
      </w:r>
      <w:r w:rsidRPr="002F773A">
        <w:t xml:space="preserve"> sur Chorus pro, vous devrez fournir toutes les mentions légales ainsi que les trois informations suivantes :</w:t>
      </w:r>
    </w:p>
    <w:p w14:paraId="5CA71EAC" w14:textId="77777777" w:rsidR="00FD41B5" w:rsidRPr="002F773A" w:rsidRDefault="00FD41B5" w:rsidP="006B2D2E">
      <w:pPr>
        <w:pStyle w:val="Standard"/>
      </w:pPr>
    </w:p>
    <w:p w14:paraId="1250A14D" w14:textId="09BFFC7B" w:rsidR="00B33A01" w:rsidRPr="002F773A" w:rsidRDefault="008663E9" w:rsidP="006B2D2E">
      <w:pPr>
        <w:pStyle w:val="Standard"/>
        <w:numPr>
          <w:ilvl w:val="0"/>
          <w:numId w:val="18"/>
        </w:numPr>
      </w:pPr>
      <w:proofErr w:type="gramStart"/>
      <w:r w:rsidRPr="002F773A">
        <w:t>l</w:t>
      </w:r>
      <w:r w:rsidR="0036099C" w:rsidRPr="002F773A">
        <w:t>e</w:t>
      </w:r>
      <w:proofErr w:type="gramEnd"/>
      <w:r w:rsidR="0036099C" w:rsidRPr="002F773A">
        <w:t xml:space="preserve"> </w:t>
      </w:r>
      <w:r w:rsidR="00B33A01" w:rsidRPr="002F773A">
        <w:t xml:space="preserve">SIRET générique de l’Etat : </w:t>
      </w:r>
      <w:r w:rsidR="00B33A01" w:rsidRPr="002F773A">
        <w:rPr>
          <w:b/>
        </w:rPr>
        <w:t>110 002 011 00044</w:t>
      </w:r>
      <w:r w:rsidR="00B33A01" w:rsidRPr="002F773A">
        <w:t xml:space="preserve"> ;</w:t>
      </w:r>
    </w:p>
    <w:p w14:paraId="3A48C144" w14:textId="518D629A" w:rsidR="00B33A01" w:rsidRPr="002F773A" w:rsidRDefault="008663E9" w:rsidP="006B2D2E">
      <w:pPr>
        <w:pStyle w:val="Standard"/>
        <w:numPr>
          <w:ilvl w:val="0"/>
          <w:numId w:val="18"/>
        </w:numPr>
      </w:pPr>
      <w:proofErr w:type="gramStart"/>
      <w:r w:rsidRPr="002F773A">
        <w:t>l</w:t>
      </w:r>
      <w:r w:rsidR="00B33A01" w:rsidRPr="002F773A">
        <w:t>e</w:t>
      </w:r>
      <w:proofErr w:type="gramEnd"/>
      <w:r w:rsidR="00B33A01" w:rsidRPr="002F773A">
        <w:t xml:space="preserve"> code du service exécutant (SE) de la structure intégrée du maintien en condition opérationnelle des matériels terrestres (</w:t>
      </w:r>
      <w:r w:rsidR="0036099C" w:rsidRPr="002F773A">
        <w:t>DC</w:t>
      </w:r>
      <w:r w:rsidR="00B33A01" w:rsidRPr="002F773A">
        <w:t xml:space="preserve">SIMMT) : </w:t>
      </w:r>
      <w:r w:rsidR="00B33A01" w:rsidRPr="002F773A">
        <w:rPr>
          <w:b/>
        </w:rPr>
        <w:t>D1816JM078</w:t>
      </w:r>
      <w:r w:rsidR="00F21265" w:rsidRPr="002F773A">
        <w:rPr>
          <w:b/>
        </w:rPr>
        <w:t> </w:t>
      </w:r>
      <w:r w:rsidR="00F21265" w:rsidRPr="002F773A">
        <w:t>;</w:t>
      </w:r>
    </w:p>
    <w:p w14:paraId="142B33AF" w14:textId="33BD286F" w:rsidR="0036099C" w:rsidRPr="002F773A" w:rsidRDefault="008663E9" w:rsidP="006B2D2E">
      <w:pPr>
        <w:pStyle w:val="Standard"/>
        <w:numPr>
          <w:ilvl w:val="0"/>
          <w:numId w:val="18"/>
        </w:numPr>
      </w:pPr>
      <w:proofErr w:type="gramStart"/>
      <w:r w:rsidRPr="002F773A">
        <w:t>l</w:t>
      </w:r>
      <w:r w:rsidR="0036099C" w:rsidRPr="002F773A">
        <w:t>e</w:t>
      </w:r>
      <w:proofErr w:type="gramEnd"/>
      <w:r w:rsidR="0036099C" w:rsidRPr="002F773A">
        <w:t xml:space="preserve"> numéro</w:t>
      </w:r>
      <w:r w:rsidR="00094BAF" w:rsidRPr="002F773A">
        <w:t xml:space="preserve"> d’engagement juridique</w:t>
      </w:r>
      <w:r w:rsidR="00F21265" w:rsidRPr="002F773A">
        <w:t>.</w:t>
      </w:r>
    </w:p>
    <w:p w14:paraId="586A7C37" w14:textId="77777777" w:rsidR="00313222" w:rsidRPr="002F773A" w:rsidRDefault="00313222" w:rsidP="006B2D2E">
      <w:pPr>
        <w:pStyle w:val="Standard"/>
      </w:pPr>
    </w:p>
    <w:p w14:paraId="082C3A4D" w14:textId="77777777" w:rsidR="00B33A01" w:rsidRPr="002F773A" w:rsidRDefault="00B33A01" w:rsidP="006B2D2E">
      <w:pPr>
        <w:pStyle w:val="Standard"/>
      </w:pPr>
      <w:r w:rsidRPr="002F773A">
        <w:t>Ces éléments sont indispensables pour l'acheminement et le traiteme</w:t>
      </w:r>
      <w:r w:rsidR="00467ABD" w:rsidRPr="002F773A">
        <w:t>nt des</w:t>
      </w:r>
      <w:r w:rsidRPr="002F773A">
        <w:t xml:space="preserve"> facture</w:t>
      </w:r>
      <w:r w:rsidR="00467ABD" w:rsidRPr="002F773A">
        <w:t>s</w:t>
      </w:r>
      <w:r w:rsidRPr="002F773A">
        <w:t xml:space="preserve"> par le service en charge de son paiement.</w:t>
      </w:r>
    </w:p>
    <w:p w14:paraId="23C55A2A" w14:textId="77777777" w:rsidR="001A3C4E" w:rsidRPr="002F773A" w:rsidRDefault="001A3C4E" w:rsidP="006B2D2E">
      <w:pPr>
        <w:pStyle w:val="Standard"/>
      </w:pPr>
    </w:p>
    <w:p w14:paraId="6520CDF4" w14:textId="77777777" w:rsidR="0065667C" w:rsidRPr="002F773A" w:rsidRDefault="0065667C" w:rsidP="006B2D2E">
      <w:pPr>
        <w:pStyle w:val="Standard"/>
      </w:pPr>
      <w:r w:rsidRPr="002F773A">
        <w:t>Délai de paiement</w:t>
      </w:r>
    </w:p>
    <w:p w14:paraId="3689FB88" w14:textId="2D908F26" w:rsidR="0065667C" w:rsidRPr="002F773A" w:rsidRDefault="0065667C" w:rsidP="006B2D2E">
      <w:pPr>
        <w:pStyle w:val="Standard"/>
      </w:pPr>
      <w:r w:rsidRPr="002F773A">
        <w:t>Le délai maximal ouvert à l'administration pour procéder au paiement est fixé à trente (</w:t>
      </w:r>
      <w:r w:rsidR="00972B0F">
        <w:t>3</w:t>
      </w:r>
      <w:r w:rsidR="001B5C5A" w:rsidRPr="002F773A">
        <w:t>0</w:t>
      </w:r>
      <w:r w:rsidRPr="002F773A">
        <w:t>) jours à compter de la date de prise en compte des fourni</w:t>
      </w:r>
      <w:r w:rsidR="00467ABD" w:rsidRPr="002F773A">
        <w:t xml:space="preserve">tures ou de la date de </w:t>
      </w:r>
      <w:r w:rsidR="008B2A59" w:rsidRPr="002F773A">
        <w:t>dépôt</w:t>
      </w:r>
      <w:r w:rsidRPr="002F773A">
        <w:t xml:space="preserve"> de la facture correspondante si celle-ci est postérieure à la précédente.</w:t>
      </w:r>
    </w:p>
    <w:p w14:paraId="66836DD7" w14:textId="77777777" w:rsidR="009E62B3" w:rsidRPr="002F773A" w:rsidRDefault="009E62B3" w:rsidP="006B2D2E">
      <w:pPr>
        <w:pStyle w:val="Standard"/>
      </w:pPr>
    </w:p>
    <w:p w14:paraId="5B19BE59" w14:textId="77777777" w:rsidR="0065667C" w:rsidRPr="002F773A" w:rsidRDefault="0065667C" w:rsidP="006B2D2E">
      <w:pPr>
        <w:pStyle w:val="Standard"/>
        <w:rPr>
          <w:b/>
        </w:rPr>
      </w:pPr>
      <w:r w:rsidRPr="002F773A">
        <w:t>Ce délai sera, le cas échéant, majoré d'un nombre de jours égal à celui apporté par le titulaire pour fournir les justificatifs complémentaires qui lui seraient demandées ou les factures en cas d'erreur ou d'omission. Les sommes payé</w:t>
      </w:r>
      <w:bookmarkStart w:id="39" w:name="_GoBack"/>
      <w:bookmarkEnd w:id="39"/>
      <w:r w:rsidRPr="002F773A">
        <w:t>es après l'expiration de ce délai seront assorties d'intérêts moratoires.</w:t>
      </w:r>
    </w:p>
    <w:p w14:paraId="05A85618" w14:textId="77777777" w:rsidR="009E62B3" w:rsidRPr="002F773A" w:rsidRDefault="009E62B3" w:rsidP="006B2D2E">
      <w:pPr>
        <w:pStyle w:val="Standard"/>
      </w:pPr>
    </w:p>
    <w:p w14:paraId="25FB9091" w14:textId="77777777" w:rsidR="0065667C" w:rsidRPr="002F773A" w:rsidRDefault="0065667C" w:rsidP="006B2D2E">
      <w:pPr>
        <w:pStyle w:val="Standard"/>
        <w:rPr>
          <w:b/>
        </w:rPr>
      </w:pPr>
      <w:r w:rsidRPr="002F773A">
        <w:t>Le défaut de versement des intérêts moratoires dans un délai de trente jours à compter du jour de la date de mise en paiement du principal entraîne le versement d'intérêts moratoires complémentaires.</w:t>
      </w:r>
    </w:p>
    <w:p w14:paraId="3EE5C6D8" w14:textId="77777777" w:rsidR="009E62B3" w:rsidRPr="002F773A" w:rsidRDefault="009E62B3" w:rsidP="006B2D2E">
      <w:pPr>
        <w:pStyle w:val="Standard"/>
      </w:pPr>
    </w:p>
    <w:p w14:paraId="100A20D7" w14:textId="77777777" w:rsidR="0065667C" w:rsidRPr="002F773A" w:rsidRDefault="0065667C" w:rsidP="006B2D2E">
      <w:pPr>
        <w:pStyle w:val="Standard"/>
        <w:rPr>
          <w:b/>
        </w:rPr>
      </w:pPr>
      <w:r w:rsidRPr="002F773A">
        <w:t xml:space="preserve">Le taux des intérêts moratoires est égal au taux d'intérêt appliqué par la banque centrale européenne à ses principales opérations de </w:t>
      </w:r>
      <w:r w:rsidR="00793EAF" w:rsidRPr="002F773A">
        <w:t>refinancement</w:t>
      </w:r>
      <w:r w:rsidRPr="002F773A">
        <w:t xml:space="preserve"> au 1er janvier et au 1er juillet, majoré de huit points ;</w:t>
      </w:r>
    </w:p>
    <w:p w14:paraId="6F9A9FCF" w14:textId="77777777" w:rsidR="0065667C" w:rsidRPr="002F773A" w:rsidRDefault="0065667C" w:rsidP="006B2D2E">
      <w:pPr>
        <w:pStyle w:val="Standard"/>
      </w:pPr>
      <w:r w:rsidRPr="002F773A">
        <w:t>Une indemnité forfaitaire de 40 euros en cas de dépassement du délai global de paiement, se rajoutant au montant des intérêts moratoires dus, quel que soit leur montant ;</w:t>
      </w:r>
    </w:p>
    <w:p w14:paraId="12C221FE" w14:textId="77777777" w:rsidR="002E78DA" w:rsidRPr="002F773A" w:rsidRDefault="002E78DA" w:rsidP="006B2D2E">
      <w:pPr>
        <w:pStyle w:val="Standard"/>
      </w:pPr>
    </w:p>
    <w:p w14:paraId="1E6C5BF9" w14:textId="226834E6" w:rsidR="009E62B3" w:rsidRPr="002F773A" w:rsidRDefault="00793EAF" w:rsidP="006B2D2E">
      <w:pPr>
        <w:pStyle w:val="Standard"/>
      </w:pPr>
      <w:r w:rsidRPr="002F773A">
        <w:t>Possibilités</w:t>
      </w:r>
      <w:r w:rsidR="0065667C" w:rsidRPr="002F773A">
        <w:t xml:space="preserve"> de versement, sur présentation de justificatifs, d'indemnités complémentaires lorsque les frais de recouvrement encourus du fait du retard de paiement du débiteur sont supérieurs à l'indemnité forfaitaire (article 40 de la loi n° 2013-100 du 28 janvier 2013). </w:t>
      </w:r>
    </w:p>
    <w:p w14:paraId="3E112AAF" w14:textId="77777777" w:rsidR="009E62B3" w:rsidRPr="002F773A" w:rsidRDefault="009E62B3" w:rsidP="006B2D2E">
      <w:pPr>
        <w:pStyle w:val="Standard"/>
      </w:pPr>
    </w:p>
    <w:p w14:paraId="339F6380" w14:textId="1C57CEB6" w:rsidR="0065667C" w:rsidRPr="002F773A" w:rsidRDefault="0065667C" w:rsidP="006B2D2E">
      <w:pPr>
        <w:pStyle w:val="Standard"/>
      </w:pPr>
      <w:r w:rsidRPr="002F773A">
        <w:t>Le taux applicable à ces intérêts moratoires complémentaires est le taux d'intérêts moratoires d'origine majoré de 2 points.</w:t>
      </w:r>
    </w:p>
    <w:p w14:paraId="04B8FCDF" w14:textId="77777777" w:rsidR="0065667C" w:rsidRPr="002F773A" w:rsidRDefault="0065667C" w:rsidP="006B2D2E">
      <w:pPr>
        <w:pStyle w:val="Standard"/>
      </w:pPr>
    </w:p>
    <w:p w14:paraId="47C9A28B" w14:textId="2494E808" w:rsidR="0065667C" w:rsidRPr="002F773A" w:rsidRDefault="0065667C" w:rsidP="006B2D2E">
      <w:pPr>
        <w:pStyle w:val="Standard"/>
      </w:pPr>
      <w:r w:rsidRPr="002F773A">
        <w:t>Ces intérêts moratoires sont calculés sur le montant du principal toutes taxes comprises mais ne sont pas assujettis à la taxe sur la valeur ajoutée.</w:t>
      </w:r>
    </w:p>
    <w:p w14:paraId="7F9642FC" w14:textId="7630184C" w:rsidR="006126D7" w:rsidRPr="002F773A" w:rsidRDefault="006126D7" w:rsidP="006B2D2E">
      <w:pPr>
        <w:pStyle w:val="Standard"/>
      </w:pPr>
    </w:p>
    <w:p w14:paraId="1D6D9CCB" w14:textId="77777777" w:rsidR="0065667C" w:rsidRPr="002F773A" w:rsidRDefault="0065667C" w:rsidP="006B2D2E">
      <w:pPr>
        <w:pStyle w:val="Standard"/>
      </w:pPr>
      <w:r w:rsidRPr="002F773A">
        <w:t>La période à laquelle ces intérêts moratoires complémentaires s'appliquent commence le jour suivant la date de paiement du principal et se termine à la date de paiement de l'ensemble des intérêts moratoires.</w:t>
      </w:r>
    </w:p>
    <w:p w14:paraId="4DBD028C" w14:textId="77777777" w:rsidR="00FE44C4" w:rsidRPr="002F773A" w:rsidRDefault="00FE44C4" w:rsidP="006B2D2E">
      <w:pPr>
        <w:pStyle w:val="Standard"/>
      </w:pPr>
    </w:p>
    <w:p w14:paraId="67179CA2" w14:textId="3BC27709" w:rsidR="000D4EC1" w:rsidRPr="002F773A" w:rsidRDefault="009D2330" w:rsidP="006B2D2E">
      <w:pPr>
        <w:pStyle w:val="Titre1"/>
      </w:pPr>
      <w:bookmarkStart w:id="40" w:name="_Toc205802199"/>
      <w:bookmarkStart w:id="41" w:name="_Toc205806312"/>
      <w:r w:rsidRPr="002F773A">
        <w:t>DISPOSITIONS DIVERSES</w:t>
      </w:r>
      <w:bookmarkEnd w:id="40"/>
      <w:bookmarkEnd w:id="41"/>
    </w:p>
    <w:p w14:paraId="0FE0E2A6" w14:textId="6579267D" w:rsidR="000D4EC1" w:rsidRPr="006212C8" w:rsidRDefault="009D2330" w:rsidP="006B2D2E">
      <w:pPr>
        <w:pStyle w:val="Titre2"/>
      </w:pPr>
      <w:bookmarkStart w:id="42" w:name="__RefHeading__2614_1900509989"/>
      <w:bookmarkStart w:id="43" w:name="_Toc205802200"/>
      <w:bookmarkStart w:id="44" w:name="_Toc205806313"/>
      <w:bookmarkEnd w:id="42"/>
      <w:r w:rsidRPr="006212C8">
        <w:t>Assurances</w:t>
      </w:r>
      <w:bookmarkEnd w:id="43"/>
      <w:bookmarkEnd w:id="44"/>
    </w:p>
    <w:p w14:paraId="4163AE15" w14:textId="77777777" w:rsidR="000D4EC1" w:rsidRPr="002F773A" w:rsidRDefault="009D2330" w:rsidP="006B2D2E">
      <w:pPr>
        <w:pStyle w:val="Standard"/>
      </w:pPr>
      <w:r w:rsidRPr="002F773A">
        <w:t xml:space="preserve">Le titulaire assume la responsabilité de l'exécution des </w:t>
      </w:r>
      <w:r w:rsidR="00A2286A" w:rsidRPr="002F773A">
        <w:t>prestations et</w:t>
      </w:r>
      <w:r w:rsidRPr="002F773A">
        <w:t xml:space="preserve"> des dommages qu'il cause à l'acheteur en cas d'inexécution.</w:t>
      </w:r>
    </w:p>
    <w:p w14:paraId="0DB64E79" w14:textId="65715FC3" w:rsidR="000D4EC1" w:rsidRPr="002F773A" w:rsidRDefault="009D2330" w:rsidP="006B2D2E">
      <w:pPr>
        <w:pStyle w:val="Standard"/>
      </w:pPr>
      <w:r w:rsidRPr="002F773A">
        <w:t>Dans un délai de quinze jours à compter de la notification</w:t>
      </w:r>
      <w:r w:rsidR="00467DFE" w:rsidRPr="002F773A">
        <w:t xml:space="preserve"> du m</w:t>
      </w:r>
      <w:r w:rsidRPr="002F773A">
        <w:t>arché et avant tout commencement d'exécution, le titulaire devra justifier être en possession d'une police d'assurance.</w:t>
      </w:r>
    </w:p>
    <w:p w14:paraId="49739EE5" w14:textId="77777777" w:rsidR="00395D4E" w:rsidRPr="002F773A" w:rsidRDefault="00395D4E" w:rsidP="006B2D2E">
      <w:pPr>
        <w:pStyle w:val="Standard"/>
      </w:pPr>
    </w:p>
    <w:p w14:paraId="15240475" w14:textId="4B3A7F35" w:rsidR="00C73EDC" w:rsidRPr="002F773A" w:rsidRDefault="009D2330" w:rsidP="006B2D2E">
      <w:pPr>
        <w:pStyle w:val="Standard"/>
      </w:pPr>
      <w:r w:rsidRPr="002F773A">
        <w:t>Il est responsable des dommages que l'exécution des prestations peut engendrer :</w:t>
      </w:r>
    </w:p>
    <w:p w14:paraId="18942D79" w14:textId="2E59BEA5" w:rsidR="00E14B4D" w:rsidRPr="002F773A" w:rsidRDefault="009D2330" w:rsidP="006B2D2E">
      <w:pPr>
        <w:pStyle w:val="Standard"/>
        <w:numPr>
          <w:ilvl w:val="0"/>
          <w:numId w:val="20"/>
        </w:numPr>
      </w:pPr>
      <w:proofErr w:type="gramStart"/>
      <w:r w:rsidRPr="002F773A">
        <w:t>à</w:t>
      </w:r>
      <w:proofErr w:type="gramEnd"/>
      <w:r w:rsidRPr="002F773A">
        <w:t xml:space="preserve"> son personnel, aux agents de l'acheteur ou à des tiers ;</w:t>
      </w:r>
      <w:r w:rsidR="00467DFE" w:rsidRPr="002F773A">
        <w:t xml:space="preserve"> </w:t>
      </w:r>
    </w:p>
    <w:p w14:paraId="20FC8166" w14:textId="3F1E60DA" w:rsidR="000D4EC1" w:rsidRPr="002F773A" w:rsidRDefault="00022F92" w:rsidP="006B2D2E">
      <w:pPr>
        <w:pStyle w:val="Standard"/>
        <w:numPr>
          <w:ilvl w:val="0"/>
          <w:numId w:val="20"/>
        </w:numPr>
      </w:pPr>
      <w:proofErr w:type="gramStart"/>
      <w:r w:rsidRPr="002F773A">
        <w:t>à</w:t>
      </w:r>
      <w:proofErr w:type="gramEnd"/>
      <w:r w:rsidRPr="002F773A">
        <w:t xml:space="preserve"> ses biens, aux biens appartenant à l’acheteur ou à des tiers</w:t>
      </w:r>
      <w:r w:rsidR="009D2330" w:rsidRPr="002F773A">
        <w:t>.</w:t>
      </w:r>
    </w:p>
    <w:p w14:paraId="61A3D42B" w14:textId="020B36E3" w:rsidR="00022F92" w:rsidRPr="002F773A" w:rsidRDefault="00022F92" w:rsidP="006B2D2E">
      <w:pPr>
        <w:pStyle w:val="Standard"/>
      </w:pPr>
    </w:p>
    <w:p w14:paraId="2C576666" w14:textId="4778A385" w:rsidR="000D4EC1" w:rsidRPr="002F773A" w:rsidRDefault="009D2330" w:rsidP="006B2D2E">
      <w:pPr>
        <w:pStyle w:val="Standard"/>
      </w:pPr>
      <w:r w:rsidRPr="002F773A">
        <w:t>Le titulaire doit être couvert par un contrat d'assurance en cours de validité garantissant les conséquences pécuniaires de la responsabilité civile qu'il pourrait encourir en cas de dommages corporels et/ou matériels engendrés lors de l'exécution des prestations, objet du présent marché.</w:t>
      </w:r>
    </w:p>
    <w:p w14:paraId="7A2604B2" w14:textId="77777777" w:rsidR="00395D4E" w:rsidRPr="002F773A" w:rsidRDefault="00395D4E" w:rsidP="006B2D2E">
      <w:pPr>
        <w:pStyle w:val="Standard"/>
      </w:pPr>
    </w:p>
    <w:p w14:paraId="1007CDE5" w14:textId="77777777" w:rsidR="000D4EC1" w:rsidRPr="002F773A" w:rsidRDefault="009D2330" w:rsidP="006B2D2E">
      <w:pPr>
        <w:pStyle w:val="Standard"/>
      </w:pPr>
      <w:r w:rsidRPr="002F773A">
        <w:t>Il s'engage à remettre, sur simple demande écrite, à l'acheteur, une attestation de son assureur indiquant la nature, le montant et la durée de la garantie.</w:t>
      </w:r>
    </w:p>
    <w:p w14:paraId="43D29DB2" w14:textId="77777777" w:rsidR="000D4EC1" w:rsidRPr="002F773A" w:rsidRDefault="009D2330" w:rsidP="006B2D2E">
      <w:pPr>
        <w:pStyle w:val="Standard"/>
      </w:pPr>
      <w:r w:rsidRPr="002F773A">
        <w:t>Le titulaire s'engage à informer expressément l'acheteur de toute modification de son contrat d'assurance.</w:t>
      </w:r>
    </w:p>
    <w:p w14:paraId="01F8888A" w14:textId="206446C5" w:rsidR="000D4EC1" w:rsidRPr="006212C8" w:rsidRDefault="009D2330" w:rsidP="006B2D2E">
      <w:pPr>
        <w:pStyle w:val="Titre2"/>
      </w:pPr>
      <w:bookmarkStart w:id="45" w:name="__RefHeading__2616_1900509989"/>
      <w:bookmarkStart w:id="46" w:name="_Toc205802201"/>
      <w:bookmarkStart w:id="47" w:name="_Toc205806314"/>
      <w:bookmarkEnd w:id="45"/>
      <w:r w:rsidRPr="006212C8">
        <w:t>Changement affectant le titulaire</w:t>
      </w:r>
      <w:bookmarkEnd w:id="46"/>
      <w:bookmarkEnd w:id="47"/>
    </w:p>
    <w:p w14:paraId="369AC590" w14:textId="77777777" w:rsidR="000D4EC1" w:rsidRPr="002F773A" w:rsidRDefault="009D2330" w:rsidP="006B2D2E">
      <w:pPr>
        <w:pStyle w:val="Standard"/>
      </w:pPr>
      <w:r w:rsidRPr="002F773A">
        <w:t>Le titulaire est tenu de notifier sans délai à l'acheteur les modifications survenant au cours de l'exécution du marché. En cas de manquement, l'acheteur ne saurait être tenu pour responsable des conséquences pouvant en découler, et notamment des retards de paiement.</w:t>
      </w:r>
    </w:p>
    <w:p w14:paraId="6A99FE54" w14:textId="1695DB67" w:rsidR="000D4EC1" w:rsidRPr="006212C8" w:rsidRDefault="009D2330" w:rsidP="006B2D2E">
      <w:pPr>
        <w:pStyle w:val="Titre2"/>
      </w:pPr>
      <w:bookmarkStart w:id="48" w:name="_Toc205802202"/>
      <w:bookmarkStart w:id="49" w:name="_Toc205806315"/>
      <w:r w:rsidRPr="006212C8">
        <w:t>Résiliation</w:t>
      </w:r>
      <w:bookmarkEnd w:id="48"/>
      <w:bookmarkEnd w:id="49"/>
    </w:p>
    <w:p w14:paraId="21A298FF" w14:textId="477B2327" w:rsidR="000D4EC1" w:rsidRPr="002F773A" w:rsidRDefault="009D2330" w:rsidP="006B2D2E">
      <w:pPr>
        <w:pStyle w:val="Standard"/>
      </w:pPr>
      <w:r w:rsidRPr="002F773A">
        <w:t>L'acheteur peut résilier le marché lorsque le titulaire est placé dans l'une des situations mentionnées aux</w:t>
      </w:r>
      <w:r w:rsidR="003D67C2" w:rsidRPr="002F773A">
        <w:t xml:space="preserve"> </w:t>
      </w:r>
      <w:r w:rsidR="00B345C4" w:rsidRPr="002F773A">
        <w:t>a</w:t>
      </w:r>
      <w:r w:rsidR="00EB43DD" w:rsidRPr="002F773A">
        <w:t>rticles</w:t>
      </w:r>
      <w:r w:rsidR="00005C4B" w:rsidRPr="002F773A">
        <w:t xml:space="preserve"> </w:t>
      </w:r>
      <w:r w:rsidR="00126B26" w:rsidRPr="002F773A">
        <w:t>L2195-1 à L2195-6</w:t>
      </w:r>
      <w:r w:rsidR="00CA7E78" w:rsidRPr="002F773A">
        <w:t xml:space="preserve"> </w:t>
      </w:r>
      <w:r w:rsidR="00C24F6E" w:rsidRPr="002F773A">
        <w:t>du code de la commande publique</w:t>
      </w:r>
      <w:r w:rsidR="00005C4B" w:rsidRPr="002F773A">
        <w:t xml:space="preserve">. </w:t>
      </w:r>
    </w:p>
    <w:p w14:paraId="75D43990" w14:textId="5A821449" w:rsidR="000D4EC1" w:rsidRPr="006212C8" w:rsidRDefault="009D2330" w:rsidP="006B2D2E">
      <w:pPr>
        <w:pStyle w:val="Titre2"/>
      </w:pPr>
      <w:bookmarkStart w:id="50" w:name="_Toc205802203"/>
      <w:bookmarkStart w:id="51" w:name="_Toc205806316"/>
      <w:r w:rsidRPr="006212C8">
        <w:t>Litiges et contentieux</w:t>
      </w:r>
      <w:bookmarkEnd w:id="50"/>
      <w:bookmarkEnd w:id="51"/>
    </w:p>
    <w:p w14:paraId="69B13BBA" w14:textId="77777777" w:rsidR="000D4EC1" w:rsidRPr="002F773A" w:rsidRDefault="009D2330" w:rsidP="006B2D2E">
      <w:pPr>
        <w:pStyle w:val="Standard"/>
      </w:pPr>
      <w:r w:rsidRPr="002F773A">
        <w:t>Le présent marché est régi par le droit français.</w:t>
      </w:r>
    </w:p>
    <w:p w14:paraId="4455DB43" w14:textId="77777777" w:rsidR="00214117" w:rsidRPr="002F773A" w:rsidRDefault="00214117" w:rsidP="006B2D2E">
      <w:pPr>
        <w:pStyle w:val="Standard"/>
      </w:pPr>
    </w:p>
    <w:p w14:paraId="60307D80" w14:textId="2A2FBCF4" w:rsidR="00C049D4" w:rsidRPr="002F773A" w:rsidRDefault="0044749F" w:rsidP="006B2D2E">
      <w:pPr>
        <w:pStyle w:val="Standard"/>
      </w:pPr>
      <w:r w:rsidRPr="002F773A">
        <w:t xml:space="preserve">Le comité </w:t>
      </w:r>
      <w:r w:rsidR="00D218E4" w:rsidRPr="002F773A">
        <w:t>consultatif</w:t>
      </w:r>
      <w:r w:rsidRPr="002F773A">
        <w:t xml:space="preserve"> de règlement amiable ou </w:t>
      </w:r>
      <w:r w:rsidR="00453203" w:rsidRPr="002F773A">
        <w:t>litiges relatifs</w:t>
      </w:r>
      <w:r w:rsidRPr="002F773A">
        <w:t xml:space="preserve"> aux marchés publics peut-être saisi selon les modalités fixées par </w:t>
      </w:r>
      <w:r w:rsidR="00A15BD3" w:rsidRPr="002F773A">
        <w:t>l’artic</w:t>
      </w:r>
      <w:r w:rsidR="0065601B" w:rsidRPr="002F773A">
        <w:t>le R21</w:t>
      </w:r>
      <w:r w:rsidR="00C049D4" w:rsidRPr="002F773A">
        <w:t xml:space="preserve">97-1 </w:t>
      </w:r>
      <w:r w:rsidR="00F241A5" w:rsidRPr="002F773A">
        <w:t xml:space="preserve">du code de la commande publique </w:t>
      </w:r>
      <w:r w:rsidRPr="002F773A">
        <w:t>relatif aux comités consultatifs de règlement</w:t>
      </w:r>
      <w:r w:rsidR="00C049D4" w:rsidRPr="002F773A">
        <w:t xml:space="preserve"> amiable des différends</w:t>
      </w:r>
      <w:r w:rsidR="00F004EB" w:rsidRPr="002F773A">
        <w:t xml:space="preserve">. </w:t>
      </w:r>
    </w:p>
    <w:p w14:paraId="505DF03E" w14:textId="77777777" w:rsidR="00395D4E" w:rsidRPr="002F773A" w:rsidRDefault="00395D4E" w:rsidP="006B2D2E">
      <w:pPr>
        <w:pStyle w:val="Standard"/>
      </w:pPr>
    </w:p>
    <w:p w14:paraId="3F4B8FC3" w14:textId="24E06A62" w:rsidR="000D4EC1" w:rsidRPr="002F773A" w:rsidRDefault="00F004EB" w:rsidP="006B2D2E">
      <w:pPr>
        <w:pStyle w:val="Standard"/>
      </w:pPr>
      <w:r w:rsidRPr="002F773A">
        <w:t xml:space="preserve">Le comité </w:t>
      </w:r>
      <w:r w:rsidR="002C7696" w:rsidRPr="002F773A">
        <w:t xml:space="preserve">consultatif </w:t>
      </w:r>
      <w:r w:rsidRPr="002F773A">
        <w:t>compétent est situé à Lyon.</w:t>
      </w:r>
      <w:r w:rsidR="0044749F" w:rsidRPr="002F773A">
        <w:t xml:space="preserve"> </w:t>
      </w:r>
    </w:p>
    <w:p w14:paraId="5EBA5F4C" w14:textId="77777777" w:rsidR="00395D4E" w:rsidRPr="002F773A" w:rsidRDefault="00395D4E" w:rsidP="006B2D2E">
      <w:pPr>
        <w:pStyle w:val="Standard"/>
      </w:pPr>
    </w:p>
    <w:p w14:paraId="50D6F3C5" w14:textId="48932F14" w:rsidR="000D4EC1" w:rsidRPr="002F773A" w:rsidRDefault="009D2330" w:rsidP="006B2D2E">
      <w:pPr>
        <w:pStyle w:val="Standard"/>
      </w:pPr>
      <w:r w:rsidRPr="002F773A">
        <w:t xml:space="preserve">Le tribunal </w:t>
      </w:r>
      <w:r w:rsidR="002C7696" w:rsidRPr="002F773A">
        <w:t xml:space="preserve">administratif </w:t>
      </w:r>
      <w:r w:rsidRPr="002F773A">
        <w:t>compétent pour le règlement des litiges est le tribunal administratif de Clermont-Ferrand</w:t>
      </w:r>
      <w:r w:rsidR="00144B03" w:rsidRPr="002F773A">
        <w:t xml:space="preserve"> </w:t>
      </w:r>
      <w:r w:rsidRPr="002F773A">
        <w:t>(</w:t>
      </w:r>
      <w:r w:rsidR="0073711F" w:rsidRPr="002F773A">
        <w:t xml:space="preserve">6 </w:t>
      </w:r>
      <w:r w:rsidRPr="002F773A">
        <w:t>cours Sablon</w:t>
      </w:r>
      <w:r w:rsidR="009476C5" w:rsidRPr="002F773A">
        <w:t xml:space="preserve"> 63000</w:t>
      </w:r>
      <w:r w:rsidRPr="002F773A">
        <w:t>).</w:t>
      </w:r>
    </w:p>
    <w:p w14:paraId="5181E8A8" w14:textId="2DE67DD2" w:rsidR="00291AB0" w:rsidRPr="002F773A" w:rsidRDefault="00291AB0" w:rsidP="006B2D2E">
      <w:pPr>
        <w:pStyle w:val="Standard"/>
      </w:pPr>
    </w:p>
    <w:p w14:paraId="6C080EEE" w14:textId="60F0E8D1" w:rsidR="00717313" w:rsidRDefault="00717313" w:rsidP="006B2D2E">
      <w:pPr>
        <w:pStyle w:val="Standard"/>
      </w:pPr>
    </w:p>
    <w:p w14:paraId="152071AB" w14:textId="7B6EEB16" w:rsidR="001D2392" w:rsidRDefault="001D2392" w:rsidP="006B2D2E">
      <w:pPr>
        <w:pStyle w:val="Standard"/>
      </w:pPr>
    </w:p>
    <w:p w14:paraId="693DB276" w14:textId="3BE159F2" w:rsidR="001D2392" w:rsidRDefault="001D2392" w:rsidP="006B2D2E">
      <w:pPr>
        <w:pStyle w:val="Standard"/>
      </w:pPr>
    </w:p>
    <w:p w14:paraId="4F4475D3" w14:textId="07088179" w:rsidR="001D2392" w:rsidRDefault="001D2392" w:rsidP="006B2D2E">
      <w:pPr>
        <w:pStyle w:val="Standard"/>
      </w:pPr>
    </w:p>
    <w:p w14:paraId="6C5BB0C8" w14:textId="5286C85F" w:rsidR="001D2392" w:rsidRDefault="001D2392" w:rsidP="006B2D2E">
      <w:pPr>
        <w:pStyle w:val="Standard"/>
      </w:pPr>
    </w:p>
    <w:p w14:paraId="17C1BFC7" w14:textId="351EE367" w:rsidR="001D2392" w:rsidRDefault="001D2392" w:rsidP="006B2D2E">
      <w:pPr>
        <w:pStyle w:val="Standard"/>
      </w:pPr>
    </w:p>
    <w:p w14:paraId="7D06B2EB" w14:textId="71AD43FD" w:rsidR="001D2392" w:rsidRDefault="001D2392" w:rsidP="006B2D2E">
      <w:pPr>
        <w:pStyle w:val="Standard"/>
      </w:pPr>
    </w:p>
    <w:p w14:paraId="1F163B45" w14:textId="27A61C8D" w:rsidR="001D2392" w:rsidRDefault="001D2392" w:rsidP="006B2D2E">
      <w:pPr>
        <w:pStyle w:val="Standard"/>
      </w:pPr>
    </w:p>
    <w:p w14:paraId="2AA20F03" w14:textId="79A74D8A" w:rsidR="001D2392" w:rsidRDefault="001D2392" w:rsidP="006B2D2E">
      <w:pPr>
        <w:pStyle w:val="Standard"/>
      </w:pPr>
    </w:p>
    <w:p w14:paraId="2256A76A" w14:textId="6141AE87" w:rsidR="001D2392" w:rsidRDefault="001D2392" w:rsidP="006B2D2E">
      <w:pPr>
        <w:pStyle w:val="Standard"/>
      </w:pPr>
    </w:p>
    <w:p w14:paraId="2FD1651C" w14:textId="70DA1052" w:rsidR="001D2392" w:rsidRDefault="001D2392" w:rsidP="006B2D2E">
      <w:pPr>
        <w:pStyle w:val="Standard"/>
      </w:pPr>
    </w:p>
    <w:p w14:paraId="78B100D0" w14:textId="5799FA88" w:rsidR="001D2392" w:rsidRDefault="001D2392" w:rsidP="006B2D2E">
      <w:pPr>
        <w:pStyle w:val="Standard"/>
      </w:pPr>
    </w:p>
    <w:p w14:paraId="492D266C" w14:textId="77777777" w:rsidR="001D2392" w:rsidRPr="002F773A" w:rsidRDefault="001D2392" w:rsidP="006B2D2E">
      <w:pPr>
        <w:pStyle w:val="Standard"/>
      </w:pPr>
    </w:p>
    <w:p w14:paraId="729A5993" w14:textId="77777777" w:rsidR="0073564A" w:rsidRPr="0073564A" w:rsidRDefault="0073564A" w:rsidP="0073564A">
      <w:pPr>
        <w:keepNext/>
        <w:numPr>
          <w:ilvl w:val="0"/>
          <w:numId w:val="21"/>
        </w:numPr>
        <w:tabs>
          <w:tab w:val="left" w:pos="567"/>
        </w:tabs>
        <w:jc w:val="both"/>
        <w:textAlignment w:val="auto"/>
        <w:outlineLvl w:val="0"/>
        <w:rPr>
          <w:rFonts w:ascii="Arial" w:hAnsi="Arial" w:cs="Arial"/>
          <w:color w:val="808080"/>
          <w:sz w:val="36"/>
          <w:szCs w:val="36"/>
          <w14:textFill>
            <w14:solidFill>
              <w14:srgbClr w14:val="808080">
                <w14:lumMod w14:val="50000"/>
              </w14:srgbClr>
            </w14:solidFill>
          </w14:textFill>
        </w:rPr>
      </w:pPr>
      <w:bookmarkStart w:id="52" w:name="_Toc100150012"/>
      <w:bookmarkStart w:id="53" w:name="_Toc205806317"/>
      <w:r w:rsidRPr="0073564A">
        <w:rPr>
          <w:rFonts w:ascii="Arial" w:hAnsi="Arial" w:cs="Arial"/>
          <w:color w:val="808080"/>
          <w:sz w:val="36"/>
          <w:szCs w:val="36"/>
          <w14:textFill>
            <w14:solidFill>
              <w14:srgbClr w14:val="808080">
                <w14:lumMod w14:val="50000"/>
              </w14:srgbClr>
            </w14:solidFill>
          </w14:textFill>
        </w:rPr>
        <w:t>SIGNATURES</w:t>
      </w:r>
      <w:bookmarkEnd w:id="52"/>
      <w:bookmarkEnd w:id="53"/>
    </w:p>
    <w:p w14:paraId="266B5FFA" w14:textId="77777777" w:rsidR="0073564A" w:rsidRPr="0073564A" w:rsidRDefault="0073564A" w:rsidP="0073564A">
      <w:pPr>
        <w:tabs>
          <w:tab w:val="left" w:pos="567"/>
        </w:tabs>
        <w:ind w:left="425"/>
        <w:jc w:val="both"/>
        <w:textAlignment w:val="auto"/>
        <w:rPr>
          <w:rFonts w:ascii="Arial" w:hAnsi="Arial" w:cs="Arial"/>
          <w:sz w:val="22"/>
          <w:szCs w:val="22"/>
        </w:rPr>
      </w:pPr>
    </w:p>
    <w:p w14:paraId="004DD22A" w14:textId="77777777" w:rsidR="0073564A" w:rsidRPr="0073564A" w:rsidRDefault="0073564A" w:rsidP="0073564A">
      <w:pPr>
        <w:tabs>
          <w:tab w:val="left" w:pos="567"/>
        </w:tabs>
        <w:ind w:left="425"/>
        <w:jc w:val="both"/>
        <w:textAlignment w:val="auto"/>
        <w:rPr>
          <w:rFonts w:ascii="Arial" w:hAnsi="Arial" w:cs="Arial"/>
          <w:b/>
        </w:rPr>
      </w:pPr>
      <w:r w:rsidRPr="0073564A">
        <w:rPr>
          <w:rFonts w:ascii="Arial" w:hAnsi="Arial" w:cs="Arial"/>
          <w:b/>
        </w:rPr>
        <w:t>LE TITULAIRE</w:t>
      </w:r>
    </w:p>
    <w:p w14:paraId="44844EA7" w14:textId="77777777" w:rsidR="0073564A" w:rsidRPr="0073564A" w:rsidRDefault="0073564A" w:rsidP="0073564A">
      <w:pPr>
        <w:tabs>
          <w:tab w:val="left" w:pos="567"/>
        </w:tabs>
        <w:ind w:left="425"/>
        <w:jc w:val="both"/>
        <w:textAlignment w:val="auto"/>
        <w:rPr>
          <w:rFonts w:ascii="Arial" w:hAnsi="Arial" w:cs="Arial"/>
          <w:sz w:val="22"/>
          <w:szCs w:val="22"/>
        </w:rPr>
      </w:pPr>
    </w:p>
    <w:tbl>
      <w:tblPr>
        <w:tblStyle w:val="Grilledutableau"/>
        <w:tblW w:w="0" w:type="auto"/>
        <w:tblInd w:w="425" w:type="dxa"/>
        <w:tblLook w:val="04A0" w:firstRow="1" w:lastRow="0" w:firstColumn="1" w:lastColumn="0" w:noHBand="0" w:noVBand="1"/>
      </w:tblPr>
      <w:tblGrid>
        <w:gridCol w:w="3965"/>
        <w:gridCol w:w="2160"/>
        <w:gridCol w:w="3077"/>
      </w:tblGrid>
      <w:tr w:rsidR="0073564A" w:rsidRPr="0073564A" w14:paraId="1F893558" w14:textId="77777777" w:rsidTr="00147B5A">
        <w:trPr>
          <w:trHeight w:val="681"/>
        </w:trPr>
        <w:tc>
          <w:tcPr>
            <w:tcW w:w="3965" w:type="dxa"/>
            <w:vAlign w:val="center"/>
          </w:tcPr>
          <w:p w14:paraId="22CA3BC1" w14:textId="77777777" w:rsidR="0073564A" w:rsidRPr="0073564A" w:rsidRDefault="0073564A" w:rsidP="0073564A">
            <w:pPr>
              <w:tabs>
                <w:tab w:val="left" w:pos="567"/>
              </w:tabs>
              <w:ind w:left="425"/>
              <w:jc w:val="both"/>
              <w:textAlignment w:val="auto"/>
              <w:rPr>
                <w:rFonts w:ascii="Arial" w:hAnsi="Arial" w:cs="Arial"/>
                <w:sz w:val="22"/>
                <w:szCs w:val="22"/>
              </w:rPr>
            </w:pPr>
            <w:r w:rsidRPr="0073564A">
              <w:rPr>
                <w:rFonts w:ascii="Arial" w:hAnsi="Arial" w:cs="Arial"/>
                <w:sz w:val="22"/>
                <w:szCs w:val="22"/>
              </w:rPr>
              <w:t>Nom, prénom du signataire (*)</w:t>
            </w:r>
          </w:p>
        </w:tc>
        <w:tc>
          <w:tcPr>
            <w:tcW w:w="2160" w:type="dxa"/>
            <w:vAlign w:val="center"/>
          </w:tcPr>
          <w:p w14:paraId="4363303B" w14:textId="77777777" w:rsidR="0073564A" w:rsidRPr="0073564A" w:rsidRDefault="0073564A" w:rsidP="0073564A">
            <w:pPr>
              <w:tabs>
                <w:tab w:val="left" w:pos="567"/>
              </w:tabs>
              <w:ind w:left="425"/>
              <w:jc w:val="both"/>
              <w:textAlignment w:val="auto"/>
              <w:rPr>
                <w:rFonts w:ascii="Arial" w:hAnsi="Arial" w:cs="Arial"/>
                <w:sz w:val="22"/>
                <w:szCs w:val="22"/>
              </w:rPr>
            </w:pPr>
            <w:r w:rsidRPr="0073564A">
              <w:rPr>
                <w:rFonts w:ascii="Arial" w:hAnsi="Arial" w:cs="Arial"/>
                <w:sz w:val="22"/>
                <w:szCs w:val="22"/>
              </w:rPr>
              <w:t>Date</w:t>
            </w:r>
          </w:p>
        </w:tc>
        <w:tc>
          <w:tcPr>
            <w:tcW w:w="3077" w:type="dxa"/>
            <w:vAlign w:val="center"/>
          </w:tcPr>
          <w:p w14:paraId="4F3E2E76" w14:textId="77777777" w:rsidR="0073564A" w:rsidRPr="0073564A" w:rsidRDefault="0073564A" w:rsidP="0073564A">
            <w:pPr>
              <w:tabs>
                <w:tab w:val="left" w:pos="567"/>
              </w:tabs>
              <w:ind w:left="425"/>
              <w:jc w:val="both"/>
              <w:textAlignment w:val="auto"/>
              <w:rPr>
                <w:rFonts w:ascii="Arial" w:hAnsi="Arial" w:cs="Arial"/>
                <w:sz w:val="22"/>
                <w:szCs w:val="22"/>
              </w:rPr>
            </w:pPr>
            <w:r w:rsidRPr="0073564A">
              <w:rPr>
                <w:rFonts w:ascii="Arial" w:hAnsi="Arial" w:cs="Arial"/>
                <w:sz w:val="22"/>
                <w:szCs w:val="22"/>
              </w:rPr>
              <w:t>Signature</w:t>
            </w:r>
          </w:p>
        </w:tc>
      </w:tr>
      <w:tr w:rsidR="0073564A" w:rsidRPr="0073564A" w14:paraId="04322A59" w14:textId="77777777" w:rsidTr="00147B5A">
        <w:trPr>
          <w:trHeight w:val="1459"/>
        </w:trPr>
        <w:tc>
          <w:tcPr>
            <w:tcW w:w="3965" w:type="dxa"/>
            <w:vAlign w:val="center"/>
          </w:tcPr>
          <w:p w14:paraId="6DD02797" w14:textId="77777777" w:rsidR="0073564A" w:rsidRPr="0073564A" w:rsidRDefault="0073564A" w:rsidP="0073564A">
            <w:pPr>
              <w:tabs>
                <w:tab w:val="left" w:pos="567"/>
              </w:tabs>
              <w:ind w:left="425"/>
              <w:jc w:val="both"/>
              <w:textAlignment w:val="auto"/>
              <w:rPr>
                <w:rFonts w:ascii="Arial" w:hAnsi="Arial" w:cs="Arial"/>
                <w:sz w:val="22"/>
                <w:szCs w:val="22"/>
              </w:rPr>
            </w:pPr>
          </w:p>
        </w:tc>
        <w:tc>
          <w:tcPr>
            <w:tcW w:w="2160" w:type="dxa"/>
            <w:vAlign w:val="center"/>
          </w:tcPr>
          <w:p w14:paraId="658BB5A7" w14:textId="77777777" w:rsidR="0073564A" w:rsidRPr="0073564A" w:rsidRDefault="0073564A" w:rsidP="0073564A">
            <w:pPr>
              <w:tabs>
                <w:tab w:val="left" w:pos="567"/>
              </w:tabs>
              <w:ind w:left="425"/>
              <w:jc w:val="both"/>
              <w:textAlignment w:val="auto"/>
              <w:rPr>
                <w:rFonts w:ascii="Arial" w:hAnsi="Arial" w:cs="Arial"/>
                <w:sz w:val="22"/>
                <w:szCs w:val="22"/>
              </w:rPr>
            </w:pPr>
          </w:p>
        </w:tc>
        <w:tc>
          <w:tcPr>
            <w:tcW w:w="3077" w:type="dxa"/>
            <w:vAlign w:val="center"/>
          </w:tcPr>
          <w:p w14:paraId="3BC4B3CA" w14:textId="77777777" w:rsidR="0073564A" w:rsidRPr="0073564A" w:rsidRDefault="0073564A" w:rsidP="0073564A">
            <w:pPr>
              <w:tabs>
                <w:tab w:val="left" w:pos="567"/>
              </w:tabs>
              <w:ind w:left="425"/>
              <w:jc w:val="both"/>
              <w:textAlignment w:val="auto"/>
              <w:rPr>
                <w:rFonts w:ascii="Arial" w:hAnsi="Arial" w:cs="Arial"/>
                <w:sz w:val="22"/>
                <w:szCs w:val="22"/>
              </w:rPr>
            </w:pPr>
          </w:p>
        </w:tc>
      </w:tr>
    </w:tbl>
    <w:p w14:paraId="138F4345" w14:textId="77777777" w:rsidR="0073564A" w:rsidRPr="0073564A" w:rsidRDefault="0073564A" w:rsidP="0073564A">
      <w:pPr>
        <w:tabs>
          <w:tab w:val="left" w:pos="567"/>
        </w:tabs>
        <w:ind w:left="425"/>
        <w:jc w:val="both"/>
        <w:textAlignment w:val="auto"/>
        <w:rPr>
          <w:rFonts w:ascii="Arial" w:hAnsi="Arial" w:cs="Arial"/>
          <w:sz w:val="22"/>
          <w:szCs w:val="22"/>
        </w:rPr>
      </w:pPr>
    </w:p>
    <w:p w14:paraId="7A14649C" w14:textId="77777777" w:rsidR="0073564A" w:rsidRPr="0073564A" w:rsidRDefault="0073564A" w:rsidP="0073564A">
      <w:pPr>
        <w:tabs>
          <w:tab w:val="left" w:pos="567"/>
        </w:tabs>
        <w:ind w:left="425"/>
        <w:jc w:val="both"/>
        <w:textAlignment w:val="auto"/>
        <w:rPr>
          <w:rFonts w:ascii="Arial" w:hAnsi="Arial" w:cs="Arial"/>
          <w:sz w:val="22"/>
          <w:szCs w:val="22"/>
        </w:rPr>
      </w:pPr>
      <w:r w:rsidRPr="0073564A">
        <w:rPr>
          <w:rFonts w:ascii="Arial" w:hAnsi="Arial" w:cs="Arial"/>
          <w:sz w:val="22"/>
          <w:szCs w:val="22"/>
        </w:rPr>
        <w:t>(*) Le signataire doit avoir le pouvoir d’engager la personne qu’il représente.</w:t>
      </w:r>
    </w:p>
    <w:p w14:paraId="7CB34B38" w14:textId="3A31C39A" w:rsidR="0073564A" w:rsidRPr="0073564A" w:rsidRDefault="0073564A" w:rsidP="0073564A">
      <w:pPr>
        <w:tabs>
          <w:tab w:val="left" w:pos="567"/>
        </w:tabs>
        <w:jc w:val="both"/>
        <w:textAlignment w:val="auto"/>
        <w:rPr>
          <w:rFonts w:ascii="Arial" w:hAnsi="Arial" w:cs="Arial"/>
          <w:sz w:val="22"/>
          <w:szCs w:val="22"/>
        </w:rPr>
      </w:pPr>
    </w:p>
    <w:p w14:paraId="062AB96A" w14:textId="0690081D" w:rsidR="00440EC0" w:rsidRDefault="00440EC0" w:rsidP="001D2392">
      <w:pPr>
        <w:tabs>
          <w:tab w:val="left" w:pos="567"/>
        </w:tabs>
        <w:jc w:val="both"/>
        <w:textAlignment w:val="auto"/>
        <w:rPr>
          <w:rFonts w:ascii="Arial" w:hAnsi="Arial" w:cs="Arial"/>
          <w:sz w:val="22"/>
          <w:szCs w:val="22"/>
        </w:rPr>
      </w:pPr>
    </w:p>
    <w:p w14:paraId="60013CD2" w14:textId="00C5584F" w:rsidR="0073564A" w:rsidRPr="0073564A" w:rsidRDefault="0073564A" w:rsidP="001D2392">
      <w:pPr>
        <w:tabs>
          <w:tab w:val="left" w:pos="567"/>
        </w:tabs>
        <w:jc w:val="both"/>
        <w:textAlignment w:val="auto"/>
        <w:rPr>
          <w:rFonts w:ascii="Arial" w:hAnsi="Arial" w:cs="Arial"/>
          <w:sz w:val="22"/>
          <w:szCs w:val="22"/>
        </w:rPr>
      </w:pPr>
    </w:p>
    <w:p w14:paraId="7B22A611" w14:textId="77777777" w:rsidR="0073564A" w:rsidRPr="0073564A" w:rsidRDefault="0073564A" w:rsidP="0073564A">
      <w:pPr>
        <w:tabs>
          <w:tab w:val="left" w:pos="567"/>
        </w:tabs>
        <w:ind w:left="425"/>
        <w:jc w:val="both"/>
        <w:textAlignment w:val="auto"/>
        <w:rPr>
          <w:rFonts w:ascii="Arial" w:hAnsi="Arial" w:cs="Arial"/>
          <w:b/>
        </w:rPr>
      </w:pPr>
      <w:r w:rsidRPr="0073564A">
        <w:rPr>
          <w:rFonts w:ascii="Arial" w:hAnsi="Arial" w:cs="Arial"/>
          <w:b/>
        </w:rPr>
        <w:t>LE POUVOIR ADJUDICATEUR</w:t>
      </w:r>
    </w:p>
    <w:p w14:paraId="7B49C7F1" w14:textId="77777777" w:rsidR="0073564A" w:rsidRPr="0073564A" w:rsidRDefault="0073564A" w:rsidP="0073564A">
      <w:pPr>
        <w:tabs>
          <w:tab w:val="left" w:pos="567"/>
        </w:tabs>
        <w:ind w:left="425"/>
        <w:jc w:val="both"/>
        <w:textAlignment w:val="auto"/>
        <w:rPr>
          <w:rFonts w:ascii="Arial" w:hAnsi="Arial" w:cs="Arial"/>
          <w:sz w:val="22"/>
          <w:szCs w:val="22"/>
        </w:rPr>
      </w:pPr>
    </w:p>
    <w:tbl>
      <w:tblPr>
        <w:tblStyle w:val="Grilledutableau"/>
        <w:tblW w:w="0" w:type="auto"/>
        <w:tblInd w:w="425" w:type="dxa"/>
        <w:tblLook w:val="04A0" w:firstRow="1" w:lastRow="0" w:firstColumn="1" w:lastColumn="0" w:noHBand="0" w:noVBand="1"/>
      </w:tblPr>
      <w:tblGrid>
        <w:gridCol w:w="3823"/>
        <w:gridCol w:w="2302"/>
        <w:gridCol w:w="3077"/>
      </w:tblGrid>
      <w:tr w:rsidR="0073564A" w:rsidRPr="0073564A" w14:paraId="26206436" w14:textId="77777777" w:rsidTr="00E06382">
        <w:trPr>
          <w:trHeight w:val="681"/>
        </w:trPr>
        <w:tc>
          <w:tcPr>
            <w:tcW w:w="3823" w:type="dxa"/>
            <w:vAlign w:val="center"/>
          </w:tcPr>
          <w:p w14:paraId="58886CCC" w14:textId="77777777" w:rsidR="0073564A" w:rsidRPr="0073564A" w:rsidRDefault="0073564A" w:rsidP="0073564A">
            <w:pPr>
              <w:tabs>
                <w:tab w:val="left" w:pos="567"/>
              </w:tabs>
              <w:ind w:left="425"/>
              <w:jc w:val="both"/>
              <w:textAlignment w:val="auto"/>
              <w:rPr>
                <w:rFonts w:ascii="Arial" w:hAnsi="Arial" w:cs="Arial"/>
                <w:sz w:val="22"/>
                <w:szCs w:val="22"/>
              </w:rPr>
            </w:pPr>
            <w:r w:rsidRPr="0073564A">
              <w:rPr>
                <w:rFonts w:ascii="Arial" w:hAnsi="Arial" w:cs="Arial"/>
                <w:sz w:val="22"/>
                <w:szCs w:val="22"/>
              </w:rPr>
              <w:t>Nom, prénom, qualité</w:t>
            </w:r>
          </w:p>
        </w:tc>
        <w:tc>
          <w:tcPr>
            <w:tcW w:w="2302" w:type="dxa"/>
            <w:vAlign w:val="center"/>
          </w:tcPr>
          <w:p w14:paraId="04C2BEE1" w14:textId="77777777" w:rsidR="0073564A" w:rsidRPr="0073564A" w:rsidRDefault="0073564A" w:rsidP="0073564A">
            <w:pPr>
              <w:tabs>
                <w:tab w:val="left" w:pos="567"/>
              </w:tabs>
              <w:ind w:left="425"/>
              <w:jc w:val="both"/>
              <w:textAlignment w:val="auto"/>
              <w:rPr>
                <w:rFonts w:ascii="Arial" w:hAnsi="Arial" w:cs="Arial"/>
                <w:sz w:val="22"/>
                <w:szCs w:val="22"/>
              </w:rPr>
            </w:pPr>
            <w:r w:rsidRPr="0073564A">
              <w:rPr>
                <w:rFonts w:ascii="Arial" w:hAnsi="Arial" w:cs="Arial"/>
                <w:sz w:val="22"/>
                <w:szCs w:val="22"/>
              </w:rPr>
              <w:t>Date</w:t>
            </w:r>
          </w:p>
        </w:tc>
        <w:tc>
          <w:tcPr>
            <w:tcW w:w="3077" w:type="dxa"/>
            <w:vAlign w:val="center"/>
          </w:tcPr>
          <w:p w14:paraId="3E217F60" w14:textId="77777777" w:rsidR="0073564A" w:rsidRPr="0073564A" w:rsidRDefault="0073564A" w:rsidP="0073564A">
            <w:pPr>
              <w:tabs>
                <w:tab w:val="left" w:pos="567"/>
              </w:tabs>
              <w:ind w:left="425"/>
              <w:jc w:val="both"/>
              <w:textAlignment w:val="auto"/>
              <w:rPr>
                <w:rFonts w:ascii="Arial" w:hAnsi="Arial" w:cs="Arial"/>
                <w:sz w:val="22"/>
                <w:szCs w:val="22"/>
              </w:rPr>
            </w:pPr>
            <w:r w:rsidRPr="0073564A">
              <w:rPr>
                <w:rFonts w:ascii="Arial" w:hAnsi="Arial" w:cs="Arial"/>
                <w:sz w:val="22"/>
                <w:szCs w:val="22"/>
              </w:rPr>
              <w:t>Signature</w:t>
            </w:r>
          </w:p>
        </w:tc>
      </w:tr>
      <w:tr w:rsidR="0073564A" w:rsidRPr="0073564A" w14:paraId="1B6A567F" w14:textId="77777777" w:rsidTr="00147B5A">
        <w:trPr>
          <w:trHeight w:val="1459"/>
        </w:trPr>
        <w:tc>
          <w:tcPr>
            <w:tcW w:w="3823" w:type="dxa"/>
            <w:vAlign w:val="center"/>
          </w:tcPr>
          <w:p w14:paraId="43B13965" w14:textId="5D230423" w:rsidR="0073564A" w:rsidRPr="0073564A" w:rsidRDefault="0073564A" w:rsidP="0073564A">
            <w:pPr>
              <w:tabs>
                <w:tab w:val="left" w:pos="567"/>
              </w:tabs>
              <w:ind w:left="425"/>
              <w:jc w:val="both"/>
              <w:textAlignment w:val="auto"/>
              <w:rPr>
                <w:rFonts w:ascii="Arial" w:hAnsi="Arial" w:cs="Arial"/>
                <w:sz w:val="22"/>
                <w:szCs w:val="22"/>
              </w:rPr>
            </w:pPr>
            <w:r w:rsidRPr="0073564A">
              <w:rPr>
                <w:rFonts w:ascii="Arial" w:hAnsi="Arial" w:cs="Arial"/>
                <w:sz w:val="22"/>
                <w:szCs w:val="22"/>
              </w:rPr>
              <w:t xml:space="preserve">Le commandant </w:t>
            </w:r>
            <w:r w:rsidR="001D2392">
              <w:rPr>
                <w:rFonts w:ascii="Arial" w:hAnsi="Arial" w:cs="Arial"/>
                <w:sz w:val="22"/>
                <w:szCs w:val="22"/>
              </w:rPr>
              <w:t>Marc MAISANT</w:t>
            </w:r>
          </w:p>
          <w:p w14:paraId="00F3A000" w14:textId="2D515837" w:rsidR="0073564A" w:rsidRPr="0073564A" w:rsidRDefault="0073564A" w:rsidP="0073564A">
            <w:pPr>
              <w:tabs>
                <w:tab w:val="left" w:pos="567"/>
              </w:tabs>
              <w:ind w:left="425"/>
              <w:jc w:val="both"/>
              <w:textAlignment w:val="auto"/>
              <w:rPr>
                <w:rFonts w:ascii="Arial" w:hAnsi="Arial" w:cs="Arial"/>
                <w:sz w:val="22"/>
                <w:szCs w:val="22"/>
              </w:rPr>
            </w:pPr>
            <w:r w:rsidRPr="0073564A">
              <w:rPr>
                <w:rFonts w:ascii="Arial" w:hAnsi="Arial" w:cs="Arial"/>
                <w:sz w:val="22"/>
                <w:szCs w:val="22"/>
              </w:rPr>
              <w:t xml:space="preserve">Chef du détachement de Moulins </w:t>
            </w:r>
          </w:p>
          <w:p w14:paraId="1D4DDE58" w14:textId="77777777" w:rsidR="0073564A" w:rsidRPr="0073564A" w:rsidRDefault="0073564A" w:rsidP="0073564A">
            <w:pPr>
              <w:tabs>
                <w:tab w:val="left" w:pos="567"/>
              </w:tabs>
              <w:ind w:left="425"/>
              <w:jc w:val="both"/>
              <w:textAlignment w:val="auto"/>
              <w:rPr>
                <w:rFonts w:ascii="Arial" w:hAnsi="Arial" w:cs="Arial"/>
                <w:sz w:val="22"/>
                <w:szCs w:val="22"/>
              </w:rPr>
            </w:pPr>
            <w:r w:rsidRPr="0073564A">
              <w:rPr>
                <w:rFonts w:ascii="Arial" w:hAnsi="Arial" w:cs="Arial"/>
                <w:sz w:val="22"/>
                <w:szCs w:val="22"/>
              </w:rPr>
              <w:t>Pouvoir adjudicateur délégué</w:t>
            </w:r>
          </w:p>
        </w:tc>
        <w:tc>
          <w:tcPr>
            <w:tcW w:w="2302" w:type="dxa"/>
            <w:vAlign w:val="center"/>
          </w:tcPr>
          <w:p w14:paraId="4F578E3E" w14:textId="77777777" w:rsidR="0073564A" w:rsidRPr="0073564A" w:rsidRDefault="0073564A" w:rsidP="0073564A">
            <w:pPr>
              <w:tabs>
                <w:tab w:val="left" w:pos="567"/>
              </w:tabs>
              <w:ind w:left="425"/>
              <w:jc w:val="both"/>
              <w:textAlignment w:val="auto"/>
              <w:rPr>
                <w:rFonts w:ascii="Arial" w:hAnsi="Arial" w:cs="Arial"/>
                <w:sz w:val="22"/>
                <w:szCs w:val="22"/>
              </w:rPr>
            </w:pPr>
          </w:p>
        </w:tc>
        <w:tc>
          <w:tcPr>
            <w:tcW w:w="3077" w:type="dxa"/>
            <w:vAlign w:val="center"/>
          </w:tcPr>
          <w:p w14:paraId="6CF8AF4F" w14:textId="77777777" w:rsidR="0073564A" w:rsidRPr="0073564A" w:rsidRDefault="0073564A" w:rsidP="0073564A">
            <w:pPr>
              <w:tabs>
                <w:tab w:val="left" w:pos="567"/>
              </w:tabs>
              <w:ind w:left="425"/>
              <w:jc w:val="both"/>
              <w:textAlignment w:val="auto"/>
              <w:rPr>
                <w:rFonts w:ascii="Arial" w:hAnsi="Arial" w:cs="Arial"/>
                <w:sz w:val="22"/>
                <w:szCs w:val="22"/>
              </w:rPr>
            </w:pPr>
          </w:p>
        </w:tc>
      </w:tr>
    </w:tbl>
    <w:p w14:paraId="59851615" w14:textId="77777777" w:rsidR="0073564A" w:rsidRPr="0073564A" w:rsidRDefault="0073564A" w:rsidP="0073564A">
      <w:pPr>
        <w:tabs>
          <w:tab w:val="left" w:pos="567"/>
        </w:tabs>
        <w:ind w:left="425"/>
        <w:jc w:val="both"/>
        <w:textAlignment w:val="auto"/>
        <w:rPr>
          <w:rFonts w:ascii="Arial" w:hAnsi="Arial" w:cs="Arial"/>
          <w:sz w:val="22"/>
          <w:szCs w:val="22"/>
        </w:rPr>
      </w:pPr>
    </w:p>
    <w:p w14:paraId="61AD1C90" w14:textId="77777777" w:rsidR="0073564A" w:rsidRPr="0073564A" w:rsidRDefault="0073564A" w:rsidP="0073564A">
      <w:pPr>
        <w:tabs>
          <w:tab w:val="left" w:pos="567"/>
        </w:tabs>
        <w:ind w:left="425"/>
        <w:jc w:val="both"/>
        <w:textAlignment w:val="auto"/>
        <w:rPr>
          <w:rFonts w:ascii="Arial" w:hAnsi="Arial" w:cs="Arial"/>
          <w:sz w:val="22"/>
          <w:szCs w:val="22"/>
        </w:rPr>
      </w:pPr>
    </w:p>
    <w:p w14:paraId="492DA098" w14:textId="77777777" w:rsidR="0073564A" w:rsidRPr="0073564A" w:rsidRDefault="0073564A" w:rsidP="0073564A">
      <w:pPr>
        <w:tabs>
          <w:tab w:val="left" w:pos="567"/>
        </w:tabs>
        <w:jc w:val="both"/>
        <w:textAlignment w:val="auto"/>
        <w:rPr>
          <w:rFonts w:ascii="Arial" w:hAnsi="Arial" w:cs="Arial"/>
          <w:sz w:val="22"/>
          <w:szCs w:val="22"/>
        </w:rPr>
      </w:pPr>
    </w:p>
    <w:p w14:paraId="7676D0B7" w14:textId="77777777" w:rsidR="0073564A" w:rsidRPr="0073564A" w:rsidRDefault="0073564A" w:rsidP="0073564A">
      <w:pPr>
        <w:keepNext/>
        <w:numPr>
          <w:ilvl w:val="0"/>
          <w:numId w:val="21"/>
        </w:numPr>
        <w:tabs>
          <w:tab w:val="left" w:pos="567"/>
        </w:tabs>
        <w:jc w:val="both"/>
        <w:textAlignment w:val="auto"/>
        <w:outlineLvl w:val="0"/>
        <w:rPr>
          <w:rFonts w:ascii="Arial" w:hAnsi="Arial" w:cs="Arial"/>
          <w:color w:val="808080"/>
          <w:sz w:val="36"/>
          <w:szCs w:val="36"/>
          <w14:textFill>
            <w14:solidFill>
              <w14:srgbClr w14:val="808080">
                <w14:lumMod w14:val="50000"/>
              </w14:srgbClr>
            </w14:solidFill>
          </w14:textFill>
        </w:rPr>
      </w:pPr>
      <w:bookmarkStart w:id="54" w:name="_Toc100150013"/>
      <w:bookmarkStart w:id="55" w:name="_Toc205806318"/>
      <w:r w:rsidRPr="0073564A">
        <w:rPr>
          <w:rFonts w:ascii="Arial" w:hAnsi="Arial" w:cs="Arial"/>
          <w:color w:val="808080"/>
          <w:sz w:val="36"/>
          <w:szCs w:val="36"/>
          <w14:textFill>
            <w14:solidFill>
              <w14:srgbClr w14:val="808080">
                <w14:lumMod w14:val="50000"/>
              </w14:srgbClr>
            </w14:solidFill>
          </w14:textFill>
        </w:rPr>
        <w:t>NOTIFICATION</w:t>
      </w:r>
      <w:bookmarkEnd w:id="54"/>
      <w:bookmarkEnd w:id="55"/>
    </w:p>
    <w:p w14:paraId="4731F318" w14:textId="77777777" w:rsidR="0073564A" w:rsidRPr="0073564A" w:rsidRDefault="0073564A" w:rsidP="0073564A">
      <w:pPr>
        <w:tabs>
          <w:tab w:val="left" w:pos="567"/>
        </w:tabs>
        <w:ind w:left="425"/>
        <w:jc w:val="both"/>
        <w:textAlignment w:val="auto"/>
        <w:rPr>
          <w:rFonts w:ascii="Arial" w:hAnsi="Arial" w:cs="Arial"/>
          <w:sz w:val="22"/>
          <w:szCs w:val="22"/>
        </w:rPr>
      </w:pPr>
    </w:p>
    <w:p w14:paraId="6247A7DF" w14:textId="77777777" w:rsidR="0073564A" w:rsidRPr="0073564A" w:rsidRDefault="0073564A" w:rsidP="0073564A">
      <w:pPr>
        <w:tabs>
          <w:tab w:val="left" w:pos="567"/>
        </w:tabs>
        <w:ind w:left="425"/>
        <w:jc w:val="both"/>
        <w:textAlignment w:val="auto"/>
        <w:rPr>
          <w:rFonts w:ascii="Arial" w:hAnsi="Arial" w:cs="Arial"/>
          <w:sz w:val="22"/>
          <w:szCs w:val="22"/>
        </w:rPr>
      </w:pPr>
      <w:r w:rsidRPr="0073564A">
        <w:rPr>
          <w:rFonts w:ascii="Arial" w:hAnsi="Arial" w:cs="Arial"/>
          <w:sz w:val="22"/>
          <w:szCs w:val="22"/>
        </w:rPr>
        <w:t>Le présent marché est notifié via la plateforme des achats de l’état (PLACE).</w:t>
      </w:r>
    </w:p>
    <w:p w14:paraId="72001324" w14:textId="77777777" w:rsidR="0073564A" w:rsidRPr="0073564A" w:rsidRDefault="0073564A" w:rsidP="0073564A">
      <w:pPr>
        <w:tabs>
          <w:tab w:val="left" w:pos="567"/>
        </w:tabs>
        <w:ind w:left="425"/>
        <w:jc w:val="both"/>
        <w:textAlignment w:val="auto"/>
        <w:rPr>
          <w:rFonts w:ascii="Arial" w:hAnsi="Arial" w:cs="Arial"/>
          <w:sz w:val="22"/>
          <w:szCs w:val="22"/>
        </w:rPr>
      </w:pPr>
      <w:r w:rsidRPr="0073564A">
        <w:rPr>
          <w:rFonts w:ascii="Arial" w:hAnsi="Arial" w:cs="Arial"/>
          <w:sz w:val="22"/>
          <w:szCs w:val="22"/>
        </w:rPr>
        <w:t>La date de notification correspond à la date de l’accusé de réception dématérialisé annexé au présent document.</w:t>
      </w:r>
    </w:p>
    <w:p w14:paraId="07EB32F5" w14:textId="77777777" w:rsidR="0073564A" w:rsidRPr="0073564A" w:rsidRDefault="0073564A" w:rsidP="0073564A">
      <w:pPr>
        <w:tabs>
          <w:tab w:val="left" w:pos="567"/>
        </w:tabs>
        <w:ind w:left="425"/>
        <w:jc w:val="both"/>
        <w:textAlignment w:val="auto"/>
        <w:rPr>
          <w:rFonts w:ascii="Arial" w:hAnsi="Arial" w:cs="Arial"/>
          <w:sz w:val="22"/>
          <w:szCs w:val="22"/>
        </w:rPr>
      </w:pPr>
    </w:p>
    <w:p w14:paraId="650EA39D" w14:textId="77777777" w:rsidR="0073564A" w:rsidRPr="0073564A" w:rsidRDefault="0073564A" w:rsidP="0073564A">
      <w:pPr>
        <w:tabs>
          <w:tab w:val="left" w:pos="567"/>
        </w:tabs>
        <w:ind w:left="425"/>
        <w:jc w:val="both"/>
        <w:textAlignment w:val="auto"/>
        <w:rPr>
          <w:rFonts w:ascii="Arial" w:hAnsi="Arial" w:cs="Arial"/>
          <w:sz w:val="22"/>
          <w:szCs w:val="22"/>
        </w:rPr>
      </w:pPr>
    </w:p>
    <w:p w14:paraId="7DA7AA3A" w14:textId="77777777" w:rsidR="0073564A" w:rsidRPr="0073564A" w:rsidRDefault="0073564A" w:rsidP="0073564A">
      <w:pPr>
        <w:keepNext/>
        <w:numPr>
          <w:ilvl w:val="0"/>
          <w:numId w:val="21"/>
        </w:numPr>
        <w:tabs>
          <w:tab w:val="left" w:pos="567"/>
        </w:tabs>
        <w:jc w:val="both"/>
        <w:textAlignment w:val="auto"/>
        <w:outlineLvl w:val="0"/>
        <w:rPr>
          <w:rFonts w:ascii="Arial" w:hAnsi="Arial" w:cs="Arial"/>
          <w:color w:val="808080"/>
          <w:sz w:val="36"/>
          <w:szCs w:val="36"/>
          <w14:textFill>
            <w14:solidFill>
              <w14:srgbClr w14:val="808080">
                <w14:lumMod w14:val="50000"/>
              </w14:srgbClr>
            </w14:solidFill>
          </w14:textFill>
        </w:rPr>
      </w:pPr>
      <w:bookmarkStart w:id="56" w:name="_Toc100150014"/>
      <w:bookmarkStart w:id="57" w:name="_Toc205806319"/>
      <w:r w:rsidRPr="0073564A">
        <w:rPr>
          <w:rFonts w:ascii="Arial" w:hAnsi="Arial" w:cs="Arial"/>
          <w:color w:val="808080"/>
          <w:sz w:val="36"/>
          <w:szCs w:val="36"/>
          <w14:textFill>
            <w14:solidFill>
              <w14:srgbClr w14:val="808080">
                <w14:lumMod w14:val="50000"/>
              </w14:srgbClr>
            </w14:solidFill>
          </w14:textFill>
        </w:rPr>
        <w:t>ANNEXE</w:t>
      </w:r>
      <w:bookmarkEnd w:id="56"/>
      <w:bookmarkEnd w:id="57"/>
    </w:p>
    <w:p w14:paraId="243A7E5D" w14:textId="77777777" w:rsidR="0073564A" w:rsidRPr="0073564A" w:rsidRDefault="0073564A" w:rsidP="0073564A">
      <w:pPr>
        <w:tabs>
          <w:tab w:val="left" w:pos="567"/>
        </w:tabs>
        <w:ind w:left="425"/>
        <w:jc w:val="both"/>
        <w:textAlignment w:val="auto"/>
        <w:rPr>
          <w:rFonts w:ascii="Arial" w:hAnsi="Arial" w:cs="Arial"/>
          <w:sz w:val="22"/>
          <w:szCs w:val="22"/>
        </w:rPr>
      </w:pPr>
    </w:p>
    <w:p w14:paraId="730E8309" w14:textId="77777777" w:rsidR="0073564A" w:rsidRPr="0073564A" w:rsidRDefault="0073564A" w:rsidP="0073564A">
      <w:pPr>
        <w:tabs>
          <w:tab w:val="left" w:pos="567"/>
        </w:tabs>
        <w:ind w:left="425"/>
        <w:jc w:val="both"/>
        <w:textAlignment w:val="auto"/>
        <w:rPr>
          <w:rFonts w:ascii="Arial" w:hAnsi="Arial" w:cs="Arial"/>
          <w:sz w:val="22"/>
          <w:szCs w:val="22"/>
        </w:rPr>
      </w:pPr>
      <w:r w:rsidRPr="0073564A">
        <w:rPr>
          <w:rFonts w:ascii="Arial" w:hAnsi="Arial" w:cs="Arial"/>
          <w:sz w:val="22"/>
          <w:szCs w:val="22"/>
        </w:rPr>
        <w:t>Table de prix</w:t>
      </w:r>
    </w:p>
    <w:p w14:paraId="0EF857E6" w14:textId="77777777" w:rsidR="00204DD9" w:rsidRPr="002F773A" w:rsidRDefault="00204DD9" w:rsidP="006B2D2E">
      <w:pPr>
        <w:pStyle w:val="Standard"/>
      </w:pPr>
    </w:p>
    <w:p w14:paraId="1D68BBDB" w14:textId="696CA909" w:rsidR="008663E9" w:rsidRPr="002F773A" w:rsidRDefault="008663E9" w:rsidP="006B2D2E">
      <w:pPr>
        <w:pStyle w:val="Standard"/>
      </w:pPr>
    </w:p>
    <w:p w14:paraId="089DB050" w14:textId="77777777" w:rsidR="00610528" w:rsidRPr="002F773A" w:rsidRDefault="00610528" w:rsidP="006B2D2E">
      <w:pPr>
        <w:pStyle w:val="Standard"/>
      </w:pPr>
    </w:p>
    <w:p w14:paraId="18D2E96C" w14:textId="63D7E72A" w:rsidR="00433DBC" w:rsidRPr="00433DBC" w:rsidRDefault="00433DBC" w:rsidP="006B2D2E">
      <w:pPr>
        <w:pStyle w:val="Standard"/>
      </w:pPr>
    </w:p>
    <w:sectPr w:rsidR="00433DBC" w:rsidRPr="00433DBC" w:rsidSect="00105A16">
      <w:footerReference w:type="default" r:id="rId15"/>
      <w:footerReference w:type="first" r:id="rId16"/>
      <w:pgSz w:w="11905" w:h="16837"/>
      <w:pgMar w:top="709" w:right="1134" w:bottom="1312" w:left="1134" w:header="315" w:footer="56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07FABD" w14:textId="77777777" w:rsidR="008A53FE" w:rsidRDefault="008A53FE">
      <w:r>
        <w:separator/>
      </w:r>
    </w:p>
  </w:endnote>
  <w:endnote w:type="continuationSeparator" w:id="0">
    <w:p w14:paraId="32482D2C" w14:textId="77777777" w:rsidR="008A53FE" w:rsidRDefault="008A5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panose1 w:val="05010000000000000000"/>
    <w:charset w:val="00"/>
    <w:family w:val="auto"/>
    <w:pitch w:val="variable"/>
    <w:sig w:usb0="800000AF" w:usb1="1001ECEA"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Times New Roman"/>
    <w:charset w:val="00"/>
    <w:family w:val="auto"/>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B034C8" w14:textId="6D824B98" w:rsidR="008A53FE" w:rsidRPr="00133BF3" w:rsidRDefault="008A53FE" w:rsidP="006B2D2E">
    <w:pPr>
      <w:pStyle w:val="Pieddepage"/>
    </w:pPr>
    <w:r w:rsidRPr="00133BF3">
      <w:t>Acte d’engagement – C</w:t>
    </w:r>
    <w:r>
      <w:t xml:space="preserve">ahier des </w:t>
    </w:r>
    <w:r w:rsidRPr="00133BF3">
      <w:t>C</w:t>
    </w:r>
    <w:r>
      <w:t xml:space="preserve">lauses </w:t>
    </w:r>
    <w:r w:rsidRPr="00133BF3">
      <w:t>P</w:t>
    </w:r>
    <w:r>
      <w:t>articulières (AE CCP)</w:t>
    </w:r>
    <w:r w:rsidRPr="00133BF3">
      <w:t xml:space="preserve"> – Consultation M</w:t>
    </w:r>
    <w:r>
      <w:t>LS25013</w:t>
    </w:r>
    <w:r w:rsidRPr="00133BF3">
      <w:t xml:space="preserve">                                      </w:t>
    </w:r>
    <w:r w:rsidRPr="00133BF3">
      <w:fldChar w:fldCharType="begin"/>
    </w:r>
    <w:r w:rsidRPr="00133BF3">
      <w:instrText xml:space="preserve"> PAGE </w:instrText>
    </w:r>
    <w:r w:rsidRPr="00133BF3">
      <w:fldChar w:fldCharType="separate"/>
    </w:r>
    <w:r w:rsidR="00324375">
      <w:rPr>
        <w:noProof/>
      </w:rPr>
      <w:t>11</w:t>
    </w:r>
    <w:r w:rsidRPr="00133BF3">
      <w:fldChar w:fldCharType="end"/>
    </w:r>
    <w:r w:rsidRPr="00133BF3">
      <w:t>/</w:t>
    </w:r>
    <w:r w:rsidRPr="00133BF3">
      <w:fldChar w:fldCharType="begin"/>
    </w:r>
    <w:r w:rsidRPr="00133BF3">
      <w:instrText xml:space="preserve"> NUMPAGES </w:instrText>
    </w:r>
    <w:r w:rsidRPr="00133BF3">
      <w:fldChar w:fldCharType="separate"/>
    </w:r>
    <w:r w:rsidR="00324375">
      <w:rPr>
        <w:noProof/>
      </w:rPr>
      <w:t>11</w:t>
    </w:r>
    <w:r w:rsidRPr="00133BF3">
      <w:rPr>
        <w:noProof/>
      </w:rPr>
      <w:fldChar w:fldCharType="end"/>
    </w:r>
    <w:r w:rsidRPr="00133BF3">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F6F55" w14:textId="0059D513" w:rsidR="008A53FE" w:rsidRPr="001B66D6" w:rsidRDefault="008A53FE" w:rsidP="006B2D2E">
    <w:pPr>
      <w:pStyle w:val="Pieddepage"/>
    </w:pPr>
    <w:r w:rsidRPr="001B66D6">
      <w:t xml:space="preserve">Acte d’engagement </w:t>
    </w:r>
    <w:r>
      <w:t>– CCP – Consultation MLS25013</w:t>
    </w:r>
    <w:r w:rsidRPr="001B66D6">
      <w:t xml:space="preserve">                                                                                                 </w:t>
    </w:r>
    <w:r w:rsidRPr="001B66D6">
      <w:fldChar w:fldCharType="begin"/>
    </w:r>
    <w:r w:rsidRPr="001B66D6">
      <w:instrText xml:space="preserve"> PAGE </w:instrText>
    </w:r>
    <w:r w:rsidRPr="001B66D6">
      <w:fldChar w:fldCharType="separate"/>
    </w:r>
    <w:r w:rsidR="00324375">
      <w:rPr>
        <w:noProof/>
      </w:rPr>
      <w:t>1</w:t>
    </w:r>
    <w:r w:rsidRPr="001B66D6">
      <w:fldChar w:fldCharType="end"/>
    </w:r>
    <w:r w:rsidRPr="001B66D6">
      <w:t>/</w:t>
    </w:r>
    <w:r w:rsidRPr="001B66D6">
      <w:fldChar w:fldCharType="begin"/>
    </w:r>
    <w:r w:rsidRPr="001B66D6">
      <w:instrText xml:space="preserve"> NUMPAGES </w:instrText>
    </w:r>
    <w:r w:rsidRPr="001B66D6">
      <w:fldChar w:fldCharType="separate"/>
    </w:r>
    <w:r w:rsidR="00324375">
      <w:rPr>
        <w:noProof/>
      </w:rPr>
      <w:t>11</w:t>
    </w:r>
    <w:r w:rsidRPr="001B66D6">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38BC32" w14:textId="77777777" w:rsidR="008A53FE" w:rsidRDefault="008A53FE">
      <w:r>
        <w:rPr>
          <w:color w:val="000000"/>
        </w:rPr>
        <w:separator/>
      </w:r>
    </w:p>
  </w:footnote>
  <w:footnote w:type="continuationSeparator" w:id="0">
    <w:p w14:paraId="08D0F17D" w14:textId="77777777" w:rsidR="008A53FE" w:rsidRDefault="008A53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90DA3"/>
    <w:multiLevelType w:val="multilevel"/>
    <w:tmpl w:val="9F48FE8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10816B0E"/>
    <w:multiLevelType w:val="multilevel"/>
    <w:tmpl w:val="AB5089FE"/>
    <w:styleLink w:val="Liste41"/>
    <w:lvl w:ilvl="0">
      <w:numFmt w:val="bullet"/>
      <w:lvlText w:val="➢"/>
      <w:lvlJc w:val="left"/>
      <w:rPr>
        <w:rFonts w:ascii="OpenSymbol" w:hAnsi="OpenSymbol"/>
      </w:rPr>
    </w:lvl>
    <w:lvl w:ilvl="1">
      <w:numFmt w:val="bullet"/>
      <w:lvlText w:val=""/>
      <w:lvlJc w:val="left"/>
      <w:rPr>
        <w:rFonts w:ascii="OpenSymbol" w:hAnsi="OpenSymbol"/>
      </w:rPr>
    </w:lvl>
    <w:lvl w:ilvl="2">
      <w:numFmt w:val="bullet"/>
      <w:lvlText w:val=""/>
      <w:lvlJc w:val="left"/>
      <w:rPr>
        <w:rFonts w:ascii="OpenSymbol" w:hAnsi="OpenSymbol"/>
      </w:rPr>
    </w:lvl>
    <w:lvl w:ilvl="3">
      <w:numFmt w:val="bullet"/>
      <w:lvlText w:val=""/>
      <w:lvlJc w:val="left"/>
      <w:rPr>
        <w:rFonts w:ascii="OpenSymbol" w:hAnsi="OpenSymbol"/>
      </w:rPr>
    </w:lvl>
    <w:lvl w:ilvl="4">
      <w:numFmt w:val="bullet"/>
      <w:lvlText w:val=""/>
      <w:lvlJc w:val="left"/>
      <w:rPr>
        <w:rFonts w:ascii="OpenSymbol" w:hAnsi="OpenSymbol"/>
      </w:rPr>
    </w:lvl>
    <w:lvl w:ilvl="5">
      <w:numFmt w:val="bullet"/>
      <w:lvlText w:val=""/>
      <w:lvlJc w:val="left"/>
      <w:rPr>
        <w:rFonts w:ascii="OpenSymbol" w:hAnsi="OpenSymbol"/>
      </w:rPr>
    </w:lvl>
    <w:lvl w:ilvl="6">
      <w:numFmt w:val="bullet"/>
      <w:lvlText w:val=""/>
      <w:lvlJc w:val="left"/>
      <w:rPr>
        <w:rFonts w:ascii="OpenSymbol" w:hAnsi="OpenSymbol"/>
      </w:rPr>
    </w:lvl>
    <w:lvl w:ilvl="7">
      <w:numFmt w:val="bullet"/>
      <w:lvlText w:val=""/>
      <w:lvlJc w:val="left"/>
      <w:rPr>
        <w:rFonts w:ascii="OpenSymbol" w:hAnsi="OpenSymbol"/>
      </w:rPr>
    </w:lvl>
    <w:lvl w:ilvl="8">
      <w:numFmt w:val="bullet"/>
      <w:lvlText w:val=""/>
      <w:lvlJc w:val="left"/>
      <w:rPr>
        <w:rFonts w:ascii="OpenSymbol" w:hAnsi="OpenSymbol"/>
      </w:rPr>
    </w:lvl>
  </w:abstractNum>
  <w:abstractNum w:abstractNumId="2" w15:restartNumberingAfterBreak="0">
    <w:nsid w:val="189E111C"/>
    <w:multiLevelType w:val="multilevel"/>
    <w:tmpl w:val="04D6FEE4"/>
    <w:styleLink w:val="Liste31"/>
    <w:lvl w:ilvl="0">
      <w:numFmt w:val="bullet"/>
      <w:lvlText w:val="☑"/>
      <w:lvlJc w:val="left"/>
      <w:rPr>
        <w:rFonts w:ascii="OpenSymbol" w:hAnsi="OpenSymbol"/>
      </w:rPr>
    </w:lvl>
    <w:lvl w:ilvl="1">
      <w:numFmt w:val="bullet"/>
      <w:lvlText w:val="□"/>
      <w:lvlJc w:val="left"/>
      <w:rPr>
        <w:rFonts w:ascii="OpenSymbol" w:hAnsi="OpenSymbol"/>
      </w:rPr>
    </w:lvl>
    <w:lvl w:ilvl="2">
      <w:numFmt w:val="bullet"/>
      <w:lvlText w:val="☑"/>
      <w:lvlJc w:val="left"/>
      <w:rPr>
        <w:rFonts w:ascii="OpenSymbol" w:hAnsi="OpenSymbol"/>
      </w:rPr>
    </w:lvl>
    <w:lvl w:ilvl="3">
      <w:numFmt w:val="bullet"/>
      <w:lvlText w:val="□"/>
      <w:lvlJc w:val="left"/>
      <w:rPr>
        <w:rFonts w:ascii="OpenSymbol" w:hAnsi="OpenSymbol"/>
      </w:rPr>
    </w:lvl>
    <w:lvl w:ilvl="4">
      <w:numFmt w:val="bullet"/>
      <w:lvlText w:val="☑"/>
      <w:lvlJc w:val="left"/>
      <w:rPr>
        <w:rFonts w:ascii="OpenSymbol" w:hAnsi="OpenSymbol"/>
      </w:rPr>
    </w:lvl>
    <w:lvl w:ilvl="5">
      <w:numFmt w:val="bullet"/>
      <w:lvlText w:val="□"/>
      <w:lvlJc w:val="left"/>
      <w:rPr>
        <w:rFonts w:ascii="OpenSymbol" w:hAnsi="OpenSymbol"/>
      </w:rPr>
    </w:lvl>
    <w:lvl w:ilvl="6">
      <w:numFmt w:val="bullet"/>
      <w:lvlText w:val="☑"/>
      <w:lvlJc w:val="left"/>
      <w:rPr>
        <w:rFonts w:ascii="OpenSymbol" w:hAnsi="OpenSymbol"/>
      </w:rPr>
    </w:lvl>
    <w:lvl w:ilvl="7">
      <w:numFmt w:val="bullet"/>
      <w:lvlText w:val="□"/>
      <w:lvlJc w:val="left"/>
      <w:rPr>
        <w:rFonts w:ascii="OpenSymbol" w:hAnsi="OpenSymbol"/>
      </w:rPr>
    </w:lvl>
    <w:lvl w:ilvl="8">
      <w:numFmt w:val="bullet"/>
      <w:lvlText w:val="☑"/>
      <w:lvlJc w:val="left"/>
      <w:rPr>
        <w:rFonts w:ascii="OpenSymbol" w:hAnsi="OpenSymbol"/>
      </w:rPr>
    </w:lvl>
  </w:abstractNum>
  <w:abstractNum w:abstractNumId="3" w15:restartNumberingAfterBreak="0">
    <w:nsid w:val="1FC27A6E"/>
    <w:multiLevelType w:val="multilevel"/>
    <w:tmpl w:val="A432A4C4"/>
    <w:styleLink w:val="WWOutlineListStyle"/>
    <w:lvl w:ilvl="0">
      <w:start w:val="1"/>
      <w:numFmt w:val="decimal"/>
      <w:pStyle w:val="Titre1"/>
      <w:lvlText w:val="Article %1 - "/>
      <w:lvlJc w:val="left"/>
    </w:lvl>
    <w:lvl w:ilvl="1">
      <w:start w:val="1"/>
      <w:numFmt w:val="decimal"/>
      <w:pStyle w:val="Titre2"/>
      <w:lvlText w:val="%1.%2 "/>
      <w:lvlJc w:val="left"/>
    </w:lvl>
    <w:lvl w:ilvl="2">
      <w:start w:val="1"/>
      <w:numFmt w:val="decimal"/>
      <w:pStyle w:val="Titre3"/>
      <w:lvlText w:val="%1.%2.%3 "/>
      <w:lvlJc w:val="left"/>
    </w:lvl>
    <w:lvl w:ilvl="3">
      <w:start w:val="1"/>
      <w:numFmt w:val="lowerLetter"/>
      <w:pStyle w:val="Titre4"/>
      <w:lvlText w:val="%1.%2.%3.%4 "/>
      <w:lvlJc w:val="left"/>
    </w:lvl>
    <w:lvl w:ilvl="4">
      <w:start w:val="1"/>
      <w:numFmt w:val="upperRoman"/>
      <w:pStyle w:val="Titre5"/>
      <w:lvlText w:val="%1.%2.%3.%4.%5 "/>
      <w:lvlJc w:val="left"/>
    </w:lvl>
    <w:lvl w:ilvl="5">
      <w:start w:val="1"/>
      <w:numFmt w:val="lowerRoman"/>
      <w:pStyle w:val="Titre6"/>
      <w:lvlText w:val="%1.%2.%3.%4.%5.%6 "/>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210D3170"/>
    <w:multiLevelType w:val="hybridMultilevel"/>
    <w:tmpl w:val="B56C78A2"/>
    <w:lvl w:ilvl="0" w:tplc="D4B4AD62">
      <w:numFmt w:val="bullet"/>
      <w:lvlText w:val="-"/>
      <w:lvlJc w:val="left"/>
      <w:pPr>
        <w:ind w:left="360" w:hanging="360"/>
      </w:pPr>
      <w:rPr>
        <w:rFonts w:ascii="Arial" w:eastAsia="Andale Sans U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2C5D1692"/>
    <w:multiLevelType w:val="multilevel"/>
    <w:tmpl w:val="3D14A478"/>
    <w:styleLink w:val="Liste51"/>
    <w:lvl w:ilvl="0">
      <w:numFmt w:val="bullet"/>
      <w:lvlText w:val="✗"/>
      <w:lvlJc w:val="left"/>
      <w:rPr>
        <w:rFonts w:ascii="OpenSymbol" w:hAnsi="OpenSymbol"/>
      </w:rPr>
    </w:lvl>
    <w:lvl w:ilvl="1">
      <w:numFmt w:val="bullet"/>
      <w:lvlText w:val="✗"/>
      <w:lvlJc w:val="left"/>
      <w:rPr>
        <w:rFonts w:ascii="OpenSymbol" w:hAnsi="OpenSymbol"/>
      </w:rPr>
    </w:lvl>
    <w:lvl w:ilvl="2">
      <w:numFmt w:val="bullet"/>
      <w:lvlText w:val="✗"/>
      <w:lvlJc w:val="left"/>
      <w:rPr>
        <w:rFonts w:ascii="OpenSymbol" w:hAnsi="OpenSymbol"/>
      </w:rPr>
    </w:lvl>
    <w:lvl w:ilvl="3">
      <w:numFmt w:val="bullet"/>
      <w:lvlText w:val="✗"/>
      <w:lvlJc w:val="left"/>
      <w:rPr>
        <w:rFonts w:ascii="OpenSymbol" w:hAnsi="OpenSymbol"/>
      </w:rPr>
    </w:lvl>
    <w:lvl w:ilvl="4">
      <w:numFmt w:val="bullet"/>
      <w:lvlText w:val="✗"/>
      <w:lvlJc w:val="left"/>
      <w:rPr>
        <w:rFonts w:ascii="OpenSymbol" w:hAnsi="OpenSymbol"/>
      </w:rPr>
    </w:lvl>
    <w:lvl w:ilvl="5">
      <w:numFmt w:val="bullet"/>
      <w:lvlText w:val="✗"/>
      <w:lvlJc w:val="left"/>
      <w:rPr>
        <w:rFonts w:ascii="OpenSymbol" w:hAnsi="OpenSymbol"/>
      </w:rPr>
    </w:lvl>
    <w:lvl w:ilvl="6">
      <w:numFmt w:val="bullet"/>
      <w:lvlText w:val="✗"/>
      <w:lvlJc w:val="left"/>
      <w:rPr>
        <w:rFonts w:ascii="OpenSymbol" w:hAnsi="OpenSymbol"/>
      </w:rPr>
    </w:lvl>
    <w:lvl w:ilvl="7">
      <w:numFmt w:val="bullet"/>
      <w:lvlText w:val="✗"/>
      <w:lvlJc w:val="left"/>
      <w:rPr>
        <w:rFonts w:ascii="OpenSymbol" w:hAnsi="OpenSymbol"/>
      </w:rPr>
    </w:lvl>
    <w:lvl w:ilvl="8">
      <w:numFmt w:val="bullet"/>
      <w:lvlText w:val="✗"/>
      <w:lvlJc w:val="left"/>
      <w:rPr>
        <w:rFonts w:ascii="OpenSymbol" w:hAnsi="OpenSymbol"/>
      </w:rPr>
    </w:lvl>
  </w:abstractNum>
  <w:abstractNum w:abstractNumId="6" w15:restartNumberingAfterBreak="0">
    <w:nsid w:val="3F1C49BB"/>
    <w:multiLevelType w:val="multilevel"/>
    <w:tmpl w:val="B93844E0"/>
    <w:styleLink w:val="List1"/>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7" w15:restartNumberingAfterBreak="0">
    <w:nsid w:val="41C26E6C"/>
    <w:multiLevelType w:val="hybridMultilevel"/>
    <w:tmpl w:val="7AC8BF56"/>
    <w:lvl w:ilvl="0" w:tplc="3EFE0000">
      <w:numFmt w:val="bullet"/>
      <w:lvlText w:val="-"/>
      <w:lvlJc w:val="left"/>
      <w:pPr>
        <w:ind w:left="720" w:hanging="360"/>
      </w:pPr>
      <w:rPr>
        <w:rFonts w:ascii="Arial" w:eastAsia="Andale Sans U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7BF201B"/>
    <w:multiLevelType w:val="multilevel"/>
    <w:tmpl w:val="BE16EEDC"/>
    <w:lvl w:ilvl="0">
      <w:start w:val="1"/>
      <w:numFmt w:val="upperRoman"/>
      <w:pStyle w:val="Annexes"/>
      <w:lvlText w:val="Annexe %1."/>
      <w:lvlJc w:val="left"/>
      <w:pPr>
        <w:tabs>
          <w:tab w:val="num" w:pos="1800"/>
        </w:tabs>
        <w:ind w:left="567" w:hanging="567"/>
      </w:pPr>
    </w:lvl>
    <w:lvl w:ilvl="1">
      <w:start w:val="1"/>
      <w:numFmt w:val="decimal"/>
      <w:lvlText w:val="%1.%2."/>
      <w:lvlJc w:val="left"/>
      <w:pPr>
        <w:tabs>
          <w:tab w:val="num" w:pos="0"/>
        </w:tabs>
        <w:ind w:left="1134" w:hanging="567"/>
      </w:pPr>
    </w:lvl>
    <w:lvl w:ilvl="2">
      <w:start w:val="1"/>
      <w:numFmt w:val="decimal"/>
      <w:lvlText w:val="%1.%2.%3."/>
      <w:lvlJc w:val="left"/>
      <w:pPr>
        <w:tabs>
          <w:tab w:val="num" w:pos="0"/>
        </w:tabs>
        <w:ind w:left="1701" w:hanging="567"/>
      </w:pPr>
    </w:lvl>
    <w:lvl w:ilvl="3">
      <w:start w:val="1"/>
      <w:numFmt w:val="upperLetter"/>
      <w:lvlText w:val="%4."/>
      <w:lvlJc w:val="left"/>
      <w:pPr>
        <w:tabs>
          <w:tab w:val="num" w:pos="0"/>
        </w:tabs>
        <w:ind w:left="1985" w:hanging="284"/>
      </w:pPr>
    </w:lvl>
    <w:lvl w:ilvl="4">
      <w:start w:val="1"/>
      <w:numFmt w:val="decimal"/>
      <w:lvlText w:val="%4.%5."/>
      <w:lvlJc w:val="left"/>
      <w:pPr>
        <w:tabs>
          <w:tab w:val="num" w:pos="0"/>
        </w:tabs>
        <w:ind w:left="2693" w:hanging="708"/>
      </w:pPr>
    </w:lvl>
    <w:lvl w:ilvl="5">
      <w:start w:val="1"/>
      <w:numFmt w:val="decimal"/>
      <w:lvlText w:val="%4.%5.%6."/>
      <w:lvlJc w:val="left"/>
      <w:pPr>
        <w:tabs>
          <w:tab w:val="num" w:pos="0"/>
        </w:tabs>
        <w:ind w:left="3401" w:hanging="708"/>
      </w:pPr>
    </w:lvl>
    <w:lvl w:ilvl="6">
      <w:start w:val="1"/>
      <w:numFmt w:val="decimal"/>
      <w:lvlText w:val="%4.%5.%6.%7."/>
      <w:lvlJc w:val="left"/>
      <w:pPr>
        <w:tabs>
          <w:tab w:val="num" w:pos="0"/>
        </w:tabs>
        <w:ind w:left="4109" w:hanging="708"/>
      </w:pPr>
    </w:lvl>
    <w:lvl w:ilvl="7">
      <w:start w:val="1"/>
      <w:numFmt w:val="decimal"/>
      <w:lvlText w:val="%4.%5.%6.%7.%8."/>
      <w:lvlJc w:val="left"/>
      <w:pPr>
        <w:tabs>
          <w:tab w:val="num" w:pos="0"/>
        </w:tabs>
        <w:ind w:left="4817" w:hanging="708"/>
      </w:pPr>
    </w:lvl>
    <w:lvl w:ilvl="8">
      <w:start w:val="1"/>
      <w:numFmt w:val="decimal"/>
      <w:lvlText w:val="%4.%5.%6.%7.%8.%9."/>
      <w:lvlJc w:val="left"/>
      <w:pPr>
        <w:tabs>
          <w:tab w:val="num" w:pos="0"/>
        </w:tabs>
        <w:ind w:left="5525" w:hanging="708"/>
      </w:pPr>
    </w:lvl>
  </w:abstractNum>
  <w:abstractNum w:abstractNumId="9" w15:restartNumberingAfterBreak="0">
    <w:nsid w:val="47E429B7"/>
    <w:multiLevelType w:val="multilevel"/>
    <w:tmpl w:val="25B86116"/>
    <w:styleLink w:val="Numbering2"/>
    <w:lvl w:ilvl="0">
      <w:start w:val="1"/>
      <w:numFmt w:val="decimal"/>
      <w:lvlText w:val="%1"/>
      <w:lvlJc w:val="left"/>
    </w:lvl>
    <w:lvl w:ilvl="1">
      <w:start w:val="2"/>
      <w:numFmt w:val="decimal"/>
      <w:lvlText w:val="%2"/>
      <w:lvlJc w:val="left"/>
    </w:lvl>
    <w:lvl w:ilvl="2">
      <w:start w:val="3"/>
      <w:numFmt w:val="decimal"/>
      <w:lvlText w:val="%3"/>
      <w:lvlJc w:val="left"/>
    </w:lvl>
    <w:lvl w:ilvl="3">
      <w:start w:val="4"/>
      <w:numFmt w:val="decimal"/>
      <w:lvlText w:val="%4"/>
      <w:lvlJc w:val="left"/>
    </w:lvl>
    <w:lvl w:ilvl="4">
      <w:start w:val="5"/>
      <w:numFmt w:val="decimal"/>
      <w:lvlText w:val="%5"/>
      <w:lvlJc w:val="left"/>
    </w:lvl>
    <w:lvl w:ilvl="5">
      <w:start w:val="6"/>
      <w:numFmt w:val="decimal"/>
      <w:lvlText w:val="%6"/>
      <w:lvlJc w:val="left"/>
    </w:lvl>
    <w:lvl w:ilvl="6">
      <w:start w:val="7"/>
      <w:numFmt w:val="decimal"/>
      <w:lvlText w:val="%7"/>
      <w:lvlJc w:val="left"/>
    </w:lvl>
    <w:lvl w:ilvl="7">
      <w:start w:val="8"/>
      <w:numFmt w:val="decimal"/>
      <w:lvlText w:val="%8"/>
      <w:lvlJc w:val="left"/>
    </w:lvl>
    <w:lvl w:ilvl="8">
      <w:start w:val="9"/>
      <w:numFmt w:val="decimal"/>
      <w:lvlText w:val="%9"/>
      <w:lvlJc w:val="left"/>
    </w:lvl>
  </w:abstractNum>
  <w:abstractNum w:abstractNumId="10" w15:restartNumberingAfterBreak="0">
    <w:nsid w:val="58FA2C05"/>
    <w:multiLevelType w:val="hybridMultilevel"/>
    <w:tmpl w:val="3A229764"/>
    <w:lvl w:ilvl="0" w:tplc="D4B4AD62">
      <w:numFmt w:val="bullet"/>
      <w:lvlText w:val="-"/>
      <w:lvlJc w:val="left"/>
      <w:pPr>
        <w:ind w:left="360" w:hanging="360"/>
      </w:pPr>
      <w:rPr>
        <w:rFonts w:ascii="Arial" w:eastAsia="Andale Sans U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605C7DCC"/>
    <w:multiLevelType w:val="multilevel"/>
    <w:tmpl w:val="A23ED5A8"/>
    <w:styleLink w:val="Liste21"/>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2" w15:restartNumberingAfterBreak="0">
    <w:nsid w:val="66D95FEC"/>
    <w:multiLevelType w:val="multilevel"/>
    <w:tmpl w:val="60EA69B4"/>
    <w:styleLink w:val="Numbering5"/>
    <w:lvl w:ilvl="0">
      <w:start w:val="1"/>
      <w:numFmt w:val="decimal"/>
      <w:lvlText w:val="%1."/>
      <w:lvlJc w:val="left"/>
    </w:lvl>
    <w:lvl w:ilvl="1">
      <w:start w:val="2"/>
      <w:numFmt w:val="decimal"/>
      <w:lvlText w:val="%1.%2."/>
      <w:lvlJc w:val="left"/>
    </w:lvl>
    <w:lvl w:ilvl="2">
      <w:start w:val="3"/>
      <w:numFmt w:val="lowerLetter"/>
      <w:lvlText w:val="%3)"/>
      <w:lvlJc w:val="left"/>
    </w:lvl>
    <w:lvl w:ilvl="3">
      <w:numFmt w:val="bullet"/>
      <w:lvlText w:val="•"/>
      <w:lvlJc w:val="left"/>
      <w:rPr>
        <w:rFonts w:ascii="OpenSymbol" w:hAnsi="OpenSymbol"/>
      </w:rPr>
    </w:lvl>
    <w:lvl w:ilvl="4">
      <w:numFmt w:val="bullet"/>
      <w:lvlText w:val="•"/>
      <w:lvlJc w:val="left"/>
      <w:rPr>
        <w:rFonts w:ascii="OpenSymbol" w:hAnsi="OpenSymbol"/>
      </w:rPr>
    </w:lvl>
    <w:lvl w:ilvl="5">
      <w:numFmt w:val="bullet"/>
      <w:lvlText w:val="•"/>
      <w:lvlJc w:val="left"/>
      <w:rPr>
        <w:rFonts w:ascii="OpenSymbol" w:hAnsi="OpenSymbol"/>
      </w:rPr>
    </w:lvl>
    <w:lvl w:ilvl="6">
      <w:numFmt w:val="bullet"/>
      <w:lvlText w:val="•"/>
      <w:lvlJc w:val="left"/>
      <w:rPr>
        <w:rFonts w:ascii="OpenSymbol" w:hAnsi="OpenSymbol"/>
      </w:rPr>
    </w:lvl>
    <w:lvl w:ilvl="7">
      <w:numFmt w:val="bullet"/>
      <w:lvlText w:val="•"/>
      <w:lvlJc w:val="left"/>
      <w:rPr>
        <w:rFonts w:ascii="OpenSymbol" w:hAnsi="OpenSymbol"/>
      </w:rPr>
    </w:lvl>
    <w:lvl w:ilvl="8">
      <w:numFmt w:val="bullet"/>
      <w:lvlText w:val="•"/>
      <w:lvlJc w:val="left"/>
      <w:rPr>
        <w:rFonts w:ascii="OpenSymbol" w:hAnsi="OpenSymbol"/>
      </w:rPr>
    </w:lvl>
  </w:abstractNum>
  <w:abstractNum w:abstractNumId="13" w15:restartNumberingAfterBreak="0">
    <w:nsid w:val="6E8E7D1D"/>
    <w:multiLevelType w:val="multilevel"/>
    <w:tmpl w:val="31D2A5F2"/>
    <w:styleLink w:val="Numbering3"/>
    <w:lvl w:ilvl="0">
      <w:start w:val="1"/>
      <w:numFmt w:val="decimal"/>
      <w:lvlText w:val="%1"/>
      <w:lvlJc w:val="left"/>
    </w:lvl>
    <w:lvl w:ilvl="1">
      <w:start w:val="2"/>
      <w:numFmt w:val="decimal"/>
      <w:lvlText w:val="%2"/>
      <w:lvlJc w:val="left"/>
    </w:lvl>
    <w:lvl w:ilvl="2">
      <w:start w:val="3"/>
      <w:numFmt w:val="decimal"/>
      <w:lvlText w:val="%3"/>
      <w:lvlJc w:val="left"/>
    </w:lvl>
    <w:lvl w:ilvl="3">
      <w:start w:val="4"/>
      <w:numFmt w:val="decimal"/>
      <w:lvlText w:val="%4"/>
      <w:lvlJc w:val="left"/>
    </w:lvl>
    <w:lvl w:ilvl="4">
      <w:start w:val="5"/>
      <w:numFmt w:val="decimal"/>
      <w:lvlText w:val="%5"/>
      <w:lvlJc w:val="left"/>
    </w:lvl>
    <w:lvl w:ilvl="5">
      <w:start w:val="6"/>
      <w:numFmt w:val="decimal"/>
      <w:lvlText w:val="%6"/>
      <w:lvlJc w:val="left"/>
    </w:lvl>
    <w:lvl w:ilvl="6">
      <w:start w:val="7"/>
      <w:numFmt w:val="decimal"/>
      <w:lvlText w:val="%7"/>
      <w:lvlJc w:val="left"/>
    </w:lvl>
    <w:lvl w:ilvl="7">
      <w:start w:val="8"/>
      <w:numFmt w:val="decimal"/>
      <w:lvlText w:val="%8"/>
      <w:lvlJc w:val="left"/>
    </w:lvl>
    <w:lvl w:ilvl="8">
      <w:start w:val="9"/>
      <w:numFmt w:val="decimal"/>
      <w:lvlText w:val="%9"/>
      <w:lvlJc w:val="left"/>
    </w:lvl>
  </w:abstractNum>
  <w:abstractNum w:abstractNumId="14" w15:restartNumberingAfterBreak="0">
    <w:nsid w:val="73444611"/>
    <w:multiLevelType w:val="multilevel"/>
    <w:tmpl w:val="72D01D0C"/>
    <w:styleLink w:val="Numbering4"/>
    <w:lvl w:ilvl="0">
      <w:start w:val="1"/>
      <w:numFmt w:val="upperRoman"/>
      <w:lvlText w:val="%1."/>
      <w:lvlJc w:val="left"/>
    </w:lvl>
    <w:lvl w:ilvl="1">
      <w:start w:val="2"/>
      <w:numFmt w:val="upperRoman"/>
      <w:lvlText w:val="%2."/>
      <w:lvlJc w:val="left"/>
    </w:lvl>
    <w:lvl w:ilvl="2">
      <w:start w:val="3"/>
      <w:numFmt w:val="upperRoman"/>
      <w:lvlText w:val="%3."/>
      <w:lvlJc w:val="left"/>
    </w:lvl>
    <w:lvl w:ilvl="3">
      <w:start w:val="4"/>
      <w:numFmt w:val="upperRoman"/>
      <w:lvlText w:val="%4."/>
      <w:lvlJc w:val="left"/>
    </w:lvl>
    <w:lvl w:ilvl="4">
      <w:start w:val="5"/>
      <w:numFmt w:val="upperRoman"/>
      <w:lvlText w:val="%5."/>
      <w:lvlJc w:val="left"/>
    </w:lvl>
    <w:lvl w:ilvl="5">
      <w:start w:val="6"/>
      <w:numFmt w:val="upperRoman"/>
      <w:lvlText w:val="%6."/>
      <w:lvlJc w:val="left"/>
    </w:lvl>
    <w:lvl w:ilvl="6">
      <w:start w:val="7"/>
      <w:numFmt w:val="upperRoman"/>
      <w:lvlText w:val="%7."/>
      <w:lvlJc w:val="left"/>
    </w:lvl>
    <w:lvl w:ilvl="7">
      <w:start w:val="8"/>
      <w:numFmt w:val="upperRoman"/>
      <w:lvlText w:val="%8."/>
      <w:lvlJc w:val="left"/>
    </w:lvl>
    <w:lvl w:ilvl="8">
      <w:start w:val="9"/>
      <w:numFmt w:val="upperRoman"/>
      <w:lvlText w:val="%9."/>
      <w:lvlJc w:val="left"/>
    </w:lvl>
  </w:abstractNum>
  <w:abstractNum w:abstractNumId="15" w15:restartNumberingAfterBreak="0">
    <w:nsid w:val="769170E7"/>
    <w:multiLevelType w:val="multilevel"/>
    <w:tmpl w:val="195090A4"/>
    <w:styleLink w:val="Numbering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 w15:restartNumberingAfterBreak="0">
    <w:nsid w:val="76F85E74"/>
    <w:multiLevelType w:val="hybridMultilevel"/>
    <w:tmpl w:val="CAEE8CF6"/>
    <w:lvl w:ilvl="0" w:tplc="FB826354">
      <w:numFmt w:val="bullet"/>
      <w:lvlText w:val="-"/>
      <w:lvlJc w:val="left"/>
      <w:pPr>
        <w:ind w:left="360" w:hanging="360"/>
      </w:pPr>
      <w:rPr>
        <w:rFonts w:ascii="Arial" w:eastAsia="Andale Sans UI" w:hAnsi="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7AF140E3"/>
    <w:multiLevelType w:val="multilevel"/>
    <w:tmpl w:val="313C31C6"/>
    <w:styleLink w:val="RTFNum4"/>
    <w:lvl w:ilvl="0">
      <w:numFmt w:val="bullet"/>
      <w:lvlText w:val=""/>
      <w:lvlJc w:val="left"/>
      <w:pPr>
        <w:ind w:left="720" w:hanging="360"/>
      </w:pPr>
      <w:rPr>
        <w:rFonts w:ascii="Wingdings" w:eastAsia="Wingdings" w:hAnsi="Wingdings" w:cs="Wingdings"/>
        <w:sz w:val="20"/>
        <w:szCs w:val="20"/>
      </w:rPr>
    </w:lvl>
    <w:lvl w:ilvl="1">
      <w:numFmt w:val="bullet"/>
      <w:lvlText w:val="o"/>
      <w:lvlJc w:val="left"/>
      <w:pPr>
        <w:ind w:left="1800" w:hanging="360"/>
      </w:pPr>
      <w:rPr>
        <w:rFonts w:ascii="Courier New" w:eastAsia="Courier New" w:hAnsi="Courier New" w:cs="Courier New"/>
      </w:rPr>
    </w:lvl>
    <w:lvl w:ilvl="2">
      <w:numFmt w:val="bullet"/>
      <w:lvlText w:val=""/>
      <w:lvlJc w:val="left"/>
      <w:pPr>
        <w:ind w:left="2520" w:hanging="360"/>
      </w:pPr>
      <w:rPr>
        <w:rFonts w:ascii="Wingdings" w:eastAsia="Wingdings" w:hAnsi="Wingdings" w:cs="Wingdings"/>
      </w:rPr>
    </w:lvl>
    <w:lvl w:ilvl="3">
      <w:numFmt w:val="bullet"/>
      <w:lvlText w:val=""/>
      <w:lvlJc w:val="left"/>
      <w:pPr>
        <w:ind w:left="3240" w:hanging="360"/>
      </w:pPr>
      <w:rPr>
        <w:rFonts w:ascii="Symbol" w:eastAsia="Symbol" w:hAnsi="Symbol" w:cs="Symbol"/>
      </w:rPr>
    </w:lvl>
    <w:lvl w:ilvl="4">
      <w:numFmt w:val="bullet"/>
      <w:lvlText w:val="o"/>
      <w:lvlJc w:val="left"/>
      <w:pPr>
        <w:ind w:left="3960" w:hanging="360"/>
      </w:pPr>
      <w:rPr>
        <w:rFonts w:ascii="Courier New" w:eastAsia="Courier New" w:hAnsi="Courier New" w:cs="Courier New"/>
      </w:rPr>
    </w:lvl>
    <w:lvl w:ilvl="5">
      <w:numFmt w:val="bullet"/>
      <w:lvlText w:val=""/>
      <w:lvlJc w:val="left"/>
      <w:pPr>
        <w:ind w:left="4680" w:hanging="360"/>
      </w:pPr>
      <w:rPr>
        <w:rFonts w:ascii="Wingdings" w:eastAsia="Wingdings" w:hAnsi="Wingdings" w:cs="Wingdings"/>
      </w:rPr>
    </w:lvl>
    <w:lvl w:ilvl="6">
      <w:numFmt w:val="bullet"/>
      <w:lvlText w:val=""/>
      <w:lvlJc w:val="left"/>
      <w:pPr>
        <w:ind w:left="5400" w:hanging="360"/>
      </w:pPr>
      <w:rPr>
        <w:rFonts w:ascii="Symbol" w:eastAsia="Symbol" w:hAnsi="Symbol" w:cs="Symbol"/>
      </w:rPr>
    </w:lvl>
    <w:lvl w:ilvl="7">
      <w:numFmt w:val="bullet"/>
      <w:lvlText w:val="o"/>
      <w:lvlJc w:val="left"/>
      <w:pPr>
        <w:ind w:left="6120" w:hanging="360"/>
      </w:pPr>
      <w:rPr>
        <w:rFonts w:ascii="Courier New" w:eastAsia="Courier New" w:hAnsi="Courier New" w:cs="Courier New"/>
      </w:rPr>
    </w:lvl>
    <w:lvl w:ilvl="8">
      <w:numFmt w:val="bullet"/>
      <w:lvlText w:val=""/>
      <w:lvlJc w:val="left"/>
      <w:pPr>
        <w:ind w:left="6840" w:hanging="360"/>
      </w:pPr>
      <w:rPr>
        <w:rFonts w:ascii="Wingdings" w:eastAsia="Wingdings" w:hAnsi="Wingdings" w:cs="Wingdings"/>
      </w:rPr>
    </w:lvl>
  </w:abstractNum>
  <w:abstractNum w:abstractNumId="18" w15:restartNumberingAfterBreak="0">
    <w:nsid w:val="7BB92EE5"/>
    <w:multiLevelType w:val="multilevel"/>
    <w:tmpl w:val="9BA81682"/>
    <w:styleLink w:val="RTFNum2"/>
    <w:lvl w:ilvl="0">
      <w:numFmt w:val="bullet"/>
      <w:lvlText w:val=""/>
      <w:lvlJc w:val="left"/>
      <w:pPr>
        <w:ind w:left="360" w:hanging="360"/>
      </w:pPr>
      <w:rPr>
        <w:rFonts w:ascii="Wingdings" w:eastAsia="Wingdings" w:hAnsi="Wingdings" w:cs="Wingdings"/>
      </w:rPr>
    </w:lvl>
    <w:lvl w:ilvl="1">
      <w:numFmt w:val="bullet"/>
      <w:lvlText w:val=""/>
      <w:lvlJc w:val="left"/>
      <w:pPr>
        <w:ind w:left="720" w:hanging="360"/>
      </w:pPr>
      <w:rPr>
        <w:rFonts w:ascii="Wingdings" w:eastAsia="Wingdings" w:hAnsi="Wingdings" w:cs="Wingdings"/>
      </w:rPr>
    </w:lvl>
    <w:lvl w:ilvl="2">
      <w:numFmt w:val="bullet"/>
      <w:lvlText w:val=""/>
      <w:lvlJc w:val="left"/>
      <w:pPr>
        <w:ind w:left="1080" w:hanging="360"/>
      </w:pPr>
      <w:rPr>
        <w:rFonts w:ascii="Wingdings" w:eastAsia="Wingdings" w:hAnsi="Wingdings" w:cs="Wingdings"/>
      </w:rPr>
    </w:lvl>
    <w:lvl w:ilvl="3">
      <w:numFmt w:val="bullet"/>
      <w:lvlText w:val=""/>
      <w:lvlJc w:val="left"/>
      <w:pPr>
        <w:ind w:left="1440" w:hanging="360"/>
      </w:pPr>
      <w:rPr>
        <w:rFonts w:ascii="Wingdings" w:eastAsia="Wingdings" w:hAnsi="Wingdings" w:cs="Wingdings"/>
      </w:rPr>
    </w:lvl>
    <w:lvl w:ilvl="4">
      <w:numFmt w:val="bullet"/>
      <w:lvlText w:val=""/>
      <w:lvlJc w:val="left"/>
      <w:pPr>
        <w:ind w:left="1800" w:hanging="360"/>
      </w:pPr>
      <w:rPr>
        <w:rFonts w:ascii="Wingdings" w:eastAsia="Wingdings" w:hAnsi="Wingdings" w:cs="Wingdings"/>
      </w:rPr>
    </w:lvl>
    <w:lvl w:ilvl="5">
      <w:numFmt w:val="bullet"/>
      <w:lvlText w:val=""/>
      <w:lvlJc w:val="left"/>
      <w:pPr>
        <w:ind w:left="2160" w:hanging="360"/>
      </w:pPr>
      <w:rPr>
        <w:rFonts w:ascii="Wingdings" w:eastAsia="Wingdings" w:hAnsi="Wingdings" w:cs="Wingdings"/>
      </w:rPr>
    </w:lvl>
    <w:lvl w:ilvl="6">
      <w:numFmt w:val="bullet"/>
      <w:lvlText w:val=""/>
      <w:lvlJc w:val="left"/>
      <w:pPr>
        <w:ind w:left="2520" w:hanging="360"/>
      </w:pPr>
      <w:rPr>
        <w:rFonts w:ascii="Wingdings" w:eastAsia="Wingdings" w:hAnsi="Wingdings" w:cs="Wingdings"/>
      </w:rPr>
    </w:lvl>
    <w:lvl w:ilvl="7">
      <w:numFmt w:val="bullet"/>
      <w:lvlText w:val=""/>
      <w:lvlJc w:val="left"/>
      <w:pPr>
        <w:ind w:left="2880" w:hanging="360"/>
      </w:pPr>
      <w:rPr>
        <w:rFonts w:ascii="Wingdings" w:eastAsia="Wingdings" w:hAnsi="Wingdings" w:cs="Wingdings"/>
      </w:rPr>
    </w:lvl>
    <w:lvl w:ilvl="8">
      <w:numFmt w:val="bullet"/>
      <w:lvlText w:val=""/>
      <w:lvlJc w:val="left"/>
      <w:pPr>
        <w:ind w:left="3240" w:hanging="360"/>
      </w:pPr>
      <w:rPr>
        <w:rFonts w:ascii="Wingdings" w:eastAsia="Wingdings" w:hAnsi="Wingdings" w:cs="Wingdings"/>
      </w:rPr>
    </w:lvl>
  </w:abstractNum>
  <w:abstractNum w:abstractNumId="19" w15:restartNumberingAfterBreak="0">
    <w:nsid w:val="7C1163A4"/>
    <w:multiLevelType w:val="multilevel"/>
    <w:tmpl w:val="8F18F98C"/>
    <w:styleLink w:val="RTFNum3"/>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3"/>
    <w:lvlOverride w:ilvl="0">
      <w:lvl w:ilvl="0">
        <w:start w:val="1"/>
        <w:numFmt w:val="decimal"/>
        <w:pStyle w:val="Titre1"/>
        <w:lvlText w:val="Article %1 - "/>
        <w:lvlJc w:val="left"/>
      </w:lvl>
    </w:lvlOverride>
    <w:lvlOverride w:ilvl="1">
      <w:lvl w:ilvl="1">
        <w:start w:val="1"/>
        <w:numFmt w:val="decimal"/>
        <w:pStyle w:val="Titre2"/>
        <w:lvlText w:val="%1.%2 "/>
        <w:lvlJc w:val="left"/>
      </w:lvl>
    </w:lvlOverride>
    <w:lvlOverride w:ilvl="2">
      <w:lvl w:ilvl="2">
        <w:start w:val="1"/>
        <w:numFmt w:val="decimal"/>
        <w:pStyle w:val="Titre3"/>
        <w:lvlText w:val="%1.%2.%3 "/>
        <w:lvlJc w:val="left"/>
      </w:lvl>
    </w:lvlOverride>
    <w:lvlOverride w:ilvl="3">
      <w:lvl w:ilvl="3">
        <w:start w:val="1"/>
        <w:numFmt w:val="lowerLetter"/>
        <w:pStyle w:val="Titre4"/>
        <w:lvlText w:val="%1.%2.%3.%4 "/>
        <w:lvlJc w:val="left"/>
      </w:lvl>
    </w:lvlOverride>
    <w:lvlOverride w:ilvl="4">
      <w:lvl w:ilvl="4">
        <w:start w:val="1"/>
        <w:numFmt w:val="upperRoman"/>
        <w:pStyle w:val="Titre5"/>
        <w:lvlText w:val="%1.%2.%3.%4.%5 "/>
        <w:lvlJc w:val="left"/>
      </w:lvl>
    </w:lvlOverride>
    <w:lvlOverride w:ilvl="5">
      <w:lvl w:ilvl="5">
        <w:start w:val="1"/>
        <w:numFmt w:val="lowerRoman"/>
        <w:pStyle w:val="Titre6"/>
        <w:lvlText w:val="%1.%2.%3.%4.%5.%6 "/>
        <w:lvlJc w:val="left"/>
      </w:lvl>
    </w:lvlOverride>
    <w:lvlOverride w:ilvl="6">
      <w:lvl w:ilvl="6">
        <w:start w:val="1"/>
        <w:numFmt w:val="none"/>
        <w:lvlText w:val="%7"/>
        <w:lvlJc w:val="left"/>
      </w:lvl>
    </w:lvlOverride>
    <w:lvlOverride w:ilvl="7">
      <w:lvl w:ilvl="7">
        <w:start w:val="1"/>
        <w:numFmt w:val="none"/>
        <w:lvlText w:val="%8"/>
        <w:lvlJc w:val="left"/>
      </w:lvl>
    </w:lvlOverride>
    <w:lvlOverride w:ilvl="8">
      <w:lvl w:ilvl="8">
        <w:start w:val="1"/>
        <w:numFmt w:val="none"/>
        <w:lvlText w:val="%9"/>
        <w:lvlJc w:val="left"/>
      </w:lvl>
    </w:lvlOverride>
  </w:num>
  <w:num w:numId="2">
    <w:abstractNumId w:val="15"/>
  </w:num>
  <w:num w:numId="3">
    <w:abstractNumId w:val="9"/>
  </w:num>
  <w:num w:numId="4">
    <w:abstractNumId w:val="13"/>
  </w:num>
  <w:num w:numId="5">
    <w:abstractNumId w:val="14"/>
  </w:num>
  <w:num w:numId="6">
    <w:abstractNumId w:val="12"/>
  </w:num>
  <w:num w:numId="7">
    <w:abstractNumId w:val="6"/>
  </w:num>
  <w:num w:numId="8">
    <w:abstractNumId w:val="11"/>
  </w:num>
  <w:num w:numId="9">
    <w:abstractNumId w:val="2"/>
  </w:num>
  <w:num w:numId="10">
    <w:abstractNumId w:val="1"/>
  </w:num>
  <w:num w:numId="11">
    <w:abstractNumId w:val="5"/>
  </w:num>
  <w:num w:numId="12">
    <w:abstractNumId w:val="18"/>
  </w:num>
  <w:num w:numId="13">
    <w:abstractNumId w:val="19"/>
  </w:num>
  <w:num w:numId="14">
    <w:abstractNumId w:val="17"/>
  </w:num>
  <w:num w:numId="15">
    <w:abstractNumId w:val="8"/>
  </w:num>
  <w:num w:numId="16">
    <w:abstractNumId w:val="10"/>
  </w:num>
  <w:num w:numId="17">
    <w:abstractNumId w:val="7"/>
  </w:num>
  <w:num w:numId="18">
    <w:abstractNumId w:val="4"/>
  </w:num>
  <w:num w:numId="19">
    <w:abstractNumId w:val="3"/>
  </w:num>
  <w:num w:numId="20">
    <w:abstractNumId w:val="16"/>
  </w:num>
  <w:num w:numId="21">
    <w:abstractNumId w:val="3"/>
    <w:lvlOverride w:ilvl="0">
      <w:lvl w:ilvl="0">
        <w:start w:val="1"/>
        <w:numFmt w:val="decimal"/>
        <w:pStyle w:val="Titre1"/>
        <w:lvlText w:val="Article %1 - "/>
        <w:lvlJc w:val="left"/>
        <w:rPr>
          <w:sz w:val="36"/>
          <w:szCs w:val="36"/>
        </w:rPr>
      </w:lvl>
    </w:lvlOverride>
    <w:lvlOverride w:ilvl="1">
      <w:lvl w:ilvl="1">
        <w:start w:val="1"/>
        <w:numFmt w:val="decimal"/>
        <w:pStyle w:val="Titre2"/>
        <w:lvlText w:val="%1.%2 "/>
        <w:lvlJc w:val="left"/>
      </w:lvl>
    </w:lvlOverride>
  </w:num>
  <w:num w:numId="22">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567"/>
  <w:autoHyphenation/>
  <w:hyphenationZone w:val="425"/>
  <w:characterSpacingControl w:val="doNotCompress"/>
  <w:hdrShapeDefaults>
    <o:shapedefaults v:ext="edit" spidmax="1761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4EC1"/>
    <w:rsid w:val="00000B28"/>
    <w:rsid w:val="00000DE3"/>
    <w:rsid w:val="0000583E"/>
    <w:rsid w:val="00005B5E"/>
    <w:rsid w:val="00005C4B"/>
    <w:rsid w:val="000079CC"/>
    <w:rsid w:val="00017BC9"/>
    <w:rsid w:val="0002230F"/>
    <w:rsid w:val="00022F92"/>
    <w:rsid w:val="0003316F"/>
    <w:rsid w:val="0003390A"/>
    <w:rsid w:val="00033B76"/>
    <w:rsid w:val="00034417"/>
    <w:rsid w:val="00037854"/>
    <w:rsid w:val="00042483"/>
    <w:rsid w:val="0004612A"/>
    <w:rsid w:val="000538DD"/>
    <w:rsid w:val="000540BB"/>
    <w:rsid w:val="00054C82"/>
    <w:rsid w:val="00060C3A"/>
    <w:rsid w:val="00062720"/>
    <w:rsid w:val="00062771"/>
    <w:rsid w:val="00063D02"/>
    <w:rsid w:val="00063DFA"/>
    <w:rsid w:val="00066021"/>
    <w:rsid w:val="00081708"/>
    <w:rsid w:val="00082AE3"/>
    <w:rsid w:val="00090B77"/>
    <w:rsid w:val="00090B97"/>
    <w:rsid w:val="00094BAF"/>
    <w:rsid w:val="000964BE"/>
    <w:rsid w:val="00096FF6"/>
    <w:rsid w:val="0009743F"/>
    <w:rsid w:val="000A3132"/>
    <w:rsid w:val="000A388C"/>
    <w:rsid w:val="000A6985"/>
    <w:rsid w:val="000A79C9"/>
    <w:rsid w:val="000B1061"/>
    <w:rsid w:val="000B1E10"/>
    <w:rsid w:val="000B59AD"/>
    <w:rsid w:val="000B7840"/>
    <w:rsid w:val="000C2105"/>
    <w:rsid w:val="000C3E3D"/>
    <w:rsid w:val="000C664E"/>
    <w:rsid w:val="000C7400"/>
    <w:rsid w:val="000D1180"/>
    <w:rsid w:val="000D49DA"/>
    <w:rsid w:val="000D4EC1"/>
    <w:rsid w:val="000D7FF9"/>
    <w:rsid w:val="000E2D84"/>
    <w:rsid w:val="000E403A"/>
    <w:rsid w:val="000E49B7"/>
    <w:rsid w:val="000E4D00"/>
    <w:rsid w:val="000E5099"/>
    <w:rsid w:val="000E587F"/>
    <w:rsid w:val="000E665B"/>
    <w:rsid w:val="000E7683"/>
    <w:rsid w:val="000F2C13"/>
    <w:rsid w:val="000F7B89"/>
    <w:rsid w:val="000F7D38"/>
    <w:rsid w:val="001001F1"/>
    <w:rsid w:val="00100B8B"/>
    <w:rsid w:val="00103528"/>
    <w:rsid w:val="00103AB8"/>
    <w:rsid w:val="00104B0D"/>
    <w:rsid w:val="00105A16"/>
    <w:rsid w:val="0011263B"/>
    <w:rsid w:val="0011368B"/>
    <w:rsid w:val="001145B9"/>
    <w:rsid w:val="00116B86"/>
    <w:rsid w:val="001179CB"/>
    <w:rsid w:val="00126B26"/>
    <w:rsid w:val="00126F4D"/>
    <w:rsid w:val="00130EE2"/>
    <w:rsid w:val="00133BF3"/>
    <w:rsid w:val="00133C8E"/>
    <w:rsid w:val="00134F1E"/>
    <w:rsid w:val="0013646A"/>
    <w:rsid w:val="00144A91"/>
    <w:rsid w:val="00144B03"/>
    <w:rsid w:val="00150700"/>
    <w:rsid w:val="00150B21"/>
    <w:rsid w:val="00153F8D"/>
    <w:rsid w:val="001551DA"/>
    <w:rsid w:val="001557CB"/>
    <w:rsid w:val="001606FE"/>
    <w:rsid w:val="00163976"/>
    <w:rsid w:val="00164483"/>
    <w:rsid w:val="0016645E"/>
    <w:rsid w:val="00170334"/>
    <w:rsid w:val="001710F5"/>
    <w:rsid w:val="0017459C"/>
    <w:rsid w:val="001770D9"/>
    <w:rsid w:val="001819C7"/>
    <w:rsid w:val="00184CFA"/>
    <w:rsid w:val="0018528A"/>
    <w:rsid w:val="00191C70"/>
    <w:rsid w:val="001952D4"/>
    <w:rsid w:val="001A3C4E"/>
    <w:rsid w:val="001A4520"/>
    <w:rsid w:val="001A4CF1"/>
    <w:rsid w:val="001A639D"/>
    <w:rsid w:val="001A75AA"/>
    <w:rsid w:val="001B37B8"/>
    <w:rsid w:val="001B443A"/>
    <w:rsid w:val="001B5C5A"/>
    <w:rsid w:val="001B66D6"/>
    <w:rsid w:val="001C1221"/>
    <w:rsid w:val="001C2707"/>
    <w:rsid w:val="001C4FDF"/>
    <w:rsid w:val="001C5577"/>
    <w:rsid w:val="001C55E9"/>
    <w:rsid w:val="001C6D9E"/>
    <w:rsid w:val="001D2392"/>
    <w:rsid w:val="001D2A28"/>
    <w:rsid w:val="001D320B"/>
    <w:rsid w:val="001D3A3B"/>
    <w:rsid w:val="001E1E75"/>
    <w:rsid w:val="001E2954"/>
    <w:rsid w:val="001E2FC3"/>
    <w:rsid w:val="001F1E07"/>
    <w:rsid w:val="001F78EB"/>
    <w:rsid w:val="002031F4"/>
    <w:rsid w:val="00203873"/>
    <w:rsid w:val="00204DD9"/>
    <w:rsid w:val="00205E2C"/>
    <w:rsid w:val="002061D0"/>
    <w:rsid w:val="00207FDD"/>
    <w:rsid w:val="00210272"/>
    <w:rsid w:val="00211927"/>
    <w:rsid w:val="0021314E"/>
    <w:rsid w:val="00214117"/>
    <w:rsid w:val="00217784"/>
    <w:rsid w:val="00217B23"/>
    <w:rsid w:val="00217DA7"/>
    <w:rsid w:val="00222A98"/>
    <w:rsid w:val="00222CEE"/>
    <w:rsid w:val="00222EE5"/>
    <w:rsid w:val="00227F39"/>
    <w:rsid w:val="00231257"/>
    <w:rsid w:val="0023187C"/>
    <w:rsid w:val="002320D7"/>
    <w:rsid w:val="00233AEB"/>
    <w:rsid w:val="00237034"/>
    <w:rsid w:val="0024344D"/>
    <w:rsid w:val="00244839"/>
    <w:rsid w:val="00245647"/>
    <w:rsid w:val="00247A49"/>
    <w:rsid w:val="00250B12"/>
    <w:rsid w:val="002514C7"/>
    <w:rsid w:val="002525CC"/>
    <w:rsid w:val="00255008"/>
    <w:rsid w:val="002609D6"/>
    <w:rsid w:val="00261E64"/>
    <w:rsid w:val="00263D0A"/>
    <w:rsid w:val="0026541B"/>
    <w:rsid w:val="00265B91"/>
    <w:rsid w:val="00270E16"/>
    <w:rsid w:val="00275BA9"/>
    <w:rsid w:val="00280534"/>
    <w:rsid w:val="002826A7"/>
    <w:rsid w:val="00284621"/>
    <w:rsid w:val="00287C4C"/>
    <w:rsid w:val="00291AB0"/>
    <w:rsid w:val="00291F27"/>
    <w:rsid w:val="002928E5"/>
    <w:rsid w:val="00295559"/>
    <w:rsid w:val="00297092"/>
    <w:rsid w:val="002A09F5"/>
    <w:rsid w:val="002A4017"/>
    <w:rsid w:val="002A7944"/>
    <w:rsid w:val="002B421A"/>
    <w:rsid w:val="002B473E"/>
    <w:rsid w:val="002B59AC"/>
    <w:rsid w:val="002C10BF"/>
    <w:rsid w:val="002C7696"/>
    <w:rsid w:val="002D02F4"/>
    <w:rsid w:val="002D048D"/>
    <w:rsid w:val="002D0B48"/>
    <w:rsid w:val="002D11CE"/>
    <w:rsid w:val="002D134B"/>
    <w:rsid w:val="002D504A"/>
    <w:rsid w:val="002D6B9E"/>
    <w:rsid w:val="002D6E40"/>
    <w:rsid w:val="002D7DA0"/>
    <w:rsid w:val="002E2825"/>
    <w:rsid w:val="002E6396"/>
    <w:rsid w:val="002E78DA"/>
    <w:rsid w:val="002F3172"/>
    <w:rsid w:val="002F6E72"/>
    <w:rsid w:val="002F6FB9"/>
    <w:rsid w:val="002F773A"/>
    <w:rsid w:val="00300F45"/>
    <w:rsid w:val="003038BB"/>
    <w:rsid w:val="00307F69"/>
    <w:rsid w:val="003114A9"/>
    <w:rsid w:val="00313222"/>
    <w:rsid w:val="0031327D"/>
    <w:rsid w:val="0031511E"/>
    <w:rsid w:val="00315774"/>
    <w:rsid w:val="003157F4"/>
    <w:rsid w:val="0032154F"/>
    <w:rsid w:val="00322E42"/>
    <w:rsid w:val="00324375"/>
    <w:rsid w:val="003259BA"/>
    <w:rsid w:val="0032755E"/>
    <w:rsid w:val="0033230A"/>
    <w:rsid w:val="00343B70"/>
    <w:rsid w:val="00347977"/>
    <w:rsid w:val="00356802"/>
    <w:rsid w:val="0036068E"/>
    <w:rsid w:val="0036099C"/>
    <w:rsid w:val="00362B34"/>
    <w:rsid w:val="00366199"/>
    <w:rsid w:val="0036626A"/>
    <w:rsid w:val="0036652E"/>
    <w:rsid w:val="00366B99"/>
    <w:rsid w:val="00370877"/>
    <w:rsid w:val="00370F7D"/>
    <w:rsid w:val="00372934"/>
    <w:rsid w:val="003807FD"/>
    <w:rsid w:val="00380A69"/>
    <w:rsid w:val="00382E75"/>
    <w:rsid w:val="00382EB2"/>
    <w:rsid w:val="00384835"/>
    <w:rsid w:val="00387B7C"/>
    <w:rsid w:val="00393702"/>
    <w:rsid w:val="00394EF5"/>
    <w:rsid w:val="003959FA"/>
    <w:rsid w:val="00395D4E"/>
    <w:rsid w:val="003A11C8"/>
    <w:rsid w:val="003A24EA"/>
    <w:rsid w:val="003A331E"/>
    <w:rsid w:val="003A46B7"/>
    <w:rsid w:val="003A58D3"/>
    <w:rsid w:val="003A7627"/>
    <w:rsid w:val="003B3C13"/>
    <w:rsid w:val="003B5511"/>
    <w:rsid w:val="003C2800"/>
    <w:rsid w:val="003C4B59"/>
    <w:rsid w:val="003C5B9E"/>
    <w:rsid w:val="003D0E2D"/>
    <w:rsid w:val="003D1313"/>
    <w:rsid w:val="003D18B3"/>
    <w:rsid w:val="003D2466"/>
    <w:rsid w:val="003D2F2E"/>
    <w:rsid w:val="003D556F"/>
    <w:rsid w:val="003D67C2"/>
    <w:rsid w:val="003E0360"/>
    <w:rsid w:val="003E078E"/>
    <w:rsid w:val="003E0A14"/>
    <w:rsid w:val="003E7A42"/>
    <w:rsid w:val="003E7FE1"/>
    <w:rsid w:val="003F0E4A"/>
    <w:rsid w:val="003F2603"/>
    <w:rsid w:val="003F2CDF"/>
    <w:rsid w:val="003F3139"/>
    <w:rsid w:val="003F46DE"/>
    <w:rsid w:val="00400640"/>
    <w:rsid w:val="00402B5D"/>
    <w:rsid w:val="00407ABF"/>
    <w:rsid w:val="00414F09"/>
    <w:rsid w:val="0041711B"/>
    <w:rsid w:val="00433DBC"/>
    <w:rsid w:val="00435157"/>
    <w:rsid w:val="00435164"/>
    <w:rsid w:val="004405DD"/>
    <w:rsid w:val="00440EC0"/>
    <w:rsid w:val="0044749F"/>
    <w:rsid w:val="00447C34"/>
    <w:rsid w:val="00452D0B"/>
    <w:rsid w:val="00453203"/>
    <w:rsid w:val="00453476"/>
    <w:rsid w:val="00454BA4"/>
    <w:rsid w:val="00456C6A"/>
    <w:rsid w:val="0045794D"/>
    <w:rsid w:val="00462EAE"/>
    <w:rsid w:val="00463B2F"/>
    <w:rsid w:val="00464101"/>
    <w:rsid w:val="0046413D"/>
    <w:rsid w:val="00465C5E"/>
    <w:rsid w:val="004671BA"/>
    <w:rsid w:val="00467ABD"/>
    <w:rsid w:val="00467DFE"/>
    <w:rsid w:val="004716B7"/>
    <w:rsid w:val="00472B92"/>
    <w:rsid w:val="00472E1C"/>
    <w:rsid w:val="004754CA"/>
    <w:rsid w:val="0047551A"/>
    <w:rsid w:val="004757DB"/>
    <w:rsid w:val="00475DEC"/>
    <w:rsid w:val="00482CAE"/>
    <w:rsid w:val="00485158"/>
    <w:rsid w:val="004852DF"/>
    <w:rsid w:val="00494062"/>
    <w:rsid w:val="0049773C"/>
    <w:rsid w:val="00497898"/>
    <w:rsid w:val="004A3F95"/>
    <w:rsid w:val="004A6C08"/>
    <w:rsid w:val="004B0396"/>
    <w:rsid w:val="004B0429"/>
    <w:rsid w:val="004B559E"/>
    <w:rsid w:val="004D6B69"/>
    <w:rsid w:val="004D7653"/>
    <w:rsid w:val="004E204E"/>
    <w:rsid w:val="004E34CB"/>
    <w:rsid w:val="004E4D4C"/>
    <w:rsid w:val="004E7FB7"/>
    <w:rsid w:val="004F4084"/>
    <w:rsid w:val="00502C54"/>
    <w:rsid w:val="00504263"/>
    <w:rsid w:val="005074D5"/>
    <w:rsid w:val="005109F2"/>
    <w:rsid w:val="0051106F"/>
    <w:rsid w:val="00512FB1"/>
    <w:rsid w:val="00524901"/>
    <w:rsid w:val="00526381"/>
    <w:rsid w:val="00526453"/>
    <w:rsid w:val="0053331B"/>
    <w:rsid w:val="00536282"/>
    <w:rsid w:val="005374E6"/>
    <w:rsid w:val="00540536"/>
    <w:rsid w:val="00541474"/>
    <w:rsid w:val="00545DFD"/>
    <w:rsid w:val="005523F4"/>
    <w:rsid w:val="00552407"/>
    <w:rsid w:val="00553A40"/>
    <w:rsid w:val="00561199"/>
    <w:rsid w:val="00563191"/>
    <w:rsid w:val="00563698"/>
    <w:rsid w:val="00564137"/>
    <w:rsid w:val="0056545D"/>
    <w:rsid w:val="00565A7B"/>
    <w:rsid w:val="00565FF6"/>
    <w:rsid w:val="00582A33"/>
    <w:rsid w:val="00584843"/>
    <w:rsid w:val="005872DA"/>
    <w:rsid w:val="00587626"/>
    <w:rsid w:val="00587DF7"/>
    <w:rsid w:val="005917D0"/>
    <w:rsid w:val="00592911"/>
    <w:rsid w:val="00592BD6"/>
    <w:rsid w:val="0059305C"/>
    <w:rsid w:val="00594FE8"/>
    <w:rsid w:val="005951C5"/>
    <w:rsid w:val="00596D07"/>
    <w:rsid w:val="00597647"/>
    <w:rsid w:val="005A1D7A"/>
    <w:rsid w:val="005A2583"/>
    <w:rsid w:val="005A33BF"/>
    <w:rsid w:val="005A35D0"/>
    <w:rsid w:val="005A476E"/>
    <w:rsid w:val="005A4A1B"/>
    <w:rsid w:val="005A593D"/>
    <w:rsid w:val="005B1EE3"/>
    <w:rsid w:val="005B44C3"/>
    <w:rsid w:val="005B51DE"/>
    <w:rsid w:val="005B6F9A"/>
    <w:rsid w:val="005C1AF5"/>
    <w:rsid w:val="005C33FB"/>
    <w:rsid w:val="005C7A61"/>
    <w:rsid w:val="005E7B3B"/>
    <w:rsid w:val="005F1073"/>
    <w:rsid w:val="005F4FAF"/>
    <w:rsid w:val="00600A76"/>
    <w:rsid w:val="006010AA"/>
    <w:rsid w:val="0060507F"/>
    <w:rsid w:val="00605F89"/>
    <w:rsid w:val="00606C5A"/>
    <w:rsid w:val="00607FED"/>
    <w:rsid w:val="00610528"/>
    <w:rsid w:val="006126D7"/>
    <w:rsid w:val="00614EFC"/>
    <w:rsid w:val="0062070A"/>
    <w:rsid w:val="00620934"/>
    <w:rsid w:val="006212C8"/>
    <w:rsid w:val="00623F21"/>
    <w:rsid w:val="00624FA0"/>
    <w:rsid w:val="00627C9B"/>
    <w:rsid w:val="00630926"/>
    <w:rsid w:val="006311FE"/>
    <w:rsid w:val="00636C3C"/>
    <w:rsid w:val="00643DA4"/>
    <w:rsid w:val="00643DB1"/>
    <w:rsid w:val="006511AC"/>
    <w:rsid w:val="006544B2"/>
    <w:rsid w:val="0065601B"/>
    <w:rsid w:val="0065667C"/>
    <w:rsid w:val="00656B34"/>
    <w:rsid w:val="006572E1"/>
    <w:rsid w:val="00661825"/>
    <w:rsid w:val="006660C0"/>
    <w:rsid w:val="00671F79"/>
    <w:rsid w:val="00672AD9"/>
    <w:rsid w:val="00673453"/>
    <w:rsid w:val="0067472C"/>
    <w:rsid w:val="00675677"/>
    <w:rsid w:val="00676155"/>
    <w:rsid w:val="00682DBB"/>
    <w:rsid w:val="00682F7F"/>
    <w:rsid w:val="00683FFB"/>
    <w:rsid w:val="00685BEC"/>
    <w:rsid w:val="00686755"/>
    <w:rsid w:val="00693836"/>
    <w:rsid w:val="006A0473"/>
    <w:rsid w:val="006A29B8"/>
    <w:rsid w:val="006A3F3B"/>
    <w:rsid w:val="006A6E4F"/>
    <w:rsid w:val="006B2D2E"/>
    <w:rsid w:val="006B47CE"/>
    <w:rsid w:val="006C1B40"/>
    <w:rsid w:val="006C2849"/>
    <w:rsid w:val="006C4FB2"/>
    <w:rsid w:val="006D23B0"/>
    <w:rsid w:val="006D3B39"/>
    <w:rsid w:val="006E1075"/>
    <w:rsid w:val="006E1B82"/>
    <w:rsid w:val="007009AA"/>
    <w:rsid w:val="00701AF6"/>
    <w:rsid w:val="00701ED2"/>
    <w:rsid w:val="007037FA"/>
    <w:rsid w:val="00704DAD"/>
    <w:rsid w:val="00713CC6"/>
    <w:rsid w:val="00714509"/>
    <w:rsid w:val="00715D07"/>
    <w:rsid w:val="00717313"/>
    <w:rsid w:val="00720E37"/>
    <w:rsid w:val="00720F8F"/>
    <w:rsid w:val="00722BA0"/>
    <w:rsid w:val="00731F2D"/>
    <w:rsid w:val="00733671"/>
    <w:rsid w:val="0073462A"/>
    <w:rsid w:val="0073564A"/>
    <w:rsid w:val="00735CCA"/>
    <w:rsid w:val="0073711F"/>
    <w:rsid w:val="00740328"/>
    <w:rsid w:val="00742F67"/>
    <w:rsid w:val="007431EF"/>
    <w:rsid w:val="007452BC"/>
    <w:rsid w:val="00746640"/>
    <w:rsid w:val="00747D76"/>
    <w:rsid w:val="00752D61"/>
    <w:rsid w:val="0075319C"/>
    <w:rsid w:val="007571C3"/>
    <w:rsid w:val="0076327B"/>
    <w:rsid w:val="007669FE"/>
    <w:rsid w:val="00766C94"/>
    <w:rsid w:val="00766CF6"/>
    <w:rsid w:val="00767825"/>
    <w:rsid w:val="00770EC6"/>
    <w:rsid w:val="007724D2"/>
    <w:rsid w:val="0077505C"/>
    <w:rsid w:val="00775CAD"/>
    <w:rsid w:val="00776AD8"/>
    <w:rsid w:val="00777C20"/>
    <w:rsid w:val="00782B01"/>
    <w:rsid w:val="00783310"/>
    <w:rsid w:val="007850FA"/>
    <w:rsid w:val="007851DE"/>
    <w:rsid w:val="00786FC6"/>
    <w:rsid w:val="007902AE"/>
    <w:rsid w:val="00793EAF"/>
    <w:rsid w:val="00797527"/>
    <w:rsid w:val="007978C3"/>
    <w:rsid w:val="007B098A"/>
    <w:rsid w:val="007B2D18"/>
    <w:rsid w:val="007B5DAA"/>
    <w:rsid w:val="007C0171"/>
    <w:rsid w:val="007C1EF2"/>
    <w:rsid w:val="007C2EF9"/>
    <w:rsid w:val="007C3220"/>
    <w:rsid w:val="007C3790"/>
    <w:rsid w:val="007C44CE"/>
    <w:rsid w:val="007C5199"/>
    <w:rsid w:val="007D4E9E"/>
    <w:rsid w:val="007D6259"/>
    <w:rsid w:val="007E2F53"/>
    <w:rsid w:val="007E4262"/>
    <w:rsid w:val="007E4579"/>
    <w:rsid w:val="007E490C"/>
    <w:rsid w:val="007F042E"/>
    <w:rsid w:val="007F0AAF"/>
    <w:rsid w:val="007F125C"/>
    <w:rsid w:val="007F2617"/>
    <w:rsid w:val="007F28E2"/>
    <w:rsid w:val="007F2EB6"/>
    <w:rsid w:val="007F5FA7"/>
    <w:rsid w:val="007F63A1"/>
    <w:rsid w:val="007F79FC"/>
    <w:rsid w:val="0080540F"/>
    <w:rsid w:val="008059ED"/>
    <w:rsid w:val="00811513"/>
    <w:rsid w:val="00823870"/>
    <w:rsid w:val="00826614"/>
    <w:rsid w:val="00826B4D"/>
    <w:rsid w:val="00827508"/>
    <w:rsid w:val="008331A0"/>
    <w:rsid w:val="00843B2B"/>
    <w:rsid w:val="00843F8F"/>
    <w:rsid w:val="00844855"/>
    <w:rsid w:val="00847285"/>
    <w:rsid w:val="00847528"/>
    <w:rsid w:val="00847D3F"/>
    <w:rsid w:val="008501E4"/>
    <w:rsid w:val="00851EFD"/>
    <w:rsid w:val="0085675C"/>
    <w:rsid w:val="00856A38"/>
    <w:rsid w:val="00860A23"/>
    <w:rsid w:val="00863DA5"/>
    <w:rsid w:val="0086523F"/>
    <w:rsid w:val="00866128"/>
    <w:rsid w:val="008663E9"/>
    <w:rsid w:val="008678F4"/>
    <w:rsid w:val="008701C8"/>
    <w:rsid w:val="0087272A"/>
    <w:rsid w:val="00874BA2"/>
    <w:rsid w:val="00880231"/>
    <w:rsid w:val="00882354"/>
    <w:rsid w:val="008826C6"/>
    <w:rsid w:val="00885477"/>
    <w:rsid w:val="00893621"/>
    <w:rsid w:val="00893802"/>
    <w:rsid w:val="00895829"/>
    <w:rsid w:val="0089635D"/>
    <w:rsid w:val="008A2D3B"/>
    <w:rsid w:val="008A53FE"/>
    <w:rsid w:val="008A7383"/>
    <w:rsid w:val="008B16A2"/>
    <w:rsid w:val="008B2A59"/>
    <w:rsid w:val="008B5E04"/>
    <w:rsid w:val="008B6A5F"/>
    <w:rsid w:val="008B722A"/>
    <w:rsid w:val="008C1744"/>
    <w:rsid w:val="008C7CCE"/>
    <w:rsid w:val="008D054A"/>
    <w:rsid w:val="008D51EC"/>
    <w:rsid w:val="008E2C03"/>
    <w:rsid w:val="008E68E8"/>
    <w:rsid w:val="008F3269"/>
    <w:rsid w:val="008F3C3D"/>
    <w:rsid w:val="008F45C1"/>
    <w:rsid w:val="008F4A9F"/>
    <w:rsid w:val="00901242"/>
    <w:rsid w:val="00906636"/>
    <w:rsid w:val="00906977"/>
    <w:rsid w:val="00921F9E"/>
    <w:rsid w:val="00922F39"/>
    <w:rsid w:val="009249CF"/>
    <w:rsid w:val="00930C11"/>
    <w:rsid w:val="0093183F"/>
    <w:rsid w:val="00935437"/>
    <w:rsid w:val="009358C5"/>
    <w:rsid w:val="00936196"/>
    <w:rsid w:val="00937FBD"/>
    <w:rsid w:val="00942B16"/>
    <w:rsid w:val="009446BC"/>
    <w:rsid w:val="00946723"/>
    <w:rsid w:val="009471FC"/>
    <w:rsid w:val="009476C5"/>
    <w:rsid w:val="00947EB2"/>
    <w:rsid w:val="00953541"/>
    <w:rsid w:val="00954B26"/>
    <w:rsid w:val="00961C3E"/>
    <w:rsid w:val="009645E3"/>
    <w:rsid w:val="00967E5C"/>
    <w:rsid w:val="00972B0F"/>
    <w:rsid w:val="009759DC"/>
    <w:rsid w:val="0098047A"/>
    <w:rsid w:val="009835FC"/>
    <w:rsid w:val="00986536"/>
    <w:rsid w:val="00986D85"/>
    <w:rsid w:val="00987466"/>
    <w:rsid w:val="009905AD"/>
    <w:rsid w:val="0099503D"/>
    <w:rsid w:val="009962C8"/>
    <w:rsid w:val="009A01A1"/>
    <w:rsid w:val="009A0C64"/>
    <w:rsid w:val="009A1192"/>
    <w:rsid w:val="009A3195"/>
    <w:rsid w:val="009A3A07"/>
    <w:rsid w:val="009A40E1"/>
    <w:rsid w:val="009B258F"/>
    <w:rsid w:val="009B4D1D"/>
    <w:rsid w:val="009B7274"/>
    <w:rsid w:val="009C0B01"/>
    <w:rsid w:val="009C1B83"/>
    <w:rsid w:val="009C1B87"/>
    <w:rsid w:val="009C57FC"/>
    <w:rsid w:val="009D0454"/>
    <w:rsid w:val="009D2330"/>
    <w:rsid w:val="009D279E"/>
    <w:rsid w:val="009D376E"/>
    <w:rsid w:val="009D7EAC"/>
    <w:rsid w:val="009E4FC5"/>
    <w:rsid w:val="009E5842"/>
    <w:rsid w:val="009E62B3"/>
    <w:rsid w:val="009E65C7"/>
    <w:rsid w:val="009E7316"/>
    <w:rsid w:val="009F46B4"/>
    <w:rsid w:val="009F5391"/>
    <w:rsid w:val="009F7F52"/>
    <w:rsid w:val="00A005F8"/>
    <w:rsid w:val="00A04ACB"/>
    <w:rsid w:val="00A065B8"/>
    <w:rsid w:val="00A145C0"/>
    <w:rsid w:val="00A15BD3"/>
    <w:rsid w:val="00A2286A"/>
    <w:rsid w:val="00A22D2C"/>
    <w:rsid w:val="00A242D3"/>
    <w:rsid w:val="00A24C50"/>
    <w:rsid w:val="00A26774"/>
    <w:rsid w:val="00A35133"/>
    <w:rsid w:val="00A355AD"/>
    <w:rsid w:val="00A35C4C"/>
    <w:rsid w:val="00A368F4"/>
    <w:rsid w:val="00A440DD"/>
    <w:rsid w:val="00A45E0F"/>
    <w:rsid w:val="00A5057A"/>
    <w:rsid w:val="00A57E55"/>
    <w:rsid w:val="00A61D63"/>
    <w:rsid w:val="00A646F6"/>
    <w:rsid w:val="00A677D8"/>
    <w:rsid w:val="00A80A34"/>
    <w:rsid w:val="00A80E1F"/>
    <w:rsid w:val="00A84497"/>
    <w:rsid w:val="00A84EAC"/>
    <w:rsid w:val="00A85170"/>
    <w:rsid w:val="00A85CB4"/>
    <w:rsid w:val="00A867F7"/>
    <w:rsid w:val="00A91718"/>
    <w:rsid w:val="00A93EB3"/>
    <w:rsid w:val="00A94DFA"/>
    <w:rsid w:val="00A95862"/>
    <w:rsid w:val="00A97DB1"/>
    <w:rsid w:val="00AA1D95"/>
    <w:rsid w:val="00AA2786"/>
    <w:rsid w:val="00AA30A8"/>
    <w:rsid w:val="00AA3DF2"/>
    <w:rsid w:val="00AA48BA"/>
    <w:rsid w:val="00AA5CE5"/>
    <w:rsid w:val="00AB30A6"/>
    <w:rsid w:val="00AB4D3C"/>
    <w:rsid w:val="00AB5142"/>
    <w:rsid w:val="00AD0A2D"/>
    <w:rsid w:val="00AD157D"/>
    <w:rsid w:val="00AE322F"/>
    <w:rsid w:val="00AE4935"/>
    <w:rsid w:val="00AE4949"/>
    <w:rsid w:val="00AE5DC4"/>
    <w:rsid w:val="00AF0E9D"/>
    <w:rsid w:val="00AF3367"/>
    <w:rsid w:val="00AF4762"/>
    <w:rsid w:val="00B00D04"/>
    <w:rsid w:val="00B01829"/>
    <w:rsid w:val="00B04CE1"/>
    <w:rsid w:val="00B05733"/>
    <w:rsid w:val="00B07C2C"/>
    <w:rsid w:val="00B100B6"/>
    <w:rsid w:val="00B10D4B"/>
    <w:rsid w:val="00B1133C"/>
    <w:rsid w:val="00B1238F"/>
    <w:rsid w:val="00B12F49"/>
    <w:rsid w:val="00B15A83"/>
    <w:rsid w:val="00B17028"/>
    <w:rsid w:val="00B23098"/>
    <w:rsid w:val="00B25451"/>
    <w:rsid w:val="00B31B2B"/>
    <w:rsid w:val="00B32226"/>
    <w:rsid w:val="00B33A01"/>
    <w:rsid w:val="00B3433D"/>
    <w:rsid w:val="00B345C4"/>
    <w:rsid w:val="00B40DC1"/>
    <w:rsid w:val="00B4684C"/>
    <w:rsid w:val="00B5097B"/>
    <w:rsid w:val="00B512FD"/>
    <w:rsid w:val="00B51406"/>
    <w:rsid w:val="00B56813"/>
    <w:rsid w:val="00B614A7"/>
    <w:rsid w:val="00B61F36"/>
    <w:rsid w:val="00B62122"/>
    <w:rsid w:val="00B6248E"/>
    <w:rsid w:val="00B6475E"/>
    <w:rsid w:val="00B678E6"/>
    <w:rsid w:val="00B711EF"/>
    <w:rsid w:val="00B732E0"/>
    <w:rsid w:val="00B80D3F"/>
    <w:rsid w:val="00B815C2"/>
    <w:rsid w:val="00B84F44"/>
    <w:rsid w:val="00B875FD"/>
    <w:rsid w:val="00B91054"/>
    <w:rsid w:val="00B92CED"/>
    <w:rsid w:val="00BA16D2"/>
    <w:rsid w:val="00BA2704"/>
    <w:rsid w:val="00BA48FA"/>
    <w:rsid w:val="00BA5198"/>
    <w:rsid w:val="00BA7D32"/>
    <w:rsid w:val="00BB2C5B"/>
    <w:rsid w:val="00BB2FC5"/>
    <w:rsid w:val="00BB7109"/>
    <w:rsid w:val="00BB7A33"/>
    <w:rsid w:val="00BC4C3F"/>
    <w:rsid w:val="00BD24BC"/>
    <w:rsid w:val="00BD2885"/>
    <w:rsid w:val="00BD6CDF"/>
    <w:rsid w:val="00BE0132"/>
    <w:rsid w:val="00BE0E91"/>
    <w:rsid w:val="00BE2145"/>
    <w:rsid w:val="00BE6A20"/>
    <w:rsid w:val="00BF4A0C"/>
    <w:rsid w:val="00BF5326"/>
    <w:rsid w:val="00BF6BE2"/>
    <w:rsid w:val="00C01914"/>
    <w:rsid w:val="00C01E06"/>
    <w:rsid w:val="00C049D4"/>
    <w:rsid w:val="00C129F6"/>
    <w:rsid w:val="00C151E2"/>
    <w:rsid w:val="00C17675"/>
    <w:rsid w:val="00C2058B"/>
    <w:rsid w:val="00C214D3"/>
    <w:rsid w:val="00C24F6E"/>
    <w:rsid w:val="00C340F9"/>
    <w:rsid w:val="00C34E55"/>
    <w:rsid w:val="00C36727"/>
    <w:rsid w:val="00C443D4"/>
    <w:rsid w:val="00C52003"/>
    <w:rsid w:val="00C5513C"/>
    <w:rsid w:val="00C61563"/>
    <w:rsid w:val="00C62748"/>
    <w:rsid w:val="00C65203"/>
    <w:rsid w:val="00C70DF8"/>
    <w:rsid w:val="00C73EDC"/>
    <w:rsid w:val="00C7404F"/>
    <w:rsid w:val="00C740AB"/>
    <w:rsid w:val="00C744A4"/>
    <w:rsid w:val="00C74876"/>
    <w:rsid w:val="00C80597"/>
    <w:rsid w:val="00C8719E"/>
    <w:rsid w:val="00CA0C24"/>
    <w:rsid w:val="00CA1A9B"/>
    <w:rsid w:val="00CA7E78"/>
    <w:rsid w:val="00CB64B6"/>
    <w:rsid w:val="00CB7AF6"/>
    <w:rsid w:val="00CB7C6D"/>
    <w:rsid w:val="00CC672B"/>
    <w:rsid w:val="00CC712E"/>
    <w:rsid w:val="00CD0089"/>
    <w:rsid w:val="00CD3082"/>
    <w:rsid w:val="00CF3E40"/>
    <w:rsid w:val="00CF53AC"/>
    <w:rsid w:val="00CF7C11"/>
    <w:rsid w:val="00CF7E01"/>
    <w:rsid w:val="00D007F3"/>
    <w:rsid w:val="00D04905"/>
    <w:rsid w:val="00D05CB8"/>
    <w:rsid w:val="00D100E2"/>
    <w:rsid w:val="00D11200"/>
    <w:rsid w:val="00D14063"/>
    <w:rsid w:val="00D155C4"/>
    <w:rsid w:val="00D218E4"/>
    <w:rsid w:val="00D21DCB"/>
    <w:rsid w:val="00D264B2"/>
    <w:rsid w:val="00D26520"/>
    <w:rsid w:val="00D26E90"/>
    <w:rsid w:val="00D3063C"/>
    <w:rsid w:val="00D36CEE"/>
    <w:rsid w:val="00D42019"/>
    <w:rsid w:val="00D51B46"/>
    <w:rsid w:val="00D52071"/>
    <w:rsid w:val="00D535C4"/>
    <w:rsid w:val="00D55C8C"/>
    <w:rsid w:val="00D5631D"/>
    <w:rsid w:val="00D56FDD"/>
    <w:rsid w:val="00D570F3"/>
    <w:rsid w:val="00D60D28"/>
    <w:rsid w:val="00D61CB7"/>
    <w:rsid w:val="00D623D6"/>
    <w:rsid w:val="00D6240E"/>
    <w:rsid w:val="00D66582"/>
    <w:rsid w:val="00D67B73"/>
    <w:rsid w:val="00D711CE"/>
    <w:rsid w:val="00D83502"/>
    <w:rsid w:val="00D83581"/>
    <w:rsid w:val="00D83C8C"/>
    <w:rsid w:val="00D90759"/>
    <w:rsid w:val="00D96E03"/>
    <w:rsid w:val="00DA0146"/>
    <w:rsid w:val="00DA38D4"/>
    <w:rsid w:val="00DA6011"/>
    <w:rsid w:val="00DA62FD"/>
    <w:rsid w:val="00DB2202"/>
    <w:rsid w:val="00DB3A99"/>
    <w:rsid w:val="00DB680C"/>
    <w:rsid w:val="00DC0E91"/>
    <w:rsid w:val="00DC35A8"/>
    <w:rsid w:val="00DC3B6E"/>
    <w:rsid w:val="00DD4E3A"/>
    <w:rsid w:val="00DD5E55"/>
    <w:rsid w:val="00DD74D6"/>
    <w:rsid w:val="00DE23AD"/>
    <w:rsid w:val="00DE2A67"/>
    <w:rsid w:val="00DE2C19"/>
    <w:rsid w:val="00DF0341"/>
    <w:rsid w:val="00DF124F"/>
    <w:rsid w:val="00E008F3"/>
    <w:rsid w:val="00E06382"/>
    <w:rsid w:val="00E074BC"/>
    <w:rsid w:val="00E078EE"/>
    <w:rsid w:val="00E11F10"/>
    <w:rsid w:val="00E138C3"/>
    <w:rsid w:val="00E14B4D"/>
    <w:rsid w:val="00E1599D"/>
    <w:rsid w:val="00E16AEC"/>
    <w:rsid w:val="00E2555D"/>
    <w:rsid w:val="00E33643"/>
    <w:rsid w:val="00E54AE4"/>
    <w:rsid w:val="00E5741A"/>
    <w:rsid w:val="00E61798"/>
    <w:rsid w:val="00E62895"/>
    <w:rsid w:val="00E67BD1"/>
    <w:rsid w:val="00E70435"/>
    <w:rsid w:val="00E71147"/>
    <w:rsid w:val="00E71DE1"/>
    <w:rsid w:val="00E77402"/>
    <w:rsid w:val="00E902EE"/>
    <w:rsid w:val="00E9359C"/>
    <w:rsid w:val="00E93DDE"/>
    <w:rsid w:val="00E93FEF"/>
    <w:rsid w:val="00EA6EB4"/>
    <w:rsid w:val="00EB05FC"/>
    <w:rsid w:val="00EB1BE3"/>
    <w:rsid w:val="00EB3A72"/>
    <w:rsid w:val="00EB43DD"/>
    <w:rsid w:val="00EB472D"/>
    <w:rsid w:val="00EB5212"/>
    <w:rsid w:val="00EB759F"/>
    <w:rsid w:val="00EC26EA"/>
    <w:rsid w:val="00EC335D"/>
    <w:rsid w:val="00EC38A2"/>
    <w:rsid w:val="00EC72F4"/>
    <w:rsid w:val="00ED1845"/>
    <w:rsid w:val="00ED6E7A"/>
    <w:rsid w:val="00ED781B"/>
    <w:rsid w:val="00EE5C96"/>
    <w:rsid w:val="00EF2811"/>
    <w:rsid w:val="00EF33F2"/>
    <w:rsid w:val="00EF3880"/>
    <w:rsid w:val="00EF4D03"/>
    <w:rsid w:val="00EF7D72"/>
    <w:rsid w:val="00F004EB"/>
    <w:rsid w:val="00F03467"/>
    <w:rsid w:val="00F041C6"/>
    <w:rsid w:val="00F06410"/>
    <w:rsid w:val="00F07E63"/>
    <w:rsid w:val="00F172CC"/>
    <w:rsid w:val="00F17A30"/>
    <w:rsid w:val="00F21265"/>
    <w:rsid w:val="00F23DBD"/>
    <w:rsid w:val="00F241A5"/>
    <w:rsid w:val="00F34558"/>
    <w:rsid w:val="00F36817"/>
    <w:rsid w:val="00F4105B"/>
    <w:rsid w:val="00F43553"/>
    <w:rsid w:val="00F51F5F"/>
    <w:rsid w:val="00F53A84"/>
    <w:rsid w:val="00F54972"/>
    <w:rsid w:val="00F54D7B"/>
    <w:rsid w:val="00F67DE4"/>
    <w:rsid w:val="00F70644"/>
    <w:rsid w:val="00F75CA5"/>
    <w:rsid w:val="00F75CDF"/>
    <w:rsid w:val="00F76591"/>
    <w:rsid w:val="00F81762"/>
    <w:rsid w:val="00F833A5"/>
    <w:rsid w:val="00F84364"/>
    <w:rsid w:val="00F84463"/>
    <w:rsid w:val="00F8524F"/>
    <w:rsid w:val="00F8630F"/>
    <w:rsid w:val="00F914AC"/>
    <w:rsid w:val="00F923D0"/>
    <w:rsid w:val="00F92B66"/>
    <w:rsid w:val="00F933B6"/>
    <w:rsid w:val="00F950A9"/>
    <w:rsid w:val="00F9719E"/>
    <w:rsid w:val="00FA1F98"/>
    <w:rsid w:val="00FB0317"/>
    <w:rsid w:val="00FC3C79"/>
    <w:rsid w:val="00FC4347"/>
    <w:rsid w:val="00FC447A"/>
    <w:rsid w:val="00FD100E"/>
    <w:rsid w:val="00FD41B5"/>
    <w:rsid w:val="00FD7EFC"/>
    <w:rsid w:val="00FE03E4"/>
    <w:rsid w:val="00FE1D85"/>
    <w:rsid w:val="00FE20B7"/>
    <w:rsid w:val="00FE2331"/>
    <w:rsid w:val="00FE2CF0"/>
    <w:rsid w:val="00FE4010"/>
    <w:rsid w:val="00FE44C4"/>
    <w:rsid w:val="00FE5203"/>
    <w:rsid w:val="00FF1C36"/>
    <w:rsid w:val="00FF2993"/>
    <w:rsid w:val="00FF4993"/>
    <w:rsid w:val="00FF5B9C"/>
    <w:rsid w:val="00FF6F4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76129"/>
    <o:shapelayout v:ext="edit">
      <o:idmap v:ext="edit" data="1"/>
    </o:shapelayout>
  </w:shapeDefaults>
  <w:decimalSymbol w:val=","/>
  <w:listSeparator w:val=";"/>
  <w14:docId w14:val="608478AB"/>
  <w15:docId w15:val="{13591B22-0474-430B-836B-B7F820FCE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ahoma"/>
        <w:kern w:val="3"/>
        <w:sz w:val="24"/>
        <w:szCs w:val="24"/>
        <w:lang w:val="de-DE" w:eastAsia="ja-JP" w:bidi="fa-IR"/>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fr-FR"/>
    </w:rPr>
  </w:style>
  <w:style w:type="paragraph" w:styleId="Titre1">
    <w:name w:val="heading 1"/>
    <w:basedOn w:val="Standard"/>
    <w:next w:val="Standard"/>
    <w:pPr>
      <w:keepNext/>
      <w:numPr>
        <w:numId w:val="1"/>
      </w:numPr>
      <w:outlineLvl w:val="0"/>
    </w:pPr>
    <w:rPr>
      <w:color w:val="808080"/>
      <w:sz w:val="36"/>
      <w:szCs w:val="36"/>
      <w14:textFill>
        <w14:solidFill>
          <w14:srgbClr w14:val="808080">
            <w14:lumMod w14:val="50000"/>
          </w14:srgbClr>
        </w14:solidFill>
      </w14:textFill>
    </w:rPr>
  </w:style>
  <w:style w:type="paragraph" w:styleId="Titre2">
    <w:name w:val="heading 2"/>
    <w:basedOn w:val="Standard"/>
    <w:next w:val="Standard"/>
    <w:pPr>
      <w:keepNext/>
      <w:numPr>
        <w:ilvl w:val="1"/>
        <w:numId w:val="1"/>
      </w:numPr>
      <w:spacing w:before="240" w:after="60"/>
      <w:outlineLvl w:val="1"/>
    </w:pPr>
    <w:rPr>
      <w:b/>
      <w:bCs/>
      <w:i/>
      <w:iCs/>
      <w:sz w:val="28"/>
      <w:szCs w:val="28"/>
    </w:rPr>
  </w:style>
  <w:style w:type="paragraph" w:styleId="Titre3">
    <w:name w:val="heading 3"/>
    <w:basedOn w:val="Standard"/>
    <w:next w:val="Standard"/>
    <w:pPr>
      <w:keepNext/>
      <w:numPr>
        <w:ilvl w:val="2"/>
        <w:numId w:val="1"/>
      </w:numPr>
      <w:spacing w:before="240" w:after="60"/>
      <w:outlineLvl w:val="2"/>
    </w:pPr>
    <w:rPr>
      <w:b/>
      <w:bCs/>
      <w:sz w:val="26"/>
      <w:szCs w:val="26"/>
    </w:rPr>
  </w:style>
  <w:style w:type="paragraph" w:styleId="Titre4">
    <w:name w:val="heading 4"/>
    <w:basedOn w:val="Standard"/>
    <w:next w:val="Textbody"/>
    <w:autoRedefine/>
    <w:pPr>
      <w:keepNext/>
      <w:keepLines/>
      <w:numPr>
        <w:ilvl w:val="3"/>
        <w:numId w:val="1"/>
      </w:numPr>
      <w:spacing w:before="283" w:after="57"/>
      <w:ind w:firstLine="737"/>
      <w:outlineLvl w:val="3"/>
    </w:pPr>
    <w:rPr>
      <w:b/>
      <w:bCs/>
      <w:i/>
      <w:iCs/>
    </w:rPr>
  </w:style>
  <w:style w:type="paragraph" w:styleId="Titre5">
    <w:name w:val="heading 5"/>
    <w:basedOn w:val="Standard"/>
    <w:next w:val="Textbody"/>
    <w:autoRedefine/>
    <w:pPr>
      <w:keepNext/>
      <w:keepLines/>
      <w:numPr>
        <w:ilvl w:val="4"/>
        <w:numId w:val="1"/>
      </w:numPr>
      <w:spacing w:before="283" w:after="57"/>
      <w:ind w:firstLine="794"/>
      <w:outlineLvl w:val="4"/>
    </w:pPr>
    <w:rPr>
      <w:b/>
      <w:bCs/>
    </w:rPr>
  </w:style>
  <w:style w:type="paragraph" w:styleId="Titre6">
    <w:name w:val="heading 6"/>
    <w:basedOn w:val="Heading"/>
    <w:next w:val="Textbody"/>
    <w:pPr>
      <w:numPr>
        <w:ilvl w:val="5"/>
        <w:numId w:val="1"/>
      </w:numPr>
      <w:pBdr>
        <w:top w:val="none" w:sz="0" w:space="0" w:color="auto"/>
        <w:left w:val="none" w:sz="0" w:space="0" w:color="auto"/>
        <w:bottom w:val="none" w:sz="0" w:space="0" w:color="auto"/>
        <w:right w:val="none" w:sz="0" w:space="0" w:color="auto"/>
      </w:pBdr>
      <w:spacing w:before="283" w:after="283"/>
      <w:ind w:firstLine="907"/>
      <w:jc w:val="both"/>
      <w:outlineLvl w:val="5"/>
    </w:pPr>
    <w:rPr>
      <w:bCs/>
      <w:sz w:val="22"/>
    </w:rPr>
  </w:style>
  <w:style w:type="paragraph" w:styleId="Titre7">
    <w:name w:val="heading 7"/>
    <w:basedOn w:val="Heading"/>
    <w:next w:val="Textbody"/>
    <w:pPr>
      <w:pBdr>
        <w:top w:val="none" w:sz="0" w:space="0" w:color="auto"/>
        <w:left w:val="none" w:sz="0" w:space="0" w:color="auto"/>
        <w:bottom w:val="none" w:sz="0" w:space="0" w:color="auto"/>
        <w:right w:val="none" w:sz="0" w:space="0" w:color="auto"/>
      </w:pBdr>
      <w:spacing w:before="283" w:after="57"/>
      <w:ind w:firstLine="1020"/>
      <w:jc w:val="both"/>
      <w:outlineLvl w:val="6"/>
    </w:pPr>
    <w:rPr>
      <w:bCs/>
      <w:sz w:val="22"/>
    </w:rPr>
  </w:style>
  <w:style w:type="paragraph" w:styleId="Titre8">
    <w:name w:val="heading 8"/>
    <w:basedOn w:val="Heading"/>
    <w:next w:val="Textbody"/>
    <w:pPr>
      <w:pBdr>
        <w:top w:val="none" w:sz="0" w:space="0" w:color="auto"/>
        <w:left w:val="none" w:sz="0" w:space="0" w:color="auto"/>
        <w:bottom w:val="none" w:sz="0" w:space="0" w:color="auto"/>
        <w:right w:val="none" w:sz="0" w:space="0" w:color="auto"/>
      </w:pBdr>
      <w:spacing w:before="283" w:after="57"/>
      <w:ind w:firstLine="1134"/>
      <w:jc w:val="both"/>
      <w:outlineLvl w:val="7"/>
    </w:pPr>
    <w:rPr>
      <w:bCs/>
      <w:sz w:val="21"/>
    </w:rPr>
  </w:style>
  <w:style w:type="paragraph" w:styleId="Titre9">
    <w:name w:val="heading 9"/>
    <w:basedOn w:val="Heading"/>
    <w:next w:val="Textbody"/>
    <w:pPr>
      <w:pBdr>
        <w:top w:val="none" w:sz="0" w:space="0" w:color="auto"/>
        <w:left w:val="none" w:sz="0" w:space="0" w:color="auto"/>
        <w:bottom w:val="none" w:sz="0" w:space="0" w:color="auto"/>
        <w:right w:val="none" w:sz="0" w:space="0" w:color="auto"/>
      </w:pBdr>
      <w:spacing w:before="283" w:after="57"/>
      <w:ind w:firstLine="1247"/>
      <w:jc w:val="both"/>
      <w:outlineLvl w:val="8"/>
    </w:pPr>
    <w:rPr>
      <w:bCs/>
      <w:sz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
    <w:name w:val="WW_OutlineListStyle"/>
    <w:basedOn w:val="Aucuneliste"/>
    <w:pPr>
      <w:numPr>
        <w:numId w:val="19"/>
      </w:numPr>
    </w:pPr>
  </w:style>
  <w:style w:type="paragraph" w:customStyle="1" w:styleId="Standard">
    <w:name w:val="Standard"/>
    <w:autoRedefine/>
    <w:qFormat/>
    <w:rsid w:val="006B2D2E"/>
    <w:pPr>
      <w:tabs>
        <w:tab w:val="left" w:pos="567"/>
      </w:tabs>
      <w:jc w:val="both"/>
      <w:textAlignment w:val="auto"/>
    </w:pPr>
    <w:rPr>
      <w:rFonts w:ascii="Arial" w:hAnsi="Arial" w:cs="Arial"/>
      <w:color w:val="000000" w:themeColor="text1"/>
      <w:sz w:val="22"/>
      <w:szCs w:val="22"/>
      <w:lang w:val="fr-FR"/>
    </w:rPr>
  </w:style>
  <w:style w:type="paragraph" w:customStyle="1" w:styleId="Heading">
    <w:name w:val="Heading"/>
    <w:basedOn w:val="Standard"/>
    <w:next w:val="Textbody"/>
    <w:autoRedefine/>
    <w:pPr>
      <w:keepNext/>
      <w:pBdr>
        <w:top w:val="single" w:sz="18" w:space="1" w:color="666666"/>
        <w:left w:val="single" w:sz="18" w:space="1" w:color="666666"/>
        <w:bottom w:val="single" w:sz="18" w:space="1" w:color="666666"/>
        <w:right w:val="single" w:sz="18" w:space="1" w:color="666666"/>
      </w:pBdr>
      <w:spacing w:before="567" w:after="567"/>
      <w:jc w:val="center"/>
    </w:pPr>
    <w:rPr>
      <w:b/>
      <w:sz w:val="32"/>
      <w:szCs w:val="28"/>
    </w:rPr>
  </w:style>
  <w:style w:type="paragraph" w:customStyle="1" w:styleId="Textbody">
    <w:name w:val="Text body"/>
    <w:basedOn w:val="Standard"/>
    <w:autoRedefine/>
    <w:rsid w:val="00C01E06"/>
    <w:pPr>
      <w:keepLines/>
      <w:jc w:val="center"/>
    </w:pPr>
    <w:rPr>
      <w:b/>
    </w:rPr>
  </w:style>
  <w:style w:type="paragraph" w:styleId="Liste">
    <w:name w:val="List"/>
    <w:basedOn w:val="Textbody"/>
  </w:style>
  <w:style w:type="paragraph" w:styleId="Lgende">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rPr>
      <w:sz w:val="17"/>
    </w:rPr>
  </w:style>
  <w:style w:type="paragraph" w:customStyle="1" w:styleId="TableHeading">
    <w:name w:val="Table Heading"/>
    <w:basedOn w:val="TableContents"/>
    <w:pPr>
      <w:jc w:val="center"/>
    </w:pPr>
    <w:rPr>
      <w:b/>
      <w:bCs/>
    </w:rPr>
  </w:style>
  <w:style w:type="paragraph" w:styleId="En-tte">
    <w:name w:val="header"/>
    <w:basedOn w:val="Standard"/>
    <w:pPr>
      <w:suppressLineNumbers/>
      <w:tabs>
        <w:tab w:val="center" w:pos="4818"/>
        <w:tab w:val="right" w:pos="9637"/>
      </w:tabs>
    </w:pPr>
  </w:style>
  <w:style w:type="paragraph" w:customStyle="1" w:styleId="numration1lamarge">
    <w:name w:val="énumération 1  à la marge"/>
    <w:basedOn w:val="Standard"/>
    <w:pPr>
      <w:tabs>
        <w:tab w:val="left" w:pos="360"/>
      </w:tabs>
      <w:spacing w:after="120"/>
      <w:ind w:hanging="360"/>
    </w:pPr>
  </w:style>
  <w:style w:type="paragraph" w:customStyle="1" w:styleId="ContentsHeading">
    <w:name w:val="Contents Heading"/>
    <w:basedOn w:val="Heading"/>
    <w:pPr>
      <w:pageBreakBefore/>
      <w:suppressLineNumbers/>
      <w:spacing w:before="0" w:after="283"/>
    </w:pPr>
    <w:rPr>
      <w:bCs/>
      <w:szCs w:val="32"/>
    </w:rPr>
  </w:style>
  <w:style w:type="paragraph" w:customStyle="1" w:styleId="Contents1">
    <w:name w:val="Contents 1"/>
    <w:basedOn w:val="Index"/>
    <w:autoRedefine/>
    <w:pPr>
      <w:tabs>
        <w:tab w:val="right" w:leader="dot" w:pos="9637"/>
      </w:tabs>
    </w:pPr>
    <w:rPr>
      <w:sz w:val="18"/>
    </w:rPr>
  </w:style>
  <w:style w:type="paragraph" w:customStyle="1" w:styleId="Contents2">
    <w:name w:val="Contents 2"/>
    <w:basedOn w:val="Index"/>
    <w:rPr>
      <w:sz w:val="18"/>
    </w:rPr>
  </w:style>
  <w:style w:type="paragraph" w:customStyle="1" w:styleId="Contents3">
    <w:name w:val="Contents 3"/>
    <w:basedOn w:val="Index"/>
    <w:pPr>
      <w:tabs>
        <w:tab w:val="right" w:leader="dot" w:pos="9241"/>
      </w:tabs>
      <w:spacing w:after="57"/>
      <w:ind w:left="170"/>
    </w:pPr>
  </w:style>
  <w:style w:type="paragraph" w:customStyle="1" w:styleId="Contents4">
    <w:name w:val="Contents 4"/>
    <w:basedOn w:val="Index"/>
    <w:pPr>
      <w:tabs>
        <w:tab w:val="right" w:leader="dot" w:pos="9128"/>
      </w:tabs>
      <w:spacing w:after="57"/>
      <w:ind w:left="340"/>
    </w:pPr>
  </w:style>
  <w:style w:type="paragraph" w:customStyle="1" w:styleId="Contents5">
    <w:name w:val="Contents 5"/>
    <w:basedOn w:val="Index"/>
    <w:pPr>
      <w:tabs>
        <w:tab w:val="right" w:leader="dot" w:pos="9015"/>
      </w:tabs>
      <w:spacing w:after="57"/>
      <w:ind w:left="510"/>
    </w:pPr>
  </w:style>
  <w:style w:type="paragraph" w:customStyle="1" w:styleId="UserIndex1">
    <w:name w:val="User Index 1"/>
    <w:basedOn w:val="Index"/>
    <w:pPr>
      <w:tabs>
        <w:tab w:val="right" w:leader="dot" w:pos="9637"/>
      </w:tabs>
    </w:pPr>
  </w:style>
  <w:style w:type="paragraph" w:styleId="Pieddepage">
    <w:name w:val="footer"/>
    <w:basedOn w:val="Standard"/>
    <w:link w:val="PieddepageCar"/>
    <w:uiPriority w:val="99"/>
    <w:pPr>
      <w:suppressLineNumbers/>
      <w:pBdr>
        <w:top w:val="single" w:sz="2" w:space="0" w:color="000000"/>
        <w:left w:val="single" w:sz="2" w:space="0" w:color="000000"/>
        <w:bottom w:val="single" w:sz="2" w:space="0" w:color="000000"/>
        <w:right w:val="single" w:sz="2" w:space="0" w:color="000000"/>
      </w:pBdr>
      <w:tabs>
        <w:tab w:val="center" w:pos="4818"/>
        <w:tab w:val="right" w:pos="9637"/>
      </w:tabs>
    </w:pPr>
    <w:rPr>
      <w:sz w:val="18"/>
    </w:rPr>
  </w:style>
  <w:style w:type="paragraph" w:customStyle="1" w:styleId="Footerleft">
    <w:name w:val="Footer left"/>
    <w:basedOn w:val="Standard"/>
    <w:autoRedefine/>
    <w:pPr>
      <w:suppressLineNumbers/>
      <w:tabs>
        <w:tab w:val="center" w:pos="4818"/>
        <w:tab w:val="right" w:pos="9637"/>
      </w:tabs>
    </w:pPr>
  </w:style>
  <w:style w:type="paragraph" w:customStyle="1" w:styleId="Footerright">
    <w:name w:val="Footer right"/>
    <w:basedOn w:val="Standard"/>
    <w:pPr>
      <w:suppressLineNumbers/>
      <w:tabs>
        <w:tab w:val="center" w:pos="4818"/>
        <w:tab w:val="right" w:pos="9637"/>
      </w:tabs>
    </w:pPr>
  </w:style>
  <w:style w:type="paragraph" w:customStyle="1" w:styleId="Heading10">
    <w:name w:val="Heading 10"/>
    <w:basedOn w:val="Heading"/>
    <w:next w:val="Textbody"/>
    <w:rPr>
      <w:bCs/>
    </w:rPr>
  </w:style>
  <w:style w:type="paragraph" w:customStyle="1" w:styleId="Numbering1">
    <w:name w:val="Numbering 1"/>
    <w:basedOn w:val="Liste"/>
    <w:pPr>
      <w:spacing w:after="120"/>
    </w:pPr>
  </w:style>
  <w:style w:type="paragraph" w:customStyle="1" w:styleId="Table">
    <w:name w:val="Table"/>
    <w:basedOn w:val="Lgende"/>
    <w:rPr>
      <w:i w:val="0"/>
      <w:sz w:val="17"/>
    </w:rPr>
  </w:style>
  <w:style w:type="character" w:customStyle="1" w:styleId="Internetlink">
    <w:name w:val="Internet link"/>
    <w:rPr>
      <w:color w:val="000080"/>
      <w:u w:val="single"/>
    </w:rPr>
  </w:style>
  <w:style w:type="character" w:customStyle="1" w:styleId="RTFNum21">
    <w:name w:val="RTF_Num 2 1"/>
    <w:rPr>
      <w:rFonts w:ascii="Wingdings" w:eastAsia="Wingdings" w:hAnsi="Wingdings" w:cs="Wingdings"/>
    </w:rPr>
  </w:style>
  <w:style w:type="character" w:customStyle="1" w:styleId="RTFNum31">
    <w:name w:val="RTF_Num 3 1"/>
    <w:rPr>
      <w:rFonts w:cs="Times New Roman"/>
    </w:rPr>
  </w:style>
  <w:style w:type="character" w:customStyle="1" w:styleId="RTFNum32">
    <w:name w:val="RTF_Num 3 2"/>
    <w:rPr>
      <w:rFonts w:cs="Times New Roman"/>
    </w:rPr>
  </w:style>
  <w:style w:type="character" w:customStyle="1" w:styleId="RTFNum33">
    <w:name w:val="RTF_Num 3 3"/>
    <w:rPr>
      <w:rFonts w:cs="Times New Roman"/>
    </w:rPr>
  </w:style>
  <w:style w:type="character" w:customStyle="1" w:styleId="RTFNum34">
    <w:name w:val="RTF_Num 3 4"/>
    <w:rPr>
      <w:rFonts w:cs="Times New Roman"/>
    </w:rPr>
  </w:style>
  <w:style w:type="character" w:customStyle="1" w:styleId="RTFNum35">
    <w:name w:val="RTF_Num 3 5"/>
    <w:rPr>
      <w:rFonts w:cs="Times New Roman"/>
    </w:rPr>
  </w:style>
  <w:style w:type="character" w:customStyle="1" w:styleId="RTFNum36">
    <w:name w:val="RTF_Num 3 6"/>
    <w:rPr>
      <w:rFonts w:cs="Times New Roman"/>
    </w:rPr>
  </w:style>
  <w:style w:type="character" w:customStyle="1" w:styleId="RTFNum37">
    <w:name w:val="RTF_Num 3 7"/>
    <w:rPr>
      <w:rFonts w:cs="Times New Roman"/>
    </w:rPr>
  </w:style>
  <w:style w:type="character" w:customStyle="1" w:styleId="RTFNum38">
    <w:name w:val="RTF_Num 3 8"/>
    <w:rPr>
      <w:rFonts w:cs="Times New Roman"/>
    </w:rPr>
  </w:style>
  <w:style w:type="character" w:customStyle="1" w:styleId="RTFNum39">
    <w:name w:val="RTF_Num 3 9"/>
    <w:rPr>
      <w:rFonts w:cs="Times New Roman"/>
    </w:rPr>
  </w:style>
  <w:style w:type="character" w:customStyle="1" w:styleId="RTFNum41">
    <w:name w:val="RTF_Num 4 1"/>
    <w:rPr>
      <w:rFonts w:ascii="Wingdings" w:eastAsia="Wingdings" w:hAnsi="Wingdings" w:cs="Wingdings"/>
      <w:sz w:val="20"/>
      <w:szCs w:val="20"/>
    </w:rPr>
  </w:style>
  <w:style w:type="character" w:customStyle="1" w:styleId="RTFNum42">
    <w:name w:val="RTF_Num 4 2"/>
    <w:rPr>
      <w:rFonts w:ascii="Courier New" w:eastAsia="Courier New" w:hAnsi="Courier New" w:cs="Courier New"/>
    </w:rPr>
  </w:style>
  <w:style w:type="character" w:customStyle="1" w:styleId="RTFNum43">
    <w:name w:val="RTF_Num 4 3"/>
    <w:rPr>
      <w:rFonts w:ascii="Wingdings" w:eastAsia="Wingdings" w:hAnsi="Wingdings" w:cs="Wingdings"/>
    </w:rPr>
  </w:style>
  <w:style w:type="character" w:customStyle="1" w:styleId="RTFNum44">
    <w:name w:val="RTF_Num 4 4"/>
    <w:rPr>
      <w:rFonts w:ascii="Symbol" w:eastAsia="Symbol" w:hAnsi="Symbol" w:cs="Symbol"/>
    </w:rPr>
  </w:style>
  <w:style w:type="character" w:customStyle="1" w:styleId="RTFNum45">
    <w:name w:val="RTF_Num 4 5"/>
    <w:rPr>
      <w:rFonts w:ascii="Courier New" w:eastAsia="Courier New" w:hAnsi="Courier New" w:cs="Courier New"/>
    </w:rPr>
  </w:style>
  <w:style w:type="character" w:customStyle="1" w:styleId="RTFNum46">
    <w:name w:val="RTF_Num 4 6"/>
    <w:rPr>
      <w:rFonts w:ascii="Wingdings" w:eastAsia="Wingdings" w:hAnsi="Wingdings" w:cs="Wingdings"/>
    </w:rPr>
  </w:style>
  <w:style w:type="character" w:customStyle="1" w:styleId="RTFNum47">
    <w:name w:val="RTF_Num 4 7"/>
    <w:rPr>
      <w:rFonts w:ascii="Symbol" w:eastAsia="Symbol" w:hAnsi="Symbol" w:cs="Symbol"/>
    </w:rPr>
  </w:style>
  <w:style w:type="character" w:customStyle="1" w:styleId="RTFNum48">
    <w:name w:val="RTF_Num 4 8"/>
    <w:rPr>
      <w:rFonts w:ascii="Courier New" w:eastAsia="Courier New" w:hAnsi="Courier New" w:cs="Courier New"/>
    </w:rPr>
  </w:style>
  <w:style w:type="character" w:customStyle="1" w:styleId="RTFNum49">
    <w:name w:val="RTF_Num 4 9"/>
    <w:rPr>
      <w:rFonts w:ascii="Wingdings" w:eastAsia="Wingdings" w:hAnsi="Wingdings" w:cs="Wingdings"/>
    </w:rPr>
  </w:style>
  <w:style w:type="character" w:customStyle="1" w:styleId="Titre1Car">
    <w:name w:val="Titre 1 Car"/>
    <w:basedOn w:val="Policepardfaut"/>
    <w:rPr>
      <w:rFonts w:ascii="Arial" w:eastAsia="Arial" w:hAnsi="Arial" w:cs="Arial"/>
      <w:color w:val="808080"/>
      <w:sz w:val="24"/>
      <w:szCs w:val="24"/>
    </w:rPr>
  </w:style>
  <w:style w:type="character" w:customStyle="1" w:styleId="Titre2Car">
    <w:name w:val="Titre 2 Car"/>
    <w:basedOn w:val="Policepardfaut"/>
    <w:rPr>
      <w:rFonts w:ascii="Arial" w:eastAsia="Arial" w:hAnsi="Arial" w:cs="Arial"/>
      <w:b/>
      <w:bCs/>
      <w:i/>
      <w:iCs/>
      <w:sz w:val="28"/>
      <w:szCs w:val="28"/>
    </w:rPr>
  </w:style>
  <w:style w:type="character" w:customStyle="1" w:styleId="Titre3Car">
    <w:name w:val="Titre 3 Car"/>
    <w:basedOn w:val="Policepardfaut"/>
    <w:rPr>
      <w:rFonts w:ascii="Arial" w:eastAsia="Arial" w:hAnsi="Arial" w:cs="Arial"/>
      <w:b/>
      <w:bCs/>
      <w:sz w:val="26"/>
      <w:szCs w:val="26"/>
    </w:rPr>
  </w:style>
  <w:style w:type="character" w:customStyle="1" w:styleId="CorpsdetexteCar">
    <w:name w:val="Corps de texte Car"/>
    <w:basedOn w:val="Policepardfaut"/>
    <w:rPr>
      <w:rFonts w:ascii="Arial" w:eastAsia="Arial" w:hAnsi="Arial" w:cs="Arial"/>
      <w:b/>
      <w:bCs/>
      <w:sz w:val="24"/>
      <w:szCs w:val="24"/>
    </w:rPr>
  </w:style>
  <w:style w:type="character" w:customStyle="1" w:styleId="En-tteCar">
    <w:name w:val="En-tête Car"/>
    <w:basedOn w:val="Policepardfaut"/>
    <w:rPr>
      <w:rFonts w:ascii="Arial" w:eastAsia="Arial" w:hAnsi="Arial" w:cs="Arial"/>
      <w:sz w:val="24"/>
      <w:szCs w:val="24"/>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StrongEmphasis">
    <w:name w:val="Strong Emphasis"/>
    <w:rPr>
      <w:b/>
      <w:bCs/>
    </w:rPr>
  </w:style>
  <w:style w:type="character" w:customStyle="1" w:styleId="IndexLink">
    <w:name w:val="Index Link"/>
  </w:style>
  <w:style w:type="numbering" w:customStyle="1" w:styleId="Numbering11">
    <w:name w:val="Numbering 1_1"/>
    <w:basedOn w:val="Aucuneliste"/>
    <w:pPr>
      <w:numPr>
        <w:numId w:val="2"/>
      </w:numPr>
    </w:pPr>
  </w:style>
  <w:style w:type="numbering" w:customStyle="1" w:styleId="Numbering2">
    <w:name w:val="Numbering 2"/>
    <w:basedOn w:val="Aucuneliste"/>
    <w:pPr>
      <w:numPr>
        <w:numId w:val="3"/>
      </w:numPr>
    </w:pPr>
  </w:style>
  <w:style w:type="numbering" w:customStyle="1" w:styleId="Numbering3">
    <w:name w:val="Numbering 3"/>
    <w:basedOn w:val="Aucuneliste"/>
    <w:pPr>
      <w:numPr>
        <w:numId w:val="4"/>
      </w:numPr>
    </w:pPr>
  </w:style>
  <w:style w:type="numbering" w:customStyle="1" w:styleId="Numbering4">
    <w:name w:val="Numbering 4"/>
    <w:basedOn w:val="Aucuneliste"/>
    <w:pPr>
      <w:numPr>
        <w:numId w:val="5"/>
      </w:numPr>
    </w:pPr>
  </w:style>
  <w:style w:type="numbering" w:customStyle="1" w:styleId="Numbering5">
    <w:name w:val="Numbering 5"/>
    <w:basedOn w:val="Aucuneliste"/>
    <w:pPr>
      <w:numPr>
        <w:numId w:val="6"/>
      </w:numPr>
    </w:pPr>
  </w:style>
  <w:style w:type="numbering" w:customStyle="1" w:styleId="List1">
    <w:name w:val="List 1"/>
    <w:basedOn w:val="Aucuneliste"/>
    <w:pPr>
      <w:numPr>
        <w:numId w:val="7"/>
      </w:numPr>
    </w:pPr>
  </w:style>
  <w:style w:type="numbering" w:customStyle="1" w:styleId="Liste21">
    <w:name w:val="Liste 21"/>
    <w:basedOn w:val="Aucuneliste"/>
    <w:pPr>
      <w:numPr>
        <w:numId w:val="8"/>
      </w:numPr>
    </w:pPr>
  </w:style>
  <w:style w:type="numbering" w:customStyle="1" w:styleId="Liste31">
    <w:name w:val="Liste 31"/>
    <w:basedOn w:val="Aucuneliste"/>
    <w:pPr>
      <w:numPr>
        <w:numId w:val="9"/>
      </w:numPr>
    </w:pPr>
  </w:style>
  <w:style w:type="numbering" w:customStyle="1" w:styleId="Liste41">
    <w:name w:val="Liste 41"/>
    <w:basedOn w:val="Aucuneliste"/>
    <w:pPr>
      <w:numPr>
        <w:numId w:val="10"/>
      </w:numPr>
    </w:pPr>
  </w:style>
  <w:style w:type="numbering" w:customStyle="1" w:styleId="Liste51">
    <w:name w:val="Liste 51"/>
    <w:basedOn w:val="Aucuneliste"/>
    <w:pPr>
      <w:numPr>
        <w:numId w:val="11"/>
      </w:numPr>
    </w:pPr>
  </w:style>
  <w:style w:type="numbering" w:customStyle="1" w:styleId="RTFNum2">
    <w:name w:val="RTF_Num 2"/>
    <w:basedOn w:val="Aucuneliste"/>
    <w:pPr>
      <w:numPr>
        <w:numId w:val="12"/>
      </w:numPr>
    </w:pPr>
  </w:style>
  <w:style w:type="numbering" w:customStyle="1" w:styleId="RTFNum3">
    <w:name w:val="RTF_Num 3"/>
    <w:basedOn w:val="Aucuneliste"/>
    <w:pPr>
      <w:numPr>
        <w:numId w:val="13"/>
      </w:numPr>
    </w:pPr>
  </w:style>
  <w:style w:type="numbering" w:customStyle="1" w:styleId="RTFNum4">
    <w:name w:val="RTF_Num 4"/>
    <w:basedOn w:val="Aucuneliste"/>
    <w:pPr>
      <w:numPr>
        <w:numId w:val="14"/>
      </w:numPr>
    </w:pPr>
  </w:style>
  <w:style w:type="paragraph" w:styleId="Textedebulles">
    <w:name w:val="Balloon Text"/>
    <w:basedOn w:val="Normal"/>
    <w:link w:val="TextedebullesCar"/>
    <w:uiPriority w:val="99"/>
    <w:semiHidden/>
    <w:unhideWhenUsed/>
    <w:rsid w:val="006660C0"/>
    <w:rPr>
      <w:rFonts w:ascii="Tahoma" w:hAnsi="Tahoma"/>
      <w:sz w:val="16"/>
      <w:szCs w:val="16"/>
    </w:rPr>
  </w:style>
  <w:style w:type="character" w:customStyle="1" w:styleId="TextedebullesCar">
    <w:name w:val="Texte de bulles Car"/>
    <w:basedOn w:val="Policepardfaut"/>
    <w:link w:val="Textedebulles"/>
    <w:uiPriority w:val="99"/>
    <w:semiHidden/>
    <w:rsid w:val="006660C0"/>
    <w:rPr>
      <w:rFonts w:ascii="Tahoma" w:hAnsi="Tahoma"/>
      <w:sz w:val="16"/>
      <w:szCs w:val="16"/>
    </w:rPr>
  </w:style>
  <w:style w:type="character" w:styleId="Lienhypertexte">
    <w:name w:val="Hyperlink"/>
    <w:basedOn w:val="Policepardfaut"/>
    <w:uiPriority w:val="99"/>
    <w:unhideWhenUsed/>
    <w:rsid w:val="0060507F"/>
    <w:rPr>
      <w:color w:val="0000FF" w:themeColor="hyperlink"/>
      <w:u w:val="single"/>
    </w:rPr>
  </w:style>
  <w:style w:type="paragraph" w:styleId="TM1">
    <w:name w:val="toc 1"/>
    <w:basedOn w:val="Normal"/>
    <w:next w:val="Normal"/>
    <w:autoRedefine/>
    <w:uiPriority w:val="39"/>
    <w:unhideWhenUsed/>
    <w:rsid w:val="00880231"/>
    <w:pPr>
      <w:tabs>
        <w:tab w:val="left" w:pos="1320"/>
        <w:tab w:val="right" w:leader="dot" w:pos="9639"/>
      </w:tabs>
      <w:spacing w:after="100"/>
      <w:jc w:val="center"/>
    </w:pPr>
    <w:rPr>
      <w:rFonts w:ascii="Arial" w:hAnsi="Arial" w:cs="Arial"/>
      <w:b/>
      <w:sz w:val="28"/>
      <w:szCs w:val="28"/>
    </w:rPr>
  </w:style>
  <w:style w:type="paragraph" w:styleId="TM2">
    <w:name w:val="toc 2"/>
    <w:basedOn w:val="Normal"/>
    <w:next w:val="Normal"/>
    <w:autoRedefine/>
    <w:uiPriority w:val="39"/>
    <w:unhideWhenUsed/>
    <w:rsid w:val="0046413D"/>
    <w:pPr>
      <w:spacing w:after="100"/>
      <w:ind w:left="240"/>
    </w:pPr>
  </w:style>
  <w:style w:type="paragraph" w:styleId="Corpsdetexte">
    <w:name w:val="Body Text"/>
    <w:basedOn w:val="Normal"/>
    <w:link w:val="CorpsdetexteCar1"/>
    <w:semiHidden/>
    <w:rsid w:val="0016645E"/>
    <w:pPr>
      <w:keepLines/>
      <w:widowControl/>
      <w:suppressAutoHyphens w:val="0"/>
      <w:autoSpaceDN/>
      <w:spacing w:before="120"/>
      <w:jc w:val="both"/>
      <w:textAlignment w:val="auto"/>
    </w:pPr>
    <w:rPr>
      <w:rFonts w:ascii="Arial" w:eastAsia="Times New Roman" w:hAnsi="Arial" w:cs="Times New Roman"/>
      <w:kern w:val="0"/>
      <w:sz w:val="20"/>
      <w:szCs w:val="20"/>
      <w:lang w:eastAsia="fr-FR" w:bidi="ar-SA"/>
    </w:rPr>
  </w:style>
  <w:style w:type="character" w:customStyle="1" w:styleId="CorpsdetexteCar1">
    <w:name w:val="Corps de texte Car1"/>
    <w:basedOn w:val="Policepardfaut"/>
    <w:link w:val="Corpsdetexte"/>
    <w:semiHidden/>
    <w:rsid w:val="0016645E"/>
    <w:rPr>
      <w:rFonts w:ascii="Arial" w:eastAsia="Times New Roman" w:hAnsi="Arial" w:cs="Times New Roman"/>
      <w:kern w:val="0"/>
      <w:sz w:val="20"/>
      <w:szCs w:val="20"/>
      <w:lang w:val="fr-FR" w:eastAsia="fr-FR" w:bidi="ar-SA"/>
    </w:rPr>
  </w:style>
  <w:style w:type="paragraph" w:customStyle="1" w:styleId="Annexes">
    <w:name w:val="Annexes"/>
    <w:basedOn w:val="Normal"/>
    <w:next w:val="Normal"/>
    <w:rsid w:val="0016645E"/>
    <w:pPr>
      <w:keepNext/>
      <w:keepLines/>
      <w:pageBreakBefore/>
      <w:widowControl/>
      <w:numPr>
        <w:numId w:val="15"/>
      </w:numPr>
      <w:tabs>
        <w:tab w:val="clear" w:pos="1800"/>
        <w:tab w:val="num" w:pos="1701"/>
      </w:tabs>
      <w:suppressAutoHyphens w:val="0"/>
      <w:autoSpaceDN/>
      <w:spacing w:before="120" w:after="120"/>
      <w:ind w:left="1701" w:hanging="1701"/>
      <w:jc w:val="both"/>
      <w:textAlignment w:val="auto"/>
    </w:pPr>
    <w:rPr>
      <w:rFonts w:ascii="Arial" w:eastAsia="Times New Roman" w:hAnsi="Arial" w:cs="Times New Roman"/>
      <w:b/>
      <w:kern w:val="0"/>
      <w:szCs w:val="20"/>
      <w:lang w:eastAsia="fr-FR" w:bidi="ar-SA"/>
    </w:rPr>
  </w:style>
  <w:style w:type="character" w:styleId="Marquedecommentaire">
    <w:name w:val="annotation reference"/>
    <w:basedOn w:val="Policepardfaut"/>
    <w:uiPriority w:val="99"/>
    <w:semiHidden/>
    <w:unhideWhenUsed/>
    <w:rsid w:val="00033B76"/>
    <w:rPr>
      <w:sz w:val="16"/>
      <w:szCs w:val="16"/>
    </w:rPr>
  </w:style>
  <w:style w:type="paragraph" w:styleId="Commentaire">
    <w:name w:val="annotation text"/>
    <w:basedOn w:val="Normal"/>
    <w:link w:val="CommentaireCar"/>
    <w:uiPriority w:val="99"/>
    <w:semiHidden/>
    <w:unhideWhenUsed/>
    <w:rsid w:val="00033B76"/>
    <w:rPr>
      <w:sz w:val="20"/>
      <w:szCs w:val="20"/>
    </w:rPr>
  </w:style>
  <w:style w:type="character" w:customStyle="1" w:styleId="CommentaireCar">
    <w:name w:val="Commentaire Car"/>
    <w:basedOn w:val="Policepardfaut"/>
    <w:link w:val="Commentaire"/>
    <w:uiPriority w:val="99"/>
    <w:semiHidden/>
    <w:rsid w:val="00033B76"/>
    <w:rPr>
      <w:sz w:val="20"/>
      <w:szCs w:val="20"/>
    </w:rPr>
  </w:style>
  <w:style w:type="paragraph" w:styleId="Objetducommentaire">
    <w:name w:val="annotation subject"/>
    <w:basedOn w:val="Commentaire"/>
    <w:next w:val="Commentaire"/>
    <w:link w:val="ObjetducommentaireCar"/>
    <w:uiPriority w:val="99"/>
    <w:semiHidden/>
    <w:unhideWhenUsed/>
    <w:rsid w:val="00033B76"/>
    <w:rPr>
      <w:b/>
      <w:bCs/>
    </w:rPr>
  </w:style>
  <w:style w:type="character" w:customStyle="1" w:styleId="ObjetducommentaireCar">
    <w:name w:val="Objet du commentaire Car"/>
    <w:basedOn w:val="CommentaireCar"/>
    <w:link w:val="Objetducommentaire"/>
    <w:uiPriority w:val="99"/>
    <w:semiHidden/>
    <w:rsid w:val="00033B76"/>
    <w:rPr>
      <w:b/>
      <w:bCs/>
      <w:sz w:val="20"/>
      <w:szCs w:val="20"/>
    </w:rPr>
  </w:style>
  <w:style w:type="paragraph" w:styleId="Paragraphedeliste">
    <w:name w:val="List Paragraph"/>
    <w:basedOn w:val="Normal"/>
    <w:uiPriority w:val="34"/>
    <w:qFormat/>
    <w:rsid w:val="00E9359C"/>
    <w:pPr>
      <w:ind w:left="720"/>
      <w:contextualSpacing/>
    </w:pPr>
  </w:style>
  <w:style w:type="paragraph" w:styleId="Listepuces">
    <w:name w:val="List Bullet"/>
    <w:basedOn w:val="Normal"/>
    <w:rsid w:val="00592911"/>
    <w:pPr>
      <w:keepLines/>
      <w:widowControl/>
      <w:suppressAutoHyphens w:val="0"/>
      <w:autoSpaceDN/>
      <w:ind w:left="283" w:hanging="283"/>
      <w:jc w:val="both"/>
      <w:textAlignment w:val="auto"/>
    </w:pPr>
    <w:rPr>
      <w:rFonts w:ascii="Arial" w:eastAsia="Times New Roman" w:hAnsi="Arial" w:cs="Times New Roman"/>
      <w:kern w:val="0"/>
      <w:sz w:val="20"/>
      <w:szCs w:val="20"/>
      <w:lang w:eastAsia="fr-FR" w:bidi="ar-SA"/>
    </w:rPr>
  </w:style>
  <w:style w:type="paragraph" w:customStyle="1" w:styleId="ZEmetteur">
    <w:name w:val="*ZEmetteur"/>
    <w:basedOn w:val="Normal"/>
    <w:qFormat/>
    <w:rsid w:val="008D054A"/>
    <w:pPr>
      <w:widowControl/>
      <w:suppressAutoHyphens w:val="0"/>
      <w:autoSpaceDN/>
      <w:jc w:val="right"/>
      <w:textAlignment w:val="auto"/>
    </w:pPr>
    <w:rPr>
      <w:rFonts w:ascii="Marianne" w:eastAsiaTheme="minorHAnsi" w:hAnsi="Marianne" w:cs="Arial"/>
      <w:b/>
      <w:noProof/>
      <w:kern w:val="0"/>
      <w:lang w:eastAsia="fr-FR" w:bidi="ar-SA"/>
    </w:rPr>
  </w:style>
  <w:style w:type="character" w:customStyle="1" w:styleId="PieddepageCar">
    <w:name w:val="Pied de page Car"/>
    <w:basedOn w:val="Policepardfaut"/>
    <w:link w:val="Pieddepage"/>
    <w:uiPriority w:val="99"/>
    <w:rsid w:val="003F2CDF"/>
    <w:rPr>
      <w:rFonts w:asciiTheme="minorHAnsi" w:hAnsiTheme="minorHAnsi" w:cstheme="minorHAnsi"/>
      <w:sz w:val="18"/>
      <w:lang w:val="fr-FR"/>
    </w:rPr>
  </w:style>
  <w:style w:type="table" w:styleId="Grilledutableau">
    <w:name w:val="Table Grid"/>
    <w:basedOn w:val="TableauNormal"/>
    <w:uiPriority w:val="59"/>
    <w:rsid w:val="009874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OutlineListStyle1">
    <w:name w:val="WW_OutlineListStyle1"/>
    <w:basedOn w:val="Aucuneliste"/>
    <w:rsid w:val="0073564A"/>
  </w:style>
  <w:style w:type="paragraph" w:styleId="En-ttedetabledesmatires">
    <w:name w:val="TOC Heading"/>
    <w:basedOn w:val="Titre1"/>
    <w:next w:val="Normal"/>
    <w:uiPriority w:val="39"/>
    <w:unhideWhenUsed/>
    <w:qFormat/>
    <w:rsid w:val="00AA2786"/>
    <w:pPr>
      <w:keepLines/>
      <w:widowControl/>
      <w:numPr>
        <w:numId w:val="0"/>
      </w:numPr>
      <w:tabs>
        <w:tab w:val="clear" w:pos="567"/>
      </w:tabs>
      <w:suppressAutoHyphens w:val="0"/>
      <w:autoSpaceDN/>
      <w:spacing w:before="240" w:line="259" w:lineRule="auto"/>
      <w:jc w:val="left"/>
      <w:outlineLvl w:val="9"/>
    </w:pPr>
    <w:rPr>
      <w:rFonts w:asciiTheme="majorHAnsi" w:eastAsiaTheme="majorEastAsia" w:hAnsiTheme="majorHAnsi" w:cstheme="majorBidi"/>
      <w:color w:val="244061" w:themeColor="accent1" w:themeShade="80"/>
      <w:kern w:val="0"/>
      <w:sz w:val="32"/>
      <w:szCs w:val="32"/>
      <w:lang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220583">
      <w:bodyDiv w:val="1"/>
      <w:marLeft w:val="0"/>
      <w:marRight w:val="0"/>
      <w:marTop w:val="0"/>
      <w:marBottom w:val="0"/>
      <w:divBdr>
        <w:top w:val="none" w:sz="0" w:space="0" w:color="auto"/>
        <w:left w:val="none" w:sz="0" w:space="0" w:color="auto"/>
        <w:bottom w:val="none" w:sz="0" w:space="0" w:color="auto"/>
        <w:right w:val="none" w:sz="0" w:space="0" w:color="auto"/>
      </w:divBdr>
    </w:div>
    <w:div w:id="472407609">
      <w:bodyDiv w:val="1"/>
      <w:marLeft w:val="0"/>
      <w:marRight w:val="0"/>
      <w:marTop w:val="0"/>
      <w:marBottom w:val="0"/>
      <w:divBdr>
        <w:top w:val="none" w:sz="0" w:space="0" w:color="auto"/>
        <w:left w:val="none" w:sz="0" w:space="0" w:color="auto"/>
        <w:bottom w:val="none" w:sz="0" w:space="0" w:color="auto"/>
        <w:right w:val="none" w:sz="0" w:space="0" w:color="auto"/>
      </w:divBdr>
    </w:div>
    <w:div w:id="586496940">
      <w:bodyDiv w:val="1"/>
      <w:marLeft w:val="0"/>
      <w:marRight w:val="0"/>
      <w:marTop w:val="0"/>
      <w:marBottom w:val="0"/>
      <w:divBdr>
        <w:top w:val="none" w:sz="0" w:space="0" w:color="auto"/>
        <w:left w:val="none" w:sz="0" w:space="0" w:color="auto"/>
        <w:bottom w:val="none" w:sz="0" w:space="0" w:color="auto"/>
        <w:right w:val="none" w:sz="0" w:space="0" w:color="auto"/>
      </w:divBdr>
    </w:div>
    <w:div w:id="610823822">
      <w:bodyDiv w:val="1"/>
      <w:marLeft w:val="0"/>
      <w:marRight w:val="0"/>
      <w:marTop w:val="0"/>
      <w:marBottom w:val="0"/>
      <w:divBdr>
        <w:top w:val="none" w:sz="0" w:space="0" w:color="auto"/>
        <w:left w:val="none" w:sz="0" w:space="0" w:color="auto"/>
        <w:bottom w:val="none" w:sz="0" w:space="0" w:color="auto"/>
        <w:right w:val="none" w:sz="0" w:space="0" w:color="auto"/>
      </w:divBdr>
    </w:div>
    <w:div w:id="738669391">
      <w:bodyDiv w:val="1"/>
      <w:marLeft w:val="0"/>
      <w:marRight w:val="0"/>
      <w:marTop w:val="0"/>
      <w:marBottom w:val="0"/>
      <w:divBdr>
        <w:top w:val="none" w:sz="0" w:space="0" w:color="auto"/>
        <w:left w:val="none" w:sz="0" w:space="0" w:color="auto"/>
        <w:bottom w:val="none" w:sz="0" w:space="0" w:color="auto"/>
        <w:right w:val="none" w:sz="0" w:space="0" w:color="auto"/>
      </w:divBdr>
    </w:div>
    <w:div w:id="755596687">
      <w:bodyDiv w:val="1"/>
      <w:marLeft w:val="0"/>
      <w:marRight w:val="0"/>
      <w:marTop w:val="0"/>
      <w:marBottom w:val="0"/>
      <w:divBdr>
        <w:top w:val="none" w:sz="0" w:space="0" w:color="auto"/>
        <w:left w:val="none" w:sz="0" w:space="0" w:color="auto"/>
        <w:bottom w:val="none" w:sz="0" w:space="0" w:color="auto"/>
        <w:right w:val="none" w:sz="0" w:space="0" w:color="auto"/>
      </w:divBdr>
    </w:div>
    <w:div w:id="926496196">
      <w:bodyDiv w:val="1"/>
      <w:marLeft w:val="0"/>
      <w:marRight w:val="0"/>
      <w:marTop w:val="0"/>
      <w:marBottom w:val="0"/>
      <w:divBdr>
        <w:top w:val="none" w:sz="0" w:space="0" w:color="auto"/>
        <w:left w:val="none" w:sz="0" w:space="0" w:color="auto"/>
        <w:bottom w:val="none" w:sz="0" w:space="0" w:color="auto"/>
        <w:right w:val="none" w:sz="0" w:space="0" w:color="auto"/>
      </w:divBdr>
    </w:div>
    <w:div w:id="1494377186">
      <w:bodyDiv w:val="1"/>
      <w:marLeft w:val="0"/>
      <w:marRight w:val="0"/>
      <w:marTop w:val="0"/>
      <w:marBottom w:val="0"/>
      <w:divBdr>
        <w:top w:val="none" w:sz="0" w:space="0" w:color="auto"/>
        <w:left w:val="none" w:sz="0" w:space="0" w:color="auto"/>
        <w:bottom w:val="none" w:sz="0" w:space="0" w:color="auto"/>
        <w:right w:val="none" w:sz="0" w:space="0" w:color="auto"/>
      </w:divBdr>
    </w:div>
    <w:div w:id="1968778773">
      <w:bodyDiv w:val="1"/>
      <w:marLeft w:val="0"/>
      <w:marRight w:val="0"/>
      <w:marTop w:val="0"/>
      <w:marBottom w:val="0"/>
      <w:divBdr>
        <w:top w:val="none" w:sz="0" w:space="0" w:color="auto"/>
        <w:left w:val="none" w:sz="0" w:space="0" w:color="auto"/>
        <w:bottom w:val="none" w:sz="0" w:space="0" w:color="auto"/>
        <w:right w:val="none" w:sz="0" w:space="0" w:color="auto"/>
      </w:divBdr>
    </w:div>
    <w:div w:id="2033534320">
      <w:bodyDiv w:val="1"/>
      <w:marLeft w:val="0"/>
      <w:marRight w:val="0"/>
      <w:marTop w:val="0"/>
      <w:marBottom w:val="0"/>
      <w:divBdr>
        <w:top w:val="none" w:sz="0" w:space="0" w:color="auto"/>
        <w:left w:val="none" w:sz="0" w:space="0" w:color="auto"/>
        <w:bottom w:val="none" w:sz="0" w:space="0" w:color="auto"/>
        <w:right w:val="none" w:sz="0" w:space="0" w:color="auto"/>
      </w:divBdr>
    </w:div>
    <w:div w:id="20893059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chorus-pro.gouv.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aurence1.villard@intradef.gouv.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rigitte.bournat@intradef.gouv.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benoit-joseph.brunot@intradef.gouv.fr" TargetMode="External"/><Relationship Id="rId4" Type="http://schemas.openxmlformats.org/officeDocument/2006/relationships/settings" Target="settings.xml"/><Relationship Id="rId9" Type="http://schemas.openxmlformats.org/officeDocument/2006/relationships/hyperlink" Target="mailto:claire.rochas@intradef.gouv.fr" TargetMode="External"/><Relationship Id="rId14" Type="http://schemas.openxmlformats.org/officeDocument/2006/relationships/hyperlink" Target="https://communaute-chorus-pro.finance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A94C57-A8B6-4AC1-A67A-8C93A1D95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588</TotalTime>
  <Pages>11</Pages>
  <Words>3252</Words>
  <Characters>17886</Characters>
  <Application>Microsoft Office Word</Application>
  <DocSecurity>0</DocSecurity>
  <Lines>149</Lines>
  <Paragraphs>42</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21096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BOURNAT BRIGITTE ADJ ADM PPAL 2CL</dc:creator>
  <cp:lastModifiedBy>BRUNOT Benoit Joseph TSEF 3CL</cp:lastModifiedBy>
  <cp:revision>180</cp:revision>
  <cp:lastPrinted>2020-01-13T09:40:00Z</cp:lastPrinted>
  <dcterms:created xsi:type="dcterms:W3CDTF">2020-08-28T14:10:00Z</dcterms:created>
  <dcterms:modified xsi:type="dcterms:W3CDTF">2025-08-11T11:35:00Z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