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2452158F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A722A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3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a</w:t>
            </w:r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mélioration</w:t>
            </w:r>
            <w:proofErr w:type="spellEnd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D75CA0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BE</w:t>
            </w:r>
            <w:r w:rsidR="00A722A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LOUVE 49/</w:t>
            </w:r>
            <w:proofErr w:type="gramStart"/>
            <w:r w:rsidR="00A722A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50 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Cryptoméria</w:t>
            </w:r>
            <w:proofErr w:type="gram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286BC9F9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D75CA0">
        <w:rPr>
          <w:sz w:val="22"/>
          <w:szCs w:val="22"/>
        </w:rPr>
        <w:t>BE</w:t>
      </w:r>
      <w:r w:rsidR="00A722A7">
        <w:rPr>
          <w:sz w:val="22"/>
          <w:szCs w:val="22"/>
        </w:rPr>
        <w:t>LOUVE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085F1D9F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A722A7">
        <w:rPr>
          <w:sz w:val="22"/>
          <w:szCs w:val="22"/>
        </w:rPr>
        <w:t>BELOUVE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A722A7" w:rsidRPr="00A722A7">
        <w:rPr>
          <w:sz w:val="22"/>
          <w:szCs w:val="22"/>
          <w:highlight w:val="yellow"/>
        </w:rPr>
        <w:t>49/50</w:t>
      </w:r>
      <w:r w:rsidR="00A722A7">
        <w:rPr>
          <w:sz w:val="22"/>
          <w:szCs w:val="22"/>
        </w:rPr>
        <w:t xml:space="preserve"> 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50EC0C4C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A722A7">
        <w:rPr>
          <w:b/>
          <w:bCs/>
          <w:color w:val="000000" w:themeColor="text1"/>
          <w:sz w:val="22"/>
          <w:szCs w:val="22"/>
        </w:rPr>
        <w:t>3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2D648F42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A722A7">
        <w:rPr>
          <w:rFonts w:ascii="Arial" w:hAnsi="Arial" w:cs="Arial"/>
          <w:b/>
          <w:sz w:val="20"/>
          <w:u w:val="single"/>
        </w:rPr>
        <w:t>420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lastRenderedPageBreak/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2DB3CC5A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A722A7">
        <w:rPr>
          <w:rFonts w:ascii="Arial" w:hAnsi="Arial" w:cs="Arial"/>
          <w:b/>
          <w:bCs/>
          <w:sz w:val="20"/>
          <w:szCs w:val="20"/>
          <w:highlight w:val="yellow"/>
        </w:rPr>
        <w:t>300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107D0368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A722A7">
        <w:rPr>
          <w:rFonts w:ascii="Arial" w:hAnsi="Arial" w:cs="Arial"/>
          <w:b/>
          <w:bCs/>
          <w:sz w:val="20"/>
          <w:szCs w:val="20"/>
          <w:highlight w:val="yellow"/>
        </w:rPr>
        <w:t>120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BE0C771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A722A7">
            <w:rPr>
              <w:rFonts w:ascii="Arial" w:hAnsi="Arial" w:cs="Arial"/>
              <w:b/>
              <w:bCs/>
              <w:sz w:val="20"/>
            </w:rPr>
            <w:t>3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010E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42FF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07BF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2A7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780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1423</Words>
  <Characters>9539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2025-08-05T11:11:00Z</dcterms:created>
  <dcterms:modified xsi:type="dcterms:W3CDTF">2025-08-05T11:14:00Z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