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00944D7C" w:rsidRDefault="00B94458" w14:paraId="58A74CA9" wp14:textId="77777777">
      <w:pPr>
        <w:keepLines/>
        <w:spacing w:before="57"/>
        <w:jc w:val="both"/>
        <w:textAlignment w:val="center"/>
        <w:rPr>
          <w:rFonts w:ascii="Arial, sans-serif" w:hAnsi="Arial, sans-serif"/>
          <w:sz w:val="20"/>
        </w:rPr>
      </w:pPr>
      <w:r>
        <w:rPr>
          <w:rFonts w:ascii="Arial, sans-serif" w:hAnsi="Arial, sans-serif"/>
          <w:sz w:val="20"/>
        </w:rPr>
        <w:t>Préfet de Nouvelle Aquitaine</w:t>
      </w:r>
    </w:p>
    <w:p xmlns:wp14="http://schemas.microsoft.com/office/word/2010/wordml" w:rsidR="00944D7C" w:rsidRDefault="00B94458" w14:paraId="5424DD79" wp14:textId="77777777">
      <w:pPr>
        <w:keepLines/>
        <w:spacing w:before="57"/>
        <w:jc w:val="both"/>
        <w:textAlignment w:val="center"/>
        <w:rPr>
          <w:rFonts w:ascii="Arial, sans-serif" w:hAnsi="Arial, sans-serif"/>
          <w:sz w:val="20"/>
        </w:rPr>
      </w:pPr>
      <w:r>
        <w:rPr>
          <w:rFonts w:ascii="Arial, sans-serif" w:hAnsi="Arial, sans-serif"/>
          <w:sz w:val="20"/>
        </w:rPr>
        <w:t>Direction Régionale de l’Economie, de l’Emploi,</w:t>
      </w:r>
    </w:p>
    <w:p xmlns:wp14="http://schemas.microsoft.com/office/word/2010/wordml" w:rsidR="00944D7C" w:rsidRDefault="00B94458" w14:paraId="76DCB4C6" wp14:textId="77777777">
      <w:pPr>
        <w:pStyle w:val="Textbody"/>
      </w:pPr>
      <w:r>
        <w:rPr>
          <w:rFonts w:ascii="Times New Roman" w:hAnsi="Times New Roman"/>
          <w:sz w:val="24"/>
        </w:rPr>
        <w:t>Du Travail et des Solidarités de Nouvelle Aquitaine</w:t>
      </w:r>
    </w:p>
    <w:p xmlns:wp14="http://schemas.microsoft.com/office/word/2010/wordml" w:rsidR="00944D7C" w:rsidRDefault="00944D7C" w14:paraId="672A6659" wp14:textId="77777777">
      <w:pPr>
        <w:pStyle w:val="Textbody"/>
      </w:pPr>
    </w:p>
    <w:p xmlns:wp14="http://schemas.microsoft.com/office/word/2010/wordml" w:rsidR="00944D7C" w:rsidRDefault="00944D7C" w14:paraId="0A37501D" wp14:textId="77777777">
      <w:pPr>
        <w:pStyle w:val="Textbody"/>
      </w:pPr>
    </w:p>
    <w:p xmlns:wp14="http://schemas.microsoft.com/office/word/2010/wordml" w:rsidR="00944D7C" w:rsidRDefault="00944D7C" w14:paraId="5DAB6C7B" wp14:textId="77777777">
      <w:pPr>
        <w:pStyle w:val="Textbody"/>
      </w:pPr>
    </w:p>
    <w:p xmlns:wp14="http://schemas.microsoft.com/office/word/2010/wordml" w:rsidR="00944D7C" w:rsidRDefault="00944D7C" w14:paraId="02EB378F" wp14:textId="77777777">
      <w:pPr>
        <w:pStyle w:val="Textbody"/>
      </w:pPr>
    </w:p>
    <w:p xmlns:wp14="http://schemas.microsoft.com/office/word/2010/wordml" w:rsidR="00944D7C" w:rsidRDefault="00944D7C" w14:paraId="6A05A809" wp14:textId="77777777">
      <w:pPr>
        <w:pStyle w:val="Textbody"/>
      </w:pPr>
    </w:p>
    <w:p xmlns:wp14="http://schemas.microsoft.com/office/word/2010/wordml" w:rsidR="00944D7C" w:rsidRDefault="00944D7C" w14:paraId="5A39BBE3" wp14:textId="77777777">
      <w:pPr>
        <w:pStyle w:val="Textbody"/>
      </w:pPr>
    </w:p>
    <w:p xmlns:wp14="http://schemas.microsoft.com/office/word/2010/wordml" w:rsidR="00944D7C" w:rsidRDefault="00944D7C" w14:paraId="41C8F396" wp14:textId="77777777">
      <w:pPr>
        <w:pStyle w:val="Textbody"/>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xmlns:wp14="http://schemas.microsoft.com/office/word/2010/wordml" w:rsidR="00944D7C" w:rsidTr="04704EBC" w14:paraId="7164184D" wp14:textId="77777777">
        <w:tblPrEx>
          <w:tblCellMar>
            <w:top w:w="0" w:type="dxa"/>
            <w:bottom w:w="0" w:type="dxa"/>
          </w:tblCellMar>
        </w:tblPrEx>
        <w:trPr>
          <w:trHeight w:val="1163"/>
          <w:jc w:val="center"/>
        </w:trPr>
        <w:tc>
          <w:tcPr>
            <w:tcW w:w="557" w:type="dxa"/>
            <w:tcBorders>
              <w:top w:val="single" w:color="000000" w:themeColor="text1" w:sz="2" w:space="0"/>
              <w:left w:val="single" w:color="000000" w:themeColor="text1" w:sz="2" w:space="0"/>
            </w:tcBorders>
            <w:shd w:val="clear" w:color="auto" w:fill="auto"/>
            <w:tcMar>
              <w:top w:w="55" w:type="dxa"/>
              <w:left w:w="55" w:type="dxa"/>
              <w:bottom w:w="55" w:type="dxa"/>
              <w:right w:w="55" w:type="dxa"/>
            </w:tcMar>
          </w:tcPr>
          <w:p w:rsidR="00944D7C" w:rsidRDefault="00944D7C" w14:paraId="72A3D3EC" wp14:textId="77777777">
            <w:pPr>
              <w:pStyle w:val="TableContents"/>
              <w:rPr>
                <w:sz w:val="22"/>
              </w:rPr>
            </w:pPr>
          </w:p>
        </w:tc>
        <w:tc>
          <w:tcPr>
            <w:tcW w:w="8520" w:type="dxa"/>
            <w:tcBorders>
              <w:top w:val="single" w:color="000000" w:themeColor="text1" w:sz="2" w:space="0"/>
            </w:tcBorders>
            <w:shd w:val="clear" w:color="auto" w:fill="auto"/>
            <w:tcMar>
              <w:top w:w="55" w:type="dxa"/>
              <w:left w:w="55" w:type="dxa"/>
              <w:bottom w:w="55" w:type="dxa"/>
              <w:right w:w="55" w:type="dxa"/>
            </w:tcMar>
            <w:vAlign w:val="center"/>
          </w:tcPr>
          <w:p w:rsidR="00944D7C" w:rsidRDefault="00B94458" w14:paraId="0B8885B3" wp14:textId="2D2C3BA1">
            <w:pPr>
              <w:pStyle w:val="Standard"/>
              <w:jc w:val="center"/>
            </w:pPr>
            <w:r w:rsidRPr="04704EBC" w:rsidR="00B94458">
              <w:rPr>
                <w:b w:val="1"/>
                <w:bCs w:val="1"/>
                <w:sz w:val="40"/>
                <w:szCs w:val="40"/>
              </w:rPr>
              <w:t>Appui aux décideurs publics pour la sécurisation de l’activité économique et de l’emploi sur les territoires</w:t>
            </w:r>
          </w:p>
        </w:tc>
        <w:tc>
          <w:tcPr>
            <w:tcW w:w="560" w:type="dxa"/>
            <w:tcBorders>
              <w:top w:val="single" w:color="000000" w:themeColor="text1" w:sz="2" w:space="0"/>
              <w:right w:val="single" w:color="000000" w:themeColor="text1" w:sz="2" w:space="0"/>
            </w:tcBorders>
            <w:shd w:val="clear" w:color="auto" w:fill="auto"/>
            <w:tcMar>
              <w:top w:w="55" w:type="dxa"/>
              <w:left w:w="55" w:type="dxa"/>
              <w:bottom w:w="55" w:type="dxa"/>
              <w:right w:w="55" w:type="dxa"/>
            </w:tcMar>
          </w:tcPr>
          <w:p w:rsidR="00944D7C" w:rsidRDefault="00944D7C" w14:paraId="0D0B940D" wp14:textId="77777777">
            <w:pPr>
              <w:pStyle w:val="TableContents"/>
              <w:rPr>
                <w:sz w:val="22"/>
              </w:rPr>
            </w:pPr>
          </w:p>
        </w:tc>
      </w:tr>
      <w:tr xmlns:wp14="http://schemas.microsoft.com/office/word/2010/wordml" w:rsidR="00944D7C" w:rsidTr="04704EBC" w14:paraId="542BEA8C" wp14:textId="77777777">
        <w:tblPrEx>
          <w:tblCellMar>
            <w:top w:w="0" w:type="dxa"/>
            <w:bottom w:w="0" w:type="dxa"/>
          </w:tblCellMar>
        </w:tblPrEx>
        <w:trPr>
          <w:trHeight w:val="1068"/>
          <w:jc w:val="center"/>
        </w:trPr>
        <w:tc>
          <w:tcPr>
            <w:tcW w:w="557"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00944D7C" w:rsidRDefault="00944D7C" w14:paraId="0E27B00A" wp14:textId="77777777">
            <w:pPr>
              <w:pStyle w:val="TableContents"/>
              <w:rPr>
                <w:sz w:val="22"/>
              </w:rPr>
            </w:pPr>
          </w:p>
        </w:tc>
        <w:tc>
          <w:tcPr>
            <w:tcW w:w="8520" w:type="dxa"/>
            <w:tcBorders>
              <w:bottom w:val="single" w:color="000000" w:themeColor="text1" w:sz="2" w:space="0"/>
            </w:tcBorders>
            <w:shd w:val="clear" w:color="auto" w:fill="auto"/>
            <w:tcMar>
              <w:top w:w="55" w:type="dxa"/>
              <w:left w:w="55" w:type="dxa"/>
              <w:bottom w:w="55" w:type="dxa"/>
              <w:right w:w="55" w:type="dxa"/>
            </w:tcMar>
            <w:vAlign w:val="center"/>
          </w:tcPr>
          <w:p w:rsidR="00944D7C" w:rsidRDefault="00B94458" w14:paraId="5D8B4E76" wp14:textId="77777777">
            <w:pPr>
              <w:pStyle w:val="Textbody"/>
              <w:jc w:val="center"/>
              <w:rPr>
                <w:b/>
                <w:bCs/>
                <w:sz w:val="30"/>
                <w:szCs w:val="30"/>
              </w:rPr>
            </w:pPr>
            <w:r>
              <w:rPr>
                <w:b/>
                <w:bCs/>
                <w:sz w:val="30"/>
                <w:szCs w:val="30"/>
              </w:rPr>
              <w:t>REGLEMENT DE LA CONSULTATION</w:t>
            </w:r>
          </w:p>
        </w:tc>
        <w:tc>
          <w:tcPr>
            <w:tcW w:w="560" w:type="dxa"/>
            <w:tcBorders>
              <w:bottom w:val="single" w:color="000000" w:themeColor="text1" w:sz="2" w:space="0"/>
              <w:right w:val="single" w:color="000000" w:themeColor="text1" w:sz="2" w:space="0"/>
            </w:tcBorders>
            <w:shd w:val="clear" w:color="auto" w:fill="auto"/>
            <w:tcMar>
              <w:top w:w="55" w:type="dxa"/>
              <w:left w:w="55" w:type="dxa"/>
              <w:bottom w:w="55" w:type="dxa"/>
              <w:right w:w="55" w:type="dxa"/>
            </w:tcMar>
          </w:tcPr>
          <w:p w:rsidR="00944D7C" w:rsidRDefault="00944D7C" w14:paraId="60061E4C" wp14:textId="77777777">
            <w:pPr>
              <w:pStyle w:val="TableContents"/>
              <w:rPr>
                <w:sz w:val="22"/>
              </w:rPr>
            </w:pPr>
          </w:p>
        </w:tc>
      </w:tr>
    </w:tbl>
    <w:p xmlns:wp14="http://schemas.microsoft.com/office/word/2010/wordml" w:rsidR="00944D7C" w:rsidRDefault="00944D7C" w14:paraId="44EAFD9C" wp14:textId="77777777">
      <w:pPr>
        <w:pStyle w:val="Standard"/>
      </w:pPr>
    </w:p>
    <w:p xmlns:wp14="http://schemas.microsoft.com/office/word/2010/wordml" w:rsidR="00944D7C" w:rsidRDefault="00944D7C" w14:paraId="4B94D5A5" wp14:textId="77777777">
      <w:pPr>
        <w:pStyle w:val="Standard"/>
      </w:pPr>
    </w:p>
    <w:p xmlns:wp14="http://schemas.microsoft.com/office/word/2010/wordml" w:rsidR="00944D7C" w:rsidRDefault="00944D7C" w14:paraId="3DEEC669" wp14:textId="77777777">
      <w:pPr>
        <w:pStyle w:val="Standard"/>
      </w:pPr>
    </w:p>
    <w:p xmlns:wp14="http://schemas.microsoft.com/office/word/2010/wordml" w:rsidR="00944D7C" w:rsidRDefault="00B94458" w14:paraId="02B39EE8" wp14:textId="77777777">
      <w:pPr>
        <w:pStyle w:val="Standard"/>
      </w:pPr>
      <w:r>
        <w:rPr>
          <w:b/>
          <w:bCs/>
        </w:rPr>
        <w:t>Numéro de consultation : MAPA-2025-2028-DREETSNA-103-IBR</w:t>
      </w:r>
    </w:p>
    <w:p xmlns:wp14="http://schemas.microsoft.com/office/word/2010/wordml" w:rsidR="00944D7C" w:rsidRDefault="00944D7C" w14:paraId="3656B9AB" wp14:textId="77777777">
      <w:pPr>
        <w:pStyle w:val="Standard"/>
      </w:pPr>
    </w:p>
    <w:p xmlns:wp14="http://schemas.microsoft.com/office/word/2010/wordml" w:rsidR="00944D7C" w:rsidRDefault="00B94458" w14:paraId="02EF3DD8" wp14:textId="77777777">
      <w:pPr>
        <w:pStyle w:val="Standard"/>
      </w:pPr>
      <w:r>
        <w:rPr>
          <w:b/>
          <w:bCs/>
        </w:rPr>
        <w:t>Procédure de passation :</w:t>
      </w:r>
      <w:r>
        <w:t xml:space="preserve"> Procédure adaptée &gt; 90 k EUR HT</w:t>
      </w:r>
    </w:p>
    <w:p xmlns:wp14="http://schemas.microsoft.com/office/word/2010/wordml" w:rsidR="00944D7C" w:rsidRDefault="00944D7C" w14:paraId="45FB0818" wp14:textId="77777777">
      <w:pPr>
        <w:pStyle w:val="Standard"/>
      </w:pPr>
    </w:p>
    <w:p xmlns:wp14="http://schemas.microsoft.com/office/word/2010/wordml" w:rsidR="00944D7C" w:rsidRDefault="00944D7C" w14:paraId="049F31CB" wp14:textId="77777777">
      <w:pPr>
        <w:pStyle w:val="Standard"/>
        <w:rPr>
          <w:b/>
          <w:bCs/>
        </w:rPr>
      </w:pPr>
    </w:p>
    <w:p xmlns:wp14="http://schemas.microsoft.com/office/word/2010/wordml" w:rsidR="00944D7C" w:rsidRDefault="00B94458" w14:paraId="7C7FD3C4" wp14:textId="77777777">
      <w:pPr>
        <w:pStyle w:val="ContentsHeading"/>
        <w:tabs>
          <w:tab w:val="right" w:leader="dot" w:pos="9406"/>
        </w:tabs>
      </w:pPr>
      <w:r>
        <w:rPr>
          <w:b w:val="0"/>
          <w:bCs w:val="0"/>
          <w:sz w:val="20"/>
          <w:szCs w:val="24"/>
        </w:rPr>
        <w:fldChar w:fldCharType="begin"/>
      </w:r>
      <w:r>
        <w:instrText xml:space="preserve"> TOC \o "1-2" \u \l 1-2 \h </w:instrText>
      </w:r>
      <w:r>
        <w:rPr>
          <w:b w:val="0"/>
          <w:bCs w:val="0"/>
          <w:sz w:val="20"/>
          <w:szCs w:val="24"/>
        </w:rPr>
        <w:fldChar w:fldCharType="separate"/>
      </w:r>
      <w:r>
        <w:t>Table des matières</w:t>
      </w:r>
    </w:p>
    <w:p xmlns:wp14="http://schemas.microsoft.com/office/word/2010/wordml" w:rsidR="00944D7C" w:rsidRDefault="00B94458" w14:paraId="4BD3DAD6" wp14:textId="77777777">
      <w:pPr>
        <w:pStyle w:val="Contents1"/>
        <w:tabs>
          <w:tab w:val="clear" w:pos="9637"/>
          <w:tab w:val="right" w:leader="dot" w:pos="9638"/>
        </w:tabs>
      </w:pPr>
      <w:hyperlink w:history="1" r:id="rId9">
        <w:r>
          <w:t>Article 1 - ACHETEUR</w:t>
        </w:r>
        <w:r>
          <w:tab/>
        </w:r>
        <w:r>
          <w:t>3</w:t>
        </w:r>
      </w:hyperlink>
    </w:p>
    <w:p xmlns:wp14="http://schemas.microsoft.com/office/word/2010/wordml" w:rsidR="00944D7C" w:rsidRDefault="00B94458" w14:paraId="13D013F1" wp14:textId="77777777">
      <w:pPr>
        <w:pStyle w:val="Contents1"/>
        <w:tabs>
          <w:tab w:val="clear" w:pos="9637"/>
          <w:tab w:val="right" w:leader="dot" w:pos="9638"/>
        </w:tabs>
      </w:pPr>
      <w:hyperlink w:history="1" r:id="rId10">
        <w:r>
          <w:t>Article 2 - OBJET DE LA CONSULTATION</w:t>
        </w:r>
        <w:r>
          <w:tab/>
        </w:r>
        <w:r>
          <w:t>3</w:t>
        </w:r>
      </w:hyperlink>
    </w:p>
    <w:p xmlns:wp14="http://schemas.microsoft.com/office/word/2010/wordml" w:rsidR="00944D7C" w:rsidRDefault="00B94458" w14:paraId="415B533E" wp14:textId="77777777">
      <w:pPr>
        <w:pStyle w:val="Contents1"/>
        <w:tabs>
          <w:tab w:val="clear" w:pos="9637"/>
          <w:tab w:val="right" w:leader="dot" w:pos="9638"/>
        </w:tabs>
      </w:pPr>
      <w:hyperlink w:history="1" r:id="rId11">
        <w:r>
          <w:t>Article 3 - CONDITIONS DE LA CONSULTATION</w:t>
        </w:r>
        <w:r>
          <w:tab/>
        </w:r>
        <w:r>
          <w:t>3</w:t>
        </w:r>
      </w:hyperlink>
    </w:p>
    <w:p xmlns:wp14="http://schemas.microsoft.com/office/word/2010/wordml" w:rsidR="00944D7C" w:rsidRDefault="00B94458" w14:paraId="7B07DE17" wp14:textId="77777777">
      <w:pPr>
        <w:pStyle w:val="Contents2"/>
        <w:tabs>
          <w:tab w:val="right" w:leader="dot" w:pos="9638"/>
        </w:tabs>
      </w:pPr>
      <w:hyperlink w:history="1" r:id="rId12">
        <w:r>
          <w:t>3.1 Procédure de passation</w:t>
        </w:r>
        <w:r>
          <w:tab/>
        </w:r>
        <w:r>
          <w:t>3</w:t>
        </w:r>
      </w:hyperlink>
    </w:p>
    <w:p xmlns:wp14="http://schemas.microsoft.com/office/word/2010/wordml" w:rsidR="00944D7C" w:rsidRDefault="00B94458" w14:paraId="52CB3F52" wp14:textId="77777777">
      <w:pPr>
        <w:pStyle w:val="Contents2"/>
        <w:tabs>
          <w:tab w:val="right" w:leader="dot" w:pos="9638"/>
        </w:tabs>
      </w:pPr>
      <w:hyperlink w:history="1" r:id="rId13">
        <w:r>
          <w:t>3.2 Allotissement</w:t>
        </w:r>
        <w:r>
          <w:tab/>
        </w:r>
        <w:r>
          <w:t>3</w:t>
        </w:r>
      </w:hyperlink>
    </w:p>
    <w:p xmlns:wp14="http://schemas.microsoft.com/office/word/2010/wordml" w:rsidR="00944D7C" w:rsidRDefault="00B94458" w14:paraId="45BE65F7" wp14:textId="77777777">
      <w:pPr>
        <w:pStyle w:val="Contents2"/>
        <w:tabs>
          <w:tab w:val="right" w:leader="dot" w:pos="9638"/>
        </w:tabs>
      </w:pPr>
      <w:hyperlink w:history="1" r:id="rId14">
        <w:r>
          <w:t>3.3 Tranches</w:t>
        </w:r>
        <w:r>
          <w:tab/>
        </w:r>
        <w:r>
          <w:t>3</w:t>
        </w:r>
      </w:hyperlink>
    </w:p>
    <w:p xmlns:wp14="http://schemas.microsoft.com/office/word/2010/wordml" w:rsidR="00944D7C" w:rsidRDefault="00B94458" w14:paraId="0C5BCC50" wp14:textId="77777777">
      <w:pPr>
        <w:pStyle w:val="Contents2"/>
        <w:tabs>
          <w:tab w:val="right" w:leader="dot" w:pos="9638"/>
        </w:tabs>
      </w:pPr>
      <w:hyperlink w:history="1" r:id="rId15">
        <w:r>
          <w:t>3.4 Durée du marché</w:t>
        </w:r>
        <w:r>
          <w:tab/>
        </w:r>
        <w:r>
          <w:t>3</w:t>
        </w:r>
      </w:hyperlink>
    </w:p>
    <w:p xmlns:wp14="http://schemas.microsoft.com/office/word/2010/wordml" w:rsidR="00944D7C" w:rsidRDefault="00B94458" w14:paraId="7920525C" wp14:textId="77777777">
      <w:pPr>
        <w:pStyle w:val="Contents2"/>
        <w:tabs>
          <w:tab w:val="right" w:leader="dot" w:pos="9638"/>
        </w:tabs>
      </w:pPr>
      <w:hyperlink w:history="1" r:id="rId16">
        <w:r>
          <w:t>3.5 Lieu d'exécution</w:t>
        </w:r>
        <w:r>
          <w:tab/>
        </w:r>
        <w:r>
          <w:t>4</w:t>
        </w:r>
      </w:hyperlink>
    </w:p>
    <w:p xmlns:wp14="http://schemas.microsoft.com/office/word/2010/wordml" w:rsidR="00944D7C" w:rsidRDefault="00B94458" w14:paraId="5576644E" wp14:textId="77777777">
      <w:pPr>
        <w:pStyle w:val="Contents2"/>
        <w:tabs>
          <w:tab w:val="right" w:leader="dot" w:pos="9638"/>
        </w:tabs>
      </w:pPr>
      <w:hyperlink w:history="1" r:id="rId17">
        <w:r>
          <w:t>3.6 Variantes</w:t>
        </w:r>
        <w:r>
          <w:tab/>
        </w:r>
        <w:r>
          <w:t>4</w:t>
        </w:r>
      </w:hyperlink>
    </w:p>
    <w:p xmlns:wp14="http://schemas.microsoft.com/office/word/2010/wordml" w:rsidR="00944D7C" w:rsidRDefault="00B94458" w14:paraId="77DA6B21" wp14:textId="77777777">
      <w:pPr>
        <w:pStyle w:val="Contents2"/>
        <w:tabs>
          <w:tab w:val="right" w:leader="dot" w:pos="9638"/>
        </w:tabs>
      </w:pPr>
      <w:hyperlink w:history="1" r:id="rId18">
        <w:r>
          <w:t>3.7 Prestations supplémentaires éventuelles</w:t>
        </w:r>
        <w:r>
          <w:tab/>
        </w:r>
        <w:r>
          <w:t>4</w:t>
        </w:r>
      </w:hyperlink>
    </w:p>
    <w:p xmlns:wp14="http://schemas.microsoft.com/office/word/2010/wordml" w:rsidR="00944D7C" w:rsidRDefault="00B94458" w14:paraId="44EB0D54" wp14:textId="77777777">
      <w:pPr>
        <w:pStyle w:val="Contents2"/>
        <w:tabs>
          <w:tab w:val="right" w:leader="dot" w:pos="9638"/>
        </w:tabs>
      </w:pPr>
      <w:hyperlink w:history="1" r:id="rId19">
        <w:r>
          <w:t>3.8 Considérations sociales</w:t>
        </w:r>
        <w:r>
          <w:tab/>
        </w:r>
        <w:r>
          <w:t>4</w:t>
        </w:r>
      </w:hyperlink>
    </w:p>
    <w:p xmlns:wp14="http://schemas.microsoft.com/office/word/2010/wordml" w:rsidR="00944D7C" w:rsidRDefault="00B94458" w14:paraId="4B2BAE1D" wp14:textId="77777777">
      <w:pPr>
        <w:pStyle w:val="Contents2"/>
        <w:tabs>
          <w:tab w:val="right" w:leader="dot" w:pos="9638"/>
        </w:tabs>
      </w:pPr>
      <w:hyperlink w:history="1" r:id="rId20">
        <w:r>
          <w:t>3.9 Considérations environnementales</w:t>
        </w:r>
        <w:r>
          <w:tab/>
        </w:r>
        <w:r>
          <w:t>4</w:t>
        </w:r>
      </w:hyperlink>
    </w:p>
    <w:p xmlns:wp14="http://schemas.microsoft.com/office/word/2010/wordml" w:rsidR="00944D7C" w:rsidRDefault="00B94458" w14:paraId="2816A2BF" wp14:textId="77777777">
      <w:pPr>
        <w:pStyle w:val="Contents2"/>
        <w:tabs>
          <w:tab w:val="right" w:leader="dot" w:pos="9638"/>
        </w:tabs>
      </w:pPr>
      <w:hyperlink w:history="1" r:id="rId21">
        <w:r>
          <w:t>3.10 Traitement de données à caractère personnel</w:t>
        </w:r>
        <w:r>
          <w:tab/>
        </w:r>
        <w:r>
          <w:t>4</w:t>
        </w:r>
      </w:hyperlink>
    </w:p>
    <w:p xmlns:wp14="http://schemas.microsoft.com/office/word/2010/wordml" w:rsidR="00944D7C" w:rsidRDefault="00B94458" w14:paraId="14EF2023" wp14:textId="77777777">
      <w:pPr>
        <w:pStyle w:val="Contents1"/>
        <w:tabs>
          <w:tab w:val="clear" w:pos="9637"/>
          <w:tab w:val="right" w:leader="dot" w:pos="9638"/>
        </w:tabs>
      </w:pPr>
      <w:hyperlink w:history="1" r:id="rId22">
        <w:r>
          <w:t>Article 4 - INFORMATION DES CANDIDATS</w:t>
        </w:r>
        <w:r>
          <w:tab/>
        </w:r>
        <w:r>
          <w:t>5</w:t>
        </w:r>
      </w:hyperlink>
    </w:p>
    <w:p xmlns:wp14="http://schemas.microsoft.com/office/word/2010/wordml" w:rsidR="00944D7C" w:rsidRDefault="00B94458" w14:paraId="383F39A9" wp14:textId="77777777">
      <w:pPr>
        <w:pStyle w:val="Contents2"/>
        <w:tabs>
          <w:tab w:val="right" w:leader="dot" w:pos="9638"/>
        </w:tabs>
      </w:pPr>
      <w:hyperlink w:history="1" r:id="rId23">
        <w:r>
          <w:t>4.1 Contenu des documents de la consultation</w:t>
        </w:r>
        <w:r>
          <w:tab/>
        </w:r>
        <w:r>
          <w:t>5</w:t>
        </w:r>
      </w:hyperlink>
    </w:p>
    <w:p xmlns:wp14="http://schemas.microsoft.com/office/word/2010/wordml" w:rsidR="00944D7C" w:rsidRDefault="00B94458" w14:paraId="3F0737D9" wp14:textId="77777777">
      <w:pPr>
        <w:pStyle w:val="Contents2"/>
        <w:tabs>
          <w:tab w:val="right" w:leader="dot" w:pos="9638"/>
        </w:tabs>
      </w:pPr>
      <w:hyperlink w:history="1" r:id="rId24">
        <w:r>
          <w:t>4.2 Modalités de retrait et de consultation des documents</w:t>
        </w:r>
        <w:r>
          <w:tab/>
        </w:r>
        <w:r>
          <w:t>5</w:t>
        </w:r>
      </w:hyperlink>
    </w:p>
    <w:p xmlns:wp14="http://schemas.microsoft.com/office/word/2010/wordml" w:rsidR="00944D7C" w:rsidRDefault="00B94458" w14:paraId="2EE61785" wp14:textId="77777777">
      <w:pPr>
        <w:pStyle w:val="Contents2"/>
        <w:tabs>
          <w:tab w:val="right" w:leader="dot" w:pos="9638"/>
        </w:tabs>
      </w:pPr>
      <w:hyperlink w:history="1" r:id="rId25">
        <w:r>
          <w:t>4.3 Demandes de renseignements complémentaires et questions</w:t>
        </w:r>
        <w:r>
          <w:tab/>
        </w:r>
        <w:r>
          <w:t>6</w:t>
        </w:r>
      </w:hyperlink>
    </w:p>
    <w:p xmlns:wp14="http://schemas.microsoft.com/office/word/2010/wordml" w:rsidR="00944D7C" w:rsidRDefault="00B94458" w14:paraId="181FEF6C" wp14:textId="77777777">
      <w:pPr>
        <w:pStyle w:val="Contents2"/>
        <w:tabs>
          <w:tab w:val="right" w:leader="dot" w:pos="9638"/>
        </w:tabs>
      </w:pPr>
      <w:hyperlink w:history="1" r:id="rId26">
        <w:r>
          <w:t>4.4 Modification des documents de la consultation</w:t>
        </w:r>
        <w:r>
          <w:tab/>
        </w:r>
        <w:r>
          <w:t>6</w:t>
        </w:r>
      </w:hyperlink>
    </w:p>
    <w:p xmlns:wp14="http://schemas.microsoft.com/office/word/2010/wordml" w:rsidR="00944D7C" w:rsidRDefault="00B94458" w14:paraId="62CF1D61" wp14:textId="77777777">
      <w:pPr>
        <w:pStyle w:val="Contents2"/>
        <w:tabs>
          <w:tab w:val="right" w:leader="dot" w:pos="9638"/>
        </w:tabs>
      </w:pPr>
      <w:hyperlink w:history="1" r:id="rId27">
        <w:r>
          <w:t>4.5 Prolongation du délai de réception des offres</w:t>
        </w:r>
        <w:r>
          <w:tab/>
        </w:r>
        <w:r>
          <w:t>6</w:t>
        </w:r>
      </w:hyperlink>
    </w:p>
    <w:p xmlns:wp14="http://schemas.microsoft.com/office/word/2010/wordml" w:rsidR="00944D7C" w:rsidRDefault="00B94458" w14:paraId="105D89CA" wp14:textId="77777777">
      <w:pPr>
        <w:pStyle w:val="Contents2"/>
        <w:tabs>
          <w:tab w:val="right" w:leader="dot" w:pos="9638"/>
        </w:tabs>
      </w:pPr>
      <w:hyperlink w:history="1" r:id="rId28">
        <w:r>
          <w:t>4.6 Visite sur site</w:t>
        </w:r>
        <w:r>
          <w:tab/>
        </w:r>
        <w:r>
          <w:t>6</w:t>
        </w:r>
      </w:hyperlink>
    </w:p>
    <w:p xmlns:wp14="http://schemas.microsoft.com/office/word/2010/wordml" w:rsidR="00944D7C" w:rsidRDefault="00B94458" w14:paraId="6E85087D" wp14:textId="77777777">
      <w:pPr>
        <w:pStyle w:val="Contents1"/>
        <w:tabs>
          <w:tab w:val="clear" w:pos="9637"/>
          <w:tab w:val="right" w:leader="dot" w:pos="9638"/>
        </w:tabs>
      </w:pPr>
      <w:hyperlink w:history="1" r:id="rId29">
        <w:r>
          <w:t>Article 5 - CANDIDATURE</w:t>
        </w:r>
        <w:r>
          <w:tab/>
        </w:r>
        <w:r>
          <w:t>6</w:t>
        </w:r>
      </w:hyperlink>
    </w:p>
    <w:p xmlns:wp14="http://schemas.microsoft.com/office/word/2010/wordml" w:rsidR="00944D7C" w:rsidRDefault="00B94458" w14:paraId="08794D65" wp14:textId="77777777">
      <w:pPr>
        <w:pStyle w:val="Contents2"/>
        <w:tabs>
          <w:tab w:val="right" w:leader="dot" w:pos="9638"/>
        </w:tabs>
      </w:pPr>
      <w:hyperlink w:history="1" r:id="rId30">
        <w:r>
          <w:t>5.1 Motifs d'exclusion</w:t>
        </w:r>
        <w:r>
          <w:tab/>
        </w:r>
        <w:r>
          <w:t>6</w:t>
        </w:r>
      </w:hyperlink>
    </w:p>
    <w:p xmlns:wp14="http://schemas.microsoft.com/office/word/2010/wordml" w:rsidR="00944D7C" w:rsidRDefault="00B94458" w14:paraId="5587E056" wp14:textId="77777777">
      <w:pPr>
        <w:pStyle w:val="Contents2"/>
        <w:tabs>
          <w:tab w:val="right" w:leader="dot" w:pos="9638"/>
        </w:tabs>
      </w:pPr>
      <w:hyperlink w:history="1" r:id="rId31">
        <w:r>
          <w:t xml:space="preserve">5.2 Conditions de participation </w:t>
        </w:r>
        <w:r>
          <w:tab/>
        </w:r>
        <w:r>
          <w:t>6</w:t>
        </w:r>
      </w:hyperlink>
    </w:p>
    <w:p xmlns:wp14="http://schemas.microsoft.com/office/word/2010/wordml" w:rsidR="00944D7C" w:rsidRDefault="00B94458" w14:paraId="4A3A6684" wp14:textId="77777777">
      <w:pPr>
        <w:pStyle w:val="Contents2"/>
        <w:tabs>
          <w:tab w:val="right" w:leader="dot" w:pos="9638"/>
        </w:tabs>
      </w:pPr>
      <w:hyperlink w:history="1" r:id="rId32">
        <w:r>
          <w:t>5.3 Présentation de la candidature</w:t>
        </w:r>
        <w:r>
          <w:tab/>
        </w:r>
        <w:r>
          <w:t>6</w:t>
        </w:r>
      </w:hyperlink>
    </w:p>
    <w:p xmlns:wp14="http://schemas.microsoft.com/office/word/2010/wordml" w:rsidR="00944D7C" w:rsidRDefault="00B94458" w14:paraId="033AD755" wp14:textId="77777777">
      <w:pPr>
        <w:pStyle w:val="Contents2"/>
        <w:tabs>
          <w:tab w:val="right" w:leader="dot" w:pos="9638"/>
        </w:tabs>
      </w:pPr>
      <w:hyperlink w:history="1" r:id="rId33">
        <w:r>
          <w:t>5.4 Précisions concernant les groupements d'opérateurs économiques</w:t>
        </w:r>
        <w:r>
          <w:tab/>
        </w:r>
        <w:r>
          <w:t>7</w:t>
        </w:r>
      </w:hyperlink>
    </w:p>
    <w:p xmlns:wp14="http://schemas.microsoft.com/office/word/2010/wordml" w:rsidR="00944D7C" w:rsidRDefault="00B94458" w14:paraId="44896744" wp14:textId="77777777">
      <w:pPr>
        <w:pStyle w:val="Contents2"/>
        <w:tabs>
          <w:tab w:val="right" w:leader="dot" w:pos="9638"/>
        </w:tabs>
      </w:pPr>
      <w:hyperlink w:history="1" r:id="rId34">
        <w:r>
          <w:t>5.5 Précisions concernant la sous-traitance</w:t>
        </w:r>
        <w:r>
          <w:tab/>
        </w:r>
        <w:r>
          <w:t>8</w:t>
        </w:r>
      </w:hyperlink>
    </w:p>
    <w:p xmlns:wp14="http://schemas.microsoft.com/office/word/2010/wordml" w:rsidR="00944D7C" w:rsidRDefault="00B94458" w14:paraId="72F85869" wp14:textId="77777777">
      <w:pPr>
        <w:pStyle w:val="Contents2"/>
        <w:tabs>
          <w:tab w:val="right" w:leader="dot" w:pos="9638"/>
        </w:tabs>
      </w:pPr>
      <w:hyperlink w:history="1" r:id="rId35">
        <w:r>
          <w:t>5.6 Examen des candidatures</w:t>
        </w:r>
        <w:r>
          <w:tab/>
        </w:r>
        <w:r>
          <w:t>9</w:t>
        </w:r>
      </w:hyperlink>
    </w:p>
    <w:p xmlns:wp14="http://schemas.microsoft.com/office/word/2010/wordml" w:rsidR="00944D7C" w:rsidRDefault="00B94458" w14:paraId="2F756332" wp14:textId="77777777">
      <w:pPr>
        <w:pStyle w:val="Contents1"/>
        <w:tabs>
          <w:tab w:val="clear" w:pos="9637"/>
          <w:tab w:val="right" w:leader="dot" w:pos="9638"/>
        </w:tabs>
      </w:pPr>
      <w:hyperlink w:history="1" r:id="rId36">
        <w:r>
          <w:t>Article 6 - OFFRE</w:t>
        </w:r>
        <w:r>
          <w:tab/>
        </w:r>
        <w:r>
          <w:t>10</w:t>
        </w:r>
      </w:hyperlink>
    </w:p>
    <w:p xmlns:wp14="http://schemas.microsoft.com/office/word/2010/wordml" w:rsidR="00944D7C" w:rsidRDefault="00B94458" w14:paraId="254A37E7" wp14:textId="77777777">
      <w:pPr>
        <w:pStyle w:val="Contents2"/>
        <w:tabs>
          <w:tab w:val="right" w:leader="dot" w:pos="9638"/>
        </w:tabs>
      </w:pPr>
      <w:hyperlink w:history="1" r:id="rId37">
        <w:r>
          <w:t>6.1 Présentation de l'offre</w:t>
        </w:r>
        <w:r>
          <w:tab/>
        </w:r>
        <w:r>
          <w:t>10</w:t>
        </w:r>
      </w:hyperlink>
    </w:p>
    <w:p xmlns:wp14="http://schemas.microsoft.com/office/word/2010/wordml" w:rsidR="00944D7C" w:rsidRDefault="00B94458" w14:paraId="7ECA6034" wp14:textId="77777777">
      <w:pPr>
        <w:pStyle w:val="Contents2"/>
        <w:tabs>
          <w:tab w:val="right" w:leader="dot" w:pos="9638"/>
        </w:tabs>
      </w:pPr>
      <w:hyperlink w:history="1" r:id="rId38">
        <w:r>
          <w:t>6.2 Examen des offres</w:t>
        </w:r>
        <w:r>
          <w:tab/>
        </w:r>
        <w:r>
          <w:t>10</w:t>
        </w:r>
      </w:hyperlink>
    </w:p>
    <w:p xmlns:wp14="http://schemas.microsoft.com/office/word/2010/wordml" w:rsidR="00944D7C" w:rsidRDefault="00B94458" w14:paraId="42E09D9F" wp14:textId="77777777">
      <w:pPr>
        <w:pStyle w:val="Contents2"/>
        <w:tabs>
          <w:tab w:val="right" w:leader="dot" w:pos="9638"/>
        </w:tabs>
      </w:pPr>
      <w:hyperlink w:history="1" r:id="rId39">
        <w:r>
          <w:t>6.3 Durée de validité des offres</w:t>
        </w:r>
        <w:r>
          <w:tab/>
        </w:r>
        <w:r>
          <w:t>11</w:t>
        </w:r>
      </w:hyperlink>
    </w:p>
    <w:p xmlns:wp14="http://schemas.microsoft.com/office/word/2010/wordml" w:rsidR="00944D7C" w:rsidRDefault="00B94458" w14:paraId="178DD9F2" wp14:textId="77777777">
      <w:pPr>
        <w:pStyle w:val="Contents2"/>
        <w:tabs>
          <w:tab w:val="right" w:leader="dot" w:pos="9638"/>
        </w:tabs>
      </w:pPr>
      <w:hyperlink w:history="1" r:id="rId40">
        <w:r>
          <w:t>6.4 Echantillons</w:t>
        </w:r>
        <w:r>
          <w:tab/>
        </w:r>
        <w:r>
          <w:t>11</w:t>
        </w:r>
      </w:hyperlink>
    </w:p>
    <w:p xmlns:wp14="http://schemas.microsoft.com/office/word/2010/wordml" w:rsidR="00944D7C" w:rsidRDefault="00B94458" w14:paraId="7A5866B1" wp14:textId="77777777">
      <w:pPr>
        <w:pStyle w:val="Contents1"/>
        <w:tabs>
          <w:tab w:val="clear" w:pos="9637"/>
          <w:tab w:val="right" w:leader="dot" w:pos="9638"/>
        </w:tabs>
      </w:pPr>
      <w:hyperlink w:history="1" r:id="rId41">
        <w:r>
          <w:t>Article 7 - NEGOCIATION</w:t>
        </w:r>
        <w:r>
          <w:tab/>
        </w:r>
        <w:r>
          <w:t>11</w:t>
        </w:r>
      </w:hyperlink>
    </w:p>
    <w:p xmlns:wp14="http://schemas.microsoft.com/office/word/2010/wordml" w:rsidR="00944D7C" w:rsidRDefault="00B94458" w14:paraId="47860D1D" wp14:textId="77777777">
      <w:pPr>
        <w:pStyle w:val="Contents1"/>
        <w:tabs>
          <w:tab w:val="clear" w:pos="9637"/>
          <w:tab w:val="right" w:leader="dot" w:pos="9638"/>
        </w:tabs>
      </w:pPr>
      <w:hyperlink w:history="1" r:id="rId42">
        <w:r>
          <w:t>Article 8 - MODALITES DE TRANSMISSION DES PLIS</w:t>
        </w:r>
        <w:r>
          <w:tab/>
        </w:r>
        <w:r>
          <w:t>12</w:t>
        </w:r>
      </w:hyperlink>
    </w:p>
    <w:p xmlns:wp14="http://schemas.microsoft.com/office/word/2010/wordml" w:rsidR="00944D7C" w:rsidRDefault="00B94458" w14:paraId="5139A336" wp14:textId="77777777">
      <w:pPr>
        <w:pStyle w:val="Contents2"/>
        <w:tabs>
          <w:tab w:val="right" w:leader="dot" w:pos="9638"/>
        </w:tabs>
      </w:pPr>
      <w:hyperlink w:history="1" r:id="rId43">
        <w:r>
          <w:t>8.1 Date et heure de réception des plis</w:t>
        </w:r>
        <w:r>
          <w:tab/>
        </w:r>
        <w:r>
          <w:t>12</w:t>
        </w:r>
      </w:hyperlink>
    </w:p>
    <w:p xmlns:wp14="http://schemas.microsoft.com/office/word/2010/wordml" w:rsidR="00944D7C" w:rsidRDefault="00B94458" w14:paraId="6606DDBD" wp14:textId="77777777">
      <w:pPr>
        <w:pStyle w:val="Contents2"/>
        <w:tabs>
          <w:tab w:val="right" w:leader="dot" w:pos="9638"/>
        </w:tabs>
      </w:pPr>
      <w:hyperlink w:history="1" r:id="rId44">
        <w:r>
          <w:t>8.2 Conditions de transmission des plis</w:t>
        </w:r>
        <w:r>
          <w:tab/>
        </w:r>
        <w:r>
          <w:t>12</w:t>
        </w:r>
      </w:hyperlink>
    </w:p>
    <w:p xmlns:wp14="http://schemas.microsoft.com/office/word/2010/wordml" w:rsidR="00944D7C" w:rsidRDefault="00B94458" w14:paraId="4D9F7BAE" wp14:textId="77777777">
      <w:pPr>
        <w:pStyle w:val="Contents1"/>
        <w:tabs>
          <w:tab w:val="clear" w:pos="9637"/>
          <w:tab w:val="right" w:leader="dot" w:pos="9638"/>
        </w:tabs>
      </w:pPr>
      <w:hyperlink w:history="1" r:id="rId45">
        <w:r>
          <w:t>Article 9 - ATTRIBUTION DU MARCHE</w:t>
        </w:r>
        <w:r>
          <w:tab/>
        </w:r>
        <w:r>
          <w:t>13</w:t>
        </w:r>
      </w:hyperlink>
    </w:p>
    <w:p xmlns:wp14="http://schemas.microsoft.com/office/word/2010/wordml" w:rsidR="00944D7C" w:rsidRDefault="00B94458" w14:paraId="74396B8C" wp14:textId="77777777">
      <w:pPr>
        <w:pStyle w:val="Contents2"/>
        <w:tabs>
          <w:tab w:val="right" w:leader="dot" w:pos="9638"/>
        </w:tabs>
      </w:pPr>
      <w:hyperlink w:history="1" r:id="rId46">
        <w:r>
          <w:t>9.1 Vérification des motifs d'exclusion : transmission des moyens de preuve</w:t>
        </w:r>
        <w:r>
          <w:tab/>
        </w:r>
        <w:r>
          <w:t>13</w:t>
        </w:r>
      </w:hyperlink>
    </w:p>
    <w:p xmlns:wp14="http://schemas.microsoft.com/office/word/2010/wordml" w:rsidR="00944D7C" w:rsidRDefault="00B94458" w14:paraId="061A11BF" wp14:textId="77777777">
      <w:pPr>
        <w:pStyle w:val="Contents2"/>
        <w:tabs>
          <w:tab w:val="right" w:leader="dot" w:pos="9638"/>
        </w:tabs>
      </w:pPr>
      <w:hyperlink w:history="1" r:id="rId47">
        <w:r>
          <w:t>9.2 Mise au point</w:t>
        </w:r>
        <w:r>
          <w:tab/>
        </w:r>
        <w:r>
          <w:t>15</w:t>
        </w:r>
      </w:hyperlink>
    </w:p>
    <w:p xmlns:wp14="http://schemas.microsoft.com/office/word/2010/wordml" w:rsidR="00944D7C" w:rsidRDefault="00B94458" w14:paraId="0E520CEF" wp14:textId="77777777">
      <w:pPr>
        <w:pStyle w:val="Contents2"/>
        <w:tabs>
          <w:tab w:val="right" w:leader="dot" w:pos="9638"/>
        </w:tabs>
      </w:pPr>
      <w:hyperlink w:history="1" r:id="rId48">
        <w:r>
          <w:t>9.3 Signature du marché</w:t>
        </w:r>
        <w:r>
          <w:tab/>
        </w:r>
        <w:r>
          <w:t>15</w:t>
        </w:r>
      </w:hyperlink>
    </w:p>
    <w:p xmlns:wp14="http://schemas.microsoft.com/office/word/2010/wordml" w:rsidR="00944D7C" w:rsidRDefault="00B94458" w14:paraId="66A246F6" wp14:textId="77777777">
      <w:pPr>
        <w:pStyle w:val="Contents1"/>
        <w:tabs>
          <w:tab w:val="clear" w:pos="9637"/>
          <w:tab w:val="right" w:leader="dot" w:pos="9638"/>
        </w:tabs>
      </w:pPr>
      <w:hyperlink w:history="1" r:id="rId49">
        <w:r>
          <w:t>Article 10 - LANGUE</w:t>
        </w:r>
        <w:r>
          <w:tab/>
        </w:r>
        <w:r>
          <w:t>15</w:t>
        </w:r>
      </w:hyperlink>
    </w:p>
    <w:p xmlns:wp14="http://schemas.microsoft.com/office/word/2010/wordml" w:rsidR="00944D7C" w:rsidRDefault="00B94458" w14:paraId="4FAEB30A" wp14:textId="77777777">
      <w:pPr>
        <w:pStyle w:val="Contents1"/>
        <w:tabs>
          <w:tab w:val="clear" w:pos="9637"/>
          <w:tab w:val="right" w:leader="dot" w:pos="9638"/>
        </w:tabs>
      </w:pPr>
      <w:hyperlink w:history="1" r:id="rId50">
        <w:r>
          <w:t>Article 11 - CONTENTIEUX</w:t>
        </w:r>
        <w:r>
          <w:tab/>
        </w:r>
        <w:r>
          <w:t>15</w:t>
        </w:r>
      </w:hyperlink>
    </w:p>
    <w:p xmlns:wp14="http://schemas.microsoft.com/office/word/2010/wordml" w:rsidR="00944D7C" w:rsidRDefault="00B94458" w14:paraId="42A53708" wp14:textId="77777777">
      <w:pPr>
        <w:pStyle w:val="Contents1"/>
        <w:tabs>
          <w:tab w:val="clear" w:pos="9637"/>
          <w:tab w:val="right" w:leader="dot" w:pos="9638"/>
        </w:tabs>
      </w:pPr>
      <w:hyperlink w:history="1" r:id="rId51">
        <w:r>
          <w:t>Article 12 - MODALITES DE SIGNATURE ELECTRONIQUE</w:t>
        </w:r>
        <w:r>
          <w:tab/>
        </w:r>
        <w:r>
          <w:t>15</w:t>
        </w:r>
      </w:hyperlink>
    </w:p>
    <w:p xmlns:wp14="http://schemas.microsoft.com/office/word/2010/wordml" w:rsidR="00944D7C" w:rsidRDefault="00B94458" w14:paraId="15869AA7" wp14:textId="77777777">
      <w:pPr>
        <w:pStyle w:val="Contents1"/>
        <w:tabs>
          <w:tab w:val="clear" w:pos="9637"/>
          <w:tab w:val="right" w:leader="dot" w:pos="9638"/>
        </w:tabs>
      </w:pPr>
      <w:hyperlink w:history="1" r:id="rId52">
        <w:r>
          <w:t>Article 13 - ANNEXES</w:t>
        </w:r>
        <w:r>
          <w:tab/>
        </w:r>
        <w:r>
          <w:t>16</w:t>
        </w:r>
      </w:hyperlink>
    </w:p>
    <w:p xmlns:wp14="http://schemas.microsoft.com/office/word/2010/wordml" w:rsidR="00944D7C" w:rsidRDefault="00B94458" w14:paraId="29D6B04F" wp14:textId="77777777">
      <w:pPr>
        <w:pStyle w:val="Contents3"/>
        <w:tabs>
          <w:tab w:val="clear" w:pos="9241"/>
          <w:tab w:val="right" w:leader="dot" w:pos="9468"/>
        </w:tabs>
        <w:ind w:left="0"/>
      </w:pPr>
      <w:r>
        <w:rPr>
          <w:sz w:val="18"/>
        </w:rPr>
        <w:fldChar w:fldCharType="end"/>
      </w:r>
      <w:r>
        <w:t xml:space="preserve"> </w:t>
      </w:r>
    </w:p>
    <w:p xmlns:wp14="http://schemas.microsoft.com/office/word/2010/wordml" w:rsidR="00944D7C" w:rsidRDefault="00B94458" w14:paraId="73F25C08" wp14:textId="77777777">
      <w:pPr>
        <w:pStyle w:val="Titre1"/>
      </w:pPr>
      <w:bookmarkStart w:name="__RefHeading__48094_1575219009" w:id="0"/>
      <w:r>
        <w:t>ACHETEUR</w:t>
      </w:r>
      <w:bookmarkEnd w:id="0"/>
    </w:p>
    <w:p xmlns:wp14="http://schemas.microsoft.com/office/word/2010/wordml" w:rsidR="00944D7C" w:rsidRDefault="00B94458" w14:paraId="1B784199" wp14:textId="77777777">
      <w:pPr>
        <w:pStyle w:val="Standard"/>
      </w:pPr>
      <w:r>
        <w:t>La Préfète de Région</w:t>
      </w:r>
    </w:p>
    <w:p xmlns:wp14="http://schemas.microsoft.com/office/word/2010/wordml" w:rsidR="00944D7C" w:rsidRDefault="00B94458" w14:paraId="21F6AA9C" wp14:textId="77777777">
      <w:pPr>
        <w:pStyle w:val="Standard"/>
      </w:pPr>
      <w:r>
        <w:t>Direction régionale de l’Economie, de l’Emploi, du Travail et des Solidarités de Nouvelle Aquitaine, (DREETS NA), Cité Administrative de Bordeaux, 2 rue Jules Ferry, 33 000 Bordeaux.</w:t>
      </w:r>
    </w:p>
    <w:p xmlns:wp14="http://schemas.microsoft.com/office/word/2010/wordml" w:rsidR="00944D7C" w:rsidRDefault="00944D7C" w14:paraId="53128261" wp14:textId="77777777">
      <w:pPr>
        <w:pStyle w:val="Standard"/>
      </w:pPr>
    </w:p>
    <w:p xmlns:wp14="http://schemas.microsoft.com/office/word/2010/wordml" w:rsidR="00944D7C" w:rsidRDefault="00B94458" w14:paraId="789A5242" wp14:textId="77777777">
      <w:pPr>
        <w:pStyle w:val="Titre1"/>
      </w:pPr>
      <w:bookmarkStart w:name="__RefHeading__48096_1575219009" w:id="1"/>
      <w:r>
        <w:t>OBJET DE LA CONSULTATION</w:t>
      </w:r>
      <w:bookmarkEnd w:id="1"/>
    </w:p>
    <w:p xmlns:wp14="http://schemas.microsoft.com/office/word/2010/wordml" w:rsidR="00944D7C" w:rsidRDefault="00B94458" w14:paraId="2DF7CDAF" wp14:textId="77777777">
      <w:pPr>
        <w:pStyle w:val="Standard"/>
      </w:pPr>
      <w:r>
        <w:t>Le marché a pour objet : Prestations d'appui aux décideurs publics pour la sécurisation de l’activité économique et de l’emploi sur les territoires.</w:t>
      </w:r>
    </w:p>
    <w:p xmlns:wp14="http://schemas.microsoft.com/office/word/2010/wordml" w:rsidR="00944D7C" w:rsidRDefault="00B94458" w14:paraId="3BFE03F9" wp14:textId="77777777">
      <w:pPr>
        <w:pStyle w:val="Standard"/>
      </w:pPr>
      <w:r>
        <w:t>Le marché est un marché de : Services.</w:t>
      </w:r>
    </w:p>
    <w:p xmlns:wp14="http://schemas.microsoft.com/office/word/2010/wordml" w:rsidR="00944D7C" w:rsidRDefault="00B94458" w14:paraId="65D459B0" wp14:textId="77777777">
      <w:pPr>
        <w:pStyle w:val="Standard"/>
      </w:pPr>
      <w:r>
        <w:t>Code CPV de la consultation : 75130000-6 - Services d'appui aux pouvoirs publics.</w:t>
      </w:r>
    </w:p>
    <w:p xmlns:wp14="http://schemas.microsoft.com/office/word/2010/wordml" w:rsidR="00944D7C" w:rsidRDefault="00B94458" w14:paraId="3C7AB6D2" wp14:textId="77777777">
      <w:pPr>
        <w:pStyle w:val="Standard"/>
      </w:pPr>
      <w:r>
        <w:t>Groupe de marchandises : 40.05.07</w:t>
      </w:r>
    </w:p>
    <w:p xmlns:wp14="http://schemas.microsoft.com/office/word/2010/wordml" w:rsidR="00944D7C" w:rsidRDefault="00B94458" w14:paraId="0A6959E7" wp14:textId="77777777">
      <w:pPr>
        <w:pStyle w:val="Standard"/>
      </w:pPr>
      <w:r>
        <w:t xml:space="preserve"> </w:t>
      </w:r>
    </w:p>
    <w:p xmlns:wp14="http://schemas.microsoft.com/office/word/2010/wordml" w:rsidR="00944D7C" w:rsidRDefault="00B94458" w14:paraId="6FEBB9B0" wp14:textId="77777777">
      <w:pPr>
        <w:pStyle w:val="Titre1"/>
      </w:pPr>
      <w:bookmarkStart w:name="__RefHeading__48098_1575219009" w:id="2"/>
      <w:r>
        <w:t>CONDITIONS DE LA CONSULTATION</w:t>
      </w:r>
      <w:bookmarkEnd w:id="2"/>
    </w:p>
    <w:p xmlns:wp14="http://schemas.microsoft.com/office/word/2010/wordml" w:rsidR="00944D7C" w:rsidRDefault="00B94458" w14:paraId="1A9A771E" wp14:textId="77777777">
      <w:pPr>
        <w:pStyle w:val="Titre2"/>
      </w:pPr>
      <w:bookmarkStart w:name="__RefHeading__48100_1575219009" w:id="3"/>
      <w:r>
        <w:t>Procédure de passation</w:t>
      </w:r>
      <w:bookmarkEnd w:id="3"/>
    </w:p>
    <w:p xmlns:wp14="http://schemas.microsoft.com/office/word/2010/wordml" w:rsidR="00944D7C" w:rsidRDefault="00B94458" w14:paraId="3339601F" wp14:textId="77777777">
      <w:pPr>
        <w:pStyle w:val="Standard"/>
      </w:pPr>
      <w:r>
        <w:t>Le marché est passé en procédure adaptée.</w:t>
      </w:r>
    </w:p>
    <w:p xmlns:wp14="http://schemas.microsoft.com/office/word/2010/wordml" w:rsidR="00944D7C" w:rsidRDefault="00B94458" w14:paraId="6CFCDE77" wp14:textId="77777777">
      <w:pPr>
        <w:pStyle w:val="Titre2"/>
      </w:pPr>
      <w:bookmarkStart w:name="__RefHeading__48102_1575219009" w:id="4"/>
      <w:r>
        <w:t>Allotissement</w:t>
      </w:r>
      <w:bookmarkEnd w:id="4"/>
    </w:p>
    <w:p xmlns:wp14="http://schemas.microsoft.com/office/word/2010/wordml" w:rsidR="00944D7C" w:rsidRDefault="00944D7C" w14:paraId="62486C05" wp14:textId="77777777">
      <w:pPr>
        <w:pStyle w:val="Standard"/>
      </w:pPr>
    </w:p>
    <w:tbl>
      <w:tblPr>
        <w:tblW w:w="9638" w:type="dxa"/>
        <w:tblLayout w:type="fixed"/>
        <w:tblCellMar>
          <w:left w:w="10" w:type="dxa"/>
          <w:right w:w="10" w:type="dxa"/>
        </w:tblCellMar>
        <w:tblLook w:val="0000" w:firstRow="0" w:lastRow="0" w:firstColumn="0" w:lastColumn="0" w:noHBand="0" w:noVBand="0"/>
      </w:tblPr>
      <w:tblGrid>
        <w:gridCol w:w="964"/>
        <w:gridCol w:w="8674"/>
      </w:tblGrid>
      <w:tr xmlns:wp14="http://schemas.microsoft.com/office/word/2010/wordml" w:rsidR="00944D7C" w14:paraId="2BFF6CD9" wp14:textId="77777777">
        <w:tblPrEx>
          <w:tblCellMar>
            <w:top w:w="0" w:type="dxa"/>
            <w:bottom w:w="0" w:type="dxa"/>
          </w:tblCellMar>
        </w:tblPrEx>
        <w:tc>
          <w:tcPr>
            <w:tcW w:w="964"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944D7C" w:rsidRDefault="00B94458" w14:paraId="577B9AAD" wp14:textId="77777777">
            <w:pPr>
              <w:pStyle w:val="Table"/>
            </w:pPr>
            <w:r>
              <w:t>N°</w:t>
            </w:r>
          </w:p>
        </w:tc>
        <w:tc>
          <w:tcPr>
            <w:tcW w:w="8674"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944D7C" w:rsidRDefault="00B94458" w14:paraId="5876B853" wp14:textId="77777777">
            <w:pPr>
              <w:pStyle w:val="Table"/>
            </w:pPr>
            <w:r>
              <w:t>Intitulés lots séparés</w:t>
            </w:r>
          </w:p>
        </w:tc>
      </w:tr>
      <w:tr xmlns:wp14="http://schemas.microsoft.com/office/word/2010/wordml" w:rsidR="00944D7C" w14:paraId="508BB51C" wp14:textId="77777777">
        <w:tblPrEx>
          <w:tblCellMar>
            <w:top w:w="0" w:type="dxa"/>
            <w:bottom w:w="0" w:type="dxa"/>
          </w:tblCellMar>
        </w:tblPrEx>
        <w:tc>
          <w:tcPr>
            <w:tcW w:w="964" w:type="dxa"/>
            <w:tcBorders>
              <w:left w:val="single" w:color="000000" w:sz="2" w:space="0"/>
              <w:bottom w:val="single" w:color="000000" w:sz="2" w:space="0"/>
            </w:tcBorders>
            <w:shd w:val="clear" w:color="auto" w:fill="auto"/>
            <w:tcMar>
              <w:top w:w="55" w:type="dxa"/>
              <w:left w:w="55" w:type="dxa"/>
              <w:bottom w:w="55" w:type="dxa"/>
              <w:right w:w="55" w:type="dxa"/>
            </w:tcMar>
          </w:tcPr>
          <w:p w:rsidR="00944D7C" w:rsidRDefault="00B94458" w14:paraId="649841BE" wp14:textId="77777777">
            <w:pPr>
              <w:pStyle w:val="Table"/>
            </w:pPr>
            <w:r>
              <w:t>1</w:t>
            </w:r>
          </w:p>
        </w:tc>
        <w:tc>
          <w:tcPr>
            <w:tcW w:w="867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944D7C" w:rsidRDefault="00B94458" w14:paraId="72F85846" wp14:textId="77777777">
            <w:pPr>
              <w:pStyle w:val="Table"/>
            </w:pPr>
            <w:r>
              <w:t>Lot unique</w:t>
            </w:r>
          </w:p>
        </w:tc>
      </w:tr>
    </w:tbl>
    <w:p xmlns:wp14="http://schemas.microsoft.com/office/word/2010/wordml" w:rsidR="00944D7C" w:rsidRDefault="00944D7C" w14:paraId="4101652C" wp14:textId="77777777">
      <w:pPr>
        <w:pStyle w:val="Standard"/>
      </w:pPr>
    </w:p>
    <w:p xmlns:wp14="http://schemas.microsoft.com/office/word/2010/wordml" w:rsidR="00944D7C" w:rsidRDefault="00B94458" w14:paraId="193C5638" wp14:textId="77777777">
      <w:pPr>
        <w:pStyle w:val="Titre2"/>
      </w:pPr>
      <w:bookmarkStart w:name="__RefHeading__48105_1575219009" w:id="5"/>
      <w:r>
        <w:t>Tranches</w:t>
      </w:r>
      <w:bookmarkEnd w:id="5"/>
    </w:p>
    <w:p xmlns:wp14="http://schemas.microsoft.com/office/word/2010/wordml" w:rsidR="00944D7C" w:rsidRDefault="00B94458" w14:paraId="75320B2B" wp14:textId="77777777">
      <w:pPr>
        <w:pStyle w:val="Standard"/>
      </w:pPr>
      <w:r>
        <w:t>Le marché ne comporte pas de tranches.</w:t>
      </w:r>
    </w:p>
    <w:p xmlns:wp14="http://schemas.microsoft.com/office/word/2010/wordml" w:rsidR="00944D7C" w:rsidRDefault="00B94458" w14:paraId="6A9C483C" wp14:textId="77777777">
      <w:pPr>
        <w:pStyle w:val="Titre2"/>
      </w:pPr>
      <w:r>
        <w:t>Durée du marché</w:t>
      </w:r>
    </w:p>
    <w:p xmlns:wp14="http://schemas.microsoft.com/office/word/2010/wordml" w:rsidR="00944D7C" w:rsidRDefault="00B94458" w14:paraId="576EAE5F" wp14:textId="77777777">
      <w:pPr>
        <w:pStyle w:val="Standard"/>
      </w:pPr>
      <w:r>
        <w:t>L’accord cadre est conclu pour une durée ferme initiale de 12 mois</w:t>
      </w:r>
    </w:p>
    <w:tbl>
      <w:tblPr>
        <w:tblW w:w="9638" w:type="dxa"/>
        <w:tblLayout w:type="fixed"/>
        <w:tblCellMar>
          <w:left w:w="10" w:type="dxa"/>
          <w:right w:w="10" w:type="dxa"/>
        </w:tblCellMar>
        <w:tblLook w:val="0000" w:firstRow="0" w:lastRow="0" w:firstColumn="0" w:lastColumn="0" w:noHBand="0" w:noVBand="0"/>
      </w:tblPr>
      <w:tblGrid>
        <w:gridCol w:w="964"/>
        <w:gridCol w:w="8674"/>
      </w:tblGrid>
      <w:tr xmlns:wp14="http://schemas.microsoft.com/office/word/2010/wordml" w:rsidR="00944D7C" w14:paraId="743F3209" wp14:textId="77777777">
        <w:tblPrEx>
          <w:tblCellMar>
            <w:top w:w="0" w:type="dxa"/>
            <w:bottom w:w="0" w:type="dxa"/>
          </w:tblCellMar>
        </w:tblPrEx>
        <w:tc>
          <w:tcPr>
            <w:tcW w:w="964"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944D7C" w:rsidRDefault="00B94458" w14:paraId="2D2981BE" wp14:textId="77777777">
            <w:pPr>
              <w:pStyle w:val="Table"/>
            </w:pPr>
            <w:r>
              <w:t>Numéro de lot</w:t>
            </w:r>
          </w:p>
        </w:tc>
        <w:tc>
          <w:tcPr>
            <w:tcW w:w="8674"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944D7C" w:rsidRDefault="00B94458" w14:paraId="4C3FCFD6" wp14:textId="77777777">
            <w:pPr>
              <w:pStyle w:val="Table"/>
            </w:pPr>
            <w:r>
              <w:t>Durée / délai du marché public</w:t>
            </w:r>
          </w:p>
        </w:tc>
      </w:tr>
      <w:tr xmlns:wp14="http://schemas.microsoft.com/office/word/2010/wordml" w:rsidR="00944D7C" w14:paraId="7A8FBF92" wp14:textId="77777777">
        <w:tblPrEx>
          <w:tblCellMar>
            <w:top w:w="0" w:type="dxa"/>
            <w:bottom w:w="0" w:type="dxa"/>
          </w:tblCellMar>
        </w:tblPrEx>
        <w:tc>
          <w:tcPr>
            <w:tcW w:w="964" w:type="dxa"/>
            <w:tcBorders>
              <w:left w:val="single" w:color="000000" w:sz="2" w:space="0"/>
              <w:bottom w:val="single" w:color="000000" w:sz="2" w:space="0"/>
            </w:tcBorders>
            <w:shd w:val="clear" w:color="auto" w:fill="auto"/>
            <w:tcMar>
              <w:top w:w="55" w:type="dxa"/>
              <w:left w:w="55" w:type="dxa"/>
              <w:bottom w:w="55" w:type="dxa"/>
              <w:right w:w="55" w:type="dxa"/>
            </w:tcMar>
          </w:tcPr>
          <w:p w:rsidR="00944D7C" w:rsidRDefault="00B94458" w14:paraId="56B20A0C" wp14:textId="77777777">
            <w:pPr>
              <w:pStyle w:val="Table"/>
            </w:pPr>
            <w:r>
              <w:t>1</w:t>
            </w:r>
          </w:p>
        </w:tc>
        <w:tc>
          <w:tcPr>
            <w:tcW w:w="867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944D7C" w:rsidRDefault="00B94458" w14:paraId="4C60525C" wp14:textId="77777777">
            <w:pPr>
              <w:pStyle w:val="Table"/>
            </w:pPr>
            <w:r>
              <w:t>12 mois</w:t>
            </w:r>
          </w:p>
        </w:tc>
      </w:tr>
    </w:tbl>
    <w:p xmlns:wp14="http://schemas.microsoft.com/office/word/2010/wordml" w:rsidR="00944D7C" w:rsidRDefault="00B94458" w14:paraId="55F045F8" wp14:textId="77777777">
      <w:pPr>
        <w:pStyle w:val="Standard"/>
      </w:pPr>
      <w:r>
        <w:t>Ces durées s'entendent hors reconduction(s) éventuelle(s).</w:t>
      </w:r>
    </w:p>
    <w:tbl>
      <w:tblPr>
        <w:tblW w:w="9638" w:type="dxa"/>
        <w:tblLayout w:type="fixed"/>
        <w:tblCellMar>
          <w:left w:w="10" w:type="dxa"/>
          <w:right w:w="10" w:type="dxa"/>
        </w:tblCellMar>
        <w:tblLook w:val="0000" w:firstRow="0" w:lastRow="0" w:firstColumn="0" w:lastColumn="0" w:noHBand="0" w:noVBand="0"/>
      </w:tblPr>
      <w:tblGrid>
        <w:gridCol w:w="964"/>
        <w:gridCol w:w="2891"/>
        <w:gridCol w:w="2891"/>
        <w:gridCol w:w="2892"/>
      </w:tblGrid>
      <w:tr xmlns:wp14="http://schemas.microsoft.com/office/word/2010/wordml" w:rsidR="00944D7C" w14:paraId="4F3A3647" wp14:textId="77777777">
        <w:tblPrEx>
          <w:tblCellMar>
            <w:top w:w="0" w:type="dxa"/>
            <w:bottom w:w="0" w:type="dxa"/>
          </w:tblCellMar>
        </w:tblPrEx>
        <w:tc>
          <w:tcPr>
            <w:tcW w:w="964"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944D7C" w:rsidRDefault="00B94458" w14:paraId="4D334303" wp14:textId="77777777">
            <w:pPr>
              <w:pStyle w:val="Table"/>
            </w:pPr>
            <w:r>
              <w:t>Numéro du lot</w:t>
            </w:r>
          </w:p>
        </w:tc>
        <w:tc>
          <w:tcPr>
            <w:tcW w:w="2891"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944D7C" w:rsidRDefault="00B94458" w14:paraId="31B7DE07" wp14:textId="77777777">
            <w:pPr>
              <w:pStyle w:val="Table"/>
            </w:pPr>
            <w:r>
              <w:t>Reconduction</w:t>
            </w:r>
          </w:p>
        </w:tc>
        <w:tc>
          <w:tcPr>
            <w:tcW w:w="2891"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944D7C" w:rsidRDefault="00B94458" w14:paraId="0EBBFE7C" wp14:textId="77777777">
            <w:pPr>
              <w:pStyle w:val="Table"/>
            </w:pPr>
            <w:r>
              <w:t>Nombre de reconduction(s)</w:t>
            </w:r>
          </w:p>
        </w:tc>
        <w:tc>
          <w:tcPr>
            <w:tcW w:w="2892"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944D7C" w:rsidRDefault="00B94458" w14:paraId="306B93D3" wp14:textId="77777777">
            <w:pPr>
              <w:pStyle w:val="Table"/>
            </w:pPr>
            <w:r>
              <w:t>Modalités de reconduction</w:t>
            </w:r>
          </w:p>
        </w:tc>
      </w:tr>
      <w:tr xmlns:wp14="http://schemas.microsoft.com/office/word/2010/wordml" w:rsidR="00944D7C" w14:paraId="0A9A30B6" wp14:textId="77777777">
        <w:tblPrEx>
          <w:tblCellMar>
            <w:top w:w="0" w:type="dxa"/>
            <w:bottom w:w="0" w:type="dxa"/>
          </w:tblCellMar>
        </w:tblPrEx>
        <w:tc>
          <w:tcPr>
            <w:tcW w:w="964" w:type="dxa"/>
            <w:tcBorders>
              <w:left w:val="single" w:color="000000" w:sz="2" w:space="0"/>
              <w:bottom w:val="single" w:color="000000" w:sz="2" w:space="0"/>
            </w:tcBorders>
            <w:shd w:val="clear" w:color="auto" w:fill="auto"/>
            <w:tcMar>
              <w:top w:w="55" w:type="dxa"/>
              <w:left w:w="55" w:type="dxa"/>
              <w:bottom w:w="55" w:type="dxa"/>
              <w:right w:w="55" w:type="dxa"/>
            </w:tcMar>
          </w:tcPr>
          <w:p w:rsidR="00944D7C" w:rsidRDefault="00B94458" w14:paraId="249FAAB8" wp14:textId="77777777">
            <w:pPr>
              <w:pStyle w:val="Table"/>
            </w:pPr>
            <w:r>
              <w:t>1</w:t>
            </w:r>
          </w:p>
        </w:tc>
        <w:tc>
          <w:tcPr>
            <w:tcW w:w="2891" w:type="dxa"/>
            <w:tcBorders>
              <w:left w:val="single" w:color="000000" w:sz="2" w:space="0"/>
              <w:bottom w:val="single" w:color="000000" w:sz="2" w:space="0"/>
            </w:tcBorders>
            <w:shd w:val="clear" w:color="auto" w:fill="auto"/>
            <w:tcMar>
              <w:top w:w="55" w:type="dxa"/>
              <w:left w:w="55" w:type="dxa"/>
              <w:bottom w:w="55" w:type="dxa"/>
              <w:right w:w="55" w:type="dxa"/>
            </w:tcMar>
          </w:tcPr>
          <w:p w:rsidR="00944D7C" w:rsidRDefault="00B94458" w14:paraId="3EF62DDB" wp14:textId="77777777">
            <w:pPr>
              <w:pStyle w:val="Table"/>
            </w:pPr>
            <w:r>
              <w:t>Oui</w:t>
            </w:r>
          </w:p>
        </w:tc>
        <w:tc>
          <w:tcPr>
            <w:tcW w:w="2891" w:type="dxa"/>
            <w:tcBorders>
              <w:left w:val="single" w:color="000000" w:sz="2" w:space="0"/>
              <w:bottom w:val="single" w:color="000000" w:sz="2" w:space="0"/>
            </w:tcBorders>
            <w:shd w:val="clear" w:color="auto" w:fill="auto"/>
            <w:tcMar>
              <w:top w:w="55" w:type="dxa"/>
              <w:left w:w="55" w:type="dxa"/>
              <w:bottom w:w="55" w:type="dxa"/>
              <w:right w:w="55" w:type="dxa"/>
            </w:tcMar>
          </w:tcPr>
          <w:p w:rsidR="00944D7C" w:rsidRDefault="00B94458" w14:paraId="18F999B5" wp14:textId="77777777">
            <w:pPr>
              <w:pStyle w:val="Table"/>
            </w:pPr>
            <w:r>
              <w:t>2</w:t>
            </w:r>
          </w:p>
        </w:tc>
        <w:tc>
          <w:tcPr>
            <w:tcW w:w="2892"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944D7C" w:rsidRDefault="00B94458" w14:paraId="3F9EB06A" wp14:textId="77777777">
            <w:pPr>
              <w:pStyle w:val="Table"/>
            </w:pPr>
            <w:r>
              <w:t>Tacite</w:t>
            </w:r>
          </w:p>
        </w:tc>
      </w:tr>
    </w:tbl>
    <w:p xmlns:wp14="http://schemas.microsoft.com/office/word/2010/wordml" w:rsidR="00944D7C" w:rsidRDefault="00944D7C" w14:paraId="4B99056E" wp14:textId="77777777">
      <w:pPr>
        <w:pStyle w:val="Standard"/>
      </w:pPr>
    </w:p>
    <w:p xmlns:wp14="http://schemas.microsoft.com/office/word/2010/wordml" w:rsidR="00944D7C" w:rsidRDefault="00B94458" w14:paraId="00A8F842" wp14:textId="77777777">
      <w:pPr>
        <w:pStyle w:val="Standard"/>
      </w:pPr>
      <w:r>
        <w:t>La durée du marché court à compter de sa date de notification.</w:t>
      </w:r>
    </w:p>
    <w:p xmlns:wp14="http://schemas.microsoft.com/office/word/2010/wordml" w:rsidR="00944D7C" w:rsidRDefault="00944D7C" w14:paraId="1299C43A" wp14:textId="77777777">
      <w:pPr>
        <w:pStyle w:val="Standard"/>
      </w:pPr>
    </w:p>
    <w:p xmlns:wp14="http://schemas.microsoft.com/office/word/2010/wordml" w:rsidR="00944D7C" w:rsidRDefault="00B94458" w14:paraId="57D5FEC1" wp14:textId="77777777">
      <w:pPr>
        <w:pStyle w:val="Titre2"/>
      </w:pPr>
      <w:bookmarkStart w:name="__RefHeading__48112_1575219009" w:id="6"/>
      <w:r>
        <w:t>Lieu d'exécution</w:t>
      </w:r>
      <w:bookmarkEnd w:id="6"/>
    </w:p>
    <w:p xmlns:wp14="http://schemas.microsoft.com/office/word/2010/wordml" w:rsidR="00944D7C" w:rsidRDefault="00B94458" w14:paraId="6E7BEAA2" wp14:textId="77777777">
      <w:pPr>
        <w:pStyle w:val="Standard"/>
        <w:rPr>
          <w:b/>
        </w:rPr>
      </w:pPr>
      <w:r>
        <w:rPr>
          <w:b/>
        </w:rPr>
        <w:t> </w:t>
      </w:r>
    </w:p>
    <w:p xmlns:wp14="http://schemas.microsoft.com/office/word/2010/wordml" w:rsidR="00944D7C" w:rsidRDefault="00B94458" w14:paraId="6A03DB41" wp14:textId="77777777">
      <w:pPr>
        <w:pStyle w:val="Standard"/>
      </w:pPr>
      <w:r>
        <w:t>Les lieux d'exécution des prestations objets de la consultation sont :</w:t>
      </w:r>
    </w:p>
    <w:p xmlns:wp14="http://schemas.microsoft.com/office/word/2010/wordml" w:rsidR="00944D7C" w:rsidRDefault="00B94458" w14:paraId="0186A86D" wp14:textId="77777777">
      <w:pPr>
        <w:pStyle w:val="Standard"/>
      </w:pPr>
      <w:r>
        <w:t>87 - Haute-Vienne (FR-87),33 - Gironde (FR-33),23 - Creuse (FR-23),24 - Dordogne (FR-24),79 - Deux-Sèvres (FR-79),47 - Lot-et-Garonne (FR-47),16 - Charente (FR-16),17 - Charente-Maritime (FR-17),19 - Corrèze (FR-19),40 - Landes (FR-40),86 - Vienne (FR-86),64 - Pyrénées-Atlantiques (FR-64).</w:t>
      </w:r>
      <w:r>
        <w:tab/>
      </w:r>
      <w:r>
        <w:tab/>
      </w:r>
      <w:r>
        <w:tab/>
      </w:r>
    </w:p>
    <w:p xmlns:wp14="http://schemas.microsoft.com/office/word/2010/wordml" w:rsidR="00944D7C" w:rsidRDefault="00B94458" w14:paraId="6C4B2DF4" wp14:textId="77777777">
      <w:pPr>
        <w:pStyle w:val="Titre2"/>
      </w:pPr>
      <w:bookmarkStart w:name="__RefHeading__48114_1575219009" w:id="7"/>
      <w:r>
        <w:t>Variantes</w:t>
      </w:r>
      <w:bookmarkEnd w:id="7"/>
    </w:p>
    <w:p xmlns:wp14="http://schemas.microsoft.com/office/word/2010/wordml" w:rsidR="00944D7C" w:rsidRDefault="00B94458" w14:paraId="5068D32E" wp14:textId="77777777">
      <w:pPr>
        <w:pStyle w:val="Titre3"/>
      </w:pPr>
      <w:r>
        <w:t>Variantes obligatoires</w:t>
      </w:r>
    </w:p>
    <w:p xmlns:wp14="http://schemas.microsoft.com/office/word/2010/wordml" w:rsidR="00944D7C" w:rsidRDefault="00B94458" w14:paraId="35B031C3" wp14:textId="77777777">
      <w:pPr>
        <w:pStyle w:val="Standard"/>
      </w:pPr>
      <w:r>
        <w:t>L'acheteur n'exige pas la présentation de variantes obligatoires.</w:t>
      </w:r>
    </w:p>
    <w:p xmlns:wp14="http://schemas.microsoft.com/office/word/2010/wordml" w:rsidR="00944D7C" w:rsidRDefault="00B94458" w14:paraId="63D490ED" wp14:textId="77777777">
      <w:pPr>
        <w:pStyle w:val="Titre3"/>
      </w:pPr>
      <w:r>
        <w:t>Variantes à l'initiative des soumissionnaires</w:t>
      </w:r>
    </w:p>
    <w:p xmlns:wp14="http://schemas.microsoft.com/office/word/2010/wordml" w:rsidR="00944D7C" w:rsidRDefault="00B94458" w14:paraId="5FB6946A" wp14:textId="77777777">
      <w:pPr>
        <w:pStyle w:val="Standard"/>
      </w:pPr>
      <w:r>
        <w:t>Les soumissionnaires ne sont pas autorisés à présenter de variantes à leur initiative.</w:t>
      </w:r>
    </w:p>
    <w:p xmlns:wp14="http://schemas.microsoft.com/office/word/2010/wordml" w:rsidR="00944D7C" w:rsidRDefault="00B94458" w14:paraId="5CE42EFF" wp14:textId="77777777">
      <w:pPr>
        <w:pStyle w:val="Titre2"/>
      </w:pPr>
      <w:bookmarkStart w:name="__RefHeading__48116_1575219009" w:id="8"/>
      <w:r>
        <w:t>Prestations supplémentaires éventuelles</w:t>
      </w:r>
      <w:bookmarkEnd w:id="8"/>
    </w:p>
    <w:p xmlns:wp14="http://schemas.microsoft.com/office/word/2010/wordml" w:rsidR="00944D7C" w:rsidRDefault="00B94458" w14:paraId="30401DD8" wp14:textId="77777777">
      <w:pPr>
        <w:pStyle w:val="Standard"/>
      </w:pPr>
      <w:r>
        <w:t>Aucune prestation supplémentaire éventuelle n'est prévue.</w:t>
      </w:r>
    </w:p>
    <w:p xmlns:wp14="http://schemas.microsoft.com/office/word/2010/wordml" w:rsidR="00944D7C" w:rsidRDefault="00B94458" w14:paraId="30D7E4C8" wp14:textId="77777777">
      <w:pPr>
        <w:pStyle w:val="Titre2"/>
      </w:pPr>
      <w:bookmarkStart w:name="__RefHeading__48120_1575219009" w:id="9"/>
      <w:r>
        <w:t>Considérations environnementales</w:t>
      </w:r>
      <w:bookmarkEnd w:id="9"/>
    </w:p>
    <w:p xmlns:wp14="http://schemas.microsoft.com/office/word/2010/wordml" w:rsidR="00944D7C" w:rsidRDefault="00B94458" w14:paraId="51BAFBF4" wp14:textId="77777777">
      <w:pPr>
        <w:pStyle w:val="Standard"/>
      </w:pPr>
      <w:r>
        <w:t>L'ensemble des livrables sera remis sous forme dématérialisée.</w:t>
      </w:r>
    </w:p>
    <w:p xmlns:wp14="http://schemas.microsoft.com/office/word/2010/wordml" w:rsidR="00944D7C" w:rsidRDefault="00B94458" w14:paraId="4246C7EF" wp14:textId="77777777">
      <w:pPr>
        <w:pStyle w:val="Titre2"/>
      </w:pPr>
      <w:bookmarkStart w:name="__RefHeading__48122_1575219009" w:id="10"/>
      <w:r>
        <w:t>Traitement de données à caractère personnel</w:t>
      </w:r>
      <w:bookmarkEnd w:id="10"/>
    </w:p>
    <w:p xmlns:wp14="http://schemas.microsoft.com/office/word/2010/wordml" w:rsidR="00944D7C" w:rsidRDefault="00B94458" w14:paraId="1B8B1712" wp14:textId="77777777">
      <w:pPr>
        <w:pStyle w:val="Standard"/>
      </w:pPr>
      <w:r>
        <w:t xml:space="preserve"> </w:t>
      </w:r>
      <w:r>
        <w:rPr>
          <w:b/>
        </w:rPr>
        <w:t>Protection des données à caractère personnel des candidats à la présente procédure</w:t>
      </w:r>
    </w:p>
    <w:p xmlns:wp14="http://schemas.microsoft.com/office/word/2010/wordml" w:rsidR="00944D7C" w:rsidRDefault="00B94458" w14:paraId="3431DACA" wp14:textId="77777777">
      <w:pPr>
        <w:pStyle w:val="Standard"/>
      </w:pPr>
      <w: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xmlns:wp14="http://schemas.microsoft.com/office/word/2010/wordml" w:rsidR="00944D7C" w:rsidRDefault="00B94458" w14:paraId="5A2AB4C9" wp14:textId="77777777">
      <w:pPr>
        <w:pStyle w:val="Standard"/>
      </w:pPr>
      <w:r>
        <w:br/>
      </w:r>
      <w:r>
        <w:rPr>
          <w:b/>
        </w:rPr>
        <w:t>Identité et coordonnées du responsable de traitement et de son représentant :</w:t>
      </w:r>
    </w:p>
    <w:p xmlns:wp14="http://schemas.microsoft.com/office/word/2010/wordml" w:rsidR="00944D7C" w:rsidRDefault="00B94458" w14:paraId="3551F9DA" wp14:textId="77777777">
      <w:pPr>
        <w:pStyle w:val="Standard"/>
      </w:pPr>
      <w:r>
        <w:t>Le ministère de l’Action et des comptes publics</w:t>
      </w:r>
    </w:p>
    <w:p xmlns:wp14="http://schemas.microsoft.com/office/word/2010/wordml" w:rsidR="00944D7C" w:rsidRDefault="00B94458" w14:paraId="581BAEA9" wp14:textId="77777777">
      <w:pPr>
        <w:pStyle w:val="Standard"/>
      </w:pPr>
      <w:r>
        <w:t>59, boulevard Vincent Auriol</w:t>
      </w:r>
    </w:p>
    <w:p xmlns:wp14="http://schemas.microsoft.com/office/word/2010/wordml" w:rsidR="00944D7C" w:rsidRDefault="00B94458" w14:paraId="62056C05" wp14:textId="77777777">
      <w:pPr>
        <w:pStyle w:val="Standard"/>
      </w:pPr>
      <w:r>
        <w:t>75703 Paris Cedex 13</w:t>
      </w:r>
    </w:p>
    <w:p xmlns:wp14="http://schemas.microsoft.com/office/word/2010/wordml" w:rsidR="00944D7C" w:rsidRDefault="00B94458" w14:paraId="7E6E09DE" wp14:textId="77777777">
      <w:pPr>
        <w:pStyle w:val="Standard"/>
      </w:pPr>
      <w:r>
        <w:t>Représentée par le Directeur des achats de l'Etat</w:t>
      </w:r>
    </w:p>
    <w:p xmlns:wp14="http://schemas.microsoft.com/office/word/2010/wordml" w:rsidR="00944D7C" w:rsidRDefault="00B94458" w14:paraId="3F389F58" wp14:textId="77777777">
      <w:pPr>
        <w:pStyle w:val="Standard"/>
      </w:pPr>
      <w:r>
        <w:br/>
      </w:r>
      <w:r>
        <w:rPr>
          <w:b/>
        </w:rPr>
        <w:t>Responsable de Traitement Opérationnel (RTO) :</w:t>
      </w:r>
    </w:p>
    <w:p xmlns:wp14="http://schemas.microsoft.com/office/word/2010/wordml" w:rsidR="00944D7C" w:rsidRDefault="00B94458" w14:paraId="15503434" wp14:textId="77777777">
      <w:pPr>
        <w:pStyle w:val="Standard"/>
      </w:pPr>
      <w:r>
        <w:t>La Direction des achats de l'Etat,</w:t>
      </w:r>
    </w:p>
    <w:p xmlns:wp14="http://schemas.microsoft.com/office/word/2010/wordml" w:rsidR="00944D7C" w:rsidRDefault="00B94458" w14:paraId="04C32880" wp14:textId="77777777">
      <w:pPr>
        <w:pStyle w:val="Standard"/>
      </w:pPr>
      <w:r>
        <w:t>Représentée par le Directeur des achats de l'Etat</w:t>
      </w:r>
    </w:p>
    <w:p xmlns:wp14="http://schemas.microsoft.com/office/word/2010/wordml" w:rsidR="00944D7C" w:rsidRDefault="00B94458" w14:paraId="3F481A81" wp14:textId="77777777">
      <w:pPr>
        <w:pStyle w:val="Standard"/>
      </w:pPr>
      <w:r>
        <w:br/>
      </w:r>
      <w:r>
        <w:rPr>
          <w:b/>
        </w:rPr>
        <w:t>Coordonnées du délégué à la protection des données :</w:t>
      </w:r>
    </w:p>
    <w:p xmlns:wp14="http://schemas.microsoft.com/office/word/2010/wordml" w:rsidR="00944D7C" w:rsidRDefault="00B94458" w14:paraId="185111BE" wp14:textId="77777777">
      <w:pPr>
        <w:pStyle w:val="Standard"/>
      </w:pPr>
      <w:r>
        <w:t>le-delegue-a-la-protection-des-donnees-personnelles@finances.gouv.fr</w:t>
      </w:r>
    </w:p>
    <w:p xmlns:wp14="http://schemas.microsoft.com/office/word/2010/wordml" w:rsidR="00944D7C" w:rsidRDefault="00B94458" w14:paraId="35C04EDB" wp14:textId="77777777">
      <w:pPr>
        <w:pStyle w:val="Standard"/>
      </w:pPr>
      <w:r>
        <w:br/>
      </w:r>
      <w:r>
        <w:rPr>
          <w:b/>
        </w:rPr>
        <w:t>Base juridique du traitement </w:t>
      </w:r>
      <w:r>
        <w:t>: c) et e) de l'article 6.1 du RGPD</w:t>
      </w:r>
    </w:p>
    <w:p xmlns:wp14="http://schemas.microsoft.com/office/word/2010/wordml" w:rsidR="00944D7C" w:rsidRDefault="00B94458" w14:paraId="22AA689B" wp14:textId="77777777">
      <w:pPr>
        <w:pStyle w:val="Standard"/>
      </w:pPr>
      <w:r>
        <w:br/>
      </w:r>
      <w:r>
        <w:rPr>
          <w:b/>
        </w:rPr>
        <w:t>Finalité du ou des traitements</w:t>
      </w:r>
      <w:r>
        <w:t> : suivi de la présente procédure de passation, attribution du marché public et obligations légales en matière de durée d'utilité administrative (DUA) applicable aux marchés publics.</w:t>
      </w:r>
    </w:p>
    <w:p xmlns:wp14="http://schemas.microsoft.com/office/word/2010/wordml" w:rsidR="00944D7C" w:rsidRDefault="00B94458" w14:paraId="5BD91A08" wp14:textId="77777777">
      <w:pPr>
        <w:pStyle w:val="Standard"/>
      </w:pPr>
      <w:r>
        <w:br/>
      </w:r>
      <w:r>
        <w:rPr>
          <w:b/>
        </w:rPr>
        <w:t>Destinataires ou catégorie de destinataires </w:t>
      </w:r>
      <w:r>
        <w:t>: les données à caractère personnel concernées sont destinées exclusivement aux agents de l'Acheteur, des ministères et des opérateurs de l'Etat, en charge de la passation puis de l'exécution du présent contrat.</w:t>
      </w:r>
    </w:p>
    <w:p xmlns:wp14="http://schemas.microsoft.com/office/word/2010/wordml" w:rsidR="00944D7C" w:rsidRDefault="00B94458" w14:paraId="3CA0B486" wp14:textId="77777777">
      <w:pPr>
        <w:pStyle w:val="Standard"/>
      </w:pPr>
      <w:r>
        <w:br/>
      </w:r>
      <w:r>
        <w:rPr>
          <w:b/>
        </w:rPr>
        <w:t>Durée de conservation </w:t>
      </w:r>
      <w:r>
        <w:t>: ces données sont conservées pendant toute la durée de passation et d'exécution du contrat ainsi que durant la DUA applicable au contrat.</w:t>
      </w:r>
    </w:p>
    <w:p xmlns:wp14="http://schemas.microsoft.com/office/word/2010/wordml" w:rsidR="00944D7C" w:rsidRDefault="00944D7C" w14:paraId="4DDBEF00" wp14:textId="77777777">
      <w:pPr>
        <w:pStyle w:val="Standard"/>
      </w:pPr>
    </w:p>
    <w:p xmlns:wp14="http://schemas.microsoft.com/office/word/2010/wordml" w:rsidR="00944D7C" w:rsidRDefault="00944D7C" w14:paraId="3461D779" wp14:textId="77777777">
      <w:pPr>
        <w:pStyle w:val="Standard"/>
      </w:pPr>
    </w:p>
    <w:p xmlns:wp14="http://schemas.microsoft.com/office/word/2010/wordml" w:rsidR="00944D7C" w:rsidRDefault="00944D7C" w14:paraId="3CF2D8B6" wp14:textId="77777777">
      <w:pPr>
        <w:pStyle w:val="Standard"/>
      </w:pPr>
    </w:p>
    <w:p xmlns:wp14="http://schemas.microsoft.com/office/word/2010/wordml" w:rsidR="00944D7C" w:rsidRDefault="00B94458" w14:paraId="66A6196A" wp14:textId="77777777">
      <w:pPr>
        <w:pStyle w:val="Standard"/>
      </w:pPr>
      <w: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xmlns:wp14="http://schemas.microsoft.com/office/word/2010/wordml" w:rsidR="00944D7C" w:rsidRDefault="00944D7C" w14:paraId="0FB78278" wp14:textId="77777777">
      <w:pPr>
        <w:pStyle w:val="Standard"/>
      </w:pPr>
    </w:p>
    <w:p xmlns:wp14="http://schemas.microsoft.com/office/word/2010/wordml" w:rsidR="00944D7C" w:rsidRDefault="00B94458" w14:paraId="22760363" wp14:textId="77777777">
      <w:pPr>
        <w:pStyle w:val="Standard"/>
      </w:pPr>
      <w:r>
        <w:t>La personne dont les données à caractère personnel sont collectées dans le cadre de la présente procédure dispose d'un droit de réclamation auprès de la CNIL. </w:t>
      </w:r>
    </w:p>
    <w:p xmlns:wp14="http://schemas.microsoft.com/office/word/2010/wordml" w:rsidR="00944D7C" w:rsidRDefault="00B94458" w14:paraId="100C5B58" wp14:textId="77777777">
      <w:pPr>
        <w:pStyle w:val="Standard"/>
      </w:pPr>
      <w:r>
        <w:t xml:space="preserve"> </w:t>
      </w:r>
    </w:p>
    <w:p xmlns:wp14="http://schemas.microsoft.com/office/word/2010/wordml" w:rsidR="00944D7C" w:rsidRDefault="00B94458" w14:paraId="2E676B60" wp14:textId="77777777">
      <w:pPr>
        <w:pStyle w:val="Titre1"/>
      </w:pPr>
      <w:bookmarkStart w:name="__RefHeading__48124_1575219009" w:id="11"/>
      <w:r>
        <w:t>INFORMATION DES CANDIDATS</w:t>
      </w:r>
      <w:bookmarkEnd w:id="11"/>
    </w:p>
    <w:p xmlns:wp14="http://schemas.microsoft.com/office/word/2010/wordml" w:rsidR="00944D7C" w:rsidRDefault="00B94458" w14:paraId="39578183" wp14:textId="77777777">
      <w:pPr>
        <w:pStyle w:val="Titre2"/>
      </w:pPr>
      <w:bookmarkStart w:name="__RefHeading__48126_1575219009" w:id="12"/>
      <w:r>
        <w:t>Contenu des documents de la consultation</w:t>
      </w:r>
      <w:bookmarkEnd w:id="12"/>
    </w:p>
    <w:p xmlns:wp14="http://schemas.microsoft.com/office/word/2010/wordml" w:rsidR="00944D7C" w:rsidRDefault="00B94458" w14:paraId="1F057F4D" wp14:textId="77777777">
      <w:pPr>
        <w:pStyle w:val="Standard"/>
      </w:pPr>
      <w:r>
        <w:t>Les documents de la consultation mis à disposition sont les suivants :</w:t>
      </w:r>
    </w:p>
    <w:p xmlns:wp14="http://schemas.microsoft.com/office/word/2010/wordml" w:rsidR="00944D7C" w:rsidRDefault="00B94458" w14:paraId="2ED20954" wp14:textId="77777777">
      <w:pPr>
        <w:pStyle w:val="Standard"/>
      </w:pPr>
      <w:r>
        <w:t>- le présent règlement de consultation ;</w:t>
      </w:r>
    </w:p>
    <w:p xmlns:wp14="http://schemas.microsoft.com/office/word/2010/wordml" w:rsidR="00944D7C" w:rsidRDefault="00B94458" w14:paraId="1C7B26EE" wp14:textId="77777777">
      <w:pPr>
        <w:pStyle w:val="Standard"/>
      </w:pPr>
      <w:r>
        <w:t xml:space="preserve">- le cahier des clauses administratives particulières ; </w:t>
      </w:r>
    </w:p>
    <w:p xmlns:wp14="http://schemas.microsoft.com/office/word/2010/wordml" w:rsidR="00944D7C" w:rsidRDefault="00B94458" w14:paraId="219899B6" wp14:textId="77777777">
      <w:pPr>
        <w:pStyle w:val="Standard"/>
      </w:pPr>
      <w:r>
        <w:t>- le bordereau de prix unitaires ;</w:t>
      </w:r>
    </w:p>
    <w:p xmlns:wp14="http://schemas.microsoft.com/office/word/2010/wordml" w:rsidR="00944D7C" w:rsidRDefault="00B94458" w14:paraId="14AA835E" wp14:textId="77777777">
      <w:pPr>
        <w:pStyle w:val="Standard"/>
      </w:pPr>
      <w:r>
        <w:t>- l’annexe Egalité ;</w:t>
      </w:r>
    </w:p>
    <w:p xmlns:wp14="http://schemas.microsoft.com/office/word/2010/wordml" w:rsidR="00944D7C" w:rsidRDefault="00B94458" w14:paraId="159B76A9" wp14:textId="77777777">
      <w:pPr>
        <w:pStyle w:val="Standard"/>
      </w:pPr>
      <w:r>
        <w:t>- Le cadre de règlement technique.</w:t>
      </w:r>
    </w:p>
    <w:p xmlns:wp14="http://schemas.microsoft.com/office/word/2010/wordml" w:rsidR="00944D7C" w:rsidRDefault="00B94458" w14:paraId="22495206" wp14:textId="77777777">
      <w:pPr>
        <w:pStyle w:val="Titre2"/>
      </w:pPr>
      <w:bookmarkStart w:name="__RefHeading__48128_1575219009" w:id="13"/>
      <w:r>
        <w:t>Modalités de retrait et de consultation des documents</w:t>
      </w:r>
      <w:bookmarkEnd w:id="13"/>
    </w:p>
    <w:p xmlns:wp14="http://schemas.microsoft.com/office/word/2010/wordml" w:rsidR="00944D7C" w:rsidRDefault="00B94458" w14:paraId="513E45C8" wp14:textId="77777777">
      <w:pPr>
        <w:pStyle w:val="Standard"/>
      </w:pPr>
      <w:r>
        <w:t xml:space="preserve"> Les documents de la consultation sont accessibles uniquement par voie électronique, sur la plate-forme des achats de l'Etat (PLACE) (www.marches-publics.gouv.fr).</w:t>
      </w:r>
    </w:p>
    <w:p xmlns:wp14="http://schemas.microsoft.com/office/word/2010/wordml" w:rsidR="00944D7C" w:rsidRDefault="00B94458" w14:paraId="4B5C879E" wp14:textId="77777777">
      <w:pPr>
        <w:pStyle w:val="Titre2"/>
      </w:pPr>
      <w:bookmarkStart w:name="__RefHeading__48130_1575219009" w:id="14"/>
      <w:r>
        <w:t>Demandes de renseignements complémentaires et questions</w:t>
      </w:r>
      <w:bookmarkEnd w:id="14"/>
    </w:p>
    <w:p xmlns:wp14="http://schemas.microsoft.com/office/word/2010/wordml" w:rsidR="00944D7C" w:rsidRDefault="00B94458" w14:paraId="05C5F42A" wp14:textId="77777777">
      <w:pPr>
        <w:pStyle w:val="Standard"/>
      </w:pPr>
      <w:r>
        <w:t>Pendant la phase de consultation, les candidats peuvent faire parvenir leurs questions et les demandes de renseignements complémentaires sur la plate-forme des achats de l'Etat (PLACE) : https://www.marches-publics.gouv.fr.</w:t>
      </w:r>
    </w:p>
    <w:p xmlns:wp14="http://schemas.microsoft.com/office/word/2010/wordml" w:rsidR="00944D7C" w:rsidRDefault="00B94458" w14:paraId="5B2E16CA" wp14:textId="77777777">
      <w:pPr>
        <w:pStyle w:val="Standard"/>
      </w:pPr>
      <w:r>
        <w:t>Les réponses aux demandes de renseignements complémentaires reçues en temps utile (</w:t>
      </w:r>
      <w:r>
        <w:rPr>
          <w:b/>
        </w:rPr>
        <w:t>au plus tard 8 jours avant la date de réception des offres</w:t>
      </w:r>
      <w:r>
        <w:t>) sont transmises aux opérateurs économiques au plus tard 6 jours avant la date limite de réception des offres.</w:t>
      </w:r>
    </w:p>
    <w:p xmlns:wp14="http://schemas.microsoft.com/office/word/2010/wordml" w:rsidR="00944D7C" w:rsidRDefault="00B94458" w14:paraId="28004D51" wp14:textId="77777777">
      <w:pPr>
        <w:pStyle w:val="Titre2"/>
      </w:pPr>
      <w:bookmarkStart w:name="__RefHeading__48132_1575219009" w:id="15"/>
      <w:r>
        <w:t>Modification des documents de la consultation</w:t>
      </w:r>
      <w:bookmarkEnd w:id="15"/>
    </w:p>
    <w:p xmlns:wp14="http://schemas.microsoft.com/office/word/2010/wordml" w:rsidR="00944D7C" w:rsidRDefault="00B94458" w14:paraId="4FE1DA67" wp14:textId="77777777">
      <w:pPr>
        <w:pStyle w:val="Standard"/>
      </w:pPr>
      <w:r>
        <w:t xml:space="preserve">Des modifications peuvent être apportées aux documents de la consultation au plus tard </w:t>
      </w:r>
      <w:r>
        <w:rPr>
          <w:b/>
        </w:rPr>
        <w:t>6 jours</w:t>
      </w:r>
      <w:r>
        <w:t xml:space="preserve"> avant la date limite de réception des offres.</w:t>
      </w:r>
    </w:p>
    <w:p xmlns:wp14="http://schemas.microsoft.com/office/word/2010/wordml" w:rsidR="00944D7C" w:rsidRDefault="00B94458" w14:paraId="4D97B2E1" wp14:textId="77777777">
      <w:pPr>
        <w:pStyle w:val="Standard"/>
      </w:pPr>
      <w:r>
        <w:t>Les modifications sont communiquées aux seuls opérateurs économiques dûment identifiés lors du retrait des documents de la consultation.</w:t>
      </w:r>
    </w:p>
    <w:p xmlns:wp14="http://schemas.microsoft.com/office/word/2010/wordml" w:rsidR="00944D7C" w:rsidRDefault="00B94458" w14:paraId="58F86FBD" wp14:textId="77777777">
      <w:pPr>
        <w:pStyle w:val="Standard"/>
      </w:pPr>
      <w: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xmlns:wp14="http://schemas.microsoft.com/office/word/2010/wordml" w:rsidR="00944D7C" w:rsidRDefault="00B94458" w14:paraId="4ED4C4CD" wp14:textId="77777777">
      <w:pPr>
        <w:pStyle w:val="Titre2"/>
      </w:pPr>
      <w:bookmarkStart w:name="__RefHeading__48134_1575219009" w:id="16"/>
      <w:r>
        <w:t>Prolongation du délai de réception des offres</w:t>
      </w:r>
      <w:bookmarkEnd w:id="16"/>
    </w:p>
    <w:p xmlns:wp14="http://schemas.microsoft.com/office/word/2010/wordml" w:rsidR="00944D7C" w:rsidRDefault="00B94458" w14:paraId="1B9E32C1" wp14:textId="77777777">
      <w:pPr>
        <w:pStyle w:val="Standard"/>
      </w:pPr>
      <w:r>
        <w:t>Lorsqu'une réponse nécessaire à l'élaboration de l'offre n'est pas fournie 6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xmlns:wp14="http://schemas.microsoft.com/office/word/2010/wordml" w:rsidR="00944D7C" w:rsidRDefault="00944D7C" w14:paraId="1FC39945" wp14:textId="77777777">
      <w:pPr>
        <w:pStyle w:val="Standard"/>
      </w:pPr>
    </w:p>
    <w:p xmlns:wp14="http://schemas.microsoft.com/office/word/2010/wordml" w:rsidR="00944D7C" w:rsidRDefault="00B94458" w14:paraId="24E2D81E" wp14:textId="77777777">
      <w:pPr>
        <w:pStyle w:val="Titre1"/>
      </w:pPr>
      <w:bookmarkStart w:name="__RefHeading__48138_1575219009" w:id="17"/>
      <w:r>
        <w:t>CANDIDATURE</w:t>
      </w:r>
      <w:bookmarkEnd w:id="17"/>
    </w:p>
    <w:p xmlns:wp14="http://schemas.microsoft.com/office/word/2010/wordml" w:rsidR="00944D7C" w:rsidRDefault="00B94458" w14:paraId="235ABFD7" wp14:textId="77777777">
      <w:pPr>
        <w:pStyle w:val="Titre2"/>
      </w:pPr>
      <w:bookmarkStart w:name="__RefHeading__48140_1575219009" w:id="18"/>
      <w:r>
        <w:t>Motifs d'exclusion</w:t>
      </w:r>
      <w:bookmarkEnd w:id="18"/>
    </w:p>
    <w:p xmlns:wp14="http://schemas.microsoft.com/office/word/2010/wordml" w:rsidR="00944D7C" w:rsidRDefault="00B94458" w14:paraId="7352C456" wp14:textId="77777777">
      <w:pPr>
        <w:pStyle w:val="Standard"/>
      </w:pPr>
      <w:r>
        <w:t>Conformément aux dispositions du code de la commande publique relative aux exclusions de plein droit et aux exclusions à l'appréciation de l'acheteur, les personnes se trouvant dans un des cas d'exclusion sont exclues de la procédure.</w:t>
      </w:r>
    </w:p>
    <w:p xmlns:wp14="http://schemas.microsoft.com/office/word/2010/wordml" w:rsidR="00944D7C" w:rsidRDefault="00B94458" w14:paraId="1BBADF7C" wp14:textId="77777777">
      <w:pPr>
        <w:pStyle w:val="Standard"/>
      </w:pPr>
      <w:r>
        <w:t>Lorsqu'un opérateur économique se trouve, en cours de procédure, en situation d'exclusion, il en informe sans délai l'acheteur qui l'exclut pour ce motif.</w:t>
      </w:r>
    </w:p>
    <w:p xmlns:wp14="http://schemas.microsoft.com/office/word/2010/wordml" w:rsidR="00944D7C" w:rsidRDefault="00B94458" w14:paraId="069B0AA2" wp14:textId="77777777">
      <w:pPr>
        <w:pStyle w:val="Standard"/>
      </w:pPr>
      <w:r>
        <w:t>En cas d'exclusion à l'appréciation de l'acheteur, l'opérateur économique présente, à la demande de l'acheteur, ses observations afin d'établir qu'il a pris les mesures nécessaires ou encore que sa participation à la présente consultation ne soit pas susceptible de porter atteinte à l'égalité de traitement.</w:t>
      </w:r>
    </w:p>
    <w:p xmlns:wp14="http://schemas.microsoft.com/office/word/2010/wordml" w:rsidR="00944D7C" w:rsidRDefault="00B94458" w14:paraId="5D62F85B" wp14:textId="77777777">
      <w:pPr>
        <w:pStyle w:val="Titre2"/>
      </w:pPr>
      <w:bookmarkStart w:name="__RefHeading__48142_1575219009" w:id="19"/>
      <w:r>
        <w:t>Conditions de participation</w:t>
      </w:r>
      <w:bookmarkEnd w:id="19"/>
    </w:p>
    <w:p xmlns:wp14="http://schemas.microsoft.com/office/word/2010/wordml" w:rsidR="00944D7C" w:rsidRDefault="00B94458" w14:paraId="66230A48" wp14:textId="77777777">
      <w:pPr>
        <w:pStyle w:val="Standard"/>
      </w:pPr>
      <w:r>
        <w:t>Une même personne ne peut représenter plus d'un candidat pour un même marché.</w:t>
      </w:r>
    </w:p>
    <w:p xmlns:wp14="http://schemas.microsoft.com/office/word/2010/wordml" w:rsidR="00944D7C" w:rsidRDefault="00B94458" w14:paraId="7918B2D9" wp14:textId="77777777">
      <w:pPr>
        <w:pStyle w:val="Standard"/>
      </w:pPr>
      <w:r>
        <w:t>Si le candidat candidate à plusieurs lots, il peut remettre un dossier de candidature unique à condition de présenter ses capacités professionnelles, techniques et financières lot par lot.</w:t>
      </w:r>
    </w:p>
    <w:p xmlns:wp14="http://schemas.microsoft.com/office/word/2010/wordml" w:rsidR="00944D7C" w:rsidRDefault="00B94458" w14:paraId="2F40AA57" wp14:textId="77777777">
      <w:pPr>
        <w:pStyle w:val="Standard"/>
      </w:pPr>
      <w:r>
        <w:t>L'acheteur n'impose pas aux candidats de niveaux minimums de capacité.</w:t>
      </w:r>
    </w:p>
    <w:p xmlns:wp14="http://schemas.microsoft.com/office/word/2010/wordml" w:rsidR="00944D7C" w:rsidRDefault="00B94458" w14:paraId="1A3DC05C" wp14:textId="77777777">
      <w:pPr>
        <w:pStyle w:val="Titre2"/>
      </w:pPr>
      <w:bookmarkStart w:name="__RefHeading__48144_1575219009" w:id="20"/>
      <w:r>
        <w:t>Présentation de la candidature</w:t>
      </w:r>
      <w:bookmarkEnd w:id="20"/>
    </w:p>
    <w:p xmlns:wp14="http://schemas.microsoft.com/office/word/2010/wordml" w:rsidR="00944D7C" w:rsidRDefault="00B94458" w14:paraId="3BA3A9F8" wp14:textId="77777777">
      <w:pPr>
        <w:pStyle w:val="Standard"/>
      </w:pPr>
      <w:r>
        <w:t>Les candidats ont le choix de présenter leur candidature :</w:t>
      </w:r>
    </w:p>
    <w:p xmlns:wp14="http://schemas.microsoft.com/office/word/2010/wordml" w:rsidR="00944D7C" w:rsidRDefault="00B94458" w14:paraId="47018497" wp14:textId="77777777">
      <w:pPr>
        <w:pStyle w:val="Standard"/>
      </w:pPr>
      <w:r>
        <w:t>- sous forme de document unique de marché européen électronique (DUME) en utilisant le service DUME ou le service exposé de PLACE</w:t>
      </w:r>
    </w:p>
    <w:p xmlns:wp14="http://schemas.microsoft.com/office/word/2010/wordml" w:rsidR="00944D7C" w:rsidRDefault="00B94458" w14:paraId="1EF5CA92" wp14:textId="77777777">
      <w:pPr>
        <w:pStyle w:val="Standard"/>
      </w:pPr>
      <w:r>
        <w:t>- sous forme de candidature standard en utilisant les formulaires DC1 et DC2</w:t>
      </w:r>
    </w:p>
    <w:p xmlns:wp14="http://schemas.microsoft.com/office/word/2010/wordml" w:rsidR="00944D7C" w:rsidRDefault="00B94458" w14:paraId="0A51F24F" wp14:textId="77777777">
      <w:pPr>
        <w:pStyle w:val="Titre3"/>
      </w:pPr>
      <w:r>
        <w:t>Candidature sous forme de Document Unique de Marché Européen électronique (DUME électronique)</w:t>
      </w:r>
    </w:p>
    <w:p xmlns:wp14="http://schemas.microsoft.com/office/word/2010/wordml" w:rsidR="00944D7C" w:rsidRDefault="00B94458" w14:paraId="77D769FC" wp14:textId="77777777">
      <w:pPr>
        <w:pStyle w:val="Standard"/>
      </w:pPr>
      <w:r>
        <w:t>Les candidats peuvent présenter leur candidature en renseignant le formulaire DUME accessible :</w:t>
      </w:r>
    </w:p>
    <w:p xmlns:wp14="http://schemas.microsoft.com/office/word/2010/wordml" w:rsidR="00944D7C" w:rsidRDefault="00B94458" w14:paraId="589055D2" wp14:textId="77777777">
      <w:pPr>
        <w:pStyle w:val="Standard"/>
      </w:pPr>
      <w:r>
        <w:t>- depuis le service exposé de PLACE</w:t>
      </w:r>
    </w:p>
    <w:p xmlns:wp14="http://schemas.microsoft.com/office/word/2010/wordml" w:rsidR="00944D7C" w:rsidRDefault="00B94458" w14:paraId="1D22C94C" wp14:textId="77777777">
      <w:pPr>
        <w:pStyle w:val="Standard"/>
      </w:pPr>
      <w:r>
        <w:t>- depuis l'adresse URL suivante : https://dume.chorus-pro.gouv.fr</w:t>
      </w:r>
    </w:p>
    <w:p xmlns:wp14="http://schemas.microsoft.com/office/word/2010/wordml" w:rsidR="00944D7C" w:rsidRDefault="00B94458" w14:paraId="4AB3BBDF" wp14:textId="77777777">
      <w:pPr>
        <w:pStyle w:val="Standard"/>
      </w:pPr>
      <w:r>
        <w:t>Les parties II (informations concernant l'opérateur économique), III (motifs d'exclusion), IV (critères de sélection) et le cas échéant V (réduction du nombre de candidats qualifiés) du formulaire sont à renseigner.</w:t>
      </w:r>
    </w:p>
    <w:p xmlns:wp14="http://schemas.microsoft.com/office/word/2010/wordml" w:rsidR="00944D7C" w:rsidRDefault="00B94458" w14:paraId="5A7D1D3C" wp14:textId="77777777">
      <w:pPr>
        <w:pStyle w:val="Standard"/>
      </w:pPr>
      <w:r>
        <w:t>Des renseignements complémentaires au sujet du DUME électronique sont disponibles à l'adresse URL suivante : https://communaute.chorus-pro.gouv.fr/pour-les-entreprises/</w:t>
      </w:r>
    </w:p>
    <w:p xmlns:wp14="http://schemas.microsoft.com/office/word/2010/wordml" w:rsidR="00944D7C" w:rsidRDefault="00B94458" w14:paraId="6E2A2032" wp14:textId="77777777">
      <w:pPr>
        <w:pStyle w:val="Standard"/>
      </w:pPr>
      <w:r>
        <w:t>Les candidats renseignent les parties suivantes du DUME :</w:t>
      </w:r>
    </w:p>
    <w:p xmlns:wp14="http://schemas.microsoft.com/office/word/2010/wordml" w:rsidR="00944D7C" w:rsidRDefault="00B94458" w14:paraId="01E64B44" wp14:textId="77777777">
      <w:pPr>
        <w:pStyle w:val="Standard"/>
      </w:pPr>
      <w:r>
        <w:br/>
      </w:r>
      <w:r>
        <w:t>CAPACITE ECONOMIQUE ET FINANCIERE</w:t>
      </w:r>
    </w:p>
    <w:p xmlns:wp14="http://schemas.microsoft.com/office/word/2010/wordml" w:rsidR="00944D7C" w:rsidRDefault="00B94458" w14:paraId="162F4DAE" wp14:textId="77777777">
      <w:pPr>
        <w:pStyle w:val="Standard"/>
      </w:pPr>
      <w:r>
        <w:t>- la partie IV - B 1a : chiffre d'affaires annuel « général » des</w:t>
      </w:r>
      <w:r>
        <w:rPr>
          <w:b/>
        </w:rPr>
        <w:t xml:space="preserve"> 3 </w:t>
      </w:r>
      <w:r>
        <w:t>derniers exercices ;</w:t>
      </w:r>
    </w:p>
    <w:p xmlns:wp14="http://schemas.microsoft.com/office/word/2010/wordml" w:rsidR="00944D7C" w:rsidRDefault="00B94458" w14:paraId="132CB0CF" wp14:textId="77777777">
      <w:pPr>
        <w:pStyle w:val="Standard"/>
      </w:pPr>
      <w:r>
        <w:t xml:space="preserve">- la partie IV – B 2a) : chiffre d'affaires annuel « spécifique » dans le domaine d'activité couvert par le marché des </w:t>
      </w:r>
      <w:r>
        <w:rPr>
          <w:b/>
        </w:rPr>
        <w:t xml:space="preserve">3 </w:t>
      </w:r>
      <w:r>
        <w:t>derniers exercices ;</w:t>
      </w:r>
    </w:p>
    <w:p xmlns:wp14="http://schemas.microsoft.com/office/word/2010/wordml" w:rsidR="00944D7C" w:rsidRDefault="00B94458" w14:paraId="2934AF9B" wp14:textId="77777777">
      <w:pPr>
        <w:pStyle w:val="Standard"/>
      </w:pPr>
      <w:r>
        <w:t>- la partie IV - B 5) : une assurance pour risques professionnels</w:t>
      </w:r>
    </w:p>
    <w:p xmlns:wp14="http://schemas.microsoft.com/office/word/2010/wordml" w:rsidR="00944D7C" w:rsidRDefault="00B94458" w14:paraId="080CCD39" wp14:textId="77777777">
      <w:pPr>
        <w:pStyle w:val="Standard"/>
      </w:pPr>
      <w:r>
        <w:br/>
      </w:r>
      <w:r>
        <w:t>CAPACITE TECHNIQUES ET PROFESSIONNELLES</w:t>
      </w:r>
    </w:p>
    <w:p xmlns:wp14="http://schemas.microsoft.com/office/word/2010/wordml" w:rsidR="00944D7C" w:rsidRDefault="00B94458" w14:paraId="4E4C13F7" wp14:textId="77777777">
      <w:pPr>
        <w:pStyle w:val="Standard"/>
      </w:pPr>
      <w:r>
        <w:t>- la partie IV - C 1b) pour les marchés publics de fournitures et de services : les prestations principales de même nature réalisées sur les </w:t>
      </w:r>
      <w:r>
        <w:rPr>
          <w:b/>
        </w:rPr>
        <w:t>3</w:t>
      </w:r>
      <w:r>
        <w:t xml:space="preserve"> dernières années. Cette liste peut être complétée par l'expérience datant de plus de 3 ans ;</w:t>
      </w:r>
    </w:p>
    <w:p xmlns:wp14="http://schemas.microsoft.com/office/word/2010/wordml" w:rsidR="00944D7C" w:rsidRDefault="00B94458" w14:paraId="68E7C9B2" wp14:textId="77777777">
      <w:pPr>
        <w:pStyle w:val="Standard"/>
      </w:pPr>
      <w:r>
        <w:t>- la partie IV - C8) : les effectifs moyens annuels et le nombre de cadres pendant les 3 dernières années ;</w:t>
      </w:r>
    </w:p>
    <w:p xmlns:wp14="http://schemas.microsoft.com/office/word/2010/wordml" w:rsidR="00944D7C" w:rsidRDefault="00B94458" w14:paraId="25FADE05" wp14:textId="77777777">
      <w:pPr>
        <w:pStyle w:val="Standard"/>
      </w:pPr>
      <w:r>
        <w:t>- la partie IV - C10) : la fraction des prestations éventuellement sous-traitées.</w:t>
      </w:r>
    </w:p>
    <w:p xmlns:wp14="http://schemas.microsoft.com/office/word/2010/wordml" w:rsidR="00944D7C" w:rsidRDefault="00944D7C" w14:paraId="0562CB0E" wp14:textId="77777777">
      <w:pPr>
        <w:pStyle w:val="Standard"/>
      </w:pPr>
    </w:p>
    <w:p xmlns:wp14="http://schemas.microsoft.com/office/word/2010/wordml" w:rsidR="00944D7C" w:rsidRDefault="00B94458" w14:paraId="1ACF85D0" wp14:textId="77777777">
      <w:pPr>
        <w:pStyle w:val="Standard"/>
      </w:pPr>
      <w:r>
        <w:t>L'acheteur n'autorise pas les candidats à se limiter à indiquer qu'ils disposent de l'aptitude et des capacités requise en cochant uniquement la partie IV du DUME – α « indication globale pour tous les critères de sélection ».</w:t>
      </w:r>
    </w:p>
    <w:p xmlns:wp14="http://schemas.microsoft.com/office/word/2010/wordml" w:rsidR="00944D7C" w:rsidRDefault="00B94458" w14:paraId="38CEEE44" wp14:textId="77777777">
      <w:pPr>
        <w:pStyle w:val="Titre3"/>
      </w:pPr>
      <w:r>
        <w:t>Candidature avec les formulaires DC1 et DC2</w:t>
      </w:r>
    </w:p>
    <w:p xmlns:wp14="http://schemas.microsoft.com/office/word/2010/wordml" w:rsidR="00944D7C" w:rsidRDefault="00B94458" w14:paraId="7FBFC182" wp14:textId="77777777">
      <w:pPr>
        <w:pStyle w:val="Standard"/>
      </w:pPr>
      <w:r>
        <w:t>Les candidats transmettent les renseignements suivants</w:t>
      </w:r>
    </w:p>
    <w:p xmlns:wp14="http://schemas.microsoft.com/office/word/2010/wordml" w:rsidR="00944D7C" w:rsidRDefault="00B94458" w14:paraId="542F8FC8" wp14:textId="77777777">
      <w:pPr>
        <w:pStyle w:val="Standard"/>
      </w:pPr>
      <w:r>
        <w:t>- 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w:t>
      </w:r>
    </w:p>
    <w:p xmlns:wp14="http://schemas.microsoft.com/office/word/2010/wordml" w:rsidR="00944D7C" w:rsidRDefault="00B94458" w14:paraId="4B76AF20" wp14:textId="77777777">
      <w:pPr>
        <w:pStyle w:val="Standard"/>
      </w:pPr>
      <w:r>
        <w:t>- Déclaration du candidat ou formulaire DC2 (téléchargeable à partir du lien</w:t>
      </w:r>
    </w:p>
    <w:p xmlns:wp14="http://schemas.microsoft.com/office/word/2010/wordml" w:rsidR="00944D7C" w:rsidRDefault="00B94458" w14:paraId="00C826C1" wp14:textId="77777777">
      <w:pPr>
        <w:pStyle w:val="Standard"/>
      </w:pPr>
      <w:r>
        <w:t xml:space="preserve"> https://www.economie.gouv.fr/daj/formulaires-declaration-du-candidat), ou équivalent, dûment rempli et daté ; en cas de candidature groupée, le DC2 est rempli par chaque membre du groupement.</w:t>
      </w:r>
    </w:p>
    <w:p xmlns:wp14="http://schemas.microsoft.com/office/word/2010/wordml" w:rsidR="00944D7C" w:rsidRDefault="00B94458" w14:paraId="7B8585D3" wp14:textId="77777777">
      <w:pPr>
        <w:pStyle w:val="Titre2"/>
      </w:pPr>
      <w:bookmarkStart w:name="__RefHeading__48146_1575219009" w:id="21"/>
      <w:r>
        <w:t>Précisions concernant les groupements d'opérateurs économiques</w:t>
      </w:r>
      <w:bookmarkEnd w:id="21"/>
    </w:p>
    <w:p xmlns:wp14="http://schemas.microsoft.com/office/word/2010/wordml" w:rsidR="00944D7C" w:rsidRDefault="00B94458" w14:paraId="0915DBE0" wp14:textId="77777777">
      <w:pPr>
        <w:pStyle w:val="Standard"/>
      </w:pPr>
      <w:r>
        <w:t xml:space="preserve"> 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xmlns:wp14="http://schemas.microsoft.com/office/word/2010/wordml" w:rsidR="00944D7C" w:rsidRDefault="00B94458" w14:paraId="3D9043EB" wp14:textId="77777777">
      <w:pPr>
        <w:pStyle w:val="Standard"/>
      </w:pPr>
      <w:r>
        <w:t>Des fiches explicatives et le mode d'emploi de ce service sont disponibles aux adresses suivantes :</w:t>
      </w:r>
    </w:p>
    <w:p xmlns:wp14="http://schemas.microsoft.com/office/word/2010/wordml" w:rsidR="00944D7C" w:rsidRDefault="00B94458" w14:paraId="7DA26093" wp14:textId="77777777">
      <w:pPr>
        <w:pStyle w:val="Standard"/>
      </w:pPr>
      <w:r>
        <w:t>https://www.marches-publics.gouv.fr/docs/outils-esr-2017/place/Bourse_cotraitance_mode_emploi6.pdf</w:t>
      </w:r>
    </w:p>
    <w:p xmlns:wp14="http://schemas.microsoft.com/office/word/2010/wordml" w:rsidR="00944D7C" w:rsidRDefault="00B94458" w14:paraId="4A57B7F2" wp14:textId="77777777">
      <w:pPr>
        <w:pStyle w:val="Standard"/>
      </w:pPr>
      <w:r>
        <w:t>https://www.economie.gouv.fr/dae/bourse-a-cotraitance-service-pour-aider-entreprises</w:t>
      </w:r>
    </w:p>
    <w:p xmlns:wp14="http://schemas.microsoft.com/office/word/2010/wordml" w:rsidR="00944D7C" w:rsidRDefault="00B94458" w14:paraId="68579FBE" wp14:textId="77777777">
      <w:pPr>
        <w:pStyle w:val="Titre3"/>
      </w:pPr>
      <w:r>
        <w:t>Motifs d'exclusion en cas de groupement d'opérateurs économiques</w:t>
      </w:r>
    </w:p>
    <w:p xmlns:wp14="http://schemas.microsoft.com/office/word/2010/wordml" w:rsidR="00944D7C" w:rsidRDefault="00B94458" w14:paraId="0C33194A" wp14:textId="77777777">
      <w:pPr>
        <w:pStyle w:val="Standard"/>
      </w:pPr>
      <w:r>
        <w:t>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w:t>
      </w:r>
    </w:p>
    <w:p xmlns:wp14="http://schemas.microsoft.com/office/word/2010/wordml" w:rsidR="00944D7C" w:rsidRDefault="00B94458" w14:paraId="094672C2" wp14:textId="77777777">
      <w:pPr>
        <w:pStyle w:val="Titre3"/>
      </w:pPr>
      <w:r>
        <w:t>Tâches essentielles</w:t>
      </w:r>
    </w:p>
    <w:p xmlns:wp14="http://schemas.microsoft.com/office/word/2010/wordml" w:rsidR="00944D7C" w:rsidRDefault="00B94458" w14:paraId="20704133" wp14:textId="77777777">
      <w:pPr>
        <w:pStyle w:val="Standard"/>
      </w:pPr>
      <w:r>
        <w:t xml:space="preserve"> L'acheteur n'exige pas que certaines tâches soient effectuées par l'un des membres du groupement.</w:t>
      </w:r>
    </w:p>
    <w:p xmlns:wp14="http://schemas.microsoft.com/office/word/2010/wordml" w:rsidR="00944D7C" w:rsidRDefault="00B94458" w14:paraId="23459717" wp14:textId="77777777">
      <w:pPr>
        <w:pStyle w:val="Titre3"/>
      </w:pPr>
      <w:r>
        <w:t>Conditions de présentation</w:t>
      </w:r>
    </w:p>
    <w:p xmlns:wp14="http://schemas.microsoft.com/office/word/2010/wordml" w:rsidR="00944D7C" w:rsidRDefault="00B94458" w14:paraId="318EC95B" wp14:textId="77777777">
      <w:pPr>
        <w:pStyle w:val="Standard"/>
      </w:pPr>
      <w:r>
        <w:t xml:space="preserve">Dans le cadre de la consultation, l'acheteur </w:t>
      </w:r>
      <w:r>
        <w:rPr>
          <w:u w:val="single"/>
        </w:rPr>
        <w:t>n'autorise pas</w:t>
      </w:r>
      <w:r>
        <w:t xml:space="preserve"> le candidat à présenter plusieurs offres en agissant à la fois :</w:t>
      </w:r>
    </w:p>
    <w:p xmlns:wp14="http://schemas.microsoft.com/office/word/2010/wordml" w:rsidR="00944D7C" w:rsidRDefault="00B94458" w14:paraId="2CF1678A" wp14:textId="77777777">
      <w:pPr>
        <w:pStyle w:val="Standard"/>
      </w:pPr>
      <w:r>
        <w:t>- en qualité de candidat individuel et de membre d'un groupement d'opérateurs économiques ; </w:t>
      </w:r>
    </w:p>
    <w:p xmlns:wp14="http://schemas.microsoft.com/office/word/2010/wordml" w:rsidR="00944D7C" w:rsidRDefault="00B94458" w14:paraId="08D1527A" wp14:textId="77777777">
      <w:pPr>
        <w:pStyle w:val="Standard"/>
      </w:pPr>
      <w:r>
        <w:t>- en qualité de membre de plusieurs groupements d'opérateurs économiques.</w:t>
      </w:r>
    </w:p>
    <w:p xmlns:wp14="http://schemas.microsoft.com/office/word/2010/wordml" w:rsidR="00944D7C" w:rsidRDefault="00B94458" w14:paraId="4EC16EBB" wp14:textId="77777777">
      <w:pPr>
        <w:pStyle w:val="Standard"/>
      </w:pPr>
      <w: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xmlns:wp14="http://schemas.microsoft.com/office/word/2010/wordml" w:rsidR="00944D7C" w:rsidRDefault="00B94458" w14:paraId="12640C7F" wp14:textId="77777777">
      <w:pPr>
        <w:pStyle w:val="Titre3"/>
      </w:pPr>
      <w:r>
        <w:t>Forme du groupement</w:t>
      </w:r>
    </w:p>
    <w:p xmlns:wp14="http://schemas.microsoft.com/office/word/2010/wordml" w:rsidR="00944D7C" w:rsidRDefault="00B94458" w14:paraId="4CB1F9A2" wp14:textId="77777777">
      <w:pPr>
        <w:pStyle w:val="Standard"/>
      </w:pPr>
      <w:r>
        <w:t xml:space="preserve">La forme du groupement n'est pas imposée au stade de la procédure de passation mais le groupement attributaire devra adopter la forme du groupement </w:t>
      </w:r>
      <w:r>
        <w:rPr>
          <w:b/>
          <w:u w:val="single"/>
        </w:rPr>
        <w:t>SOLIDAIRE</w:t>
      </w:r>
      <w:r>
        <w:t>. Chacun des membres du groupement est engagé financièrement pour la totalité du marché.</w:t>
      </w:r>
    </w:p>
    <w:p xmlns:wp14="http://schemas.microsoft.com/office/word/2010/wordml" w:rsidR="00944D7C" w:rsidRDefault="00B94458" w14:paraId="62341692" wp14:textId="77777777">
      <w:pPr>
        <w:pStyle w:val="Standard"/>
      </w:pPr>
      <w:r>
        <w:t>En cas de groupement conjoint, le mandataire est solidaire pour l'exécution du marché de chacun des membres du groupement pour ses obligations contractuelles à l'égard de l'acheteur.</w:t>
      </w:r>
    </w:p>
    <w:p xmlns:wp14="http://schemas.microsoft.com/office/word/2010/wordml" w:rsidR="00944D7C" w:rsidRDefault="00B94458" w14:paraId="5E60726D" wp14:textId="77777777">
      <w:pPr>
        <w:pStyle w:val="Titre3"/>
      </w:pPr>
      <w:r>
        <w:t>Candidature sous forme de Document Unique de Marché Européen électronique (DUME électronique)</w:t>
      </w:r>
    </w:p>
    <w:p xmlns:wp14="http://schemas.microsoft.com/office/word/2010/wordml" w:rsidR="00944D7C" w:rsidRDefault="00B94458" w14:paraId="4B27C6C8" wp14:textId="77777777">
      <w:pPr>
        <w:pStyle w:val="Standard"/>
      </w:pPr>
      <w:r>
        <w:t>Si le groupement d'opérateurs économiques présente sa candidature sous la forme du DUME, chacun des membres du groupement doit fournir un DUME distinct.</w:t>
      </w:r>
    </w:p>
    <w:p xmlns:wp14="http://schemas.microsoft.com/office/word/2010/wordml" w:rsidR="00944D7C" w:rsidRDefault="00B94458" w14:paraId="0889CB04" wp14:textId="77777777">
      <w:pPr>
        <w:pStyle w:val="Titre3"/>
      </w:pPr>
      <w:r>
        <w:t>Candidature avec les formulaires DC1 et DC2</w:t>
      </w:r>
    </w:p>
    <w:p xmlns:wp14="http://schemas.microsoft.com/office/word/2010/wordml" w:rsidR="00944D7C" w:rsidRDefault="00B94458" w14:paraId="5C548A8C" wp14:textId="77777777">
      <w:pPr>
        <w:pStyle w:val="Standard"/>
      </w:pPr>
      <w:r>
        <w:t>Dans le cas d'un groupement d'opérateurs économiques, les candidats transmettent les renseignements suivants des formulaires DC1 et DC2 :</w:t>
      </w:r>
    </w:p>
    <w:p xmlns:wp14="http://schemas.microsoft.com/office/word/2010/wordml" w:rsidR="00944D7C" w:rsidRDefault="00B94458" w14:paraId="528A8235" wp14:textId="77777777">
      <w:pPr>
        <w:pStyle w:val="Standard"/>
      </w:pPr>
      <w:r>
        <w:t>Le formulaire DC1 sera complété pour chaque membre du groupement ;</w:t>
      </w:r>
    </w:p>
    <w:p xmlns:wp14="http://schemas.microsoft.com/office/word/2010/wordml" w:rsidR="00944D7C" w:rsidRDefault="00B94458" w14:paraId="772CD7AA" wp14:textId="77777777">
      <w:pPr>
        <w:pStyle w:val="Standard"/>
      </w:pPr>
      <w:r>
        <w:t>Le formulaire DC2 est rempli par chaque membre du groupement.</w:t>
      </w:r>
    </w:p>
    <w:p xmlns:wp14="http://schemas.microsoft.com/office/word/2010/wordml" w:rsidR="00944D7C" w:rsidRDefault="00B94458" w14:paraId="015B5D71" wp14:textId="77777777">
      <w:pPr>
        <w:pStyle w:val="Titre2"/>
      </w:pPr>
      <w:bookmarkStart w:name="__RefHeading__48148_1575219009" w:id="22"/>
      <w:r>
        <w:t>Précisions concernant la sous-traitance</w:t>
      </w:r>
      <w:bookmarkEnd w:id="22"/>
    </w:p>
    <w:p xmlns:wp14="http://schemas.microsoft.com/office/word/2010/wordml" w:rsidR="00944D7C" w:rsidRDefault="00B94458" w14:paraId="10BD0772" wp14:textId="77777777">
      <w:pPr>
        <w:pStyle w:val="Titre3"/>
      </w:pPr>
      <w:r>
        <w:t>Motifs d'exclusion en cas de sous-traitance</w:t>
      </w:r>
    </w:p>
    <w:p xmlns:wp14="http://schemas.microsoft.com/office/word/2010/wordml" w:rsidR="00944D7C" w:rsidRDefault="00B94458" w14:paraId="6C471EEE" wp14:textId="77777777">
      <w:pPr>
        <w:pStyle w:val="Standard"/>
      </w:pPr>
      <w:r>
        <w:t>Les personnes à l'encontre desquelles il existe un motif d'exclusion ne peuvent être acceptées en tant que sous-traitant.</w:t>
      </w:r>
    </w:p>
    <w:p xmlns:wp14="http://schemas.microsoft.com/office/word/2010/wordml" w:rsidR="00944D7C" w:rsidRDefault="00B94458" w14:paraId="2E122E8B" wp14:textId="77777777">
      <w:pPr>
        <w:pStyle w:val="Standard"/>
      </w:pPr>
      <w:r>
        <w:t>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A défaut, le candidat est exclu de la procédure.</w:t>
      </w:r>
    </w:p>
    <w:p xmlns:wp14="http://schemas.microsoft.com/office/word/2010/wordml" w:rsidR="00944D7C" w:rsidRDefault="00B94458" w14:paraId="5494ABA4" wp14:textId="77777777">
      <w:pPr>
        <w:pStyle w:val="Titre3"/>
      </w:pPr>
      <w:r>
        <w:t>Tâches essentielles</w:t>
      </w:r>
    </w:p>
    <w:p xmlns:wp14="http://schemas.microsoft.com/office/word/2010/wordml" w:rsidR="00944D7C" w:rsidRDefault="00B94458" w14:paraId="2D902DA8" wp14:textId="77777777">
      <w:pPr>
        <w:pStyle w:val="Standard"/>
      </w:pPr>
      <w:r>
        <w:t xml:space="preserve"> Les tâches essentielles suivantes doivent être exécutées par le titulaire et ne peuvent faire l'objet de sous-traitance :</w:t>
      </w:r>
    </w:p>
    <w:p xmlns:wp14="http://schemas.microsoft.com/office/word/2010/wordml" w:rsidR="00944D7C" w:rsidRDefault="00B94458" w14:paraId="00C99D75" wp14:textId="77777777">
      <w:pPr>
        <w:pStyle w:val="Standard"/>
      </w:pPr>
      <w:r>
        <w:t>- Réception du bon de commande,</w:t>
      </w:r>
    </w:p>
    <w:p xmlns:wp14="http://schemas.microsoft.com/office/word/2010/wordml" w:rsidR="00944D7C" w:rsidRDefault="00B94458" w14:paraId="063D422F" wp14:textId="77777777">
      <w:pPr>
        <w:pStyle w:val="Standard"/>
      </w:pPr>
      <w:r>
        <w:t>- Contacts et échanges avec le(s) service(s) de la DREETS NA émetteur(s) du bon de commande,</w:t>
      </w:r>
    </w:p>
    <w:p xmlns:wp14="http://schemas.microsoft.com/office/word/2010/wordml" w:rsidR="00944D7C" w:rsidRDefault="00B94458" w14:paraId="477B5AC1" wp14:textId="77777777">
      <w:pPr>
        <w:pStyle w:val="Standard"/>
      </w:pPr>
      <w:r>
        <w:t>- Première prise de contact avec le(s) chef(s) d'entreprise,</w:t>
      </w:r>
    </w:p>
    <w:p xmlns:wp14="http://schemas.microsoft.com/office/word/2010/wordml" w:rsidR="00944D7C" w:rsidRDefault="00B94458" w14:paraId="44B05310" wp14:textId="77777777">
      <w:pPr>
        <w:pStyle w:val="Standard"/>
      </w:pPr>
      <w:r>
        <w:t>- Définition du mode opératoire, du calendrier et des séquences de travail jusqu'à la constitution d'un projet de livrable</w:t>
      </w:r>
    </w:p>
    <w:p xmlns:wp14="http://schemas.microsoft.com/office/word/2010/wordml" w:rsidR="00944D7C" w:rsidRDefault="00B94458" w14:paraId="119043AA" wp14:textId="77777777">
      <w:pPr>
        <w:pStyle w:val="Standard"/>
      </w:pPr>
      <w:r>
        <w:t>- Consolidation des résultats et rédaction du livrable,</w:t>
      </w:r>
    </w:p>
    <w:p xmlns:wp14="http://schemas.microsoft.com/office/word/2010/wordml" w:rsidR="00944D7C" w:rsidRDefault="00B94458" w14:paraId="3ADE6566" wp14:textId="77777777">
      <w:pPr>
        <w:pStyle w:val="Standard"/>
      </w:pPr>
      <w:r>
        <w:t>- Présentation du livrable selon les dispositions qui seront retenues</w:t>
      </w:r>
    </w:p>
    <w:p xmlns:wp14="http://schemas.microsoft.com/office/word/2010/wordml" w:rsidR="00944D7C" w:rsidRDefault="00B94458" w14:paraId="34CE0A41" wp14:textId="77777777">
      <w:pPr>
        <w:pStyle w:val="Standard"/>
      </w:pPr>
      <w:r>
        <w:br/>
      </w:r>
    </w:p>
    <w:p xmlns:wp14="http://schemas.microsoft.com/office/word/2010/wordml" w:rsidR="00944D7C" w:rsidRDefault="00B94458" w14:paraId="231ED0B0" wp14:textId="77777777">
      <w:pPr>
        <w:pStyle w:val="Titre3"/>
      </w:pPr>
      <w:r>
        <w:t>Candidature sous forme de Document Unique de Marché Européen électronique (DUME électronique)</w:t>
      </w:r>
    </w:p>
    <w:p xmlns:wp14="http://schemas.microsoft.com/office/word/2010/wordml" w:rsidR="00944D7C" w:rsidRDefault="00B94458" w14:paraId="40F0A9B4" wp14:textId="77777777">
      <w:pPr>
        <w:pStyle w:val="Standard"/>
      </w:pPr>
      <w:r>
        <w:t>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w:t>
      </w:r>
    </w:p>
    <w:p xmlns:wp14="http://schemas.microsoft.com/office/word/2010/wordml" w:rsidR="00944D7C" w:rsidRDefault="00B94458" w14:paraId="0811135F" wp14:textId="77777777">
      <w:pPr>
        <w:pStyle w:val="Standard"/>
      </w:pPr>
      <w:r>
        <w:t>Le candidat remet également l'imprimé DC 4 (Déclaration de sous-traitance, https://www.economie.gouv.fr/daj/formulaires-mise-a-jour-formulaire-declaration-sous-traitance-dans-marches-publics) dûment rempli par le sous-traitant et le candidat.</w:t>
      </w:r>
    </w:p>
    <w:p xmlns:wp14="http://schemas.microsoft.com/office/word/2010/wordml" w:rsidR="00944D7C" w:rsidRDefault="00944D7C" w14:paraId="62EBF3C5" wp14:textId="77777777">
      <w:pPr>
        <w:pStyle w:val="Standard"/>
      </w:pPr>
    </w:p>
    <w:p xmlns:wp14="http://schemas.microsoft.com/office/word/2010/wordml" w:rsidR="00944D7C" w:rsidRDefault="00B94458" w14:paraId="2B6A4901" wp14:textId="77777777">
      <w:pPr>
        <w:pStyle w:val="Standard"/>
      </w:pPr>
      <w:r>
        <w:t>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w:t>
      </w:r>
    </w:p>
    <w:p xmlns:wp14="http://schemas.microsoft.com/office/word/2010/wordml" w:rsidR="00944D7C" w:rsidRDefault="00B94458" w14:paraId="200E8431" wp14:textId="77777777">
      <w:pPr>
        <w:pStyle w:val="Titre3"/>
      </w:pPr>
      <w:r>
        <w:t>Autre forme de candidature</w:t>
      </w:r>
    </w:p>
    <w:p xmlns:wp14="http://schemas.microsoft.com/office/word/2010/wordml" w:rsidR="00944D7C" w:rsidRDefault="00B94458" w14:paraId="32D4DE66" wp14:textId="77777777">
      <w:pPr>
        <w:pStyle w:val="Standard"/>
      </w:pPr>
      <w:r>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xmlns:wp14="http://schemas.microsoft.com/office/word/2010/wordml" w:rsidR="00944D7C" w:rsidRDefault="00B94458" w14:paraId="36E02170" wp14:textId="77777777">
      <w:pPr>
        <w:pStyle w:val="Titre2"/>
      </w:pPr>
      <w:bookmarkStart w:name="__RefHeading__48150_1575219009" w:id="23"/>
      <w:r>
        <w:t>Examen des candidatures</w:t>
      </w:r>
      <w:bookmarkEnd w:id="23"/>
    </w:p>
    <w:p xmlns:wp14="http://schemas.microsoft.com/office/word/2010/wordml" w:rsidR="00944D7C" w:rsidRDefault="00B94458" w14:paraId="17C4381B" wp14:textId="77777777">
      <w:pPr>
        <w:pStyle w:val="Standard"/>
      </w:pPr>
      <w:r>
        <w:t xml:space="preserve"> L'acheteur examine les candidatures avant les offres : les documents justificatifs concernant l'aptitude et les capacités sont fournis à la demande de l'acheteur et avant l'examen des offres.</w:t>
      </w:r>
    </w:p>
    <w:p xmlns:wp14="http://schemas.microsoft.com/office/word/2010/wordml" w:rsidR="00944D7C" w:rsidRDefault="00B94458" w14:paraId="4F2F2B83" wp14:textId="77777777">
      <w:pPr>
        <w:pStyle w:val="Standard"/>
      </w:pPr>
      <w:r>
        <w:t>Les moyens de preuve concernant les motifs d'exclusion ne sont demandés par l'acheteur qu'au(x) soumissionnaire(s) auquel(s) il est envisagé d'attribuer le marché public,</w:t>
      </w:r>
    </w:p>
    <w:p xmlns:wp14="http://schemas.microsoft.com/office/word/2010/wordml" w:rsidR="00944D7C" w:rsidRDefault="00B94458" w14:paraId="67B94056" wp14:textId="77777777">
      <w:pPr>
        <w:pStyle w:val="Standard"/>
      </w:pPr>
      <w: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xmlns:wp14="http://schemas.microsoft.com/office/word/2010/wordml" w:rsidR="00944D7C" w:rsidRDefault="00B94458" w14:paraId="26F48410" wp14:textId="77777777">
      <w:pPr>
        <w:pStyle w:val="Standard"/>
      </w:pPr>
      <w:r>
        <w:t>Ce délai est précisé avec la demande de complément.</w:t>
      </w:r>
    </w:p>
    <w:p xmlns:wp14="http://schemas.microsoft.com/office/word/2010/wordml" w:rsidR="00944D7C" w:rsidRDefault="00B94458" w14:paraId="788931A6" wp14:textId="77777777">
      <w:pPr>
        <w:pStyle w:val="Standard"/>
      </w:pPr>
      <w:r>
        <w:t>Les candidatures incomplètes ou demeurées incomplètes à la suite d'une demande de compléments sont éliminées.</w:t>
      </w:r>
    </w:p>
    <w:p xmlns:wp14="http://schemas.microsoft.com/office/word/2010/wordml" w:rsidR="00944D7C" w:rsidRDefault="00B94458" w14:paraId="493969AD" wp14:textId="77777777">
      <w:pPr>
        <w:pStyle w:val="Standard"/>
      </w:pPr>
      <w:r>
        <w:t xml:space="preserve"> L'acheteur n'a pas fixé de minimums de capacité comme condition de participation : les candidatures qui ne justifient pas de l'aptitude professionnelle ou qui ne disposent manifestement pas des capacités professionnelles, techniques ou financières suffisantes demandées pour cette consultation sont éliminées.</w:t>
      </w:r>
    </w:p>
    <w:p xmlns:wp14="http://schemas.microsoft.com/office/word/2010/wordml" w:rsidR="00944D7C" w:rsidRDefault="00B94458" w14:paraId="518E7CBB" wp14:textId="77777777">
      <w:pPr>
        <w:pStyle w:val="Titre3"/>
      </w:pPr>
      <w:r>
        <w:t>Vérification des conditions de participation : liste des documents justificatifs</w:t>
      </w:r>
    </w:p>
    <w:p xmlns:wp14="http://schemas.microsoft.com/office/word/2010/wordml" w:rsidR="00944D7C" w:rsidRDefault="00B94458" w14:paraId="4632CDDE" wp14:textId="77777777">
      <w:pPr>
        <w:pStyle w:val="Standard"/>
      </w:pPr>
      <w:r>
        <w:t>Les candidats ne sont pas tenus de fournir les documents justificatifs lorsque l'acheteur peut les obtenir :</w:t>
      </w:r>
    </w:p>
    <w:p xmlns:wp14="http://schemas.microsoft.com/office/word/2010/wordml" w:rsidR="00944D7C" w:rsidRDefault="00B94458" w14:paraId="0B8C697C" wp14:textId="77777777">
      <w:pPr>
        <w:pStyle w:val="Standard"/>
      </w:pPr>
      <w:r>
        <w:t>- directement par le biais d'un système électronique de mise à disposition d'informations administré par un organisme officiel ;</w:t>
      </w:r>
    </w:p>
    <w:p xmlns:wp14="http://schemas.microsoft.com/office/word/2010/wordml" w:rsidR="00944D7C" w:rsidRDefault="00B94458" w14:paraId="7521B7DF" wp14:textId="77777777">
      <w:pPr>
        <w:pStyle w:val="Standard"/>
      </w:pPr>
      <w:r>
        <w:t>- d'un espace de stockage numérique, à condition que figurent dans son dossier de candidature toutes les informations nécessaires à la consultation de ce système ou de cet espace et que l'accès soit gratuit.</w:t>
      </w:r>
    </w:p>
    <w:p xmlns:wp14="http://schemas.microsoft.com/office/word/2010/wordml" w:rsidR="00944D7C" w:rsidRDefault="00B94458" w14:paraId="354A220A" wp14:textId="77777777">
      <w:pPr>
        <w:pStyle w:val="Standard"/>
      </w:pPr>
      <w:r>
        <w:t>Le candidat n'est pas tenu de fournir les documents justificatifs déjà transmis à l'acheteur dans le cadre d'une précédente consultation et qui demeurent valables. Dans ce cas, il indique les moyens de preuves concernés ainsi que la référence de la ou des consultation(s) pour la ou lesquelles ces moyens de preuve ont déjà été transmis.  En cas d'impossibilité de se procurer les documents justificatifs directement auprès des administrations ou organismes, l'acheteur en demande communication au candidat.</w:t>
      </w:r>
    </w:p>
    <w:p xmlns:wp14="http://schemas.microsoft.com/office/word/2010/wordml" w:rsidR="00944D7C" w:rsidRDefault="00B94458" w14:paraId="0F999843" wp14:textId="77777777">
      <w:pPr>
        <w:pStyle w:val="Standard"/>
      </w:pPr>
      <w:r>
        <w:t>Les documents justificatifs concernant les aptitudes et capacités sont :</w:t>
      </w:r>
    </w:p>
    <w:p xmlns:wp14="http://schemas.microsoft.com/office/word/2010/wordml" w:rsidR="00944D7C" w:rsidRDefault="00B94458" w14:paraId="31B52CF8" wp14:textId="77777777">
      <w:pPr>
        <w:pStyle w:val="Standard"/>
      </w:pPr>
      <w:r>
        <w:t>- Déclaration concernant le chiffre d'affaires global et le chiffre d'affaires concernant les prestations objet du marché, réalisés au cours des trois derniers exercices disponibles ;</w:t>
      </w:r>
    </w:p>
    <w:p xmlns:wp14="http://schemas.microsoft.com/office/word/2010/wordml" w:rsidR="00944D7C" w:rsidRDefault="00B94458" w14:paraId="04467F68" wp14:textId="77777777">
      <w:pPr>
        <w:pStyle w:val="Standard"/>
      </w:pPr>
      <w:r>
        <w:t>- Une déclaration appropriée de banque(s) ou, le cas échéant, la preuve d'une assurance des risques professionnels ;</w:t>
      </w:r>
    </w:p>
    <w:p xmlns:wp14="http://schemas.microsoft.com/office/word/2010/wordml" w:rsidR="00944D7C" w:rsidRDefault="00B94458" w14:paraId="7263DC43" wp14:textId="77777777">
      <w:pPr>
        <w:pStyle w:val="Standard"/>
      </w:pPr>
      <w:r>
        <w:t>- 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w:t>
      </w:r>
    </w:p>
    <w:p xmlns:wp14="http://schemas.microsoft.com/office/word/2010/wordml" w:rsidR="00944D7C" w:rsidRDefault="00B94458" w14:paraId="129CB9BA" wp14:textId="77777777">
      <w:pPr>
        <w:pStyle w:val="Standard"/>
      </w:pPr>
      <w:r>
        <w:t>- Déclaration indiquant les effectifs moyens annuels du candidat et l'importance du personnel d’encadrement pour chacune des trois dernières années.</w:t>
      </w:r>
    </w:p>
    <w:p xmlns:wp14="http://schemas.microsoft.com/office/word/2010/wordml" w:rsidR="00944D7C" w:rsidRDefault="00B94458" w14:paraId="12DBC43D" wp14:textId="77777777">
      <w:pPr>
        <w:pStyle w:val="Standard"/>
      </w:pPr>
      <w:r>
        <w:t>Si, pour une raison justifiée, le candidat n'est pas en mesure de produire les renseignements et documents demandés par l'acheteur, il est autorisé à prouver sa capacité économique et financière par tout autre moyen considéré comme approprié par l'acheteur.</w:t>
      </w:r>
    </w:p>
    <w:p xmlns:wp14="http://schemas.microsoft.com/office/word/2010/wordml" w:rsidR="00944D7C" w:rsidRDefault="00B94458" w14:paraId="56E88ACA" wp14:textId="77777777">
      <w:pPr>
        <w:pStyle w:val="Titre3"/>
      </w:pPr>
      <w:r>
        <w:t>Vérification des motifs d'exclusion</w:t>
      </w:r>
    </w:p>
    <w:p xmlns:wp14="http://schemas.microsoft.com/office/word/2010/wordml" w:rsidR="00944D7C" w:rsidRDefault="00B94458" w14:paraId="2FDB5A14" wp14:textId="77777777">
      <w:pPr>
        <w:pStyle w:val="Standard"/>
      </w:pPr>
      <w:r>
        <w:t>En application des dispositions de R.2144-4 du code de la commande publique, l'acheteur n'exige que du seul soumissionnaire auquel il est envisagé d'attribuer le marché public qu'il justifie ne pas se trouver dans un des cas des motifs d'exclusion.</w:t>
      </w:r>
    </w:p>
    <w:p xmlns:wp14="http://schemas.microsoft.com/office/word/2010/wordml" w:rsidR="00944D7C" w:rsidRDefault="00B94458" w14:paraId="244D5179" wp14:textId="77777777">
      <w:pPr>
        <w:pStyle w:val="Titre1"/>
      </w:pPr>
      <w:bookmarkStart w:name="__RefHeading__48152_1575219009" w:id="24"/>
      <w:r>
        <w:t>OFFRE</w:t>
      </w:r>
      <w:bookmarkEnd w:id="24"/>
    </w:p>
    <w:p xmlns:wp14="http://schemas.microsoft.com/office/word/2010/wordml" w:rsidR="00944D7C" w:rsidRDefault="00B94458" w14:paraId="00E31F08" wp14:textId="77777777">
      <w:pPr>
        <w:pStyle w:val="Titre2"/>
      </w:pPr>
      <w:bookmarkStart w:name="__RefHeading__48154_1575219009" w:id="25"/>
      <w:r>
        <w:t>Présentation de l'offre</w:t>
      </w:r>
      <w:bookmarkEnd w:id="25"/>
    </w:p>
    <w:p xmlns:wp14="http://schemas.microsoft.com/office/word/2010/wordml" w:rsidR="00944D7C" w:rsidRDefault="00B94458" w14:paraId="534892FE" wp14:textId="77777777">
      <w:pPr>
        <w:pStyle w:val="Standard"/>
      </w:pPr>
      <w:r>
        <w:t>L'offre du candidat comporte les pièces suivantes :</w:t>
      </w:r>
    </w:p>
    <w:p xmlns:wp14="http://schemas.microsoft.com/office/word/2010/wordml" w:rsidR="00944D7C" w:rsidRDefault="00B94458" w14:paraId="45987994" wp14:textId="77777777">
      <w:pPr>
        <w:pStyle w:val="Standard"/>
      </w:pPr>
      <w:r>
        <w:t>- le mémoire technique du candidat répondant au cahier des charges ;</w:t>
      </w:r>
    </w:p>
    <w:p xmlns:wp14="http://schemas.microsoft.com/office/word/2010/wordml" w:rsidR="00944D7C" w:rsidRDefault="00B94458" w14:paraId="7AA4528E" wp14:textId="77777777">
      <w:pPr>
        <w:pStyle w:val="Standard"/>
      </w:pPr>
      <w:r>
        <w:t>- les noms et les qualifications professionnelles pertinentes des personnes physiques qui seront chargées de l'exécution du marché ;</w:t>
      </w:r>
    </w:p>
    <w:p xmlns:wp14="http://schemas.microsoft.com/office/word/2010/wordml" w:rsidR="00944D7C" w:rsidRDefault="00B94458" w14:paraId="502FECE1" wp14:textId="77777777">
      <w:pPr>
        <w:pStyle w:val="Standard"/>
      </w:pPr>
      <w:r>
        <w:t>- le bordereau de prix (BPU) ;</w:t>
      </w:r>
    </w:p>
    <w:p xmlns:wp14="http://schemas.microsoft.com/office/word/2010/wordml" w:rsidR="00944D7C" w:rsidRDefault="00B94458" w14:paraId="1A27AEAA" wp14:textId="77777777">
      <w:pPr>
        <w:pStyle w:val="Standard"/>
      </w:pPr>
      <w:r>
        <w:t>- la demande d'acceptation des sous-traitants et d'agrément de leurs conditions de paiement ;</w:t>
      </w:r>
    </w:p>
    <w:p xmlns:wp14="http://schemas.microsoft.com/office/word/2010/wordml" w:rsidR="00944D7C" w:rsidRDefault="00B94458" w14:paraId="3D32928F" wp14:textId="77777777">
      <w:pPr>
        <w:pStyle w:val="Standard"/>
      </w:pPr>
      <w:r>
        <w:t>- la part des prestations que le soumissionnaire a l'intention de sous-traiter, notamment à des petites et moyennes entreprises.</w:t>
      </w:r>
    </w:p>
    <w:p xmlns:wp14="http://schemas.microsoft.com/office/word/2010/wordml" w:rsidR="00944D7C" w:rsidRDefault="00B94458" w14:paraId="16524896" wp14:textId="77777777">
      <w:pPr>
        <w:pStyle w:val="Titre2"/>
      </w:pPr>
      <w:bookmarkStart w:name="__RefHeading__48156_1575219009" w:id="26"/>
      <w:r>
        <w:t>Examen des offres</w:t>
      </w:r>
      <w:bookmarkEnd w:id="26"/>
    </w:p>
    <w:p xmlns:wp14="http://schemas.microsoft.com/office/word/2010/wordml" w:rsidR="00944D7C" w:rsidRDefault="00B94458" w14:paraId="33DB0474" wp14:textId="77777777">
      <w:pPr>
        <w:pStyle w:val="Standard"/>
      </w:pPr>
      <w:r>
        <w:t>Les offres inappropriées, irrégulières ou inacceptables, sont éliminées.</w:t>
      </w:r>
    </w:p>
    <w:p xmlns:wp14="http://schemas.microsoft.com/office/word/2010/wordml" w:rsidR="00944D7C" w:rsidRDefault="00B94458" w14:paraId="0F19AD72" wp14:textId="77777777">
      <w:pPr>
        <w:pStyle w:val="Standard"/>
      </w:pPr>
      <w: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xmlns:wp14="http://schemas.microsoft.com/office/word/2010/wordml" w:rsidR="00944D7C" w:rsidRDefault="00B94458" w14:paraId="509F137C" wp14:textId="77777777">
      <w:pPr>
        <w:pStyle w:val="Standard"/>
      </w:pPr>
      <w:r>
        <w:t>L'acheteur peut demander aux soumissionnaires de préciser la teneur de leur offre.</w:t>
      </w:r>
    </w:p>
    <w:p xmlns:wp14="http://schemas.microsoft.com/office/word/2010/wordml" w:rsidR="00944D7C" w:rsidRDefault="00B94458" w14:paraId="679C567E" wp14:textId="77777777">
      <w:pPr>
        <w:pStyle w:val="Standard"/>
      </w:pPr>
      <w:r w:rsidR="00B94458">
        <w:rPr/>
        <w:t>Cette demande ne peut ni aboutir à une négociation ni à une modification de l'offre.</w:t>
      </w:r>
    </w:p>
    <w:p w:rsidR="04704EBC" w:rsidP="04704EBC" w:rsidRDefault="04704EBC" w14:paraId="052184C5" w14:textId="2960A6CD">
      <w:pPr>
        <w:pStyle w:val="Standard"/>
      </w:pPr>
    </w:p>
    <w:p w:rsidR="04704EBC" w:rsidP="04704EBC" w:rsidRDefault="04704EBC" w14:paraId="3589D100" w14:textId="46ED3BD9">
      <w:pPr>
        <w:pStyle w:val="Standard"/>
      </w:pPr>
    </w:p>
    <w:p xmlns:wp14="http://schemas.microsoft.com/office/word/2010/wordml" w:rsidR="00944D7C" w:rsidRDefault="00B94458" w14:paraId="53CA69BF" wp14:textId="77777777">
      <w:pPr>
        <w:pStyle w:val="Titre3"/>
      </w:pPr>
      <w:r>
        <w:t>Critères d'attribution</w:t>
      </w:r>
    </w:p>
    <w:p xmlns:wp14="http://schemas.microsoft.com/office/word/2010/wordml" w:rsidR="00944D7C" w:rsidRDefault="00944D7C" w14:paraId="6D98A12B" wp14:textId="77777777">
      <w:pPr>
        <w:pStyle w:val="Standard"/>
      </w:pPr>
    </w:p>
    <w:tbl>
      <w:tblPr>
        <w:tblW w:w="9775" w:type="dxa"/>
        <w:tblLayout w:type="fixed"/>
        <w:tblCellMar>
          <w:left w:w="10" w:type="dxa"/>
          <w:right w:w="10" w:type="dxa"/>
        </w:tblCellMar>
        <w:tblLook w:val="0000" w:firstRow="0" w:lastRow="0" w:firstColumn="0" w:lastColumn="0" w:noHBand="0" w:noVBand="0"/>
      </w:tblPr>
      <w:tblGrid>
        <w:gridCol w:w="7263"/>
        <w:gridCol w:w="2512"/>
      </w:tblGrid>
      <w:tr xmlns:wp14="http://schemas.microsoft.com/office/word/2010/wordml" w:rsidR="00944D7C" w:rsidTr="04704EBC" w14:paraId="59BC5E96" wp14:textId="77777777">
        <w:tblPrEx>
          <w:tblCellMar>
            <w:top w:w="0" w:type="dxa"/>
            <w:bottom w:w="0" w:type="dxa"/>
          </w:tblCellMar>
        </w:tblPrEx>
        <w:trPr>
          <w:trHeight w:val="429"/>
        </w:trPr>
        <w:tc>
          <w:tcPr>
            <w:tcW w:w="726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top w:w="28" w:type="dxa"/>
              <w:left w:w="28" w:type="dxa"/>
              <w:bottom w:w="28" w:type="dxa"/>
              <w:right w:w="28" w:type="dxa"/>
            </w:tcMar>
          </w:tcPr>
          <w:p w:rsidR="00944D7C" w:rsidP="04704EBC" w:rsidRDefault="00B94458" w14:paraId="45EAE1E7" wp14:textId="1A724336">
            <w:pPr>
              <w:pStyle w:val="TableContents"/>
              <w:spacing w:after="283"/>
              <w:rPr>
                <w:sz w:val="16"/>
                <w:szCs w:val="16"/>
              </w:rPr>
            </w:pPr>
            <w:r w:rsidRPr="04704EBC" w:rsidR="00B94458">
              <w:rPr>
                <w:b w:val="1"/>
                <w:bCs w:val="1"/>
                <w:sz w:val="16"/>
                <w:szCs w:val="16"/>
              </w:rPr>
              <w:t xml:space="preserve">Critère 1 : </w:t>
            </w:r>
            <w:r w:rsidRPr="04704EBC" w:rsidR="5B8DA771">
              <w:rPr>
                <w:b w:val="1"/>
                <w:bCs w:val="1"/>
                <w:sz w:val="16"/>
                <w:szCs w:val="16"/>
              </w:rPr>
              <w:t>Délais</w:t>
            </w:r>
            <w:r>
              <w:br/>
            </w:r>
            <w:r>
              <w:br/>
            </w:r>
            <w:r w:rsidRPr="04704EBC" w:rsidR="5A3CBFBE">
              <w:rPr>
                <w:b w:val="1"/>
                <w:bCs w:val="1"/>
                <w:sz w:val="16"/>
                <w:szCs w:val="16"/>
              </w:rPr>
              <w:t xml:space="preserve">- </w:t>
            </w:r>
            <w:r w:rsidRPr="04704EBC" w:rsidR="7E90AD74">
              <w:rPr>
                <w:b w:val="1"/>
                <w:bCs w:val="1"/>
                <w:sz w:val="16"/>
                <w:szCs w:val="16"/>
              </w:rPr>
              <w:t xml:space="preserve">Sous-critère 1.1 : </w:t>
            </w:r>
            <w:r w:rsidRPr="04704EBC" w:rsidR="7E90AD74">
              <w:rPr>
                <w:sz w:val="16"/>
                <w:szCs w:val="16"/>
              </w:rPr>
              <w:t>Délais d’intervention après réception du bon de commande</w:t>
            </w:r>
            <w:r>
              <w:br/>
            </w:r>
            <w:r w:rsidRPr="04704EBC" w:rsidR="7E90AD74">
              <w:rPr>
                <w:b w:val="1"/>
                <w:bCs w:val="1"/>
                <w:sz w:val="16"/>
                <w:szCs w:val="16"/>
              </w:rPr>
              <w:t>- Sous critère 1.2 :</w:t>
            </w:r>
            <w:r w:rsidRPr="04704EBC" w:rsidR="7E90AD74">
              <w:rPr>
                <w:sz w:val="16"/>
                <w:szCs w:val="16"/>
              </w:rPr>
              <w:t xml:space="preserve"> Délais d’exécution après émission du bon de commande</w:t>
            </w:r>
          </w:p>
        </w:tc>
        <w:tc>
          <w:tcPr>
            <w:tcW w:w="2512" w:type="dxa"/>
            <w:tcBorders>
              <w:top w:val="single" w:color="000000" w:themeColor="text1" w:sz="8" w:space="0"/>
              <w:bottom w:val="single" w:color="000000" w:themeColor="text1" w:sz="8" w:space="0"/>
              <w:right w:val="single" w:color="000000" w:themeColor="text1" w:sz="8" w:space="0"/>
            </w:tcBorders>
            <w:shd w:val="clear" w:color="auto" w:fill="auto"/>
            <w:tcMar>
              <w:top w:w="28" w:type="dxa"/>
              <w:left w:w="0" w:type="dxa"/>
              <w:bottom w:w="28" w:type="dxa"/>
              <w:right w:w="28" w:type="dxa"/>
            </w:tcMar>
          </w:tcPr>
          <w:p w:rsidR="00944D7C" w:rsidP="04704EBC" w:rsidRDefault="00B94458" w14:paraId="2BD3DEEB" wp14:textId="29E0489D">
            <w:pPr>
              <w:pStyle w:val="TableContents"/>
              <w:spacing w:after="20"/>
              <w:jc w:val="center"/>
              <w:rPr>
                <w:rFonts w:ascii="Arial, sans-serif" w:hAnsi="Arial, sans-serif"/>
                <w:b w:val="0"/>
                <w:bCs w:val="0"/>
                <w:sz w:val="16"/>
                <w:szCs w:val="16"/>
              </w:rPr>
            </w:pPr>
            <w:r w:rsidRPr="04704EBC" w:rsidR="558C8E39">
              <w:rPr>
                <w:rFonts w:ascii="Arial, sans-serif" w:hAnsi="Arial, sans-serif"/>
                <w:b w:val="1"/>
                <w:bCs w:val="1"/>
                <w:sz w:val="16"/>
                <w:szCs w:val="16"/>
              </w:rPr>
              <w:t>20</w:t>
            </w:r>
            <w:r w:rsidRPr="04704EBC" w:rsidR="05129DA0">
              <w:rPr>
                <w:rFonts w:ascii="Arial, sans-serif" w:hAnsi="Arial, sans-serif"/>
                <w:b w:val="1"/>
                <w:bCs w:val="1"/>
                <w:sz w:val="16"/>
                <w:szCs w:val="16"/>
              </w:rPr>
              <w:t xml:space="preserve"> </w:t>
            </w:r>
            <w:r w:rsidRPr="04704EBC" w:rsidR="00B94458">
              <w:rPr>
                <w:rFonts w:ascii="Arial, sans-serif" w:hAnsi="Arial, sans-serif"/>
                <w:b w:val="1"/>
                <w:bCs w:val="1"/>
                <w:sz w:val="16"/>
                <w:szCs w:val="16"/>
              </w:rPr>
              <w:t>%</w:t>
            </w:r>
            <w:r>
              <w:br/>
            </w:r>
          </w:p>
          <w:p w:rsidR="00944D7C" w:rsidP="04704EBC" w:rsidRDefault="00B94458" w14:paraId="11D49618" wp14:textId="713DF157">
            <w:pPr>
              <w:pStyle w:val="TableContents"/>
              <w:spacing w:after="20"/>
              <w:jc w:val="center"/>
              <w:rPr>
                <w:rFonts w:ascii="Arial, sans-serif" w:hAnsi="Arial, sans-serif"/>
                <w:b w:val="0"/>
                <w:bCs w:val="0"/>
                <w:sz w:val="16"/>
                <w:szCs w:val="16"/>
              </w:rPr>
            </w:pPr>
            <w:r w:rsidRPr="04704EBC" w:rsidR="0D47DC58">
              <w:rPr>
                <w:rFonts w:ascii="Arial, sans-serif" w:hAnsi="Arial, sans-serif"/>
                <w:b w:val="0"/>
                <w:bCs w:val="0"/>
                <w:sz w:val="16"/>
                <w:szCs w:val="16"/>
              </w:rPr>
              <w:t>10 %</w:t>
            </w:r>
          </w:p>
          <w:p w:rsidR="00944D7C" w:rsidRDefault="00B94458" w14:paraId="6BA98E4D" wp14:textId="3DF2A58F">
            <w:pPr>
              <w:pStyle w:val="TableContents"/>
              <w:spacing w:after="20"/>
              <w:jc w:val="center"/>
              <w:rPr>
                <w:rFonts w:ascii="Arial, sans-serif" w:hAnsi="Arial, sans-serif"/>
                <w:b w:val="0"/>
                <w:bCs w:val="0"/>
                <w:sz w:val="16"/>
                <w:szCs w:val="16"/>
              </w:rPr>
            </w:pPr>
            <w:r w:rsidRPr="04704EBC" w:rsidR="0D47DC58">
              <w:rPr>
                <w:rFonts w:ascii="Arial, sans-serif" w:hAnsi="Arial, sans-serif"/>
                <w:b w:val="0"/>
                <w:bCs w:val="0"/>
                <w:sz w:val="16"/>
                <w:szCs w:val="16"/>
              </w:rPr>
              <w:t>10 %</w:t>
            </w:r>
          </w:p>
        </w:tc>
      </w:tr>
      <w:tr xmlns:wp14="http://schemas.microsoft.com/office/word/2010/wordml" w:rsidR="00944D7C" w:rsidTr="04704EBC" w14:paraId="7F293690" wp14:textId="77777777">
        <w:tblPrEx>
          <w:tblCellMar>
            <w:top w:w="0" w:type="dxa"/>
            <w:bottom w:w="0" w:type="dxa"/>
          </w:tblCellMar>
        </w:tblPrEx>
        <w:trPr>
          <w:trHeight w:val="801"/>
        </w:trPr>
        <w:tc>
          <w:tcPr>
            <w:tcW w:w="7263" w:type="dxa"/>
            <w:tcBorders>
              <w:left w:val="single" w:color="000000" w:themeColor="text1" w:sz="8" w:space="0"/>
              <w:bottom w:val="single" w:color="000000" w:themeColor="text1" w:sz="8" w:space="0"/>
              <w:right w:val="single" w:color="000000" w:themeColor="text1" w:sz="8" w:space="0"/>
            </w:tcBorders>
            <w:shd w:val="clear" w:color="auto" w:fill="auto"/>
            <w:tcMar>
              <w:top w:w="0" w:type="dxa"/>
              <w:left w:w="28" w:type="dxa"/>
              <w:bottom w:w="28" w:type="dxa"/>
              <w:right w:w="28" w:type="dxa"/>
            </w:tcMar>
          </w:tcPr>
          <w:p w:rsidR="00944D7C" w:rsidP="04704EBC" w:rsidRDefault="00B94458" w14:paraId="5222657B" wp14:textId="36DF1F5E">
            <w:pPr>
              <w:pStyle w:val="TableContents"/>
              <w:spacing w:after="283"/>
              <w:rPr>
                <w:sz w:val="16"/>
                <w:szCs w:val="16"/>
              </w:rPr>
            </w:pPr>
            <w:r w:rsidRPr="04704EBC" w:rsidR="7706CE7F">
              <w:rPr>
                <w:rFonts w:ascii="Arial" w:hAnsi="Arial" w:eastAsia="Andale Sans UI" w:cs="Tahoma"/>
                <w:b w:val="1"/>
                <w:bCs w:val="1"/>
                <w:color w:val="auto"/>
                <w:sz w:val="16"/>
                <w:szCs w:val="16"/>
                <w:lang w:eastAsia="ja-JP" w:bidi="fa-IR"/>
              </w:rPr>
              <w:t>Critère 2 : Ressources mobilisées</w:t>
            </w:r>
            <w:r>
              <w:br/>
            </w:r>
            <w:r>
              <w:br/>
            </w:r>
            <w:r w:rsidRPr="04704EBC" w:rsidR="5AE8FC14">
              <w:rPr>
                <w:b w:val="1"/>
                <w:bCs w:val="1"/>
                <w:sz w:val="16"/>
                <w:szCs w:val="16"/>
              </w:rPr>
              <w:t xml:space="preserve">- </w:t>
            </w:r>
            <w:r w:rsidRPr="04704EBC" w:rsidR="00B94458">
              <w:rPr>
                <w:b w:val="1"/>
                <w:bCs w:val="1"/>
                <w:sz w:val="16"/>
                <w:szCs w:val="16"/>
              </w:rPr>
              <w:t xml:space="preserve">Sous-critère </w:t>
            </w:r>
            <w:r w:rsidRPr="04704EBC" w:rsidR="0F89313C">
              <w:rPr>
                <w:b w:val="1"/>
                <w:bCs w:val="1"/>
                <w:sz w:val="16"/>
                <w:szCs w:val="16"/>
              </w:rPr>
              <w:t>2.1</w:t>
            </w:r>
            <w:r w:rsidRPr="04704EBC" w:rsidR="00B94458">
              <w:rPr>
                <w:sz w:val="16"/>
                <w:szCs w:val="16"/>
              </w:rPr>
              <w:t xml:space="preserve">: </w:t>
            </w:r>
            <w:r w:rsidRPr="04704EBC" w:rsidR="22B8AD1A">
              <w:rPr>
                <w:rFonts w:ascii="Arial" w:hAnsi="Arial" w:eastAsia="Andale Sans UI" w:cs="Tahoma"/>
                <w:noProof w:val="0"/>
                <w:color w:val="auto"/>
                <w:sz w:val="16"/>
                <w:szCs w:val="16"/>
                <w:lang w:val="fr-FR" w:eastAsia="ja-JP" w:bidi="fa-IR"/>
              </w:rPr>
              <w:t>Exposé des ressources mobilisables sur la durée du marché</w:t>
            </w:r>
            <w:r>
              <w:br/>
            </w:r>
            <w:r w:rsidRPr="04704EBC" w:rsidR="0973080C">
              <w:rPr>
                <w:b w:val="1"/>
                <w:bCs w:val="1"/>
                <w:sz w:val="16"/>
                <w:szCs w:val="16"/>
              </w:rPr>
              <w:t xml:space="preserve">- </w:t>
            </w:r>
            <w:r w:rsidRPr="04704EBC" w:rsidR="00B94458">
              <w:rPr>
                <w:b w:val="1"/>
                <w:bCs w:val="1"/>
                <w:sz w:val="16"/>
                <w:szCs w:val="16"/>
              </w:rPr>
              <w:t>Sous-critère</w:t>
            </w:r>
            <w:r w:rsidRPr="04704EBC" w:rsidR="38ADEB8C">
              <w:rPr>
                <w:b w:val="1"/>
                <w:bCs w:val="1"/>
                <w:sz w:val="16"/>
                <w:szCs w:val="16"/>
              </w:rPr>
              <w:t xml:space="preserve"> 2.2</w:t>
            </w:r>
            <w:r w:rsidRPr="04704EBC" w:rsidR="00B94458">
              <w:rPr>
                <w:sz w:val="16"/>
                <w:szCs w:val="16"/>
              </w:rPr>
              <w:t xml:space="preserve">: </w:t>
            </w:r>
            <w:r w:rsidRPr="04704EBC" w:rsidR="2BECA929">
              <w:rPr>
                <w:rFonts w:ascii="Arial" w:hAnsi="Arial" w:eastAsia="Andale Sans UI" w:cs="Tahoma"/>
                <w:noProof w:val="0"/>
                <w:color w:val="auto"/>
                <w:sz w:val="16"/>
                <w:szCs w:val="16"/>
                <w:lang w:val="fr-FR" w:eastAsia="ja-JP" w:bidi="fa-IR"/>
              </w:rPr>
              <w:t>Exposé des qualifications des ressources affectées</w:t>
            </w:r>
          </w:p>
        </w:tc>
        <w:tc>
          <w:tcPr>
            <w:tcW w:w="2512" w:type="dxa"/>
            <w:tcBorders>
              <w:bottom w:val="single" w:color="000000" w:themeColor="text1" w:sz="8" w:space="0"/>
              <w:right w:val="single" w:color="000000" w:themeColor="text1" w:sz="8" w:space="0"/>
            </w:tcBorders>
            <w:shd w:val="clear" w:color="auto" w:fill="auto"/>
            <w:tcMar>
              <w:top w:w="0" w:type="dxa"/>
              <w:left w:w="0" w:type="dxa"/>
              <w:bottom w:w="28" w:type="dxa"/>
              <w:right w:w="28" w:type="dxa"/>
            </w:tcMar>
          </w:tcPr>
          <w:p w:rsidR="00944D7C" w:rsidP="04704EBC" w:rsidRDefault="00B94458" w14:paraId="028BC20D" wp14:textId="62C18A11">
            <w:pPr>
              <w:pStyle w:val="TableContents"/>
              <w:spacing w:before="0"/>
              <w:jc w:val="center"/>
              <w:rPr>
                <w:b w:val="1"/>
                <w:bCs w:val="1"/>
                <w:sz w:val="16"/>
                <w:szCs w:val="16"/>
              </w:rPr>
            </w:pPr>
            <w:r w:rsidRPr="04704EBC" w:rsidR="39242065">
              <w:rPr>
                <w:b w:val="1"/>
                <w:bCs w:val="1"/>
                <w:sz w:val="16"/>
                <w:szCs w:val="16"/>
              </w:rPr>
              <w:t>20 %</w:t>
            </w:r>
          </w:p>
          <w:p w:rsidR="00944D7C" w:rsidRDefault="00B94458" w14:paraId="081EC9C3" wp14:textId="5629A586">
            <w:pPr>
              <w:pStyle w:val="TableContents"/>
              <w:spacing w:before="0"/>
              <w:jc w:val="center"/>
              <w:rPr>
                <w:sz w:val="16"/>
                <w:szCs w:val="16"/>
              </w:rPr>
            </w:pPr>
            <w:r>
              <w:br/>
            </w:r>
            <w:r w:rsidR="1F5D5A65">
              <w:rPr/>
              <w:t>10 %</w:t>
            </w:r>
            <w:r>
              <w:br/>
            </w:r>
            <w:r w:rsidRPr="04704EBC" w:rsidR="4F6600D1">
              <w:rPr>
                <w:sz w:val="16"/>
                <w:szCs w:val="16"/>
              </w:rPr>
              <w:t>10</w:t>
            </w:r>
            <w:r w:rsidRPr="04704EBC" w:rsidR="00B94458">
              <w:rPr>
                <w:sz w:val="16"/>
                <w:szCs w:val="16"/>
              </w:rPr>
              <w:t xml:space="preserve"> %</w:t>
            </w:r>
          </w:p>
        </w:tc>
      </w:tr>
      <w:tr w:rsidR="04704EBC" w:rsidTr="04704EBC" w14:paraId="05254217">
        <w:trPr>
          <w:trHeight w:val="300"/>
        </w:trPr>
        <w:tblPrEx>
          <w:tblCellMar>
            <w:top w:w="0" w:type="dxa"/>
            <w:bottom w:w="0" w:type="dxa"/>
          </w:tblCellMar>
        </w:tblPrEx>
        <w:tc>
          <w:tcPr>
            <w:tcW w:w="7263" w:type="dxa"/>
            <w:tcBorders>
              <w:left w:val="single" w:color="000000" w:themeColor="text1" w:sz="8" w:space="0"/>
              <w:bottom w:val="single" w:color="000000" w:themeColor="text1" w:sz="8" w:space="0"/>
              <w:right w:val="single" w:color="000000" w:themeColor="text1" w:sz="8" w:space="0"/>
            </w:tcBorders>
            <w:shd w:val="clear" w:color="auto" w:fill="auto"/>
            <w:tcMar>
              <w:top w:w="0" w:type="dxa"/>
              <w:left w:w="28" w:type="dxa"/>
              <w:bottom w:w="28" w:type="dxa"/>
              <w:right w:w="28" w:type="dxa"/>
            </w:tcMar>
          </w:tcPr>
          <w:p w:rsidR="486754FC" w:rsidP="04704EBC" w:rsidRDefault="486754FC" w14:paraId="4A83A59E" w14:textId="115EB826">
            <w:pPr>
              <w:pStyle w:val="TableContents"/>
              <w:rPr>
                <w:rFonts w:ascii="Arial" w:hAnsi="Arial" w:eastAsia="Andale Sans UI" w:cs="Tahoma"/>
                <w:noProof w:val="0"/>
                <w:color w:val="auto"/>
                <w:sz w:val="16"/>
                <w:szCs w:val="16"/>
                <w:lang w:val="fr-FR" w:eastAsia="ja-JP" w:bidi="fa-IR"/>
              </w:rPr>
            </w:pPr>
            <w:r w:rsidRPr="04704EBC" w:rsidR="486754FC">
              <w:rPr>
                <w:rFonts w:ascii="Arial" w:hAnsi="Arial" w:eastAsia="Andale Sans UI" w:cs="Tahoma"/>
                <w:b w:val="1"/>
                <w:bCs w:val="1"/>
                <w:color w:val="auto"/>
                <w:sz w:val="16"/>
                <w:szCs w:val="16"/>
                <w:lang w:eastAsia="ja-JP" w:bidi="fa-IR"/>
              </w:rPr>
              <w:t>Critère 3 : Méthode et livrable</w:t>
            </w:r>
            <w:r>
              <w:br/>
            </w:r>
            <w:r>
              <w:br/>
            </w:r>
            <w:r w:rsidRPr="04704EBC" w:rsidR="19EDC671">
              <w:rPr>
                <w:rFonts w:ascii="Arial" w:hAnsi="Arial" w:eastAsia="Andale Sans UI" w:cs="Tahoma"/>
                <w:b w:val="1"/>
                <w:bCs w:val="1"/>
                <w:color w:val="auto"/>
                <w:sz w:val="16"/>
                <w:szCs w:val="16"/>
                <w:lang w:eastAsia="ja-JP" w:bidi="fa-IR"/>
              </w:rPr>
              <w:t xml:space="preserve">- Sous-critère 3.1 : </w:t>
            </w:r>
            <w:r w:rsidRPr="04704EBC" w:rsidR="19EDC671">
              <w:rPr>
                <w:rFonts w:ascii="Arial" w:hAnsi="Arial" w:eastAsia="Andale Sans UI" w:cs="Tahoma"/>
                <w:noProof w:val="0"/>
                <w:color w:val="auto"/>
                <w:sz w:val="16"/>
                <w:szCs w:val="16"/>
                <w:lang w:val="fr-FR" w:eastAsia="ja-JP" w:bidi="fa-IR"/>
              </w:rPr>
              <w:t>Qualité de la méthode exposée pour le déroulement d’une prestation type</w:t>
            </w:r>
            <w:r>
              <w:br/>
            </w:r>
            <w:r w:rsidRPr="04704EBC" w:rsidR="79097B04">
              <w:rPr>
                <w:rFonts w:ascii="Arial" w:hAnsi="Arial" w:eastAsia="Andale Sans UI" w:cs="Tahoma"/>
                <w:b w:val="1"/>
                <w:bCs w:val="1"/>
                <w:noProof w:val="0"/>
                <w:color w:val="auto"/>
                <w:sz w:val="16"/>
                <w:szCs w:val="16"/>
                <w:lang w:val="fr-FR" w:eastAsia="ja-JP" w:bidi="fa-IR"/>
              </w:rPr>
              <w:t>- Sous-critère 3.2 :</w:t>
            </w:r>
            <w:r w:rsidRPr="04704EBC" w:rsidR="79097B04">
              <w:rPr>
                <w:rFonts w:ascii="Arial" w:hAnsi="Arial" w:eastAsia="Andale Sans UI" w:cs="Tahoma"/>
                <w:noProof w:val="0"/>
                <w:color w:val="auto"/>
                <w:sz w:val="16"/>
                <w:szCs w:val="16"/>
                <w:lang w:val="fr-FR" w:eastAsia="ja-JP" w:bidi="fa-IR"/>
              </w:rPr>
              <w:t xml:space="preserve"> Qualité du livrable proposé au regard des pratiques et normes en vigueur</w:t>
            </w:r>
            <w:r>
              <w:br/>
            </w:r>
          </w:p>
        </w:tc>
        <w:tc>
          <w:tcPr>
            <w:tcW w:w="2512" w:type="dxa"/>
            <w:tcBorders>
              <w:bottom w:val="single" w:color="000000" w:themeColor="text1" w:sz="8" w:space="0"/>
              <w:right w:val="single" w:color="000000" w:themeColor="text1" w:sz="8" w:space="0"/>
            </w:tcBorders>
            <w:shd w:val="clear" w:color="auto" w:fill="auto"/>
            <w:tcMar>
              <w:top w:w="0" w:type="dxa"/>
              <w:left w:w="0" w:type="dxa"/>
              <w:bottom w:w="28" w:type="dxa"/>
              <w:right w:w="28" w:type="dxa"/>
            </w:tcMar>
          </w:tcPr>
          <w:p w:rsidR="79097B04" w:rsidP="04704EBC" w:rsidRDefault="79097B04" w14:paraId="762781C1" w14:textId="38FFBC6C">
            <w:pPr>
              <w:pStyle w:val="TableContents"/>
              <w:jc w:val="center"/>
              <w:rPr>
                <w:b w:val="1"/>
                <w:bCs w:val="1"/>
                <w:sz w:val="16"/>
                <w:szCs w:val="16"/>
              </w:rPr>
            </w:pPr>
            <w:r w:rsidRPr="04704EBC" w:rsidR="79097B04">
              <w:rPr>
                <w:b w:val="1"/>
                <w:bCs w:val="1"/>
                <w:sz w:val="16"/>
                <w:szCs w:val="16"/>
              </w:rPr>
              <w:t>20 %</w:t>
            </w:r>
            <w:r>
              <w:br/>
            </w:r>
            <w:r>
              <w:br/>
            </w:r>
            <w:r w:rsidRPr="04704EBC" w:rsidR="10192A81">
              <w:rPr>
                <w:b w:val="0"/>
                <w:bCs w:val="0"/>
                <w:sz w:val="16"/>
                <w:szCs w:val="16"/>
              </w:rPr>
              <w:t>10 %</w:t>
            </w:r>
            <w:r>
              <w:br/>
            </w:r>
            <w:r w:rsidRPr="04704EBC" w:rsidR="4548803F">
              <w:rPr>
                <w:b w:val="0"/>
                <w:bCs w:val="0"/>
                <w:i w:val="0"/>
                <w:iCs w:val="0"/>
                <w:sz w:val="16"/>
                <w:szCs w:val="16"/>
              </w:rPr>
              <w:t>10 %</w:t>
            </w:r>
          </w:p>
        </w:tc>
      </w:tr>
      <w:tr xmlns:wp14="http://schemas.microsoft.com/office/word/2010/wordml" w:rsidR="00944D7C" w:rsidTr="04704EBC" w14:paraId="00A575DB" wp14:textId="77777777">
        <w:tblPrEx>
          <w:tblCellMar>
            <w:top w:w="0" w:type="dxa"/>
            <w:bottom w:w="0" w:type="dxa"/>
          </w:tblCellMar>
        </w:tblPrEx>
        <w:tc>
          <w:tcPr>
            <w:tcW w:w="7263" w:type="dxa"/>
            <w:tcBorders>
              <w:left w:val="single" w:color="000000" w:themeColor="text1" w:sz="8" w:space="0"/>
              <w:bottom w:val="single" w:color="000000" w:themeColor="text1" w:sz="8" w:space="0"/>
              <w:right w:val="single" w:color="000000" w:themeColor="text1" w:sz="8" w:space="0"/>
            </w:tcBorders>
            <w:shd w:val="clear" w:color="auto" w:fill="auto"/>
            <w:tcMar>
              <w:top w:w="0" w:type="dxa"/>
              <w:left w:w="28" w:type="dxa"/>
              <w:bottom w:w="28" w:type="dxa"/>
              <w:right w:w="28" w:type="dxa"/>
            </w:tcMar>
          </w:tcPr>
          <w:p w:rsidR="00944D7C" w:rsidRDefault="00B94458" w14:paraId="58477893" wp14:textId="77777777">
            <w:pPr>
              <w:pStyle w:val="TableContents"/>
              <w:spacing w:after="283"/>
              <w:rPr>
                <w:b/>
                <w:bCs/>
                <w:sz w:val="16"/>
                <w:szCs w:val="16"/>
              </w:rPr>
            </w:pPr>
            <w:r>
              <w:rPr>
                <w:b/>
                <w:bCs/>
                <w:sz w:val="16"/>
                <w:szCs w:val="16"/>
              </w:rPr>
              <w:t>Critère 2 : Prix</w:t>
            </w:r>
          </w:p>
        </w:tc>
        <w:tc>
          <w:tcPr>
            <w:tcW w:w="2512" w:type="dxa"/>
            <w:tcBorders>
              <w:bottom w:val="single" w:color="000000" w:themeColor="text1" w:sz="8" w:space="0"/>
              <w:right w:val="single" w:color="000000" w:themeColor="text1" w:sz="8" w:space="0"/>
            </w:tcBorders>
            <w:shd w:val="clear" w:color="auto" w:fill="auto"/>
            <w:tcMar>
              <w:top w:w="0" w:type="dxa"/>
              <w:left w:w="0" w:type="dxa"/>
              <w:bottom w:w="28" w:type="dxa"/>
              <w:right w:w="28" w:type="dxa"/>
            </w:tcMar>
          </w:tcPr>
          <w:p w:rsidR="00944D7C" w:rsidP="04704EBC" w:rsidRDefault="00B94458" w14:paraId="4459C818" wp14:textId="5EADA365">
            <w:pPr>
              <w:pStyle w:val="TableContents"/>
              <w:spacing w:after="20"/>
              <w:jc w:val="center"/>
              <w:rPr>
                <w:rFonts w:ascii="Arial, sans-serif" w:hAnsi="Arial, sans-serif"/>
                <w:b w:val="1"/>
                <w:bCs w:val="1"/>
                <w:sz w:val="16"/>
                <w:szCs w:val="16"/>
              </w:rPr>
            </w:pPr>
            <w:r w:rsidRPr="04704EBC" w:rsidR="00B94458">
              <w:rPr>
                <w:rFonts w:ascii="Arial, sans-serif" w:hAnsi="Arial, sans-serif"/>
                <w:b w:val="1"/>
                <w:bCs w:val="1"/>
                <w:sz w:val="16"/>
                <w:szCs w:val="16"/>
              </w:rPr>
              <w:t>40</w:t>
            </w:r>
            <w:r w:rsidRPr="04704EBC" w:rsidR="579306A3">
              <w:rPr>
                <w:rFonts w:ascii="Arial, sans-serif" w:hAnsi="Arial, sans-serif"/>
                <w:b w:val="1"/>
                <w:bCs w:val="1"/>
                <w:sz w:val="16"/>
                <w:szCs w:val="16"/>
              </w:rPr>
              <w:t xml:space="preserve"> </w:t>
            </w:r>
            <w:r w:rsidRPr="04704EBC" w:rsidR="00B94458">
              <w:rPr>
                <w:rFonts w:ascii="Arial, sans-serif" w:hAnsi="Arial, sans-serif"/>
                <w:b w:val="1"/>
                <w:bCs w:val="1"/>
                <w:sz w:val="16"/>
                <w:szCs w:val="16"/>
              </w:rPr>
              <w:t>%</w:t>
            </w:r>
          </w:p>
        </w:tc>
      </w:tr>
      <w:tr xmlns:wp14="http://schemas.microsoft.com/office/word/2010/wordml" w:rsidR="00944D7C" w:rsidTr="04704EBC" w14:paraId="083C098D" wp14:textId="77777777">
        <w:tblPrEx>
          <w:tblCellMar>
            <w:top w:w="0" w:type="dxa"/>
            <w:bottom w:w="0" w:type="dxa"/>
          </w:tblCellMar>
        </w:tblPrEx>
        <w:tc>
          <w:tcPr>
            <w:tcW w:w="7263" w:type="dxa"/>
            <w:tcBorders>
              <w:left w:val="single" w:color="000000" w:themeColor="text1" w:sz="8" w:space="0"/>
              <w:bottom w:val="single" w:color="000000" w:themeColor="text1" w:sz="8" w:space="0"/>
              <w:right w:val="single" w:color="000000" w:themeColor="text1" w:sz="8" w:space="0"/>
            </w:tcBorders>
            <w:shd w:val="clear" w:color="auto" w:fill="auto"/>
            <w:tcMar>
              <w:top w:w="0" w:type="dxa"/>
              <w:left w:w="28" w:type="dxa"/>
              <w:bottom w:w="28" w:type="dxa"/>
              <w:right w:w="28" w:type="dxa"/>
            </w:tcMar>
          </w:tcPr>
          <w:p w:rsidR="00944D7C" w:rsidRDefault="00B94458" w14:paraId="35892D8D" wp14:textId="77777777">
            <w:pPr>
              <w:pStyle w:val="TableContents"/>
            </w:pPr>
            <w:r>
              <w:rPr>
                <w:rFonts w:ascii="Arial, sans-serif" w:hAnsi="Arial, sans-serif"/>
                <w:sz w:val="16"/>
                <w:szCs w:val="16"/>
              </w:rPr>
              <w:t xml:space="preserve">Note = (prix le plus bas/prix de l'offre examinée) x note max </w:t>
            </w:r>
            <w:r>
              <w:rPr>
                <w:rFonts w:ascii="Arial, sans-serif" w:hAnsi="Arial, sans-serif"/>
                <w:color w:val="000000"/>
                <w:sz w:val="16"/>
                <w:szCs w:val="16"/>
              </w:rPr>
              <w:t>(10)</w:t>
            </w:r>
          </w:p>
        </w:tc>
        <w:tc>
          <w:tcPr>
            <w:tcW w:w="2512" w:type="dxa"/>
            <w:tcBorders>
              <w:bottom w:val="single" w:color="000000" w:themeColor="text1" w:sz="8" w:space="0"/>
              <w:right w:val="single" w:color="000000" w:themeColor="text1" w:sz="8" w:space="0"/>
            </w:tcBorders>
            <w:shd w:val="clear" w:color="auto" w:fill="auto"/>
            <w:tcMar>
              <w:top w:w="0" w:type="dxa"/>
              <w:left w:w="0" w:type="dxa"/>
              <w:bottom w:w="28" w:type="dxa"/>
              <w:right w:w="28" w:type="dxa"/>
            </w:tcMar>
          </w:tcPr>
          <w:p w:rsidR="00944D7C" w:rsidRDefault="00944D7C" w14:paraId="5043CB0F" wp14:textId="77777777">
            <w:pPr>
              <w:pStyle w:val="TableContents"/>
              <w:spacing w:after="283"/>
              <w:jc w:val="center"/>
              <w:rPr>
                <w:sz w:val="16"/>
                <w:szCs w:val="16"/>
              </w:rPr>
            </w:pPr>
          </w:p>
        </w:tc>
      </w:tr>
    </w:tbl>
    <w:p xmlns:wp14="http://schemas.microsoft.com/office/word/2010/wordml" w:rsidR="00944D7C" w:rsidRDefault="00B94458" w14:paraId="70C10B04" wp14:textId="77777777">
      <w:pPr>
        <w:pStyle w:val="Titre3"/>
      </w:pPr>
      <w:r>
        <w:t>Méthode de notation des offres</w:t>
      </w:r>
    </w:p>
    <w:p xmlns:wp14="http://schemas.microsoft.com/office/word/2010/wordml" w:rsidR="00944D7C" w:rsidRDefault="00B94458" w14:paraId="63946A99" wp14:textId="77777777">
      <w:pPr>
        <w:pStyle w:val="Standard"/>
        <w:rPr>
          <w:u w:val="single"/>
        </w:rPr>
      </w:pPr>
      <w:r>
        <w:rPr>
          <w:u w:val="single"/>
        </w:rPr>
        <w:t>Méthode de notation du critère technique :</w:t>
      </w:r>
    </w:p>
    <w:p xmlns:wp14="http://schemas.microsoft.com/office/word/2010/wordml" w:rsidR="00944D7C" w:rsidRDefault="00B94458" w14:paraId="34A39700" wp14:textId="77777777">
      <w:pPr>
        <w:pStyle w:val="Standard"/>
      </w:pPr>
      <w:r>
        <w:t>Le critère technique sera jugé en attribuant des notes de 0 à 60.</w:t>
      </w:r>
    </w:p>
    <w:p xmlns:wp14="http://schemas.microsoft.com/office/word/2010/wordml" w:rsidR="00944D7C" w:rsidRDefault="00B94458" w14:paraId="3E775841" wp14:textId="77777777">
      <w:pPr>
        <w:pStyle w:val="Standard"/>
      </w:pPr>
      <w:r>
        <w:t>Les notes sont ensuite pondérées par application du coefficient de pondération.</w:t>
      </w:r>
    </w:p>
    <w:p xmlns:wp14="http://schemas.microsoft.com/office/word/2010/wordml" w:rsidR="00944D7C" w:rsidRDefault="00B94458" w14:paraId="51FEA9FE" wp14:textId="77777777">
      <w:pPr>
        <w:pStyle w:val="Standard"/>
      </w:pPr>
      <w:r>
        <w:rPr>
          <w:u w:val="single"/>
        </w:rPr>
        <w:br/>
      </w:r>
      <w:r>
        <w:rPr>
          <w:u w:val="single"/>
        </w:rPr>
        <w:t>Méthode de notation du critère prix :</w:t>
      </w:r>
      <w:r>
        <w:t xml:space="preserve"> Note = (prix le plus bas/prix de l'offre examinée) x note max (10)</w:t>
      </w:r>
    </w:p>
    <w:p xmlns:wp14="http://schemas.microsoft.com/office/word/2010/wordml" w:rsidR="00944D7C" w:rsidRDefault="00B94458" w14:paraId="55AC6399" wp14:textId="77777777">
      <w:pPr>
        <w:pStyle w:val="Titre2"/>
      </w:pPr>
      <w:bookmarkStart w:name="__RefHeading__48158_1575219009" w:id="27"/>
      <w:r>
        <w:t>Durée de validité des offres</w:t>
      </w:r>
      <w:bookmarkEnd w:id="27"/>
    </w:p>
    <w:p xmlns:wp14="http://schemas.microsoft.com/office/word/2010/wordml" w:rsidR="00944D7C" w:rsidRDefault="00B94458" w14:paraId="1E197B95" wp14:textId="77777777">
      <w:pPr>
        <w:pStyle w:val="Standard"/>
      </w:pPr>
      <w:r>
        <w:t>Les offres sont valables 4 mois (120 jours) à compter de la date limite de remise des offres.</w:t>
      </w:r>
    </w:p>
    <w:p xmlns:wp14="http://schemas.microsoft.com/office/word/2010/wordml" w:rsidR="00944D7C" w:rsidRDefault="00944D7C" w14:paraId="07459315" wp14:textId="77777777">
      <w:pPr>
        <w:pStyle w:val="Standard"/>
      </w:pPr>
    </w:p>
    <w:p xmlns:wp14="http://schemas.microsoft.com/office/word/2010/wordml" w:rsidR="00944D7C" w:rsidRDefault="00B94458" w14:paraId="5E35D133" wp14:textId="77777777">
      <w:pPr>
        <w:pStyle w:val="Titre1"/>
      </w:pPr>
      <w:bookmarkStart w:name="__RefHeading__48162_1575219009" w:id="28"/>
      <w:r>
        <w:t>NEGOCIATION</w:t>
      </w:r>
      <w:bookmarkEnd w:id="28"/>
    </w:p>
    <w:p xmlns:wp14="http://schemas.microsoft.com/office/word/2010/wordml" w:rsidR="00944D7C" w:rsidRDefault="00B94458" w14:paraId="4F82A06D" wp14:textId="77777777">
      <w:pPr>
        <w:pStyle w:val="Standard"/>
      </w:pPr>
      <w:r>
        <w:t>Sans objet.</w:t>
      </w:r>
    </w:p>
    <w:p xmlns:wp14="http://schemas.microsoft.com/office/word/2010/wordml" w:rsidR="00944D7C" w:rsidRDefault="00B94458" w14:paraId="12F40E89" wp14:textId="77777777">
      <w:pPr>
        <w:pStyle w:val="Standard"/>
      </w:pPr>
      <w:r>
        <w:t xml:space="preserve"> </w:t>
      </w:r>
    </w:p>
    <w:p xmlns:wp14="http://schemas.microsoft.com/office/word/2010/wordml" w:rsidR="00944D7C" w:rsidRDefault="00B94458" w14:paraId="4A1B2E7B" wp14:textId="77777777">
      <w:pPr>
        <w:pStyle w:val="Titre1"/>
      </w:pPr>
      <w:bookmarkStart w:name="__RefHeading__48164_1575219009" w:id="29"/>
      <w:r>
        <w:t>MODALITES DE TRANSMISSION DES PLIS</w:t>
      </w:r>
      <w:bookmarkEnd w:id="29"/>
    </w:p>
    <w:p xmlns:wp14="http://schemas.microsoft.com/office/word/2010/wordml" w:rsidR="00944D7C" w:rsidRDefault="00B94458" w14:paraId="5BFDE637" wp14:textId="77777777">
      <w:pPr>
        <w:pStyle w:val="Titre2"/>
      </w:pPr>
      <w:bookmarkStart w:name="__RefHeading__48166_1575219009" w:id="30"/>
      <w:r>
        <w:t>Date et heure de réception des plis</w:t>
      </w:r>
      <w:bookmarkEnd w:id="30"/>
    </w:p>
    <w:p xmlns:wp14="http://schemas.microsoft.com/office/word/2010/wordml" w:rsidR="00944D7C" w:rsidRDefault="00B94458" w14:paraId="1A52DCBA" wp14:textId="77777777">
      <w:pPr>
        <w:pStyle w:val="Standard"/>
      </w:pPr>
      <w:r>
        <w:t xml:space="preserve">Les plis devront être transmis au plus tard le </w:t>
      </w:r>
      <w:r>
        <w:rPr>
          <w:b/>
          <w:bCs/>
        </w:rPr>
        <w:t>01/09/20250 16h00.</w:t>
      </w:r>
    </w:p>
    <w:p xmlns:wp14="http://schemas.microsoft.com/office/word/2010/wordml" w:rsidR="00944D7C" w:rsidRDefault="00B94458" w14:paraId="7B8AF042" wp14:textId="77777777">
      <w:pPr>
        <w:pStyle w:val="Standard"/>
      </w:pPr>
      <w:r>
        <w:t>Seuls peuvent être ouverts les plis qui ont été reçus au plus tard à la date et à l'heure limites mentionnées ci-dessus. Les plis qui sont reçus ou remis après ces date et heure ne sont pas ouverts.</w:t>
      </w:r>
    </w:p>
    <w:p xmlns:wp14="http://schemas.microsoft.com/office/word/2010/wordml" w:rsidR="00944D7C" w:rsidRDefault="00B94458" w14:paraId="172DE7DC" wp14:textId="77777777">
      <w:pPr>
        <w:pStyle w:val="Standard"/>
      </w:pPr>
      <w:r>
        <w:t>Les plis et la "copie de sauvegarde" parvenus hors délai sont inscrits au registre des dépôts et sont rejetés.</w:t>
      </w:r>
    </w:p>
    <w:p xmlns:wp14="http://schemas.microsoft.com/office/word/2010/wordml" w:rsidR="00944D7C" w:rsidRDefault="00B94458" w14:paraId="0D546250" wp14:textId="77777777">
      <w:pPr>
        <w:pStyle w:val="Titre2"/>
      </w:pPr>
      <w:bookmarkStart w:name="__RefHeading__48168_1575219009" w:id="31"/>
      <w:r>
        <w:t>Conditions de transmission des plis</w:t>
      </w:r>
      <w:bookmarkEnd w:id="31"/>
    </w:p>
    <w:p xmlns:wp14="http://schemas.microsoft.com/office/word/2010/wordml" w:rsidR="00944D7C" w:rsidRDefault="00B94458" w14:paraId="738D3CF2" wp14:textId="77777777">
      <w:pPr>
        <w:pStyle w:val="Standard"/>
      </w:pPr>
      <w:r>
        <w:t>Pour cette consultation, seuls sont autorisés les dépôts électroniques à l'adresse suivante : https://www.marches-publics.gouv.fr.</w:t>
      </w:r>
    </w:p>
    <w:p xmlns:wp14="http://schemas.microsoft.com/office/word/2010/wordml" w:rsidR="00944D7C" w:rsidRDefault="00B94458" w14:paraId="11390A3B" wp14:textId="77777777">
      <w:pPr>
        <w:pStyle w:val="Standard"/>
      </w:pPr>
      <w:r>
        <w:t>En cas d'envois successifs seul le dernier envoi réceptionné avant la date limite de remise des plis est admis. Les plis antérieurs seront rejetés sans être examinés.</w:t>
      </w:r>
    </w:p>
    <w:p xmlns:wp14="http://schemas.microsoft.com/office/word/2010/wordml" w:rsidR="00944D7C" w:rsidRDefault="00B94458" w14:paraId="2F2767E0" wp14:textId="77777777">
      <w:pPr>
        <w:pStyle w:val="Standard"/>
      </w:pPr>
      <w:r>
        <w:t>Aucun envoi papier, par télécopie ou courriel ne sera accepté.</w:t>
      </w:r>
    </w:p>
    <w:p xmlns:wp14="http://schemas.microsoft.com/office/word/2010/wordml" w:rsidR="00944D7C" w:rsidRDefault="00B94458" w14:paraId="4719706F" wp14:textId="77777777">
      <w:pPr>
        <w:pStyle w:val="Standard"/>
      </w:pPr>
      <w:r>
        <w:t>Le dépôt électronique des plis s'effectue exclusivement sur la plate-forme "PLACE" : https://www.marches-publics.gouv.fr</w:t>
      </w:r>
    </w:p>
    <w:p xmlns:wp14="http://schemas.microsoft.com/office/word/2010/wordml" w:rsidR="00944D7C" w:rsidRDefault="00B94458" w14:paraId="142E99D2" wp14:textId="77777777">
      <w:pPr>
        <w:pStyle w:val="Standard"/>
      </w:pPr>
      <w: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xmlns:wp14="http://schemas.microsoft.com/office/word/2010/wordml" w:rsidR="00944D7C" w:rsidRDefault="00B94458" w14:paraId="7C66881F" wp14:textId="77777777">
      <w:pPr>
        <w:pStyle w:val="Standard"/>
      </w:pPr>
      <w:r>
        <w:t>Les candidats ou les soumissionnaires trouveront sur le site www.marches-publics.gouv.fr un « guide utilisateur » téléchargeable qui précise les conditions d'utilisations de la plate-forme des achats de l'État, notamment les prérequis techniques et certificats électroniques.</w:t>
      </w:r>
    </w:p>
    <w:p xmlns:wp14="http://schemas.microsoft.com/office/word/2010/wordml" w:rsidR="00944D7C" w:rsidRDefault="00B94458" w14:paraId="3948A70B" wp14:textId="77777777">
      <w:pPr>
        <w:pStyle w:val="Standard"/>
      </w:pPr>
      <w:r>
        <w:t>Les frais d'accès au réseau et de recours à la signature électronique sont à la charge de chaque candidat/soumissionnaire.</w:t>
      </w:r>
    </w:p>
    <w:p xmlns:wp14="http://schemas.microsoft.com/office/word/2010/wordml" w:rsidR="00944D7C" w:rsidRDefault="00B94458" w14:paraId="0C17CE4D" wp14:textId="77777777">
      <w:pPr>
        <w:pStyle w:val="Standard"/>
      </w:pPr>
      <w:r>
        <w:t>Les candidats sont invités à tester la configuration de leur poste de travail et répondre à une consultation test, afin de s'assurer du bon fonctionnement de l'environnement informatique.</w:t>
      </w:r>
    </w:p>
    <w:p xmlns:wp14="http://schemas.microsoft.com/office/word/2010/wordml" w:rsidR="00944D7C" w:rsidRDefault="00B94458" w14:paraId="5F1AF362" wp14:textId="77777777">
      <w:pPr>
        <w:pStyle w:val="Standard"/>
      </w:pPr>
      <w:r>
        <w:t>Ils disposent sur le site d'une aide qui expose le mode opératoire relatif au dépôt des plis électroniques. Plusieurs documents et informations sont disponibles à la rubrique « aide » de PLACE :</w:t>
      </w:r>
    </w:p>
    <w:p xmlns:wp14="http://schemas.microsoft.com/office/word/2010/wordml" w:rsidR="00944D7C" w:rsidRDefault="00B94458" w14:paraId="30C12617" wp14:textId="77777777">
      <w:pPr>
        <w:pStyle w:val="Standard"/>
      </w:pPr>
      <w:r>
        <w:t>- Manuel d'utilisation afin de faciliter le maniement de la plate-forme ;</w:t>
      </w:r>
    </w:p>
    <w:p xmlns:wp14="http://schemas.microsoft.com/office/word/2010/wordml" w:rsidR="00944D7C" w:rsidRDefault="00B94458" w14:paraId="0D393CBF" wp14:textId="77777777">
      <w:pPr>
        <w:pStyle w:val="Standard"/>
      </w:pPr>
      <w:r>
        <w:t>- Assistance téléphonique ;</w:t>
      </w:r>
    </w:p>
    <w:p xmlns:wp14="http://schemas.microsoft.com/office/word/2010/wordml" w:rsidR="00944D7C" w:rsidRDefault="00B94458" w14:paraId="0928D880" wp14:textId="77777777">
      <w:pPr>
        <w:pStyle w:val="Standard"/>
      </w:pPr>
      <w:r>
        <w:t>- Module d'autoformation à destination des candidats ;</w:t>
      </w:r>
    </w:p>
    <w:p xmlns:wp14="http://schemas.microsoft.com/office/word/2010/wordml" w:rsidR="00944D7C" w:rsidRDefault="00B94458" w14:paraId="53653957" wp14:textId="77777777">
      <w:pPr>
        <w:pStyle w:val="Standard"/>
      </w:pPr>
      <w:r>
        <w:t>- Foire aux questions ;</w:t>
      </w:r>
    </w:p>
    <w:p xmlns:wp14="http://schemas.microsoft.com/office/word/2010/wordml" w:rsidR="00944D7C" w:rsidRDefault="00B94458" w14:paraId="077C3B14" wp14:textId="77777777">
      <w:pPr>
        <w:pStyle w:val="Standard"/>
      </w:pPr>
      <w:r>
        <w:t>- Outils informatiques.</w:t>
      </w:r>
    </w:p>
    <w:p xmlns:wp14="http://schemas.microsoft.com/office/word/2010/wordml" w:rsidR="00944D7C" w:rsidRDefault="00B94458" w14:paraId="4641284E" wp14:textId="77777777">
      <w:pPr>
        <w:pStyle w:val="Standard"/>
      </w:pPr>
      <w:r>
        <w:t>Les candidats ou les soumissionnaires ont la possibilité de poser des questions sur les documents de la consultation.</w:t>
      </w:r>
    </w:p>
    <w:p xmlns:wp14="http://schemas.microsoft.com/office/word/2010/wordml" w:rsidR="00944D7C" w:rsidRDefault="00B94458" w14:paraId="20D78D94" wp14:textId="77777777">
      <w:pPr>
        <w:pStyle w:val="Standard"/>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xmlns:wp14="http://schemas.microsoft.com/office/word/2010/wordml" w:rsidR="00944D7C" w:rsidRDefault="00B94458" w14:paraId="14BCF2A0" wp14:textId="77777777">
      <w:pPr>
        <w:pStyle w:val="Standard"/>
      </w:pPr>
      <w:r>
        <w:t>L'absence de message de confirmation de bonne réception ou d'accusé de réception électronique signifie que la réponse n'est pas parvenue à l'acheteur.</w:t>
      </w:r>
    </w:p>
    <w:p xmlns:wp14="http://schemas.microsoft.com/office/word/2010/wordml" w:rsidR="00944D7C" w:rsidRDefault="00B94458" w14:paraId="09CD0EA9" wp14:textId="77777777">
      <w:pPr>
        <w:pStyle w:val="Standard"/>
      </w:pPr>
      <w:r>
        <w:t>L'opérateur économique s'assure que les messages envoyés par la Plate-forme des achats de l'État (PLACE) notamment, nepasrepondre@marches-publics.gouv.fr, ne sont pas traités comme des courriels indésirables.</w:t>
      </w:r>
    </w:p>
    <w:p xmlns:wp14="http://schemas.microsoft.com/office/word/2010/wordml" w:rsidR="00944D7C" w:rsidRDefault="00B94458" w14:paraId="77B9214F" wp14:textId="77777777">
      <w:pPr>
        <w:pStyle w:val="Standard"/>
        <w:rPr>
          <w:b/>
          <w:u w:val="single"/>
        </w:rPr>
      </w:pPr>
      <w:r>
        <w:rPr>
          <w:b/>
          <w:u w:val="single"/>
        </w:rPr>
        <w:t>Présentation des dossiers et format des fichiers</w:t>
      </w:r>
    </w:p>
    <w:p xmlns:wp14="http://schemas.microsoft.com/office/word/2010/wordml" w:rsidR="00944D7C" w:rsidRDefault="00B94458" w14:paraId="2F19764F" wp14:textId="77777777">
      <w:pPr>
        <w:pStyle w:val="Standard"/>
      </w:pPr>
      <w:r>
        <w:t>Les formats acceptés sont les suivants : .pdf, .doc, .xls, .ppt, .odt, .ods, .odp, ainsi que les formats images .jpg, .png et les documents au format .html.</w:t>
      </w:r>
    </w:p>
    <w:p xmlns:wp14="http://schemas.microsoft.com/office/word/2010/wordml" w:rsidR="00944D7C" w:rsidRDefault="00B94458" w14:paraId="5AB31F15" wp14:textId="77777777">
      <w:pPr>
        <w:pStyle w:val="Standard"/>
      </w:pPr>
      <w:r>
        <w:t>Le candidat ou le soumissionnaire ne doit pas utiliser de code actif dans sa réponse, tels que :</w:t>
      </w:r>
    </w:p>
    <w:p xmlns:wp14="http://schemas.microsoft.com/office/word/2010/wordml" w:rsidR="00944D7C" w:rsidRDefault="00B94458" w14:paraId="63507099" wp14:textId="77777777">
      <w:pPr>
        <w:pStyle w:val="Standard"/>
      </w:pPr>
      <w:r>
        <w:t>- Formats exécutables, notamment : .exe, .com, .scr</w:t>
      </w:r>
    </w:p>
    <w:p xmlns:wp14="http://schemas.microsoft.com/office/word/2010/wordml" w:rsidR="00944D7C" w:rsidRDefault="00B94458" w14:paraId="7B4077B3" wp14:textId="77777777">
      <w:pPr>
        <w:pStyle w:val="Standard"/>
      </w:pPr>
      <w:r>
        <w:t>- Macros ;</w:t>
      </w:r>
    </w:p>
    <w:p xmlns:wp14="http://schemas.microsoft.com/office/word/2010/wordml" w:rsidR="00944D7C" w:rsidRDefault="00B94458" w14:paraId="2C5B03FF" wp14:textId="77777777">
      <w:pPr>
        <w:pStyle w:val="Standard"/>
      </w:pPr>
      <w:r>
        <w:t>- ActiveX, Applets, scripts</w:t>
      </w:r>
    </w:p>
    <w:p xmlns:wp14="http://schemas.microsoft.com/office/word/2010/wordml" w:rsidR="00944D7C" w:rsidRDefault="00B94458" w14:paraId="1BD4F875" wp14:textId="77777777">
      <w:pPr>
        <w:pStyle w:val="Standard"/>
        <w:rPr>
          <w:b/>
          <w:u w:val="single"/>
        </w:rPr>
      </w:pPr>
      <w:r>
        <w:rPr>
          <w:b/>
          <w:u w:val="single"/>
        </w:rPr>
        <w:t>Horodatage</w:t>
      </w:r>
    </w:p>
    <w:p xmlns:wp14="http://schemas.microsoft.com/office/word/2010/wordml" w:rsidR="00944D7C" w:rsidRDefault="00B94458" w14:paraId="48888A1C" wp14:textId="77777777">
      <w:pPr>
        <w:pStyle w:val="Standard"/>
      </w:pPr>
      <w:r>
        <w:t>Les plis (candidatures et/ou offres) transmis par voie électronique sont horodatés. Les plis reçus après la date et l'heure limite fixée par la présente consultation sont considérés comme hors délai et sont rejetés.</w:t>
      </w:r>
    </w:p>
    <w:p xmlns:wp14="http://schemas.microsoft.com/office/word/2010/wordml" w:rsidR="00944D7C" w:rsidRDefault="00B94458" w14:paraId="0756FAC8" wp14:textId="77777777">
      <w:pPr>
        <w:pStyle w:val="Standard"/>
      </w:pPr>
      <w:r>
        <w:t>En cas d'indisponibilité de la plate-forme, la date et l'heure limite de remise des plis peuvent être modifiées.</w:t>
      </w:r>
    </w:p>
    <w:p xmlns:wp14="http://schemas.microsoft.com/office/word/2010/wordml" w:rsidR="00944D7C" w:rsidRDefault="00B94458" w14:paraId="68B6EEE3" wp14:textId="77777777">
      <w:pPr>
        <w:pStyle w:val="Standard"/>
        <w:rPr>
          <w:b/>
          <w:u w:val="single"/>
        </w:rPr>
      </w:pPr>
      <w:r>
        <w:rPr>
          <w:b/>
          <w:u w:val="single"/>
        </w:rPr>
        <w:t>Copie de sauvegarde</w:t>
      </w:r>
    </w:p>
    <w:p xmlns:wp14="http://schemas.microsoft.com/office/word/2010/wordml" w:rsidR="00944D7C" w:rsidRDefault="00B94458" w14:paraId="323ACE4F" wp14:textId="77777777">
      <w:pPr>
        <w:pStyle w:val="Standard"/>
      </w:pPr>
      <w:r>
        <w:t>Le candidat ou le soumissionnaire peut faire parvenir une copie de sauvegarde dans les délais impartis pour la remise des candidatures ou des offres.</w:t>
      </w:r>
    </w:p>
    <w:p xmlns:wp14="http://schemas.microsoft.com/office/word/2010/wordml" w:rsidR="00944D7C" w:rsidRDefault="00B94458" w14:paraId="7F4D310F" wp14:textId="77777777">
      <w:pPr>
        <w:pStyle w:val="Standard"/>
      </w:pPr>
      <w:r>
        <w:t>Cette copie de sauvegarde, transmise à l'acheteur sur support papier ou sur support physique électronique doit être placée dans un pli comportant les mentions suivantes :</w:t>
      </w:r>
    </w:p>
    <w:p xmlns:wp14="http://schemas.microsoft.com/office/word/2010/wordml" w:rsidR="00944D7C" w:rsidRDefault="00B94458" w14:paraId="75C0682B" wp14:textId="77777777">
      <w:pPr>
        <w:pStyle w:val="Standard"/>
      </w:pPr>
      <w:r>
        <w:t>- « Copie de sauvegarde » ;</w:t>
      </w:r>
    </w:p>
    <w:p xmlns:wp14="http://schemas.microsoft.com/office/word/2010/wordml" w:rsidR="00944D7C" w:rsidRDefault="00B94458" w14:paraId="356A5562" wp14:textId="77777777">
      <w:pPr>
        <w:pStyle w:val="Standard"/>
      </w:pPr>
      <w:r>
        <w:t>- Intitulé de la consultation ;</w:t>
      </w:r>
    </w:p>
    <w:p xmlns:wp14="http://schemas.microsoft.com/office/word/2010/wordml" w:rsidR="00944D7C" w:rsidRDefault="00B94458" w14:paraId="25B246CF" wp14:textId="77777777">
      <w:pPr>
        <w:pStyle w:val="Standard"/>
      </w:pPr>
      <w:r>
        <w:t>- Nom ou dénomination du candidat.</w:t>
      </w:r>
    </w:p>
    <w:p xmlns:wp14="http://schemas.microsoft.com/office/word/2010/wordml" w:rsidR="00944D7C" w:rsidRDefault="00B94458" w14:paraId="08751709" wp14:textId="77777777">
      <w:pPr>
        <w:pStyle w:val="Standard"/>
      </w:pPr>
      <w:r>
        <w:t>La copie de sauvegarde ne peut être ouverte que dans les deux cas suivants :</w:t>
      </w:r>
    </w:p>
    <w:p xmlns:wp14="http://schemas.microsoft.com/office/word/2010/wordml" w:rsidR="00944D7C" w:rsidRDefault="00B94458" w14:paraId="3A4F7247" wp14:textId="77777777">
      <w:pPr>
        <w:pStyle w:val="Standard"/>
      </w:pPr>
      <w:r>
        <w:t>- en cas de détection d'un programme informatique malveillant dans les candidatures ou les offres transmises par voie électronique ;</w:t>
      </w:r>
    </w:p>
    <w:p xmlns:wp14="http://schemas.microsoft.com/office/word/2010/wordml" w:rsidR="00944D7C" w:rsidRDefault="00B94458" w14:paraId="7D4C0FEA" wp14:textId="77777777">
      <w:pPr>
        <w:pStyle w:val="Standard"/>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xmlns:wp14="http://schemas.microsoft.com/office/word/2010/wordml" w:rsidR="00944D7C" w:rsidRDefault="00B94458" w14:paraId="6D402E84" wp14:textId="77777777">
      <w:pPr>
        <w:pStyle w:val="Standard"/>
      </w:pPr>
      <w:r>
        <w:t>Si un programme informatique malveillant est détecté, la copie de sauvegarde est écartée par l'acheteur.</w:t>
      </w:r>
    </w:p>
    <w:p xmlns:wp14="http://schemas.microsoft.com/office/word/2010/wordml" w:rsidR="00944D7C" w:rsidRDefault="00B94458" w14:paraId="3E0C6A66" wp14:textId="77777777">
      <w:pPr>
        <w:pStyle w:val="Standard"/>
      </w:pPr>
      <w:r>
        <w:t>La copie de sauvegarde ouverte est conservée en cas d'ouverture conformément aux dispositions des articles R.2184-12 et R.2184-13 du code de la commande publique. Si au contraire elle n'a pas été ouverte ou si elle a été écartée pour donner suite à la détection d'un programme malveillant, celle-ci est détruite.</w:t>
      </w:r>
    </w:p>
    <w:p xmlns:wp14="http://schemas.microsoft.com/office/word/2010/wordml" w:rsidR="00944D7C" w:rsidRDefault="00B94458" w14:paraId="5E4EA104" wp14:textId="77777777">
      <w:pPr>
        <w:pStyle w:val="Standard"/>
      </w:pPr>
      <w:r>
        <w:t>Le candidat ou le soumissionnaire qui envoie ou dépose sa copie de sauvegarde en main propre contre récépissé, le fait à l'adresse suivante :</w:t>
      </w:r>
    </w:p>
    <w:p xmlns:wp14="http://schemas.microsoft.com/office/word/2010/wordml" w:rsidR="00944D7C" w:rsidRDefault="00B94458" w14:paraId="3FEABA71" wp14:textId="77777777">
      <w:pPr>
        <w:pStyle w:val="Standard"/>
      </w:pPr>
      <w:r>
        <w:rPr>
          <w:b/>
        </w:rPr>
        <w:t>Siège de la DREETS NA, Cité administrative, étage 19, bureau 19-18, 2 rue Jules Ferry, 33 000 Bordeaux.</w:t>
      </w:r>
    </w:p>
    <w:p xmlns:wp14="http://schemas.microsoft.com/office/word/2010/wordml" w:rsidR="00944D7C" w:rsidRDefault="00B94458" w14:paraId="608DEACE" wp14:textId="77777777">
      <w:pPr>
        <w:pStyle w:val="Standard"/>
      </w:pPr>
      <w:r>
        <w:t xml:space="preserve"> </w:t>
      </w:r>
    </w:p>
    <w:p xmlns:wp14="http://schemas.microsoft.com/office/word/2010/wordml" w:rsidR="00944D7C" w:rsidRDefault="00B94458" w14:paraId="14C4B445" wp14:textId="77777777">
      <w:pPr>
        <w:pStyle w:val="Standard"/>
        <w:rPr>
          <w:b/>
          <w:u w:val="single"/>
        </w:rPr>
      </w:pPr>
      <w:r>
        <w:rPr>
          <w:b/>
          <w:u w:val="single"/>
        </w:rPr>
        <w:t>Antivirus</w:t>
      </w:r>
    </w:p>
    <w:p xmlns:wp14="http://schemas.microsoft.com/office/word/2010/wordml" w:rsidR="00944D7C" w:rsidRDefault="00B94458" w14:paraId="5B468E64" wp14:textId="77777777">
      <w:pPr>
        <w:pStyle w:val="Standard"/>
      </w:pPr>
      <w:r>
        <w:t>Le candidat ou le soumissionnaire doit s'assurer que les fichiers transmis ne comportent pas de virus.</w:t>
      </w:r>
    </w:p>
    <w:p xmlns:wp14="http://schemas.microsoft.com/office/word/2010/wordml" w:rsidR="00944D7C" w:rsidRDefault="00B94458" w14:paraId="2F03FA40" wp14:textId="77777777">
      <w:pPr>
        <w:pStyle w:val="Standard"/>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xmlns:wp14="http://schemas.microsoft.com/office/word/2010/wordml" w:rsidR="00944D7C" w:rsidRDefault="00944D7C" w14:paraId="6537F28F" wp14:textId="77777777">
      <w:pPr>
        <w:pStyle w:val="Standard"/>
      </w:pPr>
    </w:p>
    <w:p xmlns:wp14="http://schemas.microsoft.com/office/word/2010/wordml" w:rsidR="00944D7C" w:rsidRDefault="00B94458" w14:paraId="2FBB14A1" wp14:textId="77777777">
      <w:pPr>
        <w:pStyle w:val="Titre1"/>
      </w:pPr>
      <w:bookmarkStart w:name="__RefHeading__48170_1575219009" w:id="32"/>
      <w:r>
        <w:t>ATTRIBUTION DU MARCHE</w:t>
      </w:r>
      <w:bookmarkEnd w:id="32"/>
    </w:p>
    <w:p xmlns:wp14="http://schemas.microsoft.com/office/word/2010/wordml" w:rsidR="00944D7C" w:rsidRDefault="00B94458" w14:paraId="63ADAE98" wp14:textId="77777777">
      <w:pPr>
        <w:pStyle w:val="Standard"/>
      </w:pPr>
      <w:r>
        <w:t>Le marché est attribué au soumissionnaire dont l'offre est économiquement la plus avantageuse, au regard des critères d'attribution énoncés dans le présent règlement de la consultation.</w:t>
      </w:r>
    </w:p>
    <w:p xmlns:wp14="http://schemas.microsoft.com/office/word/2010/wordml" w:rsidR="00944D7C" w:rsidRDefault="00B94458" w14:paraId="05B8A45C" wp14:textId="77777777">
      <w:pPr>
        <w:pStyle w:val="Standard"/>
      </w:pPr>
      <w:r>
        <w:t>Les soumissionnaires évincés sont informés du rejet de leur offre dans les conditions fixées aux articles à l'article R.2181-1 et suivants du code de la commande publique.</w:t>
      </w:r>
    </w:p>
    <w:p xmlns:wp14="http://schemas.microsoft.com/office/word/2010/wordml" w:rsidR="00944D7C" w:rsidRDefault="00B94458" w14:paraId="6DC7C815" wp14:textId="77777777">
      <w:pPr>
        <w:pStyle w:val="Titre2"/>
      </w:pPr>
      <w:bookmarkStart w:name="__RefHeading__48172_1575219009" w:id="33"/>
      <w:r>
        <w:t>Vérification des motifs d'exclusion : transmission des moyens de preuve</w:t>
      </w:r>
      <w:bookmarkEnd w:id="33"/>
    </w:p>
    <w:p xmlns:wp14="http://schemas.microsoft.com/office/word/2010/wordml" w:rsidR="00944D7C" w:rsidRDefault="00B94458" w14:paraId="015B0E66" wp14:textId="77777777">
      <w:pPr>
        <w:pStyle w:val="Standard"/>
      </w:pPr>
      <w:r>
        <w:t>Le soumissionnaire auquel il est envisagé d'attribuer le marché public n'est pas tenu de fournir les moyens de preuves que l'acheteur peut obtenir :</w:t>
      </w:r>
    </w:p>
    <w:p xmlns:wp14="http://schemas.microsoft.com/office/word/2010/wordml" w:rsidR="00944D7C" w:rsidRDefault="00B94458" w14:paraId="5E1D17DB" wp14:textId="77777777">
      <w:pPr>
        <w:pStyle w:val="Standard"/>
      </w:pPr>
      <w:r>
        <w:t>- directement par le biais d'un système électronique de mise à disposition d'informations administré par un organisme officiel</w:t>
      </w:r>
    </w:p>
    <w:p xmlns:wp14="http://schemas.microsoft.com/office/word/2010/wordml" w:rsidR="00944D7C" w:rsidRDefault="00B94458" w14:paraId="2794442E" wp14:textId="77777777">
      <w:pPr>
        <w:pStyle w:val="Standard"/>
      </w:pPr>
      <w:r>
        <w:t>- d'un espace de stockage numérique, à condition que figurent dans son dossier de candidature toutes les informations nécessaires à la consultation de ce système ou de cet espace et que l'accès soit gratuit.</w:t>
      </w:r>
    </w:p>
    <w:p xmlns:wp14="http://schemas.microsoft.com/office/word/2010/wordml" w:rsidR="00944D7C" w:rsidRDefault="00B94458" w14:paraId="45F92872" wp14:textId="77777777">
      <w:pPr>
        <w:pStyle w:val="Standard"/>
      </w:pPr>
      <w:r>
        <w:t>Le soumissionnaire n'est pas tenu de fournir les moyens de preuves déjà transmis à l'acheteur dans le cadre d'une précédente consultation et qui demeurent valables. Dans ce cas, il indique les moyens de preuves concernés ainsi que la référence de la ou des consultation(s) pour la ou lesquelles ces moyens de preuve ont déjà été transmis.  En cas d'impossibilité de se procurer les moyens de preuve directement auprès des administrations ou organismes, l'acheteur en demande communication au soumissionnaire</w:t>
      </w:r>
    </w:p>
    <w:p xmlns:wp14="http://schemas.microsoft.com/office/word/2010/wordml" w:rsidR="00944D7C" w:rsidRDefault="00B94458" w14:paraId="2F0097C4" wp14:textId="77777777">
      <w:pPr>
        <w:pStyle w:val="Standard"/>
      </w:pPr>
      <w:r>
        <w:t>Le soumissionnaire auquel il est envisagé d'attribuer le marché public fournit dans le délai fixé dans le courrier l'informant que son offre est susceptible d'être retenue, les documents suivants :</w:t>
      </w:r>
    </w:p>
    <w:p xmlns:wp14="http://schemas.microsoft.com/office/word/2010/wordml" w:rsidR="00944D7C" w:rsidRDefault="00B94458" w14:paraId="06F390AA" wp14:textId="77777777">
      <w:pPr>
        <w:pStyle w:val="Standard"/>
      </w:pPr>
      <w:r>
        <w:t>L'acte d'engagement (ATTRI1), à compléter et à signer, le cas échéant par tous les membres du groupement d'opérateurs économiques ;</w:t>
      </w:r>
    </w:p>
    <w:p xmlns:wp14="http://schemas.microsoft.com/office/word/2010/wordml" w:rsidR="00944D7C" w:rsidRDefault="00B94458" w14:paraId="0CE407EC" wp14:textId="77777777">
      <w:pPr>
        <w:pStyle w:val="Standard"/>
      </w:pPr>
      <w:r>
        <w:t>Le cas échéant, dans le cas où les membres du groupement d'opérateurs économiques ne signent pas tous l'acte d'engagement, le document d'habilitation signé par tous les membres du groupement ;</w:t>
      </w:r>
    </w:p>
    <w:p xmlns:wp14="http://schemas.microsoft.com/office/word/2010/wordml" w:rsidR="00944D7C" w:rsidRDefault="00B94458" w14:paraId="1F5116A8" wp14:textId="77777777">
      <w:pPr>
        <w:pStyle w:val="Standard"/>
      </w:pPr>
      <w:r>
        <w:t>Le pouvoir du ou des signataires d'engager la personne qu'il représente (titulaire individuel ou groupement d'opérateurs économiques ;</w:t>
      </w:r>
    </w:p>
    <w:p xmlns:wp14="http://schemas.microsoft.com/office/word/2010/wordml" w:rsidR="00944D7C" w:rsidRDefault="00B94458" w14:paraId="1314542F" wp14:textId="77777777">
      <w:pPr>
        <w:pStyle w:val="Standard"/>
      </w:pPr>
      <w:r>
        <w:t>Le cas échéant, en cas de sous-traitance, la déclaration de sous-traitance (DC4 ou équivalent) signée par le sous-traitant et le soumissionnaire, les renseignements relatifs aux capacités du sous-traitant lorsque le soumissionnaire s'appuie sur celles-ci ;</w:t>
      </w:r>
    </w:p>
    <w:p xmlns:wp14="http://schemas.microsoft.com/office/word/2010/wordml" w:rsidR="00944D7C" w:rsidRDefault="00B94458" w14:paraId="60FEEA56" wp14:textId="77777777">
      <w:pPr>
        <w:pStyle w:val="Standard"/>
      </w:pPr>
      <w:r>
        <w:t>Le ou les relevé(s) d'identité bancaire ou équivalent ;</w:t>
      </w:r>
    </w:p>
    <w:p xmlns:wp14="http://schemas.microsoft.com/office/word/2010/wordml" w:rsidR="00944D7C" w:rsidRDefault="00B94458" w14:paraId="765902FD" wp14:textId="77777777">
      <w:pPr>
        <w:pStyle w:val="Standard"/>
      </w:pPr>
      <w:r>
        <w:t>En cas de redressement judiciaire, ou une procédure équivalente régie par un droit étranger, la copie du ou des jugements prononcés ;</w:t>
      </w:r>
    </w:p>
    <w:p xmlns:wp14="http://schemas.microsoft.com/office/word/2010/wordml" w:rsidR="00944D7C" w:rsidRDefault="00B94458" w14:paraId="1F86CB1E" wp14:textId="77777777">
      <w:pPr>
        <w:pStyle w:val="Standard"/>
      </w:pPr>
      <w:r>
        <w:t>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travail ;</w:t>
      </w:r>
    </w:p>
    <w:p xmlns:wp14="http://schemas.microsoft.com/office/word/2010/wordml" w:rsidR="00944D7C" w:rsidRDefault="00B94458" w14:paraId="5DBF8ED6" wp14:textId="77777777">
      <w:pPr>
        <w:pStyle w:val="Standard"/>
      </w:pPr>
      <w:r>
        <w:rPr>
          <w:b/>
        </w:rPr>
        <w:t>Lorsque le soumissionnaire est établi en France</w:t>
      </w:r>
      <w:r>
        <w:t xml:space="preserve"> : Un extrait du registre pertinent au sens du IV de l'article R.2143-9 du code de la commande publique, tel qu'un extrait K, un extrait K bis, un extrait D1 ;</w:t>
      </w:r>
    </w:p>
    <w:p xmlns:wp14="http://schemas.microsoft.com/office/word/2010/wordml" w:rsidR="00944D7C" w:rsidRDefault="00B94458" w14:paraId="13A9BC83" wp14:textId="77777777">
      <w:pPr>
        <w:pStyle w:val="Standard"/>
      </w:pPr>
      <w:r>
        <w:rPr>
          <w:b/>
        </w:rPr>
        <w:t>Lorsque le soumissionnaire est établi en France :</w:t>
      </w:r>
      <w:r>
        <w:t xml:space="preserve"> Pour les entreprises en cours d'inscription - un récépissé de dépôt de déclaration auprès d'un centre de formalités des entreprises (CFE) ;</w:t>
      </w:r>
    </w:p>
    <w:p xmlns:wp14="http://schemas.microsoft.com/office/word/2010/wordml" w:rsidR="00944D7C" w:rsidRDefault="00B94458" w14:paraId="2C6FF621" wp14:textId="77777777">
      <w:pPr>
        <w:pStyle w:val="Standard"/>
      </w:pPr>
      <w:r>
        <w:t>Le cas échéant, dans le cas où elles ne sont pas disponibles sur PLACE, le(s) certificat(s) délivré(s) par les administrations et organismes compétents suivant(s) :</w:t>
      </w:r>
    </w:p>
    <w:p xmlns:wp14="http://schemas.microsoft.com/office/word/2010/wordml" w:rsidR="00944D7C" w:rsidRDefault="00B94458" w14:paraId="07C67731" wp14:textId="77777777">
      <w:pPr>
        <w:pStyle w:val="Standard"/>
      </w:pPr>
      <w:r>
        <w:t>• certificat de conformité aux obligations fiscales (au titre de l'impôt sur le revenu, de l'impôt sur les sociétés et/ou de la taxe sur la valeur ajoutée (TVA)</w:t>
      </w:r>
    </w:p>
    <w:p xmlns:wp14="http://schemas.microsoft.com/office/word/2010/wordml" w:rsidR="00944D7C" w:rsidRDefault="00B94458" w14:paraId="0736A41C" wp14:textId="77777777">
      <w:pPr>
        <w:pStyle w:val="Standard"/>
      </w:pPr>
      <w:r>
        <w:t>• certificat de l'article L. 243-15 du code de la sécurité sociale, connu sous le nom d'attestation de vigilance</w:t>
      </w:r>
    </w:p>
    <w:p xmlns:wp14="http://schemas.microsoft.com/office/word/2010/wordml" w:rsidR="00944D7C" w:rsidRDefault="00B94458" w14:paraId="761F9E04" wp14:textId="77777777">
      <w:pPr>
        <w:pStyle w:val="Standard"/>
      </w:pPr>
      <w:r>
        <w:t>• pour tout employeur occupant au moins vingt salariés, le certificat délivré par l'association de gestion du fonds de développement pour l'insertion professionnelle des personnes handicapées (AGEFIPH), concernant le respect des dispositions des articles L. 5212-1 à L. 5212-11 du code du travail relatives à l'emploi des travailleurs handicapés</w:t>
      </w:r>
    </w:p>
    <w:p xmlns:wp14="http://schemas.microsoft.com/office/word/2010/wordml" w:rsidR="00944D7C" w:rsidRDefault="00B94458" w14:paraId="47E39427" wp14:textId="77777777">
      <w:pPr>
        <w:pStyle w:val="Standard"/>
      </w:pPr>
      <w:r>
        <w:t xml:space="preserve"> </w:t>
      </w:r>
      <w:r>
        <w:rPr>
          <w:b/>
        </w:rPr>
        <w:t>Lorsque le soumissionnaire est établi hors de France</w:t>
      </w:r>
      <w:r>
        <w:t xml:space="preserve"> : un document mentionnant son numéro individuel d'identification, attribué en application de l'article 286 ter du code général des impôts. Si le soumissionnaire n'est pas établi dans un pays de l'Union européenne, un document mentionnant l'identité et l'adresse du candidat ou les coordonnées de son représentant fiscal ponctuel en France ;</w:t>
      </w:r>
    </w:p>
    <w:p xmlns:wp14="http://schemas.microsoft.com/office/word/2010/wordml" w:rsidR="00944D7C" w:rsidRDefault="00B94458" w14:paraId="34E3B692" wp14:textId="77777777">
      <w:pPr>
        <w:pStyle w:val="Standard"/>
      </w:pPr>
      <w:r>
        <w:rPr>
          <w:b/>
        </w:rPr>
        <w:t>Lorsque le soumissionnaire est établi hors de France</w:t>
      </w:r>
      <w:r>
        <w:t xml:space="preserve"> :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xmlns:wp14="http://schemas.microsoft.com/office/word/2010/wordml" w:rsidR="00944D7C" w:rsidRDefault="00B94458" w14:paraId="41110DF1" wp14:textId="77777777">
      <w:pPr>
        <w:pStyle w:val="Standard"/>
      </w:pPr>
      <w:r>
        <w:rPr>
          <w:b/>
        </w:rPr>
        <w:t>Lorsque le soumissionnaire est établi hors de France</w:t>
      </w:r>
      <w:r>
        <w:t xml:space="preserve"> : un extrait du registre pertinent au sens de l'article R.2143-9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registre ;</w:t>
      </w:r>
    </w:p>
    <w:p xmlns:wp14="http://schemas.microsoft.com/office/word/2010/wordml" w:rsidR="00944D7C" w:rsidRDefault="00B94458" w14:paraId="56EE3F0A" wp14:textId="77777777">
      <w:pPr>
        <w:pStyle w:val="Standard"/>
      </w:pPr>
      <w:r>
        <w:rPr>
          <w:b/>
        </w:rPr>
        <w:t>Lorsque le soumissionnaire est établi hors de France</w:t>
      </w:r>
      <w:r>
        <w:t xml:space="preserve"> : Le cas échéant, en cas de recours à des travailleurs détachés, dans les conditions définies à l'article L.1262-1 du code du travail :</w:t>
      </w:r>
    </w:p>
    <w:p xmlns:wp14="http://schemas.microsoft.com/office/word/2010/wordml" w:rsidR="00944D7C" w:rsidRDefault="00B94458" w14:paraId="441AA149" wp14:textId="77777777">
      <w:pPr>
        <w:pStyle w:val="Standard"/>
      </w:pPr>
      <w:r>
        <w:t>a) L'accusé de réception de la déclaration de détachement effectuée sur le téléservice " SIPSI " du ministère chargé du travail, conformément aux articles R. 1263-5 et R. 1263-7 du code du travail ;</w:t>
      </w:r>
    </w:p>
    <w:p xmlns:wp14="http://schemas.microsoft.com/office/word/2010/wordml" w:rsidR="00944D7C" w:rsidRDefault="00B94458" w14:paraId="00EB6163" wp14:textId="77777777">
      <w:pPr>
        <w:pStyle w:val="Standard"/>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xmlns:wp14="http://schemas.microsoft.com/office/word/2010/wordml" w:rsidR="00944D7C" w:rsidRDefault="00B94458" w14:paraId="29F1AE0C" wp14:textId="77777777">
      <w:pPr>
        <w:pStyle w:val="Standard"/>
      </w:pPr>
      <w:r>
        <w:rPr>
          <w:b/>
        </w:rPr>
        <w:t>Lorsque le soumissionnaire est établi hors de France</w:t>
      </w:r>
      <w:r>
        <w:t xml:space="preserve"> :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xmlns:wp14="http://schemas.microsoft.com/office/word/2010/wordml" w:rsidR="00944D7C" w:rsidRDefault="00B94458" w14:paraId="286B4D55" wp14:textId="77777777">
      <w:pPr>
        <w:pStyle w:val="Titre2"/>
      </w:pPr>
      <w:bookmarkStart w:name="__RefHeading__48174_1575219009" w:id="34"/>
      <w:r>
        <w:t>Mise au point</w:t>
      </w:r>
      <w:bookmarkEnd w:id="34"/>
    </w:p>
    <w:p xmlns:wp14="http://schemas.microsoft.com/office/word/2010/wordml" w:rsidR="00944D7C" w:rsidRDefault="00B94458" w14:paraId="66C23B1B" wp14:textId="77777777">
      <w:pPr>
        <w:pStyle w:val="Standard"/>
      </w:pPr>
      <w:r>
        <w:t>L'acheteur et le soumissionnaire retenu peuvent procéder à une mise au point des composantes du marché rédaction. Cette mise au point ne peut avoir pour objet de modifier des éléments substantiels de l'offre ou du présent marché rédaction.</w:t>
      </w:r>
    </w:p>
    <w:p xmlns:wp14="http://schemas.microsoft.com/office/word/2010/wordml" w:rsidR="00944D7C" w:rsidRDefault="00B94458" w14:paraId="63EEBFBE" wp14:textId="77777777">
      <w:pPr>
        <w:pStyle w:val="Titre2"/>
      </w:pPr>
      <w:bookmarkStart w:name="__RefHeading__48176_1575219009" w:id="35"/>
      <w:r>
        <w:t>Signature du marché</w:t>
      </w:r>
      <w:bookmarkEnd w:id="35"/>
    </w:p>
    <w:p xmlns:wp14="http://schemas.microsoft.com/office/word/2010/wordml" w:rsidR="00944D7C" w:rsidRDefault="00B94458" w14:paraId="243BDF34" wp14:textId="77777777">
      <w:pPr>
        <w:pStyle w:val="Standard"/>
      </w:pPr>
      <w:r>
        <w:t>Le marché est signé par le soumissionnaire retenu au moyen de l'acte d'engagement (formulaire ATTRI1) qui lui est adressé par l'acheteur.</w:t>
      </w:r>
    </w:p>
    <w:p xmlns:wp14="http://schemas.microsoft.com/office/word/2010/wordml" w:rsidR="00944D7C" w:rsidRDefault="00B94458" w14:paraId="4AE63091" wp14:textId="77777777">
      <w:pPr>
        <w:pStyle w:val="Standard"/>
      </w:pPr>
      <w:r>
        <w:t>La signature électronique doit respecter les exigences prévues à l'article "MODALITES DE SIGNATURE ELECTRONIQUE"</w:t>
      </w:r>
    </w:p>
    <w:p xmlns:wp14="http://schemas.microsoft.com/office/word/2010/wordml" w:rsidR="00944D7C" w:rsidRDefault="00B94458" w14:paraId="1F31196F" wp14:textId="77777777">
      <w:pPr>
        <w:pStyle w:val="Titre1"/>
      </w:pPr>
      <w:bookmarkStart w:name="__RefHeading__48178_1575219009" w:id="36"/>
      <w:r>
        <w:t>LANGUE</w:t>
      </w:r>
      <w:bookmarkEnd w:id="36"/>
    </w:p>
    <w:p xmlns:wp14="http://schemas.microsoft.com/office/word/2010/wordml" w:rsidR="00944D7C" w:rsidRDefault="00B94458" w14:paraId="7CE874E4" wp14:textId="77777777">
      <w:pPr>
        <w:pStyle w:val="Standard"/>
      </w:pPr>
      <w:r>
        <w:t>Les documents et informations doivent être rédigés en langue française ou, à défaut, être accompagnées d'une traduction en français.</w:t>
      </w:r>
    </w:p>
    <w:p xmlns:wp14="http://schemas.microsoft.com/office/word/2010/wordml" w:rsidR="00944D7C" w:rsidRDefault="00B94458" w14:paraId="2BEDEA93" wp14:textId="77777777">
      <w:pPr>
        <w:pStyle w:val="Standard"/>
      </w:pPr>
      <w:r>
        <w:t>En cas de candidature sous forme de DUME, ce dernier doit être rédigé en français.</w:t>
      </w:r>
    </w:p>
    <w:p xmlns:wp14="http://schemas.microsoft.com/office/word/2010/wordml" w:rsidR="00944D7C" w:rsidRDefault="00B94458" w14:paraId="49577D0E" wp14:textId="77777777">
      <w:pPr>
        <w:pStyle w:val="Titre1"/>
      </w:pPr>
      <w:bookmarkStart w:name="__RefHeading__48180_1575219009" w:id="37"/>
      <w:r>
        <w:t>CONTENTIEUX</w:t>
      </w:r>
      <w:bookmarkEnd w:id="37"/>
    </w:p>
    <w:p xmlns:wp14="http://schemas.microsoft.com/office/word/2010/wordml" w:rsidR="00944D7C" w:rsidRDefault="00B94458" w14:paraId="2A90E102" wp14:textId="77777777">
      <w:pPr>
        <w:pStyle w:val="Standard"/>
      </w:pPr>
      <w:r>
        <w:t>Le tribunal compétent est le tribunal administratif de : BORDEAUX.</w:t>
      </w:r>
    </w:p>
    <w:p xmlns:wp14="http://schemas.microsoft.com/office/word/2010/wordml" w:rsidR="00944D7C" w:rsidRDefault="00B94458" w14:paraId="0393A096" wp14:textId="77777777">
      <w:pPr>
        <w:pStyle w:val="Titre1"/>
      </w:pPr>
      <w:bookmarkStart w:name="__RefHeading__48182_1575219009" w:id="38"/>
      <w:r>
        <w:t>MODALITES DE SIGNATURE ELECTRONIQUE</w:t>
      </w:r>
      <w:bookmarkEnd w:id="38"/>
    </w:p>
    <w:p xmlns:wp14="http://schemas.microsoft.com/office/word/2010/wordml" w:rsidR="00944D7C" w:rsidRDefault="00B94458" w14:paraId="36E3519C" wp14:textId="77777777">
      <w:pPr>
        <w:pStyle w:val="Standard"/>
      </w:pPr>
      <w:r>
        <w:t>Chaque document à signer doit être signé individuellement.</w:t>
      </w:r>
    </w:p>
    <w:p xmlns:wp14="http://schemas.microsoft.com/office/word/2010/wordml" w:rsidR="00944D7C" w:rsidRDefault="00B94458" w14:paraId="7EEA9E70" wp14:textId="77777777">
      <w:pPr>
        <w:pStyle w:val="Standard"/>
      </w:pPr>
      <w:r>
        <w:t>Un dossier compressé signé ne vaut pas signature des documents qu'il contient. Quel que soit le format du dossier compressé, chaque document pour lequel une signature est requise doit être signé séparément.</w:t>
      </w:r>
    </w:p>
    <w:p xmlns:wp14="http://schemas.microsoft.com/office/word/2010/wordml" w:rsidR="00944D7C" w:rsidRDefault="00B94458" w14:paraId="702689F3" wp14:textId="77777777">
      <w:pPr>
        <w:pStyle w:val="Standard"/>
      </w:pPr>
      <w:r>
        <w:t>Des renseignements complémentaires au sujet de la signature électroniques peuvent être obtenus :</w:t>
      </w:r>
    </w:p>
    <w:p xmlns:wp14="http://schemas.microsoft.com/office/word/2010/wordml" w:rsidR="00944D7C" w:rsidRDefault="00B94458" w14:paraId="1DD65955" wp14:textId="77777777">
      <w:pPr>
        <w:pStyle w:val="Standard"/>
      </w:pPr>
      <w:r>
        <w:t>- dans PLACE (guide d'utilisation- utilisateur entreprise) ;</w:t>
      </w:r>
    </w:p>
    <w:p xmlns:wp14="http://schemas.microsoft.com/office/word/2010/wordml" w:rsidR="00944D7C" w:rsidRDefault="00B94458" w14:paraId="5FA603F8" wp14:textId="77777777">
      <w:pPr>
        <w:pStyle w:val="Standard"/>
      </w:pPr>
      <w:r>
        <w:t>- dans le guide « très pratique » sur la dématérialisation des marchés public (version opérateurs économiques) disponible sur le site internet de la Direction des Affaires juridiques des ministères économiques et financiers</w:t>
      </w:r>
    </w:p>
    <w:p xmlns:wp14="http://schemas.microsoft.com/office/word/2010/wordml" w:rsidR="00944D7C" w:rsidRDefault="00B94458" w14:paraId="5415D193" wp14:textId="77777777">
      <w:pPr>
        <w:pStyle w:val="Standard"/>
      </w:pPr>
      <w:r>
        <w:t>En application de l'arrêté du 22 mars 2019 relatif à la signature électronique des contrats de la commande publique, le signataire doit respecter les conditions relatives :</w:t>
      </w:r>
    </w:p>
    <w:p xmlns:wp14="http://schemas.microsoft.com/office/word/2010/wordml" w:rsidR="00944D7C" w:rsidRDefault="00B94458" w14:paraId="2A5666FC" wp14:textId="77777777">
      <w:pPr>
        <w:pStyle w:val="Standard"/>
      </w:pPr>
      <w:r>
        <w:t>1. au certificat de signature électronique ;</w:t>
      </w:r>
    </w:p>
    <w:p xmlns:wp14="http://schemas.microsoft.com/office/word/2010/wordml" w:rsidR="00944D7C" w:rsidRDefault="00B94458" w14:paraId="2128BCFF" wp14:textId="77777777">
      <w:pPr>
        <w:pStyle w:val="Standard"/>
      </w:pPr>
      <w:r>
        <w:t>2. à l'outil de signature électronique (appelé aussi « dispositif de création de signature électronique »)</w:t>
      </w:r>
    </w:p>
    <w:p xmlns:wp14="http://schemas.microsoft.com/office/word/2010/wordml" w:rsidR="00944D7C" w:rsidRDefault="00B94458" w14:paraId="3028666F" wp14:textId="77777777">
      <w:pPr>
        <w:pStyle w:val="Standard"/>
      </w:pPr>
      <w: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xmlns:wp14="http://schemas.microsoft.com/office/word/2010/wordml" w:rsidR="00944D7C" w:rsidRDefault="00B94458" w14:paraId="28A91E05" wp14:textId="77777777">
      <w:pPr>
        <w:pStyle w:val="Standard"/>
      </w:pPr>
      <w:r>
        <w:t>Sont autorisées :</w:t>
      </w:r>
    </w:p>
    <w:p xmlns:wp14="http://schemas.microsoft.com/office/word/2010/wordml" w:rsidR="00944D7C" w:rsidRDefault="00B94458" w14:paraId="1AA12180" wp14:textId="77777777">
      <w:pPr>
        <w:pStyle w:val="Standard"/>
      </w:pPr>
      <w:r>
        <w:t>- la signature électronique avancée avec certificat qualifié (niveau 3)</w:t>
      </w:r>
    </w:p>
    <w:p xmlns:wp14="http://schemas.microsoft.com/office/word/2010/wordml" w:rsidR="00944D7C" w:rsidRDefault="00B94458" w14:paraId="734DCB28" wp14:textId="77777777">
      <w:pPr>
        <w:pStyle w:val="Standard"/>
      </w:pPr>
      <w:r>
        <w:t>- la signature électronique qualifiée (niveau 4)</w:t>
      </w:r>
    </w:p>
    <w:p xmlns:wp14="http://schemas.microsoft.com/office/word/2010/wordml" w:rsidR="00944D7C" w:rsidRDefault="00B94458" w14:paraId="0461151D" wp14:textId="77777777">
      <w:pPr>
        <w:pStyle w:val="Standard"/>
      </w:pPr>
      <w:r>
        <w:rPr>
          <w:u w:val="single"/>
        </w:rPr>
        <w:t>1er cas : certificat qualifié délivré par un prestataire de service de confiance qualifié et répondant aux exigences du règlement européen eIDAS</w:t>
      </w:r>
      <w:r>
        <w:t>.</w:t>
      </w:r>
    </w:p>
    <w:p xmlns:wp14="http://schemas.microsoft.com/office/word/2010/wordml" w:rsidR="00944D7C" w:rsidRDefault="00B94458" w14:paraId="23AD7303" wp14:textId="77777777">
      <w:pPr>
        <w:pStyle w:val="Standard"/>
      </w:pPr>
      <w:r>
        <w:t>Un prestataire de service de confiance qualifié est un prestataire qui fournit un ou des services de confiance qualifiés et a obtenu le statut qualifié de l’organe chargé du contrôle (article 3.20 du règlement eIDAS). Des listes de prestataires de confiance sont disponibles :</w:t>
      </w:r>
    </w:p>
    <w:p xmlns:wp14="http://schemas.microsoft.com/office/word/2010/wordml" w:rsidR="00944D7C" w:rsidRDefault="00B94458" w14:paraId="327248EE" wp14:textId="77777777">
      <w:pPr>
        <w:pStyle w:val="Standard"/>
      </w:pPr>
      <w:r>
        <w:t>- sur le site de l'Agence nationale de la sécurité des systèmes d'information (ANSSI)</w:t>
      </w:r>
    </w:p>
    <w:p xmlns:wp14="http://schemas.microsoft.com/office/word/2010/wordml" w:rsidR="00944D7C" w:rsidRDefault="00B94458" w14:paraId="460F4302" wp14:textId="77777777">
      <w:pPr>
        <w:pStyle w:val="Standard"/>
      </w:pPr>
      <w:r>
        <w:t>- sur le site de la commission européenne : https://ec.europa.eu/digital-single-market/en/news/cef-esignature-trusted-list-browser-now-available)</w:t>
      </w:r>
    </w:p>
    <w:p xmlns:wp14="http://schemas.microsoft.com/office/word/2010/wordml" w:rsidR="00944D7C" w:rsidRDefault="00B94458" w14:paraId="777051EC" wp14:textId="77777777">
      <w:pPr>
        <w:pStyle w:val="Standard"/>
      </w:pPr>
      <w:r>
        <w:t>Lorsque le signataire utilise un certificat délivré par un prestataire de service de confiance qualifié répondant aux exigences du règlement européen eIDAS et l'outil de création de signature électronique proposé par le profil d'acheteur de l'acheteur, aucun justificatif n'est à fournir sur la procédure de vérification de la signature électronique.</w:t>
      </w:r>
    </w:p>
    <w:p xmlns:wp14="http://schemas.microsoft.com/office/word/2010/wordml" w:rsidR="00944D7C" w:rsidRDefault="00B94458" w14:paraId="2FB18E15" wp14:textId="77777777">
      <w:pPr>
        <w:pStyle w:val="Standard"/>
        <w:rPr>
          <w:u w:val="single"/>
        </w:rPr>
      </w:pPr>
      <w:r>
        <w:rPr>
          <w:u w:val="single"/>
        </w:rPr>
        <w:t>2ème cas : certificat délivré par une autorité de certification, française ou étrangère, qui répond aux exigences équivalentes du règlement européen eIDAS et notamment celles de son annexe I.</w:t>
      </w:r>
    </w:p>
    <w:p xmlns:wp14="http://schemas.microsoft.com/office/word/2010/wordml" w:rsidR="00944D7C" w:rsidRDefault="00B94458" w14:paraId="4F504F11" wp14:textId="77777777">
      <w:pPr>
        <w:pStyle w:val="Standard"/>
      </w:pPr>
      <w:r>
        <w:t>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w:t>
      </w:r>
    </w:p>
    <w:p xmlns:wp14="http://schemas.microsoft.com/office/word/2010/wordml" w:rsidR="00944D7C" w:rsidRDefault="00B94458" w14:paraId="26C3FB81" wp14:textId="77777777">
      <w:pPr>
        <w:pStyle w:val="Standard"/>
      </w:pPr>
      <w:r>
        <w:t>Les frais éventuels d'acquisition du certificat de signature sont à la charge des candidats.</w:t>
      </w:r>
    </w:p>
    <w:p xmlns:wp14="http://schemas.microsoft.com/office/word/2010/wordml" w:rsidR="00944D7C" w:rsidRDefault="00B94458" w14:paraId="3740984A" wp14:textId="77777777">
      <w:pPr>
        <w:pStyle w:val="Standard"/>
      </w:pPr>
      <w:r>
        <w:t>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w:t>
      </w:r>
    </w:p>
    <w:p xmlns:wp14="http://schemas.microsoft.com/office/word/2010/wordml" w:rsidR="00944D7C" w:rsidRDefault="00B94458" w14:paraId="63B57078" wp14:textId="77777777">
      <w:pPr>
        <w:pStyle w:val="Standard"/>
      </w:pPr>
      <w:r>
        <w:t>Exigences relatives à l'outil de signature.</w:t>
      </w:r>
    </w:p>
    <w:p xmlns:wp14="http://schemas.microsoft.com/office/word/2010/wordml" w:rsidR="00944D7C" w:rsidRDefault="00B94458" w14:paraId="1C6C8A59" wp14:textId="77777777">
      <w:pPr>
        <w:pStyle w:val="Standard"/>
      </w:pPr>
      <w:r>
        <w:t>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w:t>
      </w:r>
    </w:p>
    <w:p xmlns:wp14="http://schemas.microsoft.com/office/word/2010/wordml" w:rsidR="00944D7C" w:rsidRDefault="00B94458" w14:paraId="2A597055" wp14:textId="77777777">
      <w:pPr>
        <w:pStyle w:val="Standard"/>
      </w:pPr>
      <w:r>
        <w:t>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w:t>
      </w:r>
    </w:p>
    <w:p xmlns:wp14="http://schemas.microsoft.com/office/word/2010/wordml" w:rsidR="00944D7C" w:rsidRDefault="00B94458" w14:paraId="37EB65E8" wp14:textId="77777777">
      <w:pPr>
        <w:pStyle w:val="Standard"/>
      </w:pPr>
      <w:r>
        <w:t>Quels que soient l'outil utilisé, celui-ci ne doit ni modifier le document signé ni porter atteinte à son intégrité.</w:t>
      </w:r>
    </w:p>
    <w:p xmlns:wp14="http://schemas.microsoft.com/office/word/2010/wordml" w:rsidR="00944D7C" w:rsidRDefault="00B94458" w14:paraId="2D7E33E2" wp14:textId="77777777">
      <w:pPr>
        <w:pStyle w:val="Standard"/>
      </w:pPr>
      <w:r>
        <w:t>Le signataire, titulaire du certificat de signature, doit avoir le pouvoir d'engager la société. Il peut s'agir soit du représentant légal de la société soit d'une personne qui dispose d'une délégation de signature.</w:t>
      </w:r>
    </w:p>
    <w:p xmlns:wp14="http://schemas.microsoft.com/office/word/2010/wordml" w:rsidR="00944D7C" w:rsidRDefault="00B94458" w14:paraId="74A60FB6" wp14:textId="77777777">
      <w:pPr>
        <w:pStyle w:val="Standard"/>
      </w:pPr>
      <w:r>
        <w:t>Dans la situation d'un groupement d'opérateurs économiques, soit tous les membres du groupement signent, soit le mandataire qui doit justifier des habilitations nécessaires pour représenter les autres membres du groupement.</w:t>
      </w:r>
    </w:p>
    <w:p xmlns:wp14="http://schemas.microsoft.com/office/word/2010/wordml" w:rsidR="00944D7C" w:rsidRDefault="00B94458" w14:paraId="4EAB6A99" wp14:textId="77777777">
      <w:pPr>
        <w:pStyle w:val="Titre1"/>
      </w:pPr>
      <w:bookmarkStart w:name="__RefHeading__48184_1575219009" w:id="39"/>
      <w:r>
        <w:t>ANNEXES</w:t>
      </w:r>
      <w:bookmarkEnd w:id="39"/>
    </w:p>
    <w:p xmlns:wp14="http://schemas.microsoft.com/office/word/2010/wordml" w:rsidR="00944D7C" w:rsidRDefault="00B94458" w14:paraId="6C68C04E" wp14:textId="77777777">
      <w:pPr>
        <w:pStyle w:val="Standard"/>
      </w:pPr>
      <w:r>
        <w:t xml:space="preserve"> Sans objet.</w:t>
      </w:r>
    </w:p>
    <w:p xmlns:wp14="http://schemas.microsoft.com/office/word/2010/wordml" w:rsidR="00944D7C" w:rsidRDefault="00944D7C" w14:paraId="6DFB9E20" wp14:textId="77777777">
      <w:pPr>
        <w:pStyle w:val="Textbody"/>
      </w:pPr>
    </w:p>
    <w:p xmlns:wp14="http://schemas.microsoft.com/office/word/2010/wordml" w:rsidR="00944D7C" w:rsidRDefault="00944D7C" w14:paraId="70DF9E56" wp14:textId="77777777">
      <w:pPr>
        <w:pStyle w:val="Textbody"/>
      </w:pPr>
    </w:p>
    <w:p xmlns:wp14="http://schemas.microsoft.com/office/word/2010/wordml" w:rsidR="00944D7C" w:rsidRDefault="00944D7C" w14:paraId="44E871BC" wp14:textId="77777777">
      <w:pPr>
        <w:pStyle w:val="Textbody"/>
      </w:pPr>
    </w:p>
    <w:p xmlns:wp14="http://schemas.microsoft.com/office/word/2010/wordml" w:rsidR="00944D7C" w:rsidRDefault="00944D7C" w14:paraId="144A5D23" wp14:textId="77777777">
      <w:pPr>
        <w:pStyle w:val="Textbody"/>
      </w:pPr>
    </w:p>
    <w:p xmlns:wp14="http://schemas.microsoft.com/office/word/2010/wordml" w:rsidR="00944D7C" w:rsidRDefault="00944D7C" w14:paraId="738610EB" wp14:textId="77777777">
      <w:pPr>
        <w:pStyle w:val="Textbody"/>
      </w:pPr>
    </w:p>
    <w:p xmlns:wp14="http://schemas.microsoft.com/office/word/2010/wordml" w:rsidR="00944D7C" w:rsidRDefault="00944D7C" w14:paraId="637805D2" wp14:textId="77777777">
      <w:pPr>
        <w:pStyle w:val="Textbody"/>
      </w:pPr>
    </w:p>
    <w:p xmlns:wp14="http://schemas.microsoft.com/office/word/2010/wordml" w:rsidR="00944D7C" w:rsidRDefault="00944D7C" w14:paraId="463F29E8" wp14:textId="77777777">
      <w:pPr>
        <w:pStyle w:val="Standard"/>
      </w:pPr>
    </w:p>
    <w:p xmlns:wp14="http://schemas.microsoft.com/office/word/2010/wordml" w:rsidR="00944D7C" w:rsidRDefault="00944D7C" w14:paraId="3B7B4B86" wp14:textId="77777777">
      <w:pPr>
        <w:pStyle w:val="Standard"/>
      </w:pPr>
    </w:p>
    <w:p xmlns:wp14="http://schemas.microsoft.com/office/word/2010/wordml" w:rsidR="00944D7C" w:rsidRDefault="00944D7C" w14:paraId="3A0FF5F2" wp14:textId="77777777">
      <w:pPr>
        <w:pStyle w:val="Standard"/>
      </w:pPr>
    </w:p>
    <w:p xmlns:wp14="http://schemas.microsoft.com/office/word/2010/wordml" w:rsidR="00944D7C" w:rsidRDefault="00944D7C" w14:paraId="5630AD66" wp14:textId="77777777">
      <w:pPr>
        <w:pStyle w:val="Standard"/>
      </w:pPr>
    </w:p>
    <w:p xmlns:wp14="http://schemas.microsoft.com/office/word/2010/wordml" w:rsidR="00944D7C" w:rsidRDefault="00944D7C" w14:paraId="61829076" wp14:textId="77777777">
      <w:pPr>
        <w:pStyle w:val="Standard"/>
      </w:pPr>
    </w:p>
    <w:sectPr w:rsidR="00944D7C">
      <w:headerReference w:type="default" r:id="rId53"/>
      <w:footerReference w:type="default" r:id="rId54"/>
      <w:pgSz w:w="11905" w:h="16837" w:orient="portrait"/>
      <w:pgMar w:top="1890" w:right="1134" w:bottom="1312" w:left="1134" w:header="31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B94458" w:rsidRDefault="00B94458" w14:paraId="66204FF1" wp14:textId="77777777">
      <w:r>
        <w:separator/>
      </w:r>
    </w:p>
  </w:endnote>
  <w:endnote w:type="continuationSeparator" w:id="0">
    <w:p xmlns:wp14="http://schemas.microsoft.com/office/word/2010/wordml" w:rsidR="00B94458" w:rsidRDefault="00B94458" w14:paraId="2DBF0D7D"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sans-serif">
    <w:altName w:val="Arial"/>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B94458" w:rsidRDefault="00B94458" w14:paraId="516DBE8C" wp14:textId="77777777">
    <w:pPr>
      <w:pStyle w:val="Pieddepage"/>
      <w:pBdr>
        <w:top w:val="single" w:color="000000" w:sz="2" w:space="3"/>
        <w:left w:val="single" w:color="000000" w:sz="2" w:space="3"/>
        <w:bottom w:val="single" w:color="000000" w:sz="2" w:space="3"/>
        <w:right w:val="single" w:color="000000" w:sz="2" w:space="3"/>
      </w:pBdr>
    </w:pPr>
    <w:r>
      <w:t>MAPA-2025-2028-DREETSNA-103-IBR</w:t>
    </w:r>
    <w:r>
      <w:tab/>
    </w:r>
    <w:r>
      <w:t xml:space="preserve">                                                                                                                        </w:t>
    </w:r>
    <w:r>
      <w:fldChar w:fldCharType="begin"/>
    </w:r>
    <w:r>
      <w:instrText xml:space="preserve"> PAGE </w:instrText>
    </w:r>
    <w:r>
      <w:fldChar w:fldCharType="separate"/>
    </w:r>
    <w:r>
      <w:t>37</w:t>
    </w:r>
    <w:r>
      <w:fldChar w:fldCharType="end"/>
    </w:r>
    <w:r>
      <w:t>/</w:t>
    </w:r>
    <w:r>
      <w:fldChar w:fldCharType="begin"/>
    </w:r>
    <w:r>
      <w:instrText> NUMPAGES </w:instrText>
    </w:r>
    <w:r>
      <w:fldChar w:fldCharType="separate"/>
    </w:r>
    <w:r>
      <w:t>37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B94458" w:rsidRDefault="00B94458" w14:paraId="2BA226A1" wp14:textId="77777777">
      <w:r>
        <w:rPr>
          <w:color w:val="000000"/>
        </w:rPr>
        <w:separator/>
      </w:r>
    </w:p>
  </w:footnote>
  <w:footnote w:type="continuationSeparator" w:id="0">
    <w:p xmlns:wp14="http://schemas.microsoft.com/office/word/2010/wordml" w:rsidR="00B94458" w:rsidRDefault="00B94458" w14:paraId="17AD93B2"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xmlns:wp14="http://schemas.microsoft.com/office/word/2010/wordml" w:rsidR="00B94458" w:rsidRDefault="00442529" w14:paraId="0DE4B5B7" wp14:textId="77777777">
    <w:pPr>
      <w:pStyle w:val="En-tte"/>
      <w:jc w:val="center"/>
    </w:pPr>
    <w:r w:rsidRPr="00500EE7">
      <w:rPr>
        <w:noProof/>
      </w:rPr>
      <w:drawing>
        <wp:inline xmlns:wp14="http://schemas.microsoft.com/office/word/2010/wordprocessingDrawing" distT="0" distB="0" distL="0" distR="0" wp14:anchorId="28B49876" wp14:editId="7777777">
          <wp:extent cx="1104900" cy="647700"/>
          <wp:effectExtent l="0" t="0" r="0" b="0"/>
          <wp:docPr id="1"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0">
    <w:nsid w:val="1dd826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25386D"/>
    <w:multiLevelType w:val="multilevel"/>
    <w:tmpl w:val="EB8AC4F6"/>
    <w:styleLink w:val="Numbering11"/>
    <w:lvl w:ilvl="0">
      <w:start w:val="1"/>
      <w:numFmt w:val="decimal"/>
      <w:lvlText w:val="%1."/>
      <w:lvlJc w:val="left"/>
      <w:pPr>
        <w:ind w:left="283" w:hanging="283"/>
      </w:pPr>
    </w:lvl>
    <w:lvl w:ilvl="1">
      <w:start w:val="1"/>
      <w:numFmt w:val="decimal"/>
      <w:lvlText w:val="."/>
      <w:lvlJc w:val="left"/>
      <w:pPr>
        <w:ind w:left="567" w:hanging="283"/>
      </w:pPr>
    </w:lvl>
    <w:lvl w:ilvl="2">
      <w:start w:val="1"/>
      <w:numFmt w:val="decimal"/>
      <w:lvlText w:val="."/>
      <w:lvlJc w:val="left"/>
      <w:pPr>
        <w:ind w:left="850" w:hanging="283"/>
      </w:pPr>
    </w:lvl>
    <w:lvl w:ilvl="3">
      <w:start w:val="1"/>
      <w:numFmt w:val="decimal"/>
      <w:lvlText w:val="."/>
      <w:lvlJc w:val="left"/>
      <w:pPr>
        <w:ind w:left="1134" w:hanging="283"/>
      </w:pPr>
    </w:lvl>
    <w:lvl w:ilvl="4">
      <w:start w:val="1"/>
      <w:numFmt w:val="decimal"/>
      <w:lvlText w:val="."/>
      <w:lvlJc w:val="left"/>
      <w:pPr>
        <w:ind w:left="1417" w:hanging="283"/>
      </w:pPr>
    </w:lvl>
    <w:lvl w:ilvl="5">
      <w:start w:val="1"/>
      <w:numFmt w:val="decimal"/>
      <w:lvlText w:val="."/>
      <w:lvlJc w:val="left"/>
      <w:pPr>
        <w:ind w:left="1701" w:hanging="283"/>
      </w:pPr>
    </w:lvl>
    <w:lvl w:ilvl="6">
      <w:start w:val="1"/>
      <w:numFmt w:val="decimal"/>
      <w:lvlText w:val="."/>
      <w:lvlJc w:val="left"/>
      <w:pPr>
        <w:ind w:left="1984" w:hanging="283"/>
      </w:pPr>
    </w:lvl>
    <w:lvl w:ilvl="7">
      <w:start w:val="1"/>
      <w:numFmt w:val="decimal"/>
      <w:lvlText w:val="."/>
      <w:lvlJc w:val="left"/>
      <w:pPr>
        <w:ind w:left="2268" w:hanging="283"/>
      </w:pPr>
    </w:lvl>
    <w:lvl w:ilvl="8">
      <w:start w:val="1"/>
      <w:numFmt w:val="decimal"/>
      <w:lvlText w:val="."/>
      <w:lvlJc w:val="left"/>
      <w:pPr>
        <w:ind w:left="2551" w:hanging="283"/>
      </w:pPr>
    </w:lvl>
  </w:abstractNum>
  <w:abstractNum w:abstractNumId="1" w15:restartNumberingAfterBreak="0">
    <w:nsid w:val="0BD9260E"/>
    <w:multiLevelType w:val="multilevel"/>
    <w:tmpl w:val="586CA3B6"/>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0EE1DF1"/>
    <w:multiLevelType w:val="multilevel"/>
    <w:tmpl w:val="A3B24E3C"/>
    <w:styleLink w:val="List1"/>
    <w:lvl w:ilvl="0">
      <w:numFmt w:val="bullet"/>
      <w:lvlText w:val=""/>
      <w:lvlJc w:val="left"/>
      <w:pPr>
        <w:ind w:left="283" w:hanging="283"/>
      </w:pPr>
      <w:rPr>
        <w:rFonts w:ascii="OpenSymbol" w:hAnsi="OpenSymbol" w:eastAsia="OpenSymbol" w:cs="OpenSymbol"/>
      </w:rPr>
    </w:lvl>
    <w:lvl w:ilvl="1">
      <w:numFmt w:val="bullet"/>
      <w:lvlText w:val="–"/>
      <w:lvlJc w:val="left"/>
      <w:pPr>
        <w:ind w:left="567" w:hanging="284"/>
      </w:pPr>
      <w:rPr>
        <w:rFonts w:ascii="OpenSymbol" w:hAnsi="OpenSymbol" w:eastAsia="OpenSymbol" w:cs="OpenSymbol"/>
      </w:rPr>
    </w:lvl>
    <w:lvl w:ilvl="2">
      <w:numFmt w:val="bullet"/>
      <w:lvlText w:val=""/>
      <w:lvlJc w:val="left"/>
      <w:pPr>
        <w:ind w:left="850" w:hanging="283"/>
      </w:pPr>
      <w:rPr>
        <w:rFonts w:ascii="OpenSymbol" w:hAnsi="OpenSymbol" w:eastAsia="OpenSymbol" w:cs="OpenSymbol"/>
      </w:rPr>
    </w:lvl>
    <w:lvl w:ilvl="3">
      <w:numFmt w:val="bullet"/>
      <w:lvlText w:val="▫"/>
      <w:lvlJc w:val="left"/>
      <w:pPr>
        <w:ind w:left="1134" w:hanging="284"/>
      </w:pPr>
      <w:rPr>
        <w:rFonts w:ascii="OpenSymbol" w:hAnsi="OpenSymbol" w:eastAsia="OpenSymbol" w:cs="OpenSymbol"/>
      </w:rPr>
    </w:lvl>
    <w:lvl w:ilvl="4">
      <w:numFmt w:val="bullet"/>
      <w:lvlText w:val="▪"/>
      <w:lvlJc w:val="left"/>
      <w:pPr>
        <w:ind w:left="1134" w:hanging="227"/>
      </w:pPr>
      <w:rPr>
        <w:rFonts w:ascii="OpenSymbol" w:hAnsi="OpenSymbol" w:eastAsia="OpenSymbol" w:cs="OpenSymbol"/>
      </w:rPr>
    </w:lvl>
    <w:lvl w:ilvl="5">
      <w:numFmt w:val="bullet"/>
      <w:lvlText w:val="▪"/>
      <w:lvlJc w:val="left"/>
      <w:pPr>
        <w:ind w:left="1361" w:hanging="227"/>
      </w:pPr>
      <w:rPr>
        <w:rFonts w:ascii="OpenSymbol" w:hAnsi="OpenSymbol" w:eastAsia="OpenSymbol" w:cs="OpenSymbol"/>
      </w:rPr>
    </w:lvl>
    <w:lvl w:ilvl="6">
      <w:numFmt w:val="bullet"/>
      <w:lvlText w:val="▪"/>
      <w:lvlJc w:val="left"/>
      <w:pPr>
        <w:ind w:left="1587" w:hanging="227"/>
      </w:pPr>
      <w:rPr>
        <w:rFonts w:ascii="OpenSymbol" w:hAnsi="OpenSymbol" w:eastAsia="OpenSymbol" w:cs="OpenSymbol"/>
      </w:rPr>
    </w:lvl>
    <w:lvl w:ilvl="7">
      <w:numFmt w:val="bullet"/>
      <w:lvlText w:val="▪"/>
      <w:lvlJc w:val="left"/>
      <w:pPr>
        <w:ind w:left="1814" w:hanging="227"/>
      </w:pPr>
      <w:rPr>
        <w:rFonts w:ascii="OpenSymbol" w:hAnsi="OpenSymbol" w:eastAsia="OpenSymbol" w:cs="OpenSymbol"/>
      </w:rPr>
    </w:lvl>
    <w:lvl w:ilvl="8">
      <w:numFmt w:val="bullet"/>
      <w:lvlText w:val="▪"/>
      <w:lvlJc w:val="left"/>
      <w:pPr>
        <w:ind w:left="2041" w:hanging="227"/>
      </w:pPr>
      <w:rPr>
        <w:rFonts w:ascii="OpenSymbol" w:hAnsi="OpenSymbol" w:eastAsia="OpenSymbol" w:cs="OpenSymbol"/>
      </w:rPr>
    </w:lvl>
  </w:abstractNum>
  <w:abstractNum w:abstractNumId="3" w15:restartNumberingAfterBreak="0">
    <w:nsid w:val="16F27190"/>
    <w:multiLevelType w:val="multilevel"/>
    <w:tmpl w:val="E87C8080"/>
    <w:styleLink w:val="WWOutlineListStyle5"/>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2D3F0084"/>
    <w:multiLevelType w:val="multilevel"/>
    <w:tmpl w:val="D2FC93BC"/>
    <w:styleLink w:val="WWOutlineListStyle2"/>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D612D03"/>
    <w:multiLevelType w:val="multilevel"/>
    <w:tmpl w:val="20C466F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6" w15:restartNumberingAfterBreak="0">
    <w:nsid w:val="36F45AD1"/>
    <w:multiLevelType w:val="multilevel"/>
    <w:tmpl w:val="B2B6A0CA"/>
    <w:styleLink w:val="Numbering2"/>
    <w:lvl w:ilvl="0">
      <w:start w:val="1"/>
      <w:numFmt w:val="decimal"/>
      <w:lvlText w:val="%1"/>
      <w:lvlJc w:val="left"/>
      <w:pPr>
        <w:ind w:left="283" w:hanging="283"/>
      </w:pPr>
    </w:lvl>
    <w:lvl w:ilvl="1">
      <w:start w:val="2"/>
      <w:numFmt w:val="decimal"/>
      <w:lvlText w:val=""/>
      <w:lvlJc w:val="left"/>
      <w:pPr>
        <w:ind w:left="566" w:hanging="283"/>
      </w:pPr>
    </w:lvl>
    <w:lvl w:ilvl="2">
      <w:start w:val="3"/>
      <w:numFmt w:val="decimal"/>
      <w:lvlText w:val=""/>
      <w:lvlJc w:val="left"/>
      <w:pPr>
        <w:ind w:left="1133" w:hanging="567"/>
      </w:pPr>
    </w:lvl>
    <w:lvl w:ilvl="3">
      <w:start w:val="4"/>
      <w:numFmt w:val="decimal"/>
      <w:lvlText w:val=""/>
      <w:lvlJc w:val="left"/>
      <w:pPr>
        <w:ind w:left="1842" w:hanging="709"/>
      </w:pPr>
    </w:lvl>
    <w:lvl w:ilvl="4">
      <w:start w:val="5"/>
      <w:numFmt w:val="decimal"/>
      <w:lvlText w:val=""/>
      <w:lvlJc w:val="left"/>
      <w:pPr>
        <w:ind w:left="2692" w:hanging="850"/>
      </w:pPr>
    </w:lvl>
    <w:lvl w:ilvl="5">
      <w:start w:val="6"/>
      <w:numFmt w:val="decimal"/>
      <w:lvlText w:val=""/>
      <w:lvlJc w:val="left"/>
      <w:pPr>
        <w:ind w:left="3713" w:hanging="1021"/>
      </w:pPr>
    </w:lvl>
    <w:lvl w:ilvl="6">
      <w:start w:val="7"/>
      <w:numFmt w:val="decimal"/>
      <w:lvlText w:val=""/>
      <w:lvlJc w:val="left"/>
      <w:pPr>
        <w:ind w:left="5017" w:hanging="1304"/>
      </w:pPr>
    </w:lvl>
    <w:lvl w:ilvl="7">
      <w:start w:val="8"/>
      <w:numFmt w:val="decimal"/>
      <w:lvlText w:val=""/>
      <w:lvlJc w:val="left"/>
      <w:pPr>
        <w:ind w:left="6491" w:hanging="1474"/>
      </w:pPr>
    </w:lvl>
    <w:lvl w:ilvl="8">
      <w:start w:val="9"/>
      <w:numFmt w:val="decimal"/>
      <w:lvlText w:val=""/>
      <w:lvlJc w:val="left"/>
      <w:pPr>
        <w:ind w:left="8079" w:hanging="1588"/>
      </w:pPr>
    </w:lvl>
  </w:abstractNum>
  <w:abstractNum w:abstractNumId="7" w15:restartNumberingAfterBreak="0">
    <w:nsid w:val="3B1A105C"/>
    <w:multiLevelType w:val="multilevel"/>
    <w:tmpl w:val="890651DE"/>
    <w:styleLink w:val="List5"/>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402D4EEC"/>
    <w:multiLevelType w:val="multilevel"/>
    <w:tmpl w:val="DBC82748"/>
    <w:styleLink w:val="Numbering4"/>
    <w:lvl w:ilvl="0">
      <w:start w:val="1"/>
      <w:numFmt w:val="upperRoman"/>
      <w:suff w:val="space"/>
      <w:lvlText w:val="%1."/>
      <w:lvlJc w:val="left"/>
      <w:pPr>
        <w:ind w:left="283" w:hanging="283"/>
      </w:pPr>
    </w:lvl>
    <w:lvl w:ilvl="1">
      <w:start w:val="2"/>
      <w:numFmt w:val="upperRoman"/>
      <w:suff w:val="space"/>
      <w:lvlText w:val="."/>
      <w:lvlJc w:val="left"/>
      <w:pPr>
        <w:ind w:left="567" w:hanging="283"/>
      </w:pPr>
    </w:lvl>
    <w:lvl w:ilvl="2">
      <w:start w:val="3"/>
      <w:numFmt w:val="upperRoman"/>
      <w:suff w:val="space"/>
      <w:lvlText w:val="."/>
      <w:lvlJc w:val="left"/>
      <w:pPr>
        <w:ind w:left="850" w:hanging="283"/>
      </w:pPr>
    </w:lvl>
    <w:lvl w:ilvl="3">
      <w:start w:val="4"/>
      <w:numFmt w:val="upperRoman"/>
      <w:suff w:val="space"/>
      <w:lvlText w:val="."/>
      <w:lvlJc w:val="left"/>
      <w:pPr>
        <w:ind w:left="1134" w:hanging="283"/>
      </w:pPr>
    </w:lvl>
    <w:lvl w:ilvl="4">
      <w:start w:val="5"/>
      <w:numFmt w:val="upperRoman"/>
      <w:suff w:val="space"/>
      <w:lvlText w:val="."/>
      <w:lvlJc w:val="left"/>
      <w:pPr>
        <w:ind w:left="1417" w:hanging="283"/>
      </w:pPr>
    </w:lvl>
    <w:lvl w:ilvl="5">
      <w:start w:val="6"/>
      <w:numFmt w:val="upperRoman"/>
      <w:suff w:val="space"/>
      <w:lvlText w:val="."/>
      <w:lvlJc w:val="left"/>
      <w:pPr>
        <w:ind w:left="1701" w:hanging="283"/>
      </w:pPr>
    </w:lvl>
    <w:lvl w:ilvl="6">
      <w:start w:val="7"/>
      <w:numFmt w:val="upperRoman"/>
      <w:suff w:val="space"/>
      <w:lvlText w:val="."/>
      <w:lvlJc w:val="left"/>
      <w:pPr>
        <w:ind w:left="1984" w:hanging="283"/>
      </w:pPr>
    </w:lvl>
    <w:lvl w:ilvl="7">
      <w:start w:val="8"/>
      <w:numFmt w:val="upperRoman"/>
      <w:suff w:val="space"/>
      <w:lvlText w:val="."/>
      <w:lvlJc w:val="left"/>
      <w:pPr>
        <w:ind w:left="2268" w:hanging="283"/>
      </w:pPr>
    </w:lvl>
    <w:lvl w:ilvl="8">
      <w:start w:val="9"/>
      <w:numFmt w:val="upperRoman"/>
      <w:suff w:val="space"/>
      <w:lvlText w:val="."/>
      <w:lvlJc w:val="left"/>
      <w:pPr>
        <w:ind w:left="2551" w:hanging="283"/>
      </w:pPr>
    </w:lvl>
  </w:abstractNum>
  <w:abstractNum w:abstractNumId="9" w15:restartNumberingAfterBreak="0">
    <w:nsid w:val="4AA71A80"/>
    <w:multiLevelType w:val="multilevel"/>
    <w:tmpl w:val="B9AA43A8"/>
    <w:styleLink w:val="List4"/>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0" w15:restartNumberingAfterBreak="0">
    <w:nsid w:val="4B4D093F"/>
    <w:multiLevelType w:val="multilevel"/>
    <w:tmpl w:val="C55E4AF4"/>
    <w:styleLink w:val="RTFNum2"/>
    <w:lvl w:ilvl="0">
      <w:numFmt w:val="bullet"/>
      <w:lvlText w:val=""/>
      <w:lvlJc w:val="left"/>
      <w:pPr>
        <w:ind w:left="360" w:hanging="360"/>
      </w:pPr>
      <w:rPr>
        <w:rFonts w:ascii="Wingdings" w:hAnsi="Wingdings" w:eastAsia="Wingdings" w:cs="Wingdings"/>
      </w:rPr>
    </w:lvl>
    <w:lvl w:ilvl="1">
      <w:numFmt w:val="bullet"/>
      <w:lvlText w:val=""/>
      <w:lvlJc w:val="left"/>
      <w:pPr>
        <w:ind w:left="720" w:hanging="360"/>
      </w:pPr>
      <w:rPr>
        <w:rFonts w:ascii="Wingdings" w:hAnsi="Wingdings" w:eastAsia="Wingdings" w:cs="Wingdings"/>
      </w:rPr>
    </w:lvl>
    <w:lvl w:ilvl="2">
      <w:numFmt w:val="bullet"/>
      <w:lvlText w:val=""/>
      <w:lvlJc w:val="left"/>
      <w:pPr>
        <w:ind w:left="1080" w:hanging="360"/>
      </w:pPr>
      <w:rPr>
        <w:rFonts w:ascii="Wingdings" w:hAnsi="Wingdings" w:eastAsia="Wingdings" w:cs="Wingdings"/>
      </w:rPr>
    </w:lvl>
    <w:lvl w:ilvl="3">
      <w:numFmt w:val="bullet"/>
      <w:lvlText w:val=""/>
      <w:lvlJc w:val="left"/>
      <w:pPr>
        <w:ind w:left="1440" w:hanging="360"/>
      </w:pPr>
      <w:rPr>
        <w:rFonts w:ascii="Wingdings" w:hAnsi="Wingdings" w:eastAsia="Wingdings" w:cs="Wingdings"/>
      </w:rPr>
    </w:lvl>
    <w:lvl w:ilvl="4">
      <w:numFmt w:val="bullet"/>
      <w:lvlText w:val=""/>
      <w:lvlJc w:val="left"/>
      <w:pPr>
        <w:ind w:left="1800" w:hanging="360"/>
      </w:pPr>
      <w:rPr>
        <w:rFonts w:ascii="Wingdings" w:hAnsi="Wingdings" w:eastAsia="Wingdings" w:cs="Wingdings"/>
      </w:rPr>
    </w:lvl>
    <w:lvl w:ilvl="5">
      <w:numFmt w:val="bullet"/>
      <w:lvlText w:val=""/>
      <w:lvlJc w:val="left"/>
      <w:pPr>
        <w:ind w:left="2160" w:hanging="360"/>
      </w:pPr>
      <w:rPr>
        <w:rFonts w:ascii="Wingdings" w:hAnsi="Wingdings" w:eastAsia="Wingdings" w:cs="Wingdings"/>
      </w:rPr>
    </w:lvl>
    <w:lvl w:ilvl="6">
      <w:numFmt w:val="bullet"/>
      <w:lvlText w:val=""/>
      <w:lvlJc w:val="left"/>
      <w:pPr>
        <w:ind w:left="2520" w:hanging="360"/>
      </w:pPr>
      <w:rPr>
        <w:rFonts w:ascii="Wingdings" w:hAnsi="Wingdings" w:eastAsia="Wingdings" w:cs="Wingdings"/>
      </w:rPr>
    </w:lvl>
    <w:lvl w:ilvl="7">
      <w:numFmt w:val="bullet"/>
      <w:lvlText w:val=""/>
      <w:lvlJc w:val="left"/>
      <w:pPr>
        <w:ind w:left="2880" w:hanging="360"/>
      </w:pPr>
      <w:rPr>
        <w:rFonts w:ascii="Wingdings" w:hAnsi="Wingdings" w:eastAsia="Wingdings" w:cs="Wingdings"/>
      </w:rPr>
    </w:lvl>
    <w:lvl w:ilvl="8">
      <w:numFmt w:val="bullet"/>
      <w:lvlText w:val=""/>
      <w:lvlJc w:val="left"/>
      <w:pPr>
        <w:ind w:left="3240" w:hanging="360"/>
      </w:pPr>
      <w:rPr>
        <w:rFonts w:ascii="Wingdings" w:hAnsi="Wingdings" w:eastAsia="Wingdings" w:cs="Wingdings"/>
      </w:rPr>
    </w:lvl>
  </w:abstractNum>
  <w:abstractNum w:abstractNumId="11" w15:restartNumberingAfterBreak="0">
    <w:nsid w:val="554D2809"/>
    <w:multiLevelType w:val="multilevel"/>
    <w:tmpl w:val="4B1CC54C"/>
    <w:styleLink w:val="List3"/>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2" w15:restartNumberingAfterBreak="0">
    <w:nsid w:val="5E5C4148"/>
    <w:multiLevelType w:val="multilevel"/>
    <w:tmpl w:val="6A12D4F0"/>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5890DBD"/>
    <w:multiLevelType w:val="multilevel"/>
    <w:tmpl w:val="6038BC38"/>
    <w:styleLink w:val="WWOutlineListStyl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72A7A0C"/>
    <w:multiLevelType w:val="multilevel"/>
    <w:tmpl w:val="E794B4FA"/>
    <w:styleLink w:val="RTFNum4"/>
    <w:lvl w:ilvl="0">
      <w:numFmt w:val="bullet"/>
      <w:lvlText w:val=""/>
      <w:lvlJc w:val="left"/>
      <w:pPr>
        <w:ind w:left="720" w:hanging="360"/>
      </w:pPr>
      <w:rPr>
        <w:rFonts w:ascii="Wingdings" w:hAnsi="Wingdings" w:eastAsia="Wingdings" w:cs="Wingdings"/>
        <w:sz w:val="20"/>
        <w:szCs w:val="20"/>
      </w:rPr>
    </w:lvl>
    <w:lvl w:ilvl="1">
      <w:numFmt w:val="bullet"/>
      <w:lvlText w:val="o"/>
      <w:lvlJc w:val="left"/>
      <w:pPr>
        <w:ind w:left="1800" w:hanging="360"/>
      </w:pPr>
      <w:rPr>
        <w:rFonts w:ascii="Courier New" w:hAnsi="Courier New" w:eastAsia="Courier New" w:cs="Courier New"/>
      </w:rPr>
    </w:lvl>
    <w:lvl w:ilvl="2">
      <w:numFmt w:val="bullet"/>
      <w:lvlText w:val=""/>
      <w:lvlJc w:val="left"/>
      <w:pPr>
        <w:ind w:left="2520" w:hanging="360"/>
      </w:pPr>
      <w:rPr>
        <w:rFonts w:ascii="Wingdings" w:hAnsi="Wingdings" w:eastAsia="Wingdings" w:cs="Wingdings"/>
      </w:rPr>
    </w:lvl>
    <w:lvl w:ilvl="3">
      <w:numFmt w:val="bullet"/>
      <w:lvlText w:val=""/>
      <w:lvlJc w:val="left"/>
      <w:pPr>
        <w:ind w:left="3240" w:hanging="360"/>
      </w:pPr>
      <w:rPr>
        <w:rFonts w:ascii="Symbol" w:hAnsi="Symbol" w:eastAsia="Symbol" w:cs="Symbol"/>
      </w:rPr>
    </w:lvl>
    <w:lvl w:ilvl="4">
      <w:numFmt w:val="bullet"/>
      <w:lvlText w:val="o"/>
      <w:lvlJc w:val="left"/>
      <w:pPr>
        <w:ind w:left="3960" w:hanging="360"/>
      </w:pPr>
      <w:rPr>
        <w:rFonts w:ascii="Courier New" w:hAnsi="Courier New" w:eastAsia="Courier New" w:cs="Courier New"/>
      </w:rPr>
    </w:lvl>
    <w:lvl w:ilvl="5">
      <w:numFmt w:val="bullet"/>
      <w:lvlText w:val=""/>
      <w:lvlJc w:val="left"/>
      <w:pPr>
        <w:ind w:left="4680" w:hanging="360"/>
      </w:pPr>
      <w:rPr>
        <w:rFonts w:ascii="Wingdings" w:hAnsi="Wingdings" w:eastAsia="Wingdings" w:cs="Wingdings"/>
      </w:rPr>
    </w:lvl>
    <w:lvl w:ilvl="6">
      <w:numFmt w:val="bullet"/>
      <w:lvlText w:val=""/>
      <w:lvlJc w:val="left"/>
      <w:pPr>
        <w:ind w:left="5400" w:hanging="360"/>
      </w:pPr>
      <w:rPr>
        <w:rFonts w:ascii="Symbol" w:hAnsi="Symbol" w:eastAsia="Symbol" w:cs="Symbol"/>
      </w:rPr>
    </w:lvl>
    <w:lvl w:ilvl="7">
      <w:numFmt w:val="bullet"/>
      <w:lvlText w:val="o"/>
      <w:lvlJc w:val="left"/>
      <w:pPr>
        <w:ind w:left="6120" w:hanging="360"/>
      </w:pPr>
      <w:rPr>
        <w:rFonts w:ascii="Courier New" w:hAnsi="Courier New" w:eastAsia="Courier New" w:cs="Courier New"/>
      </w:rPr>
    </w:lvl>
    <w:lvl w:ilvl="8">
      <w:numFmt w:val="bullet"/>
      <w:lvlText w:val=""/>
      <w:lvlJc w:val="left"/>
      <w:pPr>
        <w:ind w:left="6840" w:hanging="360"/>
      </w:pPr>
      <w:rPr>
        <w:rFonts w:ascii="Wingdings" w:hAnsi="Wingdings" w:eastAsia="Wingdings" w:cs="Wingdings"/>
      </w:rPr>
    </w:lvl>
  </w:abstractNum>
  <w:abstractNum w:abstractNumId="15" w15:restartNumberingAfterBreak="0">
    <w:nsid w:val="6DED6C94"/>
    <w:multiLevelType w:val="multilevel"/>
    <w:tmpl w:val="7FD0C95A"/>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3FA0C6E"/>
    <w:multiLevelType w:val="multilevel"/>
    <w:tmpl w:val="089EFF1A"/>
    <w:styleLink w:val="Numbering3"/>
    <w:lvl w:ilvl="0">
      <w:start w:val="1"/>
      <w:numFmt w:val="decimal"/>
      <w:lvlText w:val="%1"/>
      <w:lvlJc w:val="left"/>
      <w:pPr>
        <w:ind w:left="1701" w:hanging="1701"/>
      </w:pPr>
    </w:lvl>
    <w:lvl w:ilvl="1">
      <w:start w:val="2"/>
      <w:numFmt w:val="decimal"/>
      <w:lvlText w:val=""/>
      <w:lvlJc w:val="left"/>
      <w:pPr>
        <w:ind w:left="3402" w:hanging="1701"/>
      </w:pPr>
    </w:lvl>
    <w:lvl w:ilvl="2">
      <w:start w:val="3"/>
      <w:numFmt w:val="decimal"/>
      <w:lvlText w:val=""/>
      <w:lvlJc w:val="left"/>
      <w:pPr>
        <w:ind w:left="5103" w:hanging="1701"/>
      </w:pPr>
    </w:lvl>
    <w:lvl w:ilvl="3">
      <w:start w:val="4"/>
      <w:numFmt w:val="decimal"/>
      <w:lvlText w:val=""/>
      <w:lvlJc w:val="left"/>
      <w:pPr>
        <w:ind w:left="6804" w:hanging="1701"/>
      </w:pPr>
    </w:lvl>
    <w:lvl w:ilvl="4">
      <w:start w:val="5"/>
      <w:numFmt w:val="decimal"/>
      <w:lvlText w:val=""/>
      <w:lvlJc w:val="left"/>
      <w:pPr>
        <w:ind w:left="8505" w:hanging="1701"/>
      </w:pPr>
    </w:lvl>
    <w:lvl w:ilvl="5">
      <w:start w:val="6"/>
      <w:numFmt w:val="decimal"/>
      <w:lvlText w:val=""/>
      <w:lvlJc w:val="left"/>
      <w:pPr>
        <w:ind w:left="10206" w:hanging="1701"/>
      </w:pPr>
    </w:lvl>
    <w:lvl w:ilvl="6">
      <w:start w:val="7"/>
      <w:numFmt w:val="decimal"/>
      <w:lvlText w:val=""/>
      <w:lvlJc w:val="left"/>
      <w:pPr>
        <w:ind w:left="11907" w:hanging="1701"/>
      </w:pPr>
    </w:lvl>
    <w:lvl w:ilvl="7">
      <w:start w:val="8"/>
      <w:numFmt w:val="decimal"/>
      <w:lvlText w:val=""/>
      <w:lvlJc w:val="left"/>
      <w:pPr>
        <w:ind w:left="13608" w:hanging="1701"/>
      </w:pPr>
    </w:lvl>
    <w:lvl w:ilvl="8">
      <w:start w:val="9"/>
      <w:numFmt w:val="decimal"/>
      <w:lvlText w:val=""/>
      <w:lvlJc w:val="left"/>
      <w:pPr>
        <w:ind w:left="15309" w:hanging="1701"/>
      </w:pPr>
    </w:lvl>
  </w:abstractNum>
  <w:abstractNum w:abstractNumId="17" w15:restartNumberingAfterBreak="0">
    <w:nsid w:val="74652563"/>
    <w:multiLevelType w:val="multilevel"/>
    <w:tmpl w:val="EE003114"/>
    <w:styleLink w:val="List2"/>
    <w:lvl w:ilvl="0">
      <w:numFmt w:val="bullet"/>
      <w:lvlText w:val="□"/>
      <w:lvlJc w:val="left"/>
      <w:pPr>
        <w:ind w:left="170" w:hanging="170"/>
      </w:pPr>
      <w:rPr>
        <w:rFonts w:ascii="OpenSymbol" w:hAnsi="OpenSymbol" w:eastAsia="OpenSymbol" w:cs="OpenSymbol"/>
      </w:rPr>
    </w:lvl>
    <w:lvl w:ilvl="1">
      <w:numFmt w:val="bullet"/>
      <w:lvlText w:val="□"/>
      <w:lvlJc w:val="left"/>
      <w:pPr>
        <w:ind w:left="567" w:hanging="340"/>
      </w:pPr>
      <w:rPr>
        <w:rFonts w:ascii="OpenSymbol" w:hAnsi="OpenSymbol" w:eastAsia="OpenSymbol" w:cs="OpenSymbol"/>
      </w:rPr>
    </w:lvl>
    <w:lvl w:ilvl="2">
      <w:numFmt w:val="bullet"/>
      <w:lvlText w:val="□"/>
      <w:lvlJc w:val="left"/>
      <w:pPr>
        <w:ind w:left="510" w:hanging="170"/>
      </w:pPr>
      <w:rPr>
        <w:rFonts w:ascii="OpenSymbol" w:hAnsi="OpenSymbol" w:eastAsia="OpenSymbol" w:cs="OpenSymbol"/>
      </w:rPr>
    </w:lvl>
    <w:lvl w:ilvl="3">
      <w:numFmt w:val="bullet"/>
      <w:lvlText w:val="□"/>
      <w:lvlJc w:val="left"/>
      <w:pPr>
        <w:ind w:left="680" w:hanging="170"/>
      </w:pPr>
      <w:rPr>
        <w:rFonts w:ascii="OpenSymbol" w:hAnsi="OpenSymbol" w:eastAsia="OpenSymbol" w:cs="OpenSymbol"/>
      </w:rPr>
    </w:lvl>
    <w:lvl w:ilvl="4">
      <w:numFmt w:val="bullet"/>
      <w:lvlText w:val="□"/>
      <w:lvlJc w:val="left"/>
      <w:pPr>
        <w:ind w:left="850" w:hanging="170"/>
      </w:pPr>
      <w:rPr>
        <w:rFonts w:ascii="OpenSymbol" w:hAnsi="OpenSymbol" w:eastAsia="OpenSymbol" w:cs="OpenSymbol"/>
      </w:rPr>
    </w:lvl>
    <w:lvl w:ilvl="5">
      <w:numFmt w:val="bullet"/>
      <w:lvlText w:val="□"/>
      <w:lvlJc w:val="left"/>
      <w:pPr>
        <w:ind w:left="1020" w:hanging="170"/>
      </w:pPr>
      <w:rPr>
        <w:rFonts w:ascii="OpenSymbol" w:hAnsi="OpenSymbol" w:eastAsia="OpenSymbol" w:cs="OpenSymbol"/>
      </w:rPr>
    </w:lvl>
    <w:lvl w:ilvl="6">
      <w:numFmt w:val="bullet"/>
      <w:lvlText w:val="□"/>
      <w:lvlJc w:val="left"/>
      <w:pPr>
        <w:ind w:left="1191" w:hanging="170"/>
      </w:pPr>
      <w:rPr>
        <w:rFonts w:ascii="OpenSymbol" w:hAnsi="OpenSymbol" w:eastAsia="OpenSymbol" w:cs="OpenSymbol"/>
      </w:rPr>
    </w:lvl>
    <w:lvl w:ilvl="7">
      <w:numFmt w:val="bullet"/>
      <w:lvlText w:val="□"/>
      <w:lvlJc w:val="left"/>
      <w:pPr>
        <w:ind w:left="1361" w:hanging="170"/>
      </w:pPr>
      <w:rPr>
        <w:rFonts w:ascii="OpenSymbol" w:hAnsi="OpenSymbol" w:eastAsia="OpenSymbol" w:cs="OpenSymbol"/>
      </w:rPr>
    </w:lvl>
    <w:lvl w:ilvl="8">
      <w:numFmt w:val="bullet"/>
      <w:lvlText w:val="□"/>
      <w:lvlJc w:val="left"/>
      <w:pPr>
        <w:ind w:left="1531" w:hanging="170"/>
      </w:pPr>
      <w:rPr>
        <w:rFonts w:ascii="OpenSymbol" w:hAnsi="OpenSymbol" w:eastAsia="OpenSymbol" w:cs="OpenSymbol"/>
      </w:rPr>
    </w:lvl>
  </w:abstractNum>
  <w:abstractNum w:abstractNumId="18" w15:restartNumberingAfterBreak="0">
    <w:nsid w:val="79C67901"/>
    <w:multiLevelType w:val="multilevel"/>
    <w:tmpl w:val="BDDE7D32"/>
    <w:styleLink w:val="WWOutlineListStyle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CA34CC0"/>
    <w:multiLevelType w:val="multilevel"/>
    <w:tmpl w:val="714E38B2"/>
    <w:styleLink w:val="WWOutlineListStyle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21">
    <w:abstractNumId w:val="20"/>
  </w:num>
  <w:num w:numId="1" w16cid:durableId="1634821951">
    <w:abstractNumId w:val="3"/>
  </w:num>
  <w:num w:numId="2" w16cid:durableId="442379645">
    <w:abstractNumId w:val="18"/>
  </w:num>
  <w:num w:numId="3" w16cid:durableId="1116364618">
    <w:abstractNumId w:val="13"/>
  </w:num>
  <w:num w:numId="4" w16cid:durableId="1828981014">
    <w:abstractNumId w:val="4"/>
  </w:num>
  <w:num w:numId="5" w16cid:durableId="1023630651">
    <w:abstractNumId w:val="19"/>
  </w:num>
  <w:num w:numId="6" w16cid:durableId="1915243124">
    <w:abstractNumId w:val="1"/>
  </w:num>
  <w:num w:numId="7" w16cid:durableId="346492907">
    <w:abstractNumId w:val="15"/>
  </w:num>
  <w:num w:numId="8" w16cid:durableId="1320620784">
    <w:abstractNumId w:val="0"/>
  </w:num>
  <w:num w:numId="9" w16cid:durableId="677854697">
    <w:abstractNumId w:val="6"/>
  </w:num>
  <w:num w:numId="10" w16cid:durableId="1368332180">
    <w:abstractNumId w:val="16"/>
  </w:num>
  <w:num w:numId="11" w16cid:durableId="822235419">
    <w:abstractNumId w:val="8"/>
  </w:num>
  <w:num w:numId="12" w16cid:durableId="1074621867">
    <w:abstractNumId w:val="5"/>
  </w:num>
  <w:num w:numId="13" w16cid:durableId="64497459">
    <w:abstractNumId w:val="2"/>
  </w:num>
  <w:num w:numId="14" w16cid:durableId="2139368953">
    <w:abstractNumId w:val="17"/>
  </w:num>
  <w:num w:numId="15" w16cid:durableId="1538470949">
    <w:abstractNumId w:val="11"/>
  </w:num>
  <w:num w:numId="16" w16cid:durableId="595091746">
    <w:abstractNumId w:val="9"/>
  </w:num>
  <w:num w:numId="17" w16cid:durableId="524710903">
    <w:abstractNumId w:val="7"/>
  </w:num>
  <w:num w:numId="18" w16cid:durableId="553388429">
    <w:abstractNumId w:val="10"/>
  </w:num>
  <w:num w:numId="19" w16cid:durableId="623271128">
    <w:abstractNumId w:val="12"/>
  </w:num>
  <w:num w:numId="20" w16cid:durableId="72313795">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41"/>
  <w:attachedTemplate r:id="rId1"/>
  <w:trackRevisions w:val="false"/>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D7C"/>
    <w:rsid w:val="00332537"/>
    <w:rsid w:val="00442529"/>
    <w:rsid w:val="00944D7C"/>
    <w:rsid w:val="00B63C23"/>
    <w:rsid w:val="00B94458"/>
    <w:rsid w:val="02E9A489"/>
    <w:rsid w:val="04704EBC"/>
    <w:rsid w:val="05129DA0"/>
    <w:rsid w:val="076C23B8"/>
    <w:rsid w:val="07958C6A"/>
    <w:rsid w:val="0973080C"/>
    <w:rsid w:val="0D47DC58"/>
    <w:rsid w:val="0F89313C"/>
    <w:rsid w:val="10192A81"/>
    <w:rsid w:val="19EDC671"/>
    <w:rsid w:val="1A9FABF5"/>
    <w:rsid w:val="1C89A309"/>
    <w:rsid w:val="1F5D5A65"/>
    <w:rsid w:val="22B8AD1A"/>
    <w:rsid w:val="24CF9987"/>
    <w:rsid w:val="2823F991"/>
    <w:rsid w:val="2AC8102C"/>
    <w:rsid w:val="2BECA929"/>
    <w:rsid w:val="2FDFCDB5"/>
    <w:rsid w:val="38ADEB8C"/>
    <w:rsid w:val="39242065"/>
    <w:rsid w:val="40F5EAE1"/>
    <w:rsid w:val="4548803F"/>
    <w:rsid w:val="469B7F78"/>
    <w:rsid w:val="486754FC"/>
    <w:rsid w:val="4F6600D1"/>
    <w:rsid w:val="558C8E39"/>
    <w:rsid w:val="559D7193"/>
    <w:rsid w:val="5699D17B"/>
    <w:rsid w:val="579306A3"/>
    <w:rsid w:val="5A3CBFBE"/>
    <w:rsid w:val="5AE8FC14"/>
    <w:rsid w:val="5B8DA771"/>
    <w:rsid w:val="5EC96A5C"/>
    <w:rsid w:val="66348B45"/>
    <w:rsid w:val="66A82232"/>
    <w:rsid w:val="67224362"/>
    <w:rsid w:val="6A643B2F"/>
    <w:rsid w:val="75AE634B"/>
    <w:rsid w:val="7706CE7F"/>
    <w:rsid w:val="79097B04"/>
    <w:rsid w:val="7C060203"/>
    <w:rsid w:val="7E90AD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8F3DE7"/>
  <w15:docId w15:val="{06F29BC8-DA4D-4103-8AC2-5AEE8EAA1D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Andale Sans UI" w:cs="Tahoma"/>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autoSpaceDN w:val="0"/>
      <w:textAlignment w:val="baseline"/>
    </w:pPr>
    <w:rPr>
      <w:kern w:val="3"/>
      <w:sz w:val="24"/>
      <w:szCs w:val="24"/>
      <w:lang w:bidi="fa-IR"/>
    </w:rPr>
  </w:style>
  <w:style w:type="paragraph" w:styleId="Titre1">
    <w:name w:val="heading 1"/>
    <w:basedOn w:val="Standard"/>
    <w:next w:val="Standard"/>
    <w:uiPriority w:val="9"/>
    <w:qFormat/>
    <w:pPr>
      <w:keepNext/>
      <w:numPr>
        <w:numId w:val="1"/>
      </w:numPr>
      <w:outlineLvl w:val="0"/>
    </w:pPr>
    <w:rPr>
      <w:color w:val="808080"/>
      <w:sz w:val="36"/>
      <w:szCs w:val="36"/>
    </w:rPr>
  </w:style>
  <w:style w:type="paragraph" w:styleId="Titre2">
    <w:name w:val="heading 2"/>
    <w:basedOn w:val="Standard"/>
    <w:next w:val="Standard"/>
    <w:uiPriority w:val="9"/>
    <w:unhideWhenUsed/>
    <w:qFormat/>
    <w:pPr>
      <w:keepNext/>
      <w:numPr>
        <w:ilvl w:val="1"/>
        <w:numId w:val="1"/>
      </w:numPr>
      <w:spacing w:before="240" w:after="60"/>
      <w:outlineLvl w:val="1"/>
    </w:pPr>
    <w:rPr>
      <w:b/>
      <w:bCs/>
      <w:i/>
      <w:iCs/>
      <w:sz w:val="28"/>
      <w:szCs w:val="28"/>
    </w:rPr>
  </w:style>
  <w:style w:type="paragraph" w:styleId="Titre3">
    <w:name w:val="heading 3"/>
    <w:basedOn w:val="Standard"/>
    <w:next w:val="Standard"/>
    <w:uiPriority w:val="9"/>
    <w:unhideWhenUsed/>
    <w:qFormat/>
    <w:pPr>
      <w:keepNext/>
      <w:numPr>
        <w:ilvl w:val="2"/>
        <w:numId w:val="1"/>
      </w:numPr>
      <w:spacing w:before="240" w:after="60"/>
      <w:outlineLvl w:val="2"/>
    </w:pPr>
    <w:rPr>
      <w:b/>
      <w:bCs/>
      <w:sz w:val="26"/>
      <w:szCs w:val="26"/>
    </w:rPr>
  </w:style>
  <w:style w:type="paragraph" w:styleId="Titre4">
    <w:name w:val="heading 4"/>
    <w:basedOn w:val="Standard"/>
    <w:next w:val="Textbody"/>
    <w:uiPriority w:val="9"/>
    <w:semiHidden/>
    <w:unhideWhenUsed/>
    <w:qFormat/>
    <w:pPr>
      <w:keepNext/>
      <w:keepLines/>
      <w:numPr>
        <w:ilvl w:val="3"/>
        <w:numId w:val="1"/>
      </w:numPr>
      <w:spacing w:before="283" w:after="57"/>
      <w:outlineLvl w:val="3"/>
    </w:pPr>
    <w:rPr>
      <w:b/>
      <w:bCs/>
      <w:i/>
      <w:iCs/>
      <w:sz w:val="24"/>
    </w:rPr>
  </w:style>
  <w:style w:type="paragraph" w:styleId="Titre5">
    <w:name w:val="heading 5"/>
    <w:basedOn w:val="Standard"/>
    <w:next w:val="Textbody"/>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Textbody"/>
    <w:uiPriority w:val="9"/>
    <w:semiHidden/>
    <w:unhideWhenUsed/>
    <w:qFormat/>
    <w:pPr>
      <w:numPr>
        <w:ilvl w:val="5"/>
        <w:numId w:val="1"/>
      </w:numPr>
      <w:pBdr>
        <w:top w:val="none" w:color="auto" w:sz="0" w:space="0"/>
        <w:left w:val="none" w:color="auto" w:sz="0" w:space="0"/>
        <w:bottom w:val="none" w:color="auto" w:sz="0" w:space="0"/>
        <w:right w:val="none" w:color="auto" w:sz="0" w:space="0"/>
      </w:pBdr>
      <w:spacing w:before="283" w:after="283"/>
      <w:jc w:val="both"/>
      <w:outlineLvl w:val="5"/>
    </w:pPr>
    <w:rPr>
      <w:bCs/>
      <w:sz w:val="22"/>
    </w:rPr>
  </w:style>
  <w:style w:type="paragraph" w:styleId="Titre7">
    <w:name w:val="heading 7"/>
    <w:basedOn w:val="Heading"/>
    <w:next w:val="Textbody"/>
    <w:pPr>
      <w:numPr>
        <w:ilvl w:val="6"/>
        <w:numId w:val="1"/>
      </w:numPr>
      <w:pBdr>
        <w:top w:val="none" w:color="auto" w:sz="0" w:space="0"/>
        <w:left w:val="none" w:color="auto" w:sz="0" w:space="0"/>
        <w:bottom w:val="none" w:color="auto" w:sz="0" w:space="0"/>
        <w:right w:val="none" w:color="auto" w:sz="0" w:space="0"/>
      </w:pBdr>
      <w:spacing w:before="283" w:after="57"/>
      <w:jc w:val="both"/>
      <w:outlineLvl w:val="6"/>
    </w:pPr>
    <w:rPr>
      <w:bCs/>
      <w:sz w:val="22"/>
    </w:rPr>
  </w:style>
  <w:style w:type="paragraph" w:styleId="Titre8">
    <w:name w:val="heading 8"/>
    <w:basedOn w:val="Heading"/>
    <w:next w:val="Textbody"/>
    <w:pPr>
      <w:numPr>
        <w:ilvl w:val="7"/>
        <w:numId w:val="1"/>
      </w:numPr>
      <w:pBdr>
        <w:top w:val="none" w:color="auto" w:sz="0" w:space="0"/>
        <w:left w:val="none" w:color="auto" w:sz="0" w:space="0"/>
        <w:bottom w:val="none" w:color="auto" w:sz="0" w:space="0"/>
        <w:right w:val="none" w:color="auto" w:sz="0" w:space="0"/>
      </w:pBdr>
      <w:spacing w:before="283" w:after="57"/>
      <w:jc w:val="both"/>
      <w:outlineLvl w:val="7"/>
    </w:pPr>
    <w:rPr>
      <w:bCs/>
      <w:sz w:val="21"/>
    </w:rPr>
  </w:style>
  <w:style w:type="paragraph" w:styleId="Titre9">
    <w:name w:val="heading 9"/>
    <w:basedOn w:val="Heading"/>
    <w:next w:val="Textbody"/>
    <w:pPr>
      <w:numPr>
        <w:ilvl w:val="8"/>
        <w:numId w:val="1"/>
      </w:numPr>
      <w:pBdr>
        <w:top w:val="none" w:color="auto" w:sz="0" w:space="0"/>
        <w:left w:val="none" w:color="auto" w:sz="0" w:space="0"/>
        <w:bottom w:val="none" w:color="auto" w:sz="0" w:space="0"/>
        <w:right w:val="none" w:color="auto" w:sz="0" w:space="0"/>
      </w:pBdr>
      <w:spacing w:before="283" w:after="57"/>
      <w:jc w:val="both"/>
      <w:outlineLvl w:val="8"/>
    </w:pPr>
    <w:rPr>
      <w:bCs/>
      <w:sz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5" w:customStyle="1">
    <w:name w:val="WW_OutlineListStyle_5"/>
    <w:basedOn w:val="Aucuneliste"/>
    <w:pPr>
      <w:numPr>
        <w:numId w:val="1"/>
      </w:numPr>
    </w:pPr>
  </w:style>
  <w:style w:type="paragraph" w:styleId="Standard" w:customStyle="1">
    <w:name w:val="Standard"/>
    <w:autoRedefine/>
    <w:pPr>
      <w:widowControl w:val="0"/>
      <w:suppressAutoHyphens/>
      <w:autoSpaceDN w:val="0"/>
      <w:spacing w:before="57"/>
      <w:jc w:val="both"/>
      <w:textAlignment w:val="center"/>
    </w:pPr>
    <w:rPr>
      <w:rFonts w:ascii="Arial" w:hAnsi="Arial"/>
      <w:kern w:val="3"/>
      <w:szCs w:val="24"/>
      <w:lang w:bidi="fa-IR"/>
    </w:rPr>
  </w:style>
  <w:style w:type="paragraph" w:styleId="Heading" w:customStyle="1">
    <w:name w:val="Heading"/>
    <w:basedOn w:val="Standard"/>
    <w:next w:val="Textbody"/>
    <w:autoRedefine/>
    <w:pPr>
      <w:keepNext/>
      <w:pBdr>
        <w:top w:val="single" w:color="666666" w:sz="18" w:space="1"/>
        <w:left w:val="single" w:color="666666" w:sz="18" w:space="1"/>
        <w:bottom w:val="single" w:color="666666" w:sz="18" w:space="1"/>
        <w:right w:val="single" w:color="666666" w:sz="18" w:space="1"/>
      </w:pBdr>
      <w:spacing w:before="567" w:after="567"/>
      <w:jc w:val="center"/>
    </w:pPr>
    <w:rPr>
      <w:b/>
      <w:sz w:val="32"/>
      <w:szCs w:val="28"/>
    </w:rPr>
  </w:style>
  <w:style w:type="paragraph" w:styleId="Textbody" w:customStyle="1">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styleId="Index" w:customStyle="1">
    <w:name w:val="Index"/>
    <w:basedOn w:val="Standard"/>
    <w:pPr>
      <w:suppressLineNumbers/>
    </w:pPr>
  </w:style>
  <w:style w:type="paragraph" w:styleId="TableContents" w:customStyle="1">
    <w:name w:val="Table Contents"/>
    <w:basedOn w:val="Standard"/>
    <w:pPr>
      <w:suppressLineNumbers/>
    </w:pPr>
    <w:rPr>
      <w:sz w:val="17"/>
    </w:rPr>
  </w:style>
  <w:style w:type="paragraph" w:styleId="TableHeading" w:customStyle="1">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styleId="numration1lamarge" w:customStyle="1">
    <w:name w:val="énumération 1  à la marge"/>
    <w:basedOn w:val="Standard"/>
    <w:pPr>
      <w:tabs>
        <w:tab w:val="left" w:pos="360"/>
      </w:tabs>
      <w:spacing w:before="0" w:after="120"/>
      <w:ind w:left="360" w:hanging="360"/>
    </w:pPr>
  </w:style>
  <w:style w:type="paragraph" w:styleId="ContentsHeading" w:customStyle="1">
    <w:name w:val="Contents Heading"/>
    <w:basedOn w:val="Heading"/>
    <w:pPr>
      <w:pageBreakBefore/>
      <w:suppressLineNumbers/>
      <w:spacing w:before="0" w:after="283"/>
    </w:pPr>
    <w:rPr>
      <w:bCs/>
      <w:szCs w:val="32"/>
    </w:rPr>
  </w:style>
  <w:style w:type="paragraph" w:styleId="Contents1" w:customStyle="1">
    <w:name w:val="Contents 1"/>
    <w:basedOn w:val="Index"/>
    <w:autoRedefine/>
    <w:pPr>
      <w:tabs>
        <w:tab w:val="right" w:leader="dot" w:pos="9637"/>
      </w:tabs>
    </w:pPr>
    <w:rPr>
      <w:sz w:val="18"/>
    </w:rPr>
  </w:style>
  <w:style w:type="paragraph" w:styleId="Contents2" w:customStyle="1">
    <w:name w:val="Contents 2"/>
    <w:basedOn w:val="Index"/>
    <w:rPr>
      <w:sz w:val="18"/>
    </w:rPr>
  </w:style>
  <w:style w:type="paragraph" w:styleId="Contents3" w:customStyle="1">
    <w:name w:val="Contents 3"/>
    <w:basedOn w:val="Index"/>
    <w:pPr>
      <w:tabs>
        <w:tab w:val="right" w:leader="dot" w:pos="9241"/>
      </w:tabs>
      <w:spacing w:after="57"/>
      <w:ind w:left="170"/>
    </w:pPr>
  </w:style>
  <w:style w:type="paragraph" w:styleId="Contents4" w:customStyle="1">
    <w:name w:val="Contents 4"/>
    <w:basedOn w:val="Index"/>
    <w:pPr>
      <w:tabs>
        <w:tab w:val="right" w:leader="dot" w:pos="9128"/>
      </w:tabs>
      <w:spacing w:after="57"/>
      <w:ind w:left="340"/>
    </w:pPr>
  </w:style>
  <w:style w:type="paragraph" w:styleId="Contents5" w:customStyle="1">
    <w:name w:val="Contents 5"/>
    <w:basedOn w:val="Index"/>
    <w:pPr>
      <w:tabs>
        <w:tab w:val="right" w:leader="dot" w:pos="9015"/>
      </w:tabs>
      <w:spacing w:after="57"/>
      <w:ind w:left="510"/>
    </w:pPr>
  </w:style>
  <w:style w:type="paragraph" w:styleId="UserIndex1" w:customStyle="1">
    <w:name w:val="User Index 1"/>
    <w:basedOn w:val="Index"/>
    <w:pPr>
      <w:tabs>
        <w:tab w:val="right" w:leader="dot" w:pos="9637"/>
      </w:tabs>
      <w:spacing w:before="0"/>
    </w:pPr>
  </w:style>
  <w:style w:type="paragraph" w:styleId="Pieddepage">
    <w:name w:val="footer"/>
    <w:basedOn w:val="Standard"/>
    <w:pPr>
      <w:suppressLineNumbers/>
      <w:pBdr>
        <w:top w:val="single" w:color="000000" w:sz="2" w:space="0"/>
        <w:left w:val="single" w:color="000000" w:sz="2" w:space="0"/>
        <w:bottom w:val="single" w:color="000000" w:sz="2" w:space="0"/>
        <w:right w:val="single" w:color="000000" w:sz="2" w:space="0"/>
      </w:pBdr>
      <w:tabs>
        <w:tab w:val="center" w:pos="4818"/>
        <w:tab w:val="right" w:pos="9637"/>
      </w:tabs>
    </w:pPr>
    <w:rPr>
      <w:sz w:val="18"/>
    </w:rPr>
  </w:style>
  <w:style w:type="paragraph" w:styleId="Footerleft" w:customStyle="1">
    <w:name w:val="Footer left"/>
    <w:basedOn w:val="Standard"/>
    <w:autoRedefine/>
    <w:pPr>
      <w:suppressLineNumbers/>
      <w:tabs>
        <w:tab w:val="center" w:pos="4818"/>
        <w:tab w:val="right" w:pos="9637"/>
      </w:tabs>
    </w:pPr>
  </w:style>
  <w:style w:type="paragraph" w:styleId="Footerright" w:customStyle="1">
    <w:name w:val="Footer right"/>
    <w:basedOn w:val="Standard"/>
    <w:pPr>
      <w:suppressLineNumbers/>
      <w:tabs>
        <w:tab w:val="center" w:pos="4818"/>
        <w:tab w:val="right" w:pos="9637"/>
      </w:tabs>
    </w:pPr>
  </w:style>
  <w:style w:type="paragraph" w:styleId="Heading10" w:customStyle="1">
    <w:name w:val="Heading 10"/>
    <w:basedOn w:val="Heading"/>
    <w:next w:val="Textbody"/>
    <w:rPr>
      <w:bCs/>
    </w:rPr>
  </w:style>
  <w:style w:type="paragraph" w:styleId="Numbering1" w:customStyle="1">
    <w:name w:val="Numbering 1"/>
    <w:basedOn w:val="Liste"/>
    <w:pPr>
      <w:spacing w:before="0" w:after="120"/>
    </w:pPr>
  </w:style>
  <w:style w:type="paragraph" w:styleId="Table" w:customStyle="1">
    <w:name w:val="Table"/>
    <w:basedOn w:val="Lgende"/>
    <w:rPr>
      <w:i w:val="0"/>
      <w:sz w:val="17"/>
    </w:rPr>
  </w:style>
  <w:style w:type="character" w:styleId="Internetlink" w:customStyle="1">
    <w:name w:val="Internet link"/>
    <w:rPr>
      <w:color w:val="000080"/>
      <w:u w:val="single"/>
    </w:rPr>
  </w:style>
  <w:style w:type="character" w:styleId="RTFNum21" w:customStyle="1">
    <w:name w:val="RTF_Num 2 1"/>
    <w:rPr>
      <w:rFonts w:ascii="Wingdings" w:hAnsi="Wingdings" w:eastAsia="Wingdings" w:cs="Wingdings"/>
    </w:rPr>
  </w:style>
  <w:style w:type="character" w:styleId="RTFNum31" w:customStyle="1">
    <w:name w:val="RTF_Num 3 1"/>
    <w:rPr>
      <w:rFonts w:cs="Times New Roman"/>
    </w:rPr>
  </w:style>
  <w:style w:type="character" w:styleId="RTFNum32" w:customStyle="1">
    <w:name w:val="RTF_Num 3 2"/>
    <w:rPr>
      <w:rFonts w:cs="Times New Roman"/>
    </w:rPr>
  </w:style>
  <w:style w:type="character" w:styleId="RTFNum33" w:customStyle="1">
    <w:name w:val="RTF_Num 3 3"/>
    <w:rPr>
      <w:rFonts w:cs="Times New Roman"/>
    </w:rPr>
  </w:style>
  <w:style w:type="character" w:styleId="RTFNum34" w:customStyle="1">
    <w:name w:val="RTF_Num 3 4"/>
    <w:rPr>
      <w:rFonts w:cs="Times New Roman"/>
    </w:rPr>
  </w:style>
  <w:style w:type="character" w:styleId="RTFNum35" w:customStyle="1">
    <w:name w:val="RTF_Num 3 5"/>
    <w:rPr>
      <w:rFonts w:cs="Times New Roman"/>
    </w:rPr>
  </w:style>
  <w:style w:type="character" w:styleId="RTFNum36" w:customStyle="1">
    <w:name w:val="RTF_Num 3 6"/>
    <w:rPr>
      <w:rFonts w:cs="Times New Roman"/>
    </w:rPr>
  </w:style>
  <w:style w:type="character" w:styleId="RTFNum37" w:customStyle="1">
    <w:name w:val="RTF_Num 3 7"/>
    <w:rPr>
      <w:rFonts w:cs="Times New Roman"/>
    </w:rPr>
  </w:style>
  <w:style w:type="character" w:styleId="RTFNum38" w:customStyle="1">
    <w:name w:val="RTF_Num 3 8"/>
    <w:rPr>
      <w:rFonts w:cs="Times New Roman"/>
    </w:rPr>
  </w:style>
  <w:style w:type="character" w:styleId="RTFNum39" w:customStyle="1">
    <w:name w:val="RTF_Num 3 9"/>
    <w:rPr>
      <w:rFonts w:cs="Times New Roman"/>
    </w:rPr>
  </w:style>
  <w:style w:type="character" w:styleId="RTFNum41" w:customStyle="1">
    <w:name w:val="RTF_Num 4 1"/>
    <w:rPr>
      <w:rFonts w:ascii="Wingdings" w:hAnsi="Wingdings" w:eastAsia="Wingdings" w:cs="Wingdings"/>
      <w:sz w:val="20"/>
      <w:szCs w:val="20"/>
    </w:rPr>
  </w:style>
  <w:style w:type="character" w:styleId="RTFNum42" w:customStyle="1">
    <w:name w:val="RTF_Num 4 2"/>
    <w:rPr>
      <w:rFonts w:ascii="Courier New" w:hAnsi="Courier New" w:eastAsia="Courier New" w:cs="Courier New"/>
    </w:rPr>
  </w:style>
  <w:style w:type="character" w:styleId="RTFNum43" w:customStyle="1">
    <w:name w:val="RTF_Num 4 3"/>
    <w:rPr>
      <w:rFonts w:ascii="Wingdings" w:hAnsi="Wingdings" w:eastAsia="Wingdings" w:cs="Wingdings"/>
    </w:rPr>
  </w:style>
  <w:style w:type="character" w:styleId="RTFNum44" w:customStyle="1">
    <w:name w:val="RTF_Num 4 4"/>
    <w:rPr>
      <w:rFonts w:ascii="Symbol" w:hAnsi="Symbol" w:eastAsia="Symbol" w:cs="Symbol"/>
    </w:rPr>
  </w:style>
  <w:style w:type="character" w:styleId="RTFNum45" w:customStyle="1">
    <w:name w:val="RTF_Num 4 5"/>
    <w:rPr>
      <w:rFonts w:ascii="Courier New" w:hAnsi="Courier New" w:eastAsia="Courier New" w:cs="Courier New"/>
    </w:rPr>
  </w:style>
  <w:style w:type="character" w:styleId="RTFNum46" w:customStyle="1">
    <w:name w:val="RTF_Num 4 6"/>
    <w:rPr>
      <w:rFonts w:ascii="Wingdings" w:hAnsi="Wingdings" w:eastAsia="Wingdings" w:cs="Wingdings"/>
    </w:rPr>
  </w:style>
  <w:style w:type="character" w:styleId="RTFNum47" w:customStyle="1">
    <w:name w:val="RTF_Num 4 7"/>
    <w:rPr>
      <w:rFonts w:ascii="Symbol" w:hAnsi="Symbol" w:eastAsia="Symbol" w:cs="Symbol"/>
    </w:rPr>
  </w:style>
  <w:style w:type="character" w:styleId="RTFNum48" w:customStyle="1">
    <w:name w:val="RTF_Num 4 8"/>
    <w:rPr>
      <w:rFonts w:ascii="Courier New" w:hAnsi="Courier New" w:eastAsia="Courier New" w:cs="Courier New"/>
    </w:rPr>
  </w:style>
  <w:style w:type="character" w:styleId="RTFNum49" w:customStyle="1">
    <w:name w:val="RTF_Num 4 9"/>
    <w:rPr>
      <w:rFonts w:ascii="Wingdings" w:hAnsi="Wingdings" w:eastAsia="Wingdings" w:cs="Wingdings"/>
    </w:rPr>
  </w:style>
  <w:style w:type="character" w:styleId="Titre1Car" w:customStyle="1">
    <w:name w:val="Titre 1 Car"/>
    <w:rPr>
      <w:rFonts w:ascii="Arial" w:hAnsi="Arial" w:eastAsia="Arial" w:cs="Arial"/>
      <w:color w:val="808080"/>
      <w:sz w:val="24"/>
      <w:szCs w:val="24"/>
    </w:rPr>
  </w:style>
  <w:style w:type="character" w:styleId="Titre2Car" w:customStyle="1">
    <w:name w:val="Titre 2 Car"/>
    <w:rPr>
      <w:rFonts w:ascii="Arial" w:hAnsi="Arial" w:eastAsia="Arial" w:cs="Arial"/>
      <w:b/>
      <w:bCs/>
      <w:i/>
      <w:iCs/>
      <w:sz w:val="28"/>
      <w:szCs w:val="28"/>
    </w:rPr>
  </w:style>
  <w:style w:type="character" w:styleId="Titre3Car" w:customStyle="1">
    <w:name w:val="Titre 3 Car"/>
    <w:rPr>
      <w:rFonts w:ascii="Arial" w:hAnsi="Arial" w:eastAsia="Arial" w:cs="Arial"/>
      <w:b/>
      <w:bCs/>
      <w:sz w:val="26"/>
      <w:szCs w:val="26"/>
    </w:rPr>
  </w:style>
  <w:style w:type="character" w:styleId="CorpsdetexteCar" w:customStyle="1">
    <w:name w:val="Corps de texte Car"/>
    <w:rPr>
      <w:rFonts w:ascii="Arial" w:hAnsi="Arial" w:eastAsia="Arial" w:cs="Arial"/>
      <w:b/>
      <w:bCs/>
      <w:sz w:val="24"/>
      <w:szCs w:val="24"/>
    </w:rPr>
  </w:style>
  <w:style w:type="character" w:styleId="En-tteCar" w:customStyle="1">
    <w:name w:val="En-tête Car"/>
    <w:rPr>
      <w:rFonts w:ascii="Arial" w:hAnsi="Arial" w:eastAsia="Arial" w:cs="Arial"/>
      <w:sz w:val="24"/>
      <w:szCs w:val="24"/>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StrongEmphasis" w:customStyle="1">
    <w:name w:val="Strong Emphasis"/>
    <w:rPr>
      <w:b/>
      <w:bCs/>
    </w:rPr>
  </w:style>
  <w:style w:type="character" w:styleId="IndexLink" w:customStyle="1">
    <w:name w:val="Index Link"/>
  </w:style>
  <w:style w:type="numbering" w:styleId="WWOutlineListStyle4" w:customStyle="1">
    <w:name w:val="WW_OutlineListStyle_4"/>
    <w:basedOn w:val="Aucuneliste"/>
    <w:pPr>
      <w:numPr>
        <w:numId w:val="2"/>
      </w:numPr>
    </w:pPr>
  </w:style>
  <w:style w:type="numbering" w:styleId="WWOutlineListStyle3" w:customStyle="1">
    <w:name w:val="WW_OutlineListStyle_3"/>
    <w:basedOn w:val="Aucuneliste"/>
    <w:pPr>
      <w:numPr>
        <w:numId w:val="3"/>
      </w:numPr>
    </w:pPr>
  </w:style>
  <w:style w:type="numbering" w:styleId="WWOutlineListStyle2" w:customStyle="1">
    <w:name w:val="WW_OutlineListStyle_2"/>
    <w:basedOn w:val="Aucuneliste"/>
    <w:pPr>
      <w:numPr>
        <w:numId w:val="4"/>
      </w:numPr>
    </w:pPr>
  </w:style>
  <w:style w:type="numbering" w:styleId="WWOutlineListStyle1" w:customStyle="1">
    <w:name w:val="WW_OutlineListStyle_1"/>
    <w:basedOn w:val="Aucuneliste"/>
    <w:pPr>
      <w:numPr>
        <w:numId w:val="5"/>
      </w:numPr>
    </w:pPr>
  </w:style>
  <w:style w:type="numbering" w:styleId="WWOutlineListStyle" w:customStyle="1">
    <w:name w:val="WW_OutlineListStyle"/>
    <w:basedOn w:val="Aucuneliste"/>
    <w:pPr>
      <w:numPr>
        <w:numId w:val="6"/>
      </w:numPr>
    </w:pPr>
  </w:style>
  <w:style w:type="numbering" w:styleId="Outline" w:customStyle="1">
    <w:name w:val="Outline"/>
    <w:basedOn w:val="Aucuneliste"/>
    <w:pPr>
      <w:numPr>
        <w:numId w:val="7"/>
      </w:numPr>
    </w:pPr>
  </w:style>
  <w:style w:type="numbering" w:styleId="Numbering11" w:customStyle="1">
    <w:name w:val="Numbering 1_1"/>
    <w:basedOn w:val="Aucuneliste"/>
    <w:pPr>
      <w:numPr>
        <w:numId w:val="8"/>
      </w:numPr>
    </w:pPr>
  </w:style>
  <w:style w:type="numbering" w:styleId="Numbering2" w:customStyle="1">
    <w:name w:val="Numbering 2"/>
    <w:basedOn w:val="Aucuneliste"/>
    <w:pPr>
      <w:numPr>
        <w:numId w:val="9"/>
      </w:numPr>
    </w:pPr>
  </w:style>
  <w:style w:type="numbering" w:styleId="Numbering3" w:customStyle="1">
    <w:name w:val="Numbering 3"/>
    <w:basedOn w:val="Aucuneliste"/>
    <w:pPr>
      <w:numPr>
        <w:numId w:val="10"/>
      </w:numPr>
    </w:pPr>
  </w:style>
  <w:style w:type="numbering" w:styleId="Numbering4" w:customStyle="1">
    <w:name w:val="Numbering 4"/>
    <w:basedOn w:val="Aucuneliste"/>
    <w:pPr>
      <w:numPr>
        <w:numId w:val="11"/>
      </w:numPr>
    </w:pPr>
  </w:style>
  <w:style w:type="numbering" w:styleId="Numbering5" w:customStyle="1">
    <w:name w:val="Numbering 5"/>
    <w:basedOn w:val="Aucuneliste"/>
    <w:pPr>
      <w:numPr>
        <w:numId w:val="12"/>
      </w:numPr>
    </w:pPr>
  </w:style>
  <w:style w:type="numbering" w:styleId="List1" w:customStyle="1">
    <w:name w:val="List 1"/>
    <w:basedOn w:val="Aucuneliste"/>
    <w:pPr>
      <w:numPr>
        <w:numId w:val="13"/>
      </w:numPr>
    </w:pPr>
  </w:style>
  <w:style w:type="numbering" w:styleId="List2" w:customStyle="1">
    <w:name w:val="List 2"/>
    <w:basedOn w:val="Aucuneliste"/>
    <w:pPr>
      <w:numPr>
        <w:numId w:val="14"/>
      </w:numPr>
    </w:pPr>
  </w:style>
  <w:style w:type="numbering" w:styleId="List3" w:customStyle="1">
    <w:name w:val="List 3"/>
    <w:basedOn w:val="Aucuneliste"/>
    <w:pPr>
      <w:numPr>
        <w:numId w:val="15"/>
      </w:numPr>
    </w:pPr>
  </w:style>
  <w:style w:type="numbering" w:styleId="List4" w:customStyle="1">
    <w:name w:val="List 4"/>
    <w:basedOn w:val="Aucuneliste"/>
    <w:pPr>
      <w:numPr>
        <w:numId w:val="16"/>
      </w:numPr>
    </w:pPr>
  </w:style>
  <w:style w:type="numbering" w:styleId="List5" w:customStyle="1">
    <w:name w:val="List 5"/>
    <w:basedOn w:val="Aucuneliste"/>
    <w:pPr>
      <w:numPr>
        <w:numId w:val="17"/>
      </w:numPr>
    </w:pPr>
  </w:style>
  <w:style w:type="numbering" w:styleId="RTFNum2" w:customStyle="1">
    <w:name w:val="RTF_Num 2"/>
    <w:basedOn w:val="Aucuneliste"/>
    <w:pPr>
      <w:numPr>
        <w:numId w:val="18"/>
      </w:numPr>
    </w:pPr>
  </w:style>
  <w:style w:type="numbering" w:styleId="RTFNum3" w:customStyle="1">
    <w:name w:val="RTF_Num 3"/>
    <w:basedOn w:val="Aucuneliste"/>
    <w:pPr>
      <w:numPr>
        <w:numId w:val="19"/>
      </w:numPr>
    </w:pPr>
  </w:style>
  <w:style w:type="numbering" w:styleId="RTFNum4" w:customStyle="1">
    <w:name w:val="RTF_Num 4"/>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__RefHeading__48102_1575219009" TargetMode="External" Id="rId13" /><Relationship Type="http://schemas.openxmlformats.org/officeDocument/2006/relationships/hyperlink" Target="#__RefHeading__48116_1575219009" TargetMode="External" Id="rId18" /><Relationship Type="http://schemas.openxmlformats.org/officeDocument/2006/relationships/hyperlink" Target="#__RefHeading__48132_1575219009" TargetMode="External" Id="rId26" /><Relationship Type="http://schemas.openxmlformats.org/officeDocument/2006/relationships/hyperlink" Target="#__RefHeading__48158_1575219009" TargetMode="External" Id="rId39" /><Relationship Type="http://schemas.openxmlformats.org/officeDocument/2006/relationships/hyperlink" Target="#__RefHeading__48122_1575219009" TargetMode="External" Id="rId21" /><Relationship Type="http://schemas.openxmlformats.org/officeDocument/2006/relationships/hyperlink" Target="#__RefHeading__48148_1575219009" TargetMode="External" Id="rId34" /><Relationship Type="http://schemas.openxmlformats.org/officeDocument/2006/relationships/hyperlink" Target="#__RefHeading__48164_1575219009" TargetMode="External" Id="rId42" /><Relationship Type="http://schemas.openxmlformats.org/officeDocument/2006/relationships/hyperlink" Target="#__RefHeading__48174_1575219009" TargetMode="External" Id="rId47" /><Relationship Type="http://schemas.openxmlformats.org/officeDocument/2006/relationships/hyperlink" Target="#__RefHeading__48180_1575219009" TargetMode="External" Id="rId50" /><Relationship Type="http://schemas.openxmlformats.org/officeDocument/2006/relationships/fontTable" Target="fontTable.xml" Id="rId55"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hyperlink" Target="#__RefHeading__48112_1575219009" TargetMode="External" Id="rId16" /><Relationship Type="http://schemas.openxmlformats.org/officeDocument/2006/relationships/hyperlink" Target="#__RefHeading__48138_1575219009" TargetMode="External" Id="rId29" /><Relationship Type="http://schemas.openxmlformats.org/officeDocument/2006/relationships/hyperlink" Target="#__RefHeading__48098_1575219009" TargetMode="External" Id="rId11" /><Relationship Type="http://schemas.openxmlformats.org/officeDocument/2006/relationships/hyperlink" Target="#__RefHeading__48128_1575219009" TargetMode="External" Id="rId24" /><Relationship Type="http://schemas.openxmlformats.org/officeDocument/2006/relationships/hyperlink" Target="#__RefHeading__48144_1575219009" TargetMode="External" Id="rId32" /><Relationship Type="http://schemas.openxmlformats.org/officeDocument/2006/relationships/hyperlink" Target="#__RefHeading__48154_1575219009" TargetMode="External" Id="rId37" /><Relationship Type="http://schemas.openxmlformats.org/officeDocument/2006/relationships/hyperlink" Target="#__RefHeading__48160_1575219009" TargetMode="External" Id="rId40" /><Relationship Type="http://schemas.openxmlformats.org/officeDocument/2006/relationships/hyperlink" Target="#__RefHeading__48170_1575219009" TargetMode="External" Id="rId45" /><Relationship Type="http://schemas.openxmlformats.org/officeDocument/2006/relationships/header" Target="header1.xml" Id="rId53" /><Relationship Type="http://schemas.openxmlformats.org/officeDocument/2006/relationships/settings" Target="settings.xml" Id="rId5" /><Relationship Type="http://schemas.openxmlformats.org/officeDocument/2006/relationships/hyperlink" Target="#__RefHeading__48096_1575219009" TargetMode="External" Id="rId10" /><Relationship Type="http://schemas.openxmlformats.org/officeDocument/2006/relationships/hyperlink" Target="#__RefHeading__48118_1575219009" TargetMode="External" Id="rId19" /><Relationship Type="http://schemas.openxmlformats.org/officeDocument/2006/relationships/hyperlink" Target="#__RefHeading__48142_1575219009" TargetMode="External" Id="rId31" /><Relationship Type="http://schemas.openxmlformats.org/officeDocument/2006/relationships/hyperlink" Target="#__RefHeading__48168_1575219009" TargetMode="External" Id="rId44" /><Relationship Type="http://schemas.openxmlformats.org/officeDocument/2006/relationships/hyperlink" Target="#__RefHeading__48184_1575219009" TargetMode="External" Id="rId52" /><Relationship Type="http://schemas.openxmlformats.org/officeDocument/2006/relationships/styles" Target="styles.xml" Id="rId4" /><Relationship Type="http://schemas.openxmlformats.org/officeDocument/2006/relationships/hyperlink" Target="#__RefHeading__48094_1575219009" TargetMode="External" Id="rId9" /><Relationship Type="http://schemas.openxmlformats.org/officeDocument/2006/relationships/hyperlink" Target="#__RefHeading__48105_1575219009" TargetMode="External" Id="rId14" /><Relationship Type="http://schemas.openxmlformats.org/officeDocument/2006/relationships/hyperlink" Target="#__RefHeading__48124_1575219009" TargetMode="External" Id="rId22" /><Relationship Type="http://schemas.openxmlformats.org/officeDocument/2006/relationships/hyperlink" Target="#__RefHeading__48134_1575219009" TargetMode="External" Id="rId27" /><Relationship Type="http://schemas.openxmlformats.org/officeDocument/2006/relationships/hyperlink" Target="#__RefHeading__48140_1575219009" TargetMode="External" Id="rId30" /><Relationship Type="http://schemas.openxmlformats.org/officeDocument/2006/relationships/hyperlink" Target="#__RefHeading__48150_1575219009" TargetMode="External" Id="rId35" /><Relationship Type="http://schemas.openxmlformats.org/officeDocument/2006/relationships/hyperlink" Target="#__RefHeading__48166_1575219009" TargetMode="External" Id="rId43" /><Relationship Type="http://schemas.openxmlformats.org/officeDocument/2006/relationships/hyperlink" Target="#__RefHeading__48176_1575219009" TargetMode="External" Id="rId48" /><Relationship Type="http://schemas.openxmlformats.org/officeDocument/2006/relationships/theme" Target="theme/theme1.xml" Id="rId56" /><Relationship Type="http://schemas.openxmlformats.org/officeDocument/2006/relationships/endnotes" Target="endnotes.xml" Id="rId8" /><Relationship Type="http://schemas.openxmlformats.org/officeDocument/2006/relationships/hyperlink" Target="#__RefHeading__48182_1575219009" TargetMode="External" Id="rId51" /><Relationship Type="http://schemas.openxmlformats.org/officeDocument/2006/relationships/numbering" Target="numbering.xml" Id="rId3" /><Relationship Type="http://schemas.openxmlformats.org/officeDocument/2006/relationships/hyperlink" Target="#__RefHeading__48100_1575219009" TargetMode="External" Id="rId12" /><Relationship Type="http://schemas.openxmlformats.org/officeDocument/2006/relationships/hyperlink" Target="#__RefHeading__48114_1575219009" TargetMode="External" Id="rId17" /><Relationship Type="http://schemas.openxmlformats.org/officeDocument/2006/relationships/hyperlink" Target="#__RefHeading__48130_1575219009" TargetMode="External" Id="rId25" /><Relationship Type="http://schemas.openxmlformats.org/officeDocument/2006/relationships/hyperlink" Target="#__RefHeading__48146_1575219009" TargetMode="External" Id="rId33" /><Relationship Type="http://schemas.openxmlformats.org/officeDocument/2006/relationships/hyperlink" Target="#__RefHeading__48156_1575219009" TargetMode="External" Id="rId38" /><Relationship Type="http://schemas.openxmlformats.org/officeDocument/2006/relationships/hyperlink" Target="#__RefHeading__48172_1575219009" TargetMode="External" Id="rId46" /><Relationship Type="http://schemas.openxmlformats.org/officeDocument/2006/relationships/hyperlink" Target="#__RefHeading__48120_1575219009" TargetMode="External" Id="rId20" /><Relationship Type="http://schemas.openxmlformats.org/officeDocument/2006/relationships/hyperlink" Target="#__RefHeading__48162_1575219009" TargetMode="External" Id="rId41" /><Relationship Type="http://schemas.openxmlformats.org/officeDocument/2006/relationships/footer" Target="footer1.xml" Id="rId54"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__RefHeading__48108_1575219009" TargetMode="External" Id="rId15" /><Relationship Type="http://schemas.openxmlformats.org/officeDocument/2006/relationships/hyperlink" Target="#__RefHeading__48126_1575219009" TargetMode="External" Id="rId23" /><Relationship Type="http://schemas.openxmlformats.org/officeDocument/2006/relationships/hyperlink" Target="#__RefHeading__48136_1575219009" TargetMode="External" Id="rId28" /><Relationship Type="http://schemas.openxmlformats.org/officeDocument/2006/relationships/hyperlink" Target="#__RefHeading__48152_1575219009" TargetMode="External" Id="rId36" /><Relationship Type="http://schemas.openxmlformats.org/officeDocument/2006/relationships/hyperlink" Target="#__RefHeading__48178_1575219009" TargetMode="External" Id="rId4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204426D1D9374081E3619396188474" ma:contentTypeVersion="18" ma:contentTypeDescription="Crée un document." ma:contentTypeScope="" ma:versionID="e7438a8ab6751843f9b0385be0ebb67a">
  <xsd:schema xmlns:xsd="http://www.w3.org/2001/XMLSchema" xmlns:xs="http://www.w3.org/2001/XMLSchema" xmlns:p="http://schemas.microsoft.com/office/2006/metadata/properties" xmlns:ns2="66043248-8b3d-48ae-b589-a2646fb0b50d" xmlns:ns3="f14fad09-e08f-47d2-91ff-2867b937bf42" targetNamespace="http://schemas.microsoft.com/office/2006/metadata/properties" ma:root="true" ma:fieldsID="b8648d767c7b12da6266efc439e6fd08" ns2:_="" ns3:_="">
    <xsd:import namespace="66043248-8b3d-48ae-b589-a2646fb0b50d"/>
    <xsd:import namespace="f14fad09-e08f-47d2-91ff-2867b937bf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43248-8b3d-48ae-b589-a2646fb0b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4fad09-e08f-47d2-91ff-2867b937bf4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364ed71-7b2a-45da-b305-2dd38446f633}" ma:internalName="TaxCatchAll" ma:showField="CatchAllData" ma:web="f14fad09-e08f-47d2-91ff-2867b937bf4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81893B-8C99-46AA-A9B9-0DBED1DB1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43248-8b3d-48ae-b589-a2646fb0b50d"/>
    <ds:schemaRef ds:uri="f14fad09-e08f-47d2-91ff-2867b937bf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A66F63-8B14-43A6-99FB-207EA6495AF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Ministeres Sociaux</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ALBERT-REVERSADE, Helene (DREETS-NA)</dc:creator>
  <keywords/>
  <lastModifiedBy>MORNET, Nicolas (DREETS-NA)</lastModifiedBy>
  <revision>3</revision>
  <dcterms:created xsi:type="dcterms:W3CDTF">2025-05-14T09:35:00.0000000Z</dcterms:created>
  <dcterms:modified xsi:type="dcterms:W3CDTF">2025-05-14T09:58:05.9697217Z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