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3.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footer3.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fontTable.xml" ContentType="application/vnd.openxmlformats-officedocument.wordprocessingml.fontTable+xml"/>
  <Override PartName="/word/media/image1.png" ContentType="image/png"/>
  <Override PartName="/word/header2.xml" ContentType="application/vnd.openxmlformats-officedocument.wordprocessingml.header+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Marianne" w:hAnsi="Marianne"/>
          <w:b/>
          <w:b/>
          <w:bCs/>
        </w:rPr>
      </w:pPr>
      <w:r>
        <w:rPr>
          <w:rFonts w:ascii="Marianne" w:hAnsi="Marianne"/>
          <w:b/>
          <w:bCs/>
        </w:rPr>
        <w:t>Gendarmerie nationale</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Normal"/>
        <w:spacing w:lineRule="auto" w:line="240" w:before="0" w:after="0"/>
        <w:ind w:left="0" w:right="0" w:hanging="0"/>
        <w:jc w:val="center"/>
        <w:rPr>
          <w:rFonts w:ascii="Marianne" w:hAnsi="Marianne"/>
        </w:rPr>
      </w:pPr>
      <w:r>
        <w:rPr>
          <w:rFonts w:cs="Marianne" w:ascii="Marianne" w:hAnsi="Marianne"/>
          <w:b/>
          <w:sz w:val="24"/>
          <w:szCs w:val="24"/>
          <w:lang w:val="fr-FR"/>
        </w:rPr>
        <w:t xml:space="preserve">Annexe 7 à l’ATTRI Acte d’engagement </w:t>
      </w:r>
    </w:p>
    <w:p>
      <w:pPr>
        <w:pStyle w:val="Normal"/>
        <w:spacing w:lineRule="auto" w:line="240" w:before="0" w:after="0"/>
        <w:ind w:left="0" w:right="0" w:hanging="0"/>
        <w:jc w:val="center"/>
        <w:rPr>
          <w:rFonts w:ascii="Marianne" w:hAnsi="Marianne"/>
        </w:rPr>
      </w:pPr>
      <w:r>
        <w:rPr>
          <w:rFonts w:ascii="Marianne" w:hAnsi="Marianne"/>
        </w:rPr>
      </w:r>
    </w:p>
    <w:p>
      <w:pPr>
        <w:pStyle w:val="Normal"/>
        <w:spacing w:before="0" w:after="120"/>
        <w:jc w:val="center"/>
        <w:rPr>
          <w:rFonts w:ascii="Marianne" w:hAnsi="Marianne"/>
        </w:rPr>
      </w:pPr>
      <w:r>
        <w:rPr>
          <w:rFonts w:cs="Calibri" w:ascii="Marianne" w:hAnsi="Marianne" w:cstheme="minorHAnsi"/>
          <w:b/>
          <w:sz w:val="20"/>
          <w:szCs w:val="20"/>
          <w:lang w:val="fr-FR"/>
        </w:rPr>
        <w:t xml:space="preserve">GENDARMERIE POUR LA ZONE DE DÉFENSE ET SÉCURITÉ SUD-EST – SERVICES DES SOUTIENS ET DES FINANCES ZONAL – BUREAU BUDGET ADMINISTRATION – SECTION ADMINISTRATION </w:t>
      </w:r>
    </w:p>
    <w:p>
      <w:pPr>
        <w:pStyle w:val="Normal"/>
        <w:spacing w:before="0" w:after="120"/>
        <w:jc w:val="center"/>
        <w:rPr>
          <w:rFonts w:ascii="Marianne" w:hAnsi="Marianne"/>
          <w:sz w:val="20"/>
          <w:szCs w:val="20"/>
        </w:rPr>
      </w:pPr>
      <w:r>
        <w:rPr>
          <w:rFonts w:ascii="Marianne" w:hAnsi="Marianne"/>
          <w:sz w:val="20"/>
          <w:szCs w:val="20"/>
        </w:rPr>
      </w:r>
    </w:p>
    <w:p>
      <w:pPr>
        <w:pStyle w:val="Normal"/>
        <w:spacing w:before="0" w:after="120"/>
        <w:jc w:val="center"/>
        <w:rPr>
          <w:rFonts w:ascii="Marianne" w:hAnsi="Marianne"/>
        </w:rPr>
      </w:pPr>
      <w:r>
        <w:rPr>
          <w:rFonts w:cs="Calibri" w:ascii="Marianne" w:hAnsi="Marianne" w:cstheme="minorHAnsi"/>
          <w:b/>
          <w:sz w:val="20"/>
          <w:szCs w:val="20"/>
        </w:rPr>
        <w:t xml:space="preserve">Attestation sur l’honneur </w:t>
      </w:r>
      <w:bookmarkStart w:id="0" w:name="_Hlk104796608"/>
      <w:r>
        <w:rPr>
          <w:rFonts w:cs="Calibri" w:ascii="Marianne" w:hAnsi="Marianne" w:cstheme="minorHAnsi"/>
          <w:b/>
          <w:sz w:val="20"/>
          <w:szCs w:val="20"/>
        </w:rPr>
        <w:t>d’absence de lien avec la Russie</w:t>
      </w:r>
      <w:bookmarkEnd w:id="0"/>
    </w:p>
    <w:p>
      <w:pPr>
        <w:pStyle w:val="Normal"/>
        <w:rPr>
          <w:rFonts w:ascii="Marianne" w:hAnsi="Marianne" w:cs="Calibri" w:cstheme="minorHAnsi"/>
          <w:b/>
          <w:b/>
          <w:sz w:val="20"/>
          <w:szCs w:val="20"/>
        </w:rPr>
      </w:pPr>
      <w:r>
        <w:rPr>
          <w:rFonts w:cs="Calibri" w:cstheme="minorHAnsi" w:ascii="Marianne" w:hAnsi="Marianne"/>
          <w:b/>
          <w:sz w:val="20"/>
          <w:szCs w:val="20"/>
        </w:rPr>
      </w:r>
    </w:p>
    <w:p>
      <w:pPr>
        <w:pStyle w:val="Normal"/>
        <w:jc w:val="center"/>
        <w:rPr>
          <w:rFonts w:ascii="Marianne" w:hAnsi="Marianne"/>
        </w:rPr>
      </w:pPr>
      <w:r>
        <w:rPr>
          <w:rFonts w:cs="Calibri" w:ascii="Marianne" w:hAnsi="Marianne" w:cstheme="minorHAnsi"/>
          <w:b/>
          <w:sz w:val="20"/>
          <w:szCs w:val="20"/>
        </w:rPr>
        <w:t>En application du règlement (UE) n°2022/576 du Conseil du 8 avril 2022 modifiant le règlement (UE) n°833/2014 concernant des mesures restrictives eu égard aux actions de la Russie déstabilisant la situation en Ukraine</w:t>
      </w:r>
    </w:p>
    <w:p>
      <w:pPr>
        <w:pStyle w:val="Normal"/>
        <w:jc w:val="center"/>
        <w:rPr>
          <w:rFonts w:ascii="Marianne" w:hAnsi="Marianne" w:cs="Calibri" w:cstheme="minorHAnsi"/>
          <w:b/>
          <w:b/>
          <w:sz w:val="20"/>
          <w:szCs w:val="20"/>
        </w:rPr>
      </w:pPr>
      <w:r>
        <w:rPr>
          <w:rFonts w:cs="Calibri" w:cstheme="minorHAnsi" w:ascii="Marianne" w:hAnsi="Marianne"/>
          <w:b/>
          <w:sz w:val="20"/>
          <w:szCs w:val="20"/>
        </w:rPr>
      </w:r>
    </w:p>
    <w:p>
      <w:pPr>
        <w:pStyle w:val="Normal"/>
        <w:jc w:val="center"/>
        <w:rPr>
          <w:rFonts w:ascii="Marianne" w:hAnsi="Marianne" w:cs="Calibri" w:cstheme="minorHAnsi"/>
          <w:b/>
          <w:b/>
          <w:sz w:val="20"/>
          <w:szCs w:val="20"/>
        </w:rPr>
      </w:pPr>
      <w:r>
        <w:rPr>
          <w:rFonts w:cs="Calibri" w:cstheme="minorHAnsi" w:ascii="Marianne" w:hAnsi="Marianne"/>
          <w:b/>
          <w:sz w:val="20"/>
          <w:szCs w:val="20"/>
        </w:rPr>
      </w:r>
    </w:p>
    <w:p>
      <w:pPr>
        <w:pStyle w:val="Normal"/>
        <w:jc w:val="both"/>
        <w:rPr>
          <w:rFonts w:ascii="Marianne" w:hAnsi="Marianne"/>
        </w:rPr>
      </w:pPr>
      <w:r>
        <w:rPr>
          <w:rFonts w:cs="Calibri" w:ascii="Marianne" w:hAnsi="Marianne" w:cstheme="minorHAnsi"/>
          <w:b/>
          <w:sz w:val="20"/>
          <w:szCs w:val="20"/>
        </w:rPr>
        <w:t xml:space="preserve">Objet de la consultation du marché : </w:t>
      </w:r>
      <w:r>
        <w:rPr>
          <w:rFonts w:eastAsia="Arial-BoldMT;Arial Unicode MS" w:cs="Marianne" w:ascii="Marianne" w:hAnsi="Marianne"/>
          <w:b w:val="false"/>
          <w:bCs w:val="false"/>
          <w:i w:val="false"/>
          <w:iCs/>
          <w:strike w:val="false"/>
          <w:dstrike w:val="false"/>
          <w:outline w:val="false"/>
          <w:shadow w:val="false"/>
          <w:color w:val="000000"/>
          <w:kern w:val="0"/>
          <w:sz w:val="20"/>
          <w:szCs w:val="20"/>
          <w:u w:val="none"/>
          <w:shd w:fill="auto" w:val="clear"/>
          <w:em w:val="none"/>
          <w:lang w:val="fr-FR" w:eastAsia="ar-SA" w:bidi="ar-SA"/>
        </w:rPr>
        <w:t>Travaux d’exécution de sécurisation de dépose des clôtures existantes et remplacement par des clôtures barreaudées et aluminium, avec pose de lisse défensive, de la zone famille et zone technique du quartier LASALLE de la gendarmerie à BASSENS-73.</w:t>
      </w:r>
    </w:p>
    <w:p>
      <w:pPr>
        <w:pStyle w:val="Normal"/>
        <w:jc w:val="left"/>
        <w:rPr>
          <w:rFonts w:ascii="Marianne" w:hAnsi="Marianne"/>
        </w:rPr>
      </w:pPr>
      <w:r>
        <w:rPr>
          <w:rFonts w:ascii="Marianne" w:hAnsi="Marianne"/>
        </w:rPr>
      </w:r>
    </w:p>
    <w:p>
      <w:pPr>
        <w:pStyle w:val="Normal"/>
        <w:jc w:val="left"/>
        <w:rPr>
          <w:rFonts w:ascii="Marianne" w:hAnsi="Marianne"/>
        </w:rPr>
      </w:pPr>
      <w:r>
        <w:rPr>
          <w:rFonts w:ascii="Marianne" w:hAnsi="Marianne"/>
        </w:rPr>
      </w:r>
    </w:p>
    <w:p>
      <w:pPr>
        <w:pStyle w:val="Normal"/>
        <w:jc w:val="both"/>
        <w:rPr>
          <w:rFonts w:ascii="Marianne" w:hAnsi="Marianne"/>
        </w:rPr>
      </w:pPr>
      <w:r>
        <w:rPr>
          <w:rFonts w:cs="Calibri" w:ascii="Marianne" w:hAnsi="Marianne" w:cstheme="minorHAnsi"/>
          <w:sz w:val="20"/>
          <w:szCs w:val="20"/>
        </w:rPr>
        <w:t>Je, soussigné (nom, prénom, qualité dans l’entreprise) atteste sur l’honneur que [</w:t>
      </w:r>
      <w:r>
        <w:rPr>
          <w:rFonts w:cs="Calibri" w:ascii="Marianne" w:hAnsi="Marianne" w:cstheme="minorHAnsi"/>
          <w:sz w:val="20"/>
          <w:szCs w:val="20"/>
          <w:shd w:fill="FFFF00" w:val="clear"/>
        </w:rPr>
        <w:t>A COMPLÉTER</w:t>
      </w:r>
      <w:r>
        <w:rPr>
          <w:rFonts w:cs="Calibri" w:ascii="Marianne" w:hAnsi="Marianne" w:cstheme="minorHAnsi"/>
          <w:sz w:val="20"/>
          <w:szCs w:val="20"/>
        </w:rPr>
        <w:t xml:space="preserve">], pour laquelle j’interviens :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numPr>
          <w:ilvl w:val="0"/>
          <w:numId w:val="1"/>
        </w:numPr>
        <w:spacing w:before="0" w:after="240"/>
        <w:jc w:val="both"/>
        <w:rPr>
          <w:rFonts w:ascii="Marianne" w:hAnsi="Marianne"/>
        </w:rPr>
      </w:pPr>
      <w:r>
        <w:rPr>
          <w:rFonts w:cs="Calibri" w:ascii="Marianne" w:hAnsi="Marianne" w:cstheme="minorHAnsi"/>
          <w:sz w:val="20"/>
          <w:szCs w:val="20"/>
        </w:rPr>
        <w:t>N’est pas un ressortissant russe ;</w:t>
      </w:r>
    </w:p>
    <w:p>
      <w:pPr>
        <w:pStyle w:val="Normal"/>
        <w:numPr>
          <w:ilvl w:val="0"/>
          <w:numId w:val="1"/>
        </w:numPr>
        <w:spacing w:before="0" w:after="240"/>
        <w:jc w:val="both"/>
        <w:rPr>
          <w:rFonts w:ascii="Marianne" w:hAnsi="Marianne"/>
        </w:rPr>
      </w:pPr>
      <w:r>
        <w:rPr>
          <w:rFonts w:cs="Calibri" w:ascii="Marianne" w:hAnsi="Marianne" w:cstheme="minorHAnsi"/>
          <w:sz w:val="20"/>
          <w:szCs w:val="20"/>
        </w:rPr>
        <w:t xml:space="preserve"> </w:t>
      </w:r>
      <w:r>
        <w:rPr>
          <w:rFonts w:cs="Calibri" w:ascii="Marianne" w:hAnsi="Marianne" w:cstheme="minorHAnsi"/>
          <w:sz w:val="20"/>
          <w:szCs w:val="20"/>
        </w:rPr>
        <w:t>N’est pas une personne physique ou morale, ou une entité ou un organisme établi sur le territoire russe ;</w:t>
      </w:r>
    </w:p>
    <w:p>
      <w:pPr>
        <w:pStyle w:val="Normal"/>
        <w:numPr>
          <w:ilvl w:val="0"/>
          <w:numId w:val="1"/>
        </w:numPr>
        <w:spacing w:before="0" w:after="240"/>
        <w:jc w:val="both"/>
        <w:rPr>
          <w:rFonts w:ascii="Marianne" w:hAnsi="Marianne"/>
        </w:rPr>
      </w:pPr>
      <w:r>
        <w:rPr>
          <w:rFonts w:cs="Calibri" w:ascii="Marianne" w:hAnsi="Marianne" w:cstheme="minorHAnsi"/>
          <w:sz w:val="20"/>
          <w:szCs w:val="20"/>
        </w:rPr>
        <w:t>N’est pas détenu à plus de 50 %, et de cette manière directe ou indirecte, par une entité établie sur le territoire russe ;</w:t>
      </w:r>
    </w:p>
    <w:p>
      <w:pPr>
        <w:pStyle w:val="Normal"/>
        <w:numPr>
          <w:ilvl w:val="0"/>
          <w:numId w:val="1"/>
        </w:numPr>
        <w:jc w:val="both"/>
        <w:rPr>
          <w:rFonts w:ascii="Marianne" w:hAnsi="Marianne"/>
        </w:rPr>
      </w:pPr>
      <w:r>
        <mc:AlternateContent>
          <mc:Choice Requires="wps">
            <w:drawing>
              <wp:anchor behindDoc="0" distT="12700" distB="147955" distL="12700" distR="17780" simplePos="0" locked="0" layoutInCell="0" allowOverlap="1" relativeHeight="3" wp14:anchorId="4A8838B7">
                <wp:simplePos x="0" y="0"/>
                <wp:positionH relativeFrom="column">
                  <wp:posOffset>-731520</wp:posOffset>
                </wp:positionH>
                <wp:positionV relativeFrom="paragraph">
                  <wp:posOffset>340995</wp:posOffset>
                </wp:positionV>
                <wp:extent cx="918210" cy="735330"/>
                <wp:effectExtent l="12700" t="12700" r="17780" b="147955"/>
                <wp:wrapNone/>
                <wp:docPr id="1" name="Rectangle 4"/>
                <a:graphic xmlns:a="http://schemas.openxmlformats.org/drawingml/2006/main">
                  <a:graphicData uri="http://schemas.microsoft.com/office/word/2010/wordprocessingShape">
                    <wps:wsp>
                      <wps:cNvSpPr/>
                      <wps:spPr>
                        <a:xfrm>
                          <a:off x="0" y="0"/>
                          <a:ext cx="918360" cy="735480"/>
                        </a:xfrm>
                        <a:prstGeom prst="wedgeRectCallout">
                          <a:avLst>
                            <a:gd name="adj1" fmla="val 50549"/>
                            <a:gd name="adj2" fmla="val 68344"/>
                          </a:avLst>
                        </a:prstGeom>
                        <a:noFill/>
                        <a:ln w="25400">
                          <a:solidFill>
                            <a:srgbClr val="0000ff"/>
                          </a:solidFill>
                          <a:round/>
                        </a:ln>
                      </wps:spPr>
                      <wps:style>
                        <a:lnRef idx="0"/>
                        <a:fillRef idx="0"/>
                        <a:effectRef idx="0"/>
                        <a:fontRef idx="minor"/>
                      </wps:style>
                      <wps:txbx>
                        <w:txbxContent>
                          <w:p>
                            <w:pPr>
                              <w:pStyle w:val="Corpsdetexte"/>
                              <w:rPr>
                                <w:rFonts w:ascii="Calibri" w:hAnsi="Calibri" w:cs="Calibri"/>
                                <w:bCs w:val="false"/>
                                <w:sz w:val="16"/>
                                <w:szCs w:val="16"/>
                              </w:rPr>
                            </w:pPr>
                            <w:r>
                              <w:rPr>
                                <w:rFonts w:cs="Calibri" w:ascii="Calibri" w:hAnsi="Calibri"/>
                                <w:bCs w:val="false"/>
                                <w:color w:val="000000"/>
                                <w:sz w:val="16"/>
                                <w:szCs w:val="16"/>
                              </w:rPr>
                              <w:t>Indiquer le nom de société ou de l’entité ou de l’organisme</w:t>
                            </w:r>
                          </w:p>
                        </w:txbxContent>
                      </wps:txbx>
                      <wps:bodyPr anchor="ctr">
                        <a:prstTxWarp prst="textNoShape"/>
                        <a:noAutofit/>
                      </wps:bodyPr>
                    </wps:wsp>
                  </a:graphicData>
                </a:graphic>
              </wp:anchor>
            </w:drawing>
          </mc:Choice>
          <mc:Fallback>
            <w:pict>
              <v:shapetype id="_x0000_t61" coordsize="21600,21600" o:spt="61" adj="13500,-4500" path="m,l@11,l@20@28l@12,l21600,l21600@15l@22@30l21600@16l21600,21600l@12,21600l@24@32l@11,21600l,21600l0@16l@18@26l0@15xe">
                <v:stroke joinstyle="miter"/>
                <v:formulas>
                  <v:f eqn="val #1"/>
                  <v:f eqn="val #0"/>
                  <v:f eqn="sum 10800 @0 0"/>
                  <v:f eqn="sum 10800 @1 0"/>
                  <v:f eqn="sum @2 0 10800"/>
                  <v:f eqn="sum @3 0 10800"/>
                  <v:f eqn="abs @1"/>
                  <v:f eqn="abs @0"/>
                  <v:f eqn="sum @6 0 @7"/>
                  <v:f eqn="if @0 7 2"/>
                  <v:f eqn="if @0 10 5"/>
                  <v:f eqn="prod 5400 @9 3"/>
                  <v:f eqn="prod 5400 @10 3"/>
                  <v:f eqn="if @1 7 2"/>
                  <v:f eqn="if @1 10 5"/>
                  <v:f eqn="prod 5400 @13 3"/>
                  <v:f eqn="prod 5400 @14 3"/>
                  <v:f eqn="if @0 0 @2"/>
                  <v:f eqn="if @8 0 @17"/>
                  <v:f eqn="if @1 @11 @2"/>
                  <v:f eqn="if @8 @19 @11"/>
                  <v:f eqn="if @0 @2 width"/>
                  <v:f eqn="if @8 width @21"/>
                  <v:f eqn="if @1 @2 @11"/>
                  <v:f eqn="if @8 @23 @11"/>
                  <v:f eqn="if @0 @15 @3"/>
                  <v:f eqn="if @8 @15 @25"/>
                  <v:f eqn="if @1 0 @3"/>
                  <v:f eqn="if @8 @27 0"/>
                  <v:f eqn="if @0 @3 @15"/>
                  <v:f eqn="if @8 @15 @29"/>
                  <v:f eqn="if @1 @3 height"/>
                  <v:f eqn="if @8 @31 height"/>
                </v:formulas>
                <v:path gradientshapeok="t" o:connecttype="rect" textboxrect="0,0,21600,21600"/>
                <v:handles>
                  <v:h position="@2,@3"/>
                </v:handles>
              </v:shapetype>
              <v:shape id="shape_0" ID="Rectangle 4" path="m0,0l-2147483628,0l-2147483616,-2147483608l-2147483626,0l-2147483602,0l-2147483602,-2147483622l-2147483614,-2147483606l-2147483602,-2147483620l-2147483602,-2147483603l-2147483626,-2147483603l-2147483612,-2147483604l-2147483628,-2147483603l0,-2147483603l0,-2147483620l-2147483618,-2147483610l0,-2147483622xe" stroked="t" o:allowincell="f" style="position:absolute;margin-left:-57.6pt;margin-top:26.85pt;width:72.25pt;height:57.85pt;mso-wrap-style:square;v-text-anchor:middle" wp14:anchorId="4A8838B7" type="_x0000_t61">
                <v:fill o:detectmouseclick="t" on="false"/>
                <v:stroke color="blue" weight="25560" joinstyle="round" endcap="flat"/>
                <v:textbox>
                  <w:txbxContent>
                    <w:p>
                      <w:pPr>
                        <w:pStyle w:val="Corpsdetexte"/>
                        <w:rPr>
                          <w:rFonts w:ascii="Calibri" w:hAnsi="Calibri" w:cs="Calibri"/>
                          <w:bCs w:val="false"/>
                          <w:sz w:val="16"/>
                          <w:szCs w:val="16"/>
                        </w:rPr>
                      </w:pPr>
                      <w:r>
                        <w:rPr>
                          <w:rFonts w:cs="Calibri" w:ascii="Calibri" w:hAnsi="Calibri"/>
                          <w:bCs w:val="false"/>
                          <w:color w:val="000000"/>
                          <w:sz w:val="16"/>
                          <w:szCs w:val="16"/>
                        </w:rPr>
                        <w:t>Indiquer le nom de société ou de l’entité ou de l’organisme</w:t>
                      </w:r>
                    </w:p>
                  </w:txbxContent>
                </v:textbox>
                <w10:wrap type="none"/>
              </v:shape>
            </w:pict>
          </mc:Fallback>
        </mc:AlternateContent>
      </w:r>
      <w:r>
        <w:rPr>
          <w:rFonts w:cs="Calibri" w:ascii="Marianne" w:hAnsi="Marianne" w:cstheme="minorHAnsi"/>
          <w:sz w:val="20"/>
          <w:szCs w:val="20"/>
        </w:rPr>
        <w:t>N’agis pas pour le compte ou sur instruction d’une entité établie sur le territoire russe ou d’une entité détenue à plus de 50 % par une entité elle-même établie sur le territoire russe.</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numPr>
          <w:ilvl w:val="0"/>
          <w:numId w:val="1"/>
        </w:numPr>
        <w:jc w:val="both"/>
        <w:rPr>
          <w:rFonts w:ascii="Marianne" w:hAnsi="Marianne"/>
        </w:rPr>
      </w:pPr>
      <w:r>
        <w:rPr>
          <w:rFonts w:cs="Calibri" w:ascii="Marianne" w:hAnsi="Marianne" w:cstheme="minorHAnsi"/>
          <w:sz w:val="20"/>
          <w:szCs w:val="20"/>
        </w:rPr>
        <w:t>N’a pas recours, et ce pendant toute la durée du marché, à des sous-traitants ou des fournisseurs ou entités pour un montant représentant plus de 10 % de la valeur du marché et se trouvant dans l’un des cas précités (1),2),3) ou 4),</w:t>
      </w:r>
    </w:p>
    <w:p>
      <w:pPr>
        <w:pStyle w:val="ListParagrap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sz w:val="20"/>
          <w:szCs w:val="20"/>
        </w:rPr>
        <w:t>[</w:t>
      </w:r>
      <w:r>
        <w:rPr>
          <w:rFonts w:cs="Calibri" w:ascii="Marianne" w:hAnsi="Marianne" w:cstheme="minorHAnsi"/>
          <w:sz w:val="20"/>
          <w:szCs w:val="20"/>
          <w:shd w:fill="FFFF00" w:val="clear"/>
        </w:rPr>
        <w:t>A COMPLÉTER</w:t>
      </w:r>
      <w:r>
        <w:rPr>
          <w:rFonts w:cs="Calibri" w:ascii="Marianne" w:hAnsi="Marianne" w:cstheme="minorHAnsi"/>
          <w:sz w:val="20"/>
          <w:szCs w:val="20"/>
        </w:rPr>
        <w:t xml:space="preserve">] s’engage à fournir à première demande tout justificatif (notamment la liste exhaustive de tous ses fournisseurs) attestant du respect de ces engagements. Dans le cas inverse, le pouvoir adjudicateur se réserve la possibilité de résilier l’intégralité du marché sans indemnité.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sz w:val="20"/>
          <w:szCs w:val="20"/>
        </w:rPr>
        <w:t xml:space="preserve">Fait à </w:t>
      </w:r>
    </w:p>
    <w:p>
      <w:pPr>
        <w:pStyle w:val="Normal"/>
        <w:jc w:val="both"/>
        <w:rPr>
          <w:rFonts w:ascii="Marianne" w:hAnsi="Marianne"/>
        </w:rPr>
      </w:pPr>
      <w:r>
        <w:rPr>
          <w:rFonts w:cs="Calibri" w:ascii="Marianne" w:hAnsi="Marianne" w:cstheme="minorHAnsi"/>
          <w:sz w:val="20"/>
          <w:szCs w:val="20"/>
        </w:rPr>
        <w:t xml:space="preserve">Le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i/>
          <w:sz w:val="20"/>
          <w:szCs w:val="20"/>
        </w:rPr>
        <w:t>Signature</w:t>
      </w:r>
    </w:p>
    <w:p>
      <w:pPr>
        <w:pStyle w:val="Normal"/>
        <w:jc w:val="both"/>
        <w:rPr>
          <w:rFonts w:ascii="Marianne" w:hAnsi="Marianne"/>
        </w:rPr>
      </w:pPr>
      <w:bookmarkStart w:id="1" w:name="_Hlk104796548"/>
      <w:r>
        <w:rPr>
          <w:rFonts w:cs="Calibri" w:ascii="Marianne" w:hAnsi="Marianne" w:cstheme="minorHAnsi"/>
          <w:i/>
          <w:sz w:val="20"/>
          <w:szCs w:val="20"/>
        </w:rPr>
        <w:t>Cachet de l’entrepr</w:t>
      </w:r>
      <w:bookmarkEnd w:id="1"/>
      <w:r>
        <w:rPr>
          <w:rFonts w:cs="Calibri" w:ascii="Marianne" w:hAnsi="Marianne" w:cstheme="minorHAnsi"/>
          <w:i/>
          <w:sz w:val="20"/>
          <w:szCs w:val="20"/>
        </w:rPr>
        <w:t>ise</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1417" w:footer="708" w:bottom="147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rebuchet MS">
    <w:charset w:val="01"/>
    <w:family w:val="roman"/>
    <w:pitch w:val="variable"/>
  </w:font>
  <w:font w:name="Liberation Sans">
    <w:altName w:val="Arial"/>
    <w:charset w:val="01"/>
    <w:family w:val="roman"/>
    <w:pitch w:val="variable"/>
  </w:font>
  <w:font w:name="Marianne">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keepLines/>
      <w:widowControl/>
      <w:suppressAutoHyphens w:val="true"/>
      <w:overflowPunct w:val="true"/>
      <w:bidi w:val="0"/>
      <w:spacing w:lineRule="exact" w:line="240" w:before="0" w:after="240"/>
      <w:ind w:left="0" w:right="0" w:hanging="0"/>
      <w:jc w:val="left"/>
      <w:rPr>
        <w:highlight w:val="none"/>
        <w:shd w:fill="auto" w:val="clear"/>
      </w:rPr>
    </w:pPr>
    <w:r>
      <w:rPr>
        <w:rFonts w:cs="Marianne" w:ascii="Marianne" w:hAnsi="Marianne"/>
        <w:b w:val="false"/>
        <w:bCs w:val="false"/>
        <w:i w:val="false"/>
        <w:iCs w:val="false"/>
        <w:sz w:val="16"/>
        <w:szCs w:val="16"/>
        <w:shd w:fill="auto" w:val="clear"/>
      </w:rPr>
      <w:t xml:space="preserve">Annexe 7 ATTRI 1 </w:t>
      <w:tab/>
      <w:tab/>
      <w:t xml:space="preserve">09 – </w:t>
    </w:r>
    <w:r>
      <w:rPr>
        <w:rFonts w:eastAsia="Times New Roman" w:cs="Times New Roman" w:ascii="Marianne" w:hAnsi="Marianne"/>
        <w:b w:val="false"/>
        <w:bCs w:val="false"/>
        <w:i w:val="false"/>
        <w:iCs w:val="false"/>
        <w:strike w:val="false"/>
        <w:dstrike w:val="false"/>
        <w:outline w:val="false"/>
        <w:shadow/>
        <w:color w:val="000000"/>
        <w:sz w:val="16"/>
        <w:szCs w:val="16"/>
        <w:u w:val="none"/>
        <w:shd w:fill="auto" w:val="clear"/>
        <w:em w:val="none"/>
        <w:lang w:val="fr-FR" w:eastAsia="zxx" w:bidi="ar-SA"/>
      </w:rPr>
      <w:t xml:space="preserve">Travaux de remplacement de clôtures caserne de gendarmerie de Bassens (73)      </w:t>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PAGE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r>
      <w:rPr>
        <w:rFonts w:cs="Marianne" w:ascii="Marianne" w:hAnsi="Marianne"/>
        <w:b w:val="false"/>
        <w:bCs w:val="false"/>
        <w:i w:val="false"/>
        <w:iCs w:val="false"/>
        <w:sz w:val="16"/>
        <w:szCs w:val="16"/>
        <w:shd w:fill="auto" w:val="clear"/>
      </w:rPr>
      <w:t>/</w:t>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NUMPAGES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keepLines/>
      <w:widowControl/>
      <w:suppressAutoHyphens w:val="true"/>
      <w:overflowPunct w:val="true"/>
      <w:bidi w:val="0"/>
      <w:spacing w:lineRule="exact" w:line="240" w:before="0" w:after="240"/>
      <w:ind w:left="0" w:right="0" w:hanging="0"/>
      <w:jc w:val="left"/>
      <w:rPr>
        <w:highlight w:val="none"/>
        <w:shd w:fill="auto" w:val="clear"/>
      </w:rPr>
    </w:pPr>
    <w:r>
      <w:rPr>
        <w:rFonts w:cs="Marianne" w:ascii="Marianne" w:hAnsi="Marianne"/>
        <w:b w:val="false"/>
        <w:bCs w:val="false"/>
        <w:i w:val="false"/>
        <w:iCs w:val="false"/>
        <w:sz w:val="16"/>
        <w:szCs w:val="16"/>
        <w:shd w:fill="auto" w:val="clear"/>
      </w:rPr>
      <w:t xml:space="preserve">Annexe 7 ATTRI 1 </w:t>
      <w:tab/>
      <w:tab/>
      <w:t xml:space="preserve">09 – </w:t>
    </w:r>
    <w:r>
      <w:rPr>
        <w:rFonts w:eastAsia="Times New Roman" w:cs="Times New Roman" w:ascii="Marianne" w:hAnsi="Marianne"/>
        <w:b w:val="false"/>
        <w:bCs w:val="false"/>
        <w:i w:val="false"/>
        <w:iCs w:val="false"/>
        <w:strike w:val="false"/>
        <w:dstrike w:val="false"/>
        <w:outline w:val="false"/>
        <w:shadow/>
        <w:color w:val="000000"/>
        <w:sz w:val="16"/>
        <w:szCs w:val="16"/>
        <w:u w:val="none"/>
        <w:shd w:fill="auto" w:val="clear"/>
        <w:em w:val="none"/>
        <w:lang w:val="fr-FR" w:eastAsia="zxx" w:bidi="ar-SA"/>
      </w:rPr>
      <w:t xml:space="preserve">Travaux de remplacement de clôtures caserne de gendarmerie de Bassens (73)      </w:t>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PAGE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r>
      <w:rPr>
        <w:rFonts w:cs="Marianne" w:ascii="Marianne" w:hAnsi="Marianne"/>
        <w:b w:val="false"/>
        <w:bCs w:val="false"/>
        <w:i w:val="false"/>
        <w:iCs w:val="false"/>
        <w:sz w:val="16"/>
        <w:szCs w:val="16"/>
        <w:shd w:fill="auto" w:val="clear"/>
      </w:rPr>
      <w:t>/</w:t>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NUMPAGES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drawing>
        <wp:anchor behindDoc="1" distT="0" distB="0" distL="0" distR="0" simplePos="0" locked="0" layoutInCell="0" allowOverlap="1" relativeHeight="2">
          <wp:simplePos x="0" y="0"/>
          <wp:positionH relativeFrom="column">
            <wp:posOffset>139065</wp:posOffset>
          </wp:positionH>
          <wp:positionV relativeFrom="paragraph">
            <wp:posOffset>489585</wp:posOffset>
          </wp:positionV>
          <wp:extent cx="842645" cy="566420"/>
          <wp:effectExtent l="0" t="0" r="0" b="0"/>
          <wp:wrapSquare wrapText="largest"/>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1"/>
                  <a:srcRect l="-24" t="-31" r="-24" b="-31"/>
                  <a:stretch>
                    <a:fillRect/>
                  </a:stretch>
                </pic:blipFill>
                <pic:spPr bwMode="auto">
                  <a:xfrm>
                    <a:off x="0" y="0"/>
                    <a:ext cx="842645" cy="56642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drawing>
        <wp:anchor behindDoc="1" distT="0" distB="0" distL="0" distR="0" simplePos="0" locked="0" layoutInCell="0" allowOverlap="1" relativeHeight="2">
          <wp:simplePos x="0" y="0"/>
          <wp:positionH relativeFrom="column">
            <wp:posOffset>139065</wp:posOffset>
          </wp:positionH>
          <wp:positionV relativeFrom="paragraph">
            <wp:posOffset>489585</wp:posOffset>
          </wp:positionV>
          <wp:extent cx="842645" cy="566420"/>
          <wp:effectExtent l="0" t="0" r="0" b="0"/>
          <wp:wrapSquare wrapText="largest"/>
          <wp:docPr id="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
                  <pic:cNvPicPr>
                    <a:picLocks noChangeAspect="1" noChangeArrowheads="1"/>
                  </pic:cNvPicPr>
                </pic:nvPicPr>
                <pic:blipFill>
                  <a:blip r:embed="rId1"/>
                  <a:srcRect l="-24" t="-31" r="-24" b="-31"/>
                  <a:stretch>
                    <a:fillRect/>
                  </a:stretch>
                </pic:blipFill>
                <pic:spPr bwMode="auto">
                  <a:xfrm>
                    <a:off x="0" y="0"/>
                    <a:ext cx="842645" cy="56642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4"/>
        <w:szCs w:val="24"/>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ba2e3e"/>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14:ligatures w14:val="none"/>
    </w:rPr>
  </w:style>
  <w:style w:type="character" w:styleId="DefaultParagraphFont" w:default="1">
    <w:name w:val="Default Paragraph Font"/>
    <w:uiPriority w:val="1"/>
    <w:semiHidden/>
    <w:unhideWhenUsed/>
    <w:qFormat/>
    <w:rPr/>
  </w:style>
  <w:style w:type="character" w:styleId="CorpsdetexteCar" w:customStyle="1">
    <w:name w:val="Corps de texte Car"/>
    <w:basedOn w:val="DefaultParagraphFont"/>
    <w:qFormat/>
    <w:rsid w:val="00ba2e3e"/>
    <w:rPr>
      <w:rFonts w:ascii="Trebuchet MS" w:hAnsi="Trebuchet MS" w:eastAsia="Times New Roman" w:cs="Times New Roman"/>
      <w:bCs/>
      <w:kern w:val="0"/>
      <w:sz w:val="22"/>
      <w:szCs w:val="20"/>
      <w:lang w:eastAsia="fr-FR"/>
      <w14:ligatures w14:val="none"/>
    </w:rPr>
  </w:style>
  <w:style w:type="character" w:styleId="EntteCar" w:customStyle="1">
    <w:name w:val="En-tête Car"/>
    <w:basedOn w:val="DefaultParagraphFont"/>
    <w:uiPriority w:val="99"/>
    <w:qFormat/>
    <w:rsid w:val="00ba2e3e"/>
    <w:rPr>
      <w:rFonts w:ascii="Times New Roman" w:hAnsi="Times New Roman" w:eastAsia="Times New Roman" w:cs="Times New Roman"/>
      <w:kern w:val="0"/>
      <w:sz w:val="20"/>
      <w:szCs w:val="20"/>
      <w:lang w:eastAsia="fr-FR"/>
      <w14:ligatures w14:val="none"/>
    </w:rPr>
  </w:style>
  <w:style w:type="character" w:styleId="PieddepageCar" w:customStyle="1">
    <w:name w:val="Pied de page Car"/>
    <w:basedOn w:val="DefaultParagraphFont"/>
    <w:uiPriority w:val="99"/>
    <w:qFormat/>
    <w:rsid w:val="00ba2e3e"/>
    <w:rPr>
      <w:rFonts w:ascii="Times New Roman" w:hAnsi="Times New Roman" w:eastAsia="Times New Roman" w:cs="Times New Roman"/>
      <w:kern w:val="0"/>
      <w:sz w:val="20"/>
      <w:szCs w:val="20"/>
      <w:lang w:eastAsia="fr-FR"/>
      <w14:ligatures w14:val="none"/>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link w:val="CorpsdetexteCar"/>
    <w:rsid w:val="00ba2e3e"/>
    <w:pPr>
      <w:jc w:val="both"/>
    </w:pPr>
    <w:rPr>
      <w:rFonts w:ascii="Trebuchet MS" w:hAnsi="Trebuchet MS"/>
      <w:bCs/>
      <w:sz w:val="22"/>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ListParagraph">
    <w:name w:val="List Paragraph"/>
    <w:basedOn w:val="Normal"/>
    <w:uiPriority w:val="34"/>
    <w:qFormat/>
    <w:rsid w:val="00ba2e3e"/>
    <w:pPr>
      <w:spacing w:before="0" w:after="0"/>
      <w:ind w:left="720" w:hanging="0"/>
      <w:contextualSpacing/>
    </w:pPr>
    <w:rPr/>
  </w:style>
  <w:style w:type="paragraph" w:styleId="Entteetpieddepage">
    <w:name w:val="En-tête et pied de page"/>
    <w:basedOn w:val="Normal"/>
    <w:qFormat/>
    <w:pPr/>
    <w:rPr/>
  </w:style>
  <w:style w:type="paragraph" w:styleId="Entte">
    <w:name w:val="Header"/>
    <w:basedOn w:val="Normal"/>
    <w:uiPriority w:val="99"/>
    <w:unhideWhenUsed/>
    <w:rsid w:val="00ba2e3e"/>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ba2e3e"/>
    <w:pPr>
      <w:tabs>
        <w:tab w:val="clear" w:pos="708"/>
        <w:tab w:val="center" w:pos="4536" w:leader="none"/>
        <w:tab w:val="right" w:pos="9072" w:leader="none"/>
      </w:tabs>
    </w:pPr>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ba2e3e"/>
    <w:rPr>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Bureau">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36</TotalTime>
  <Application>LibreOffice/7.3.7.2$Linux_X86_64 LibreOffice_project/30$Build-2</Application>
  <AppVersion>15.0000</AppVersion>
  <Pages>1</Pages>
  <Words>356</Words>
  <Characters>1839</Characters>
  <CharactersWithSpaces>2196</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2023-02-20T18:01:00Z</dcterms:created>
  <dc:creator> </dc:creator>
  <dc:description/>
  <dc:language>fr-FR</dc:language>
  <cp:lastModifiedBy/>
  <dcterms:modified xsi:type="dcterms:W3CDTF">2025-06-12T10:57:48Z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