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4E39A3" w:rsidRPr="004E39A3" w:rsidRDefault="004E39A3" w:rsidP="004E39A3">
      <w:pPr>
        <w:tabs>
          <w:tab w:val="left" w:pos="426"/>
          <w:tab w:val="left" w:pos="851"/>
        </w:tabs>
        <w:jc w:val="center"/>
        <w:rPr>
          <w:b/>
          <w:iCs/>
          <w:sz w:val="24"/>
          <w:szCs w:val="24"/>
        </w:rPr>
      </w:pPr>
      <w:bookmarkStart w:id="0" w:name="_Hlk187239728"/>
      <w:bookmarkStart w:id="1" w:name="_Hlk141278761"/>
      <w:r w:rsidRPr="004E39A3">
        <w:rPr>
          <w:b/>
          <w:iCs/>
          <w:sz w:val="24"/>
          <w:szCs w:val="24"/>
        </w:rPr>
        <w:t xml:space="preserve">Maintenance préventive et corrective des systèmes de sécurité incendie (SSI), des équipements de désenfumage et des asservissements associés </w:t>
      </w:r>
    </w:p>
    <w:p w:rsidR="004E39A3" w:rsidRPr="004E39A3" w:rsidRDefault="004E39A3" w:rsidP="004E39A3">
      <w:pPr>
        <w:tabs>
          <w:tab w:val="left" w:pos="426"/>
          <w:tab w:val="left" w:pos="851"/>
        </w:tabs>
        <w:jc w:val="center"/>
        <w:rPr>
          <w:b/>
          <w:iCs/>
          <w:sz w:val="24"/>
          <w:szCs w:val="24"/>
        </w:rPr>
      </w:pPr>
      <w:proofErr w:type="gramStart"/>
      <w:r w:rsidRPr="004E39A3">
        <w:rPr>
          <w:b/>
          <w:iCs/>
          <w:sz w:val="24"/>
          <w:szCs w:val="24"/>
        </w:rPr>
        <w:t>pour</w:t>
      </w:r>
      <w:proofErr w:type="gramEnd"/>
      <w:r w:rsidRPr="004E39A3">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sidR="006F7EA5">
        <w:rPr>
          <w:b/>
          <w:iCs/>
          <w:sz w:val="28"/>
          <w:szCs w:val="28"/>
        </w:rPr>
        <w:t>4</w:t>
      </w:r>
    </w:p>
    <w:tbl>
      <w:tblPr>
        <w:tblStyle w:val="Grilledutableau8"/>
        <w:tblW w:w="6379" w:type="dxa"/>
        <w:tblInd w:w="1696" w:type="dxa"/>
        <w:tblLook w:val="04A0" w:firstRow="1" w:lastRow="0" w:firstColumn="1" w:lastColumn="0" w:noHBand="0" w:noVBand="1"/>
      </w:tblPr>
      <w:tblGrid>
        <w:gridCol w:w="6379"/>
      </w:tblGrid>
      <w:tr w:rsidR="006F7EA5" w:rsidRPr="006F7EA5" w:rsidTr="006F7EA5">
        <w:trPr>
          <w:trHeight w:val="752"/>
        </w:trPr>
        <w:tc>
          <w:tcPr>
            <w:tcW w:w="6379"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6F7EA5" w:rsidRPr="006F7EA5" w:rsidRDefault="006F7EA5" w:rsidP="006F7EA5">
            <w:pPr>
              <w:tabs>
                <w:tab w:val="left" w:pos="426"/>
                <w:tab w:val="left" w:pos="851"/>
              </w:tabs>
              <w:jc w:val="center"/>
              <w:rPr>
                <w:b/>
                <w:iCs/>
                <w:sz w:val="24"/>
                <w:szCs w:val="24"/>
              </w:rPr>
            </w:pPr>
            <w:r w:rsidRPr="006F7EA5">
              <w:rPr>
                <w:b/>
                <w:iCs/>
                <w:sz w:val="24"/>
                <w:szCs w:val="24"/>
              </w:rPr>
              <w:t>Objet</w:t>
            </w:r>
          </w:p>
        </w:tc>
      </w:tr>
      <w:tr w:rsidR="006F7EA5" w:rsidRPr="006F7EA5" w:rsidTr="006F7EA5">
        <w:trPr>
          <w:trHeight w:val="792"/>
        </w:trPr>
        <w:tc>
          <w:tcPr>
            <w:tcW w:w="6379" w:type="dxa"/>
            <w:tcBorders>
              <w:top w:val="single" w:sz="4" w:space="0" w:color="auto"/>
              <w:left w:val="single" w:sz="4" w:space="0" w:color="auto"/>
              <w:bottom w:val="single" w:sz="4" w:space="0" w:color="auto"/>
              <w:right w:val="single" w:sz="4" w:space="0" w:color="auto"/>
            </w:tcBorders>
            <w:vAlign w:val="center"/>
          </w:tcPr>
          <w:p w:rsidR="006F7EA5" w:rsidRPr="006F7EA5" w:rsidRDefault="006F7EA5" w:rsidP="006F7EA5">
            <w:pPr>
              <w:tabs>
                <w:tab w:val="left" w:pos="426"/>
                <w:tab w:val="left" w:pos="851"/>
              </w:tabs>
              <w:rPr>
                <w:b/>
                <w:iCs/>
                <w:sz w:val="24"/>
                <w:szCs w:val="24"/>
              </w:rPr>
            </w:pPr>
            <w:r w:rsidRPr="006F7EA5">
              <w:rPr>
                <w:b/>
                <w:iCs/>
                <w:sz w:val="24"/>
                <w:szCs w:val="24"/>
              </w:rPr>
              <w:t>Maintenance des équipements :</w:t>
            </w:r>
          </w:p>
          <w:p w:rsidR="006F7EA5" w:rsidRPr="006F7EA5" w:rsidRDefault="006F7EA5" w:rsidP="006F7EA5">
            <w:pPr>
              <w:numPr>
                <w:ilvl w:val="0"/>
                <w:numId w:val="8"/>
              </w:numPr>
              <w:tabs>
                <w:tab w:val="left" w:pos="426"/>
                <w:tab w:val="left" w:pos="851"/>
              </w:tabs>
              <w:contextualSpacing/>
              <w:jc w:val="both"/>
              <w:rPr>
                <w:b/>
                <w:iCs/>
                <w:sz w:val="24"/>
                <w:szCs w:val="24"/>
              </w:rPr>
            </w:pPr>
            <w:proofErr w:type="gramStart"/>
            <w:r w:rsidRPr="006F7EA5">
              <w:rPr>
                <w:b/>
                <w:iCs/>
                <w:sz w:val="24"/>
                <w:szCs w:val="24"/>
              </w:rPr>
              <w:t>du</w:t>
            </w:r>
            <w:proofErr w:type="gramEnd"/>
            <w:r w:rsidRPr="006F7EA5">
              <w:rPr>
                <w:b/>
                <w:iCs/>
                <w:sz w:val="24"/>
                <w:szCs w:val="24"/>
              </w:rPr>
              <w:t xml:space="preserve"> CH Falaise</w:t>
            </w:r>
          </w:p>
          <w:p w:rsidR="006F7EA5" w:rsidRPr="006F7EA5" w:rsidRDefault="006F7EA5" w:rsidP="006F7EA5">
            <w:pPr>
              <w:numPr>
                <w:ilvl w:val="0"/>
                <w:numId w:val="8"/>
              </w:numPr>
              <w:tabs>
                <w:tab w:val="left" w:pos="426"/>
                <w:tab w:val="left" w:pos="851"/>
              </w:tabs>
              <w:contextualSpacing/>
              <w:jc w:val="both"/>
              <w:rPr>
                <w:b/>
                <w:iCs/>
                <w:sz w:val="24"/>
                <w:szCs w:val="24"/>
              </w:rPr>
            </w:pPr>
            <w:proofErr w:type="gramStart"/>
            <w:r w:rsidRPr="006F7EA5">
              <w:rPr>
                <w:b/>
                <w:iCs/>
                <w:sz w:val="24"/>
                <w:szCs w:val="24"/>
              </w:rPr>
              <w:t>du</w:t>
            </w:r>
            <w:proofErr w:type="gramEnd"/>
            <w:r w:rsidRPr="006F7EA5">
              <w:rPr>
                <w:b/>
                <w:iCs/>
                <w:sz w:val="24"/>
                <w:szCs w:val="24"/>
              </w:rPr>
              <w:t xml:space="preserve"> CH Côte Fleurie</w:t>
            </w:r>
          </w:p>
        </w:tc>
      </w:tr>
    </w:tbl>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7A0458">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FA7778">
        <w:rPr>
          <w:rFonts w:ascii="Arial" w:hAnsi="Arial" w:cs="Arial"/>
        </w:rPr>
        <w:t>4</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7A0458">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7D687A">
        <w:rPr>
          <w:rFonts w:ascii="Arial" w:hAnsi="Arial" w:cs="Arial"/>
        </w:rPr>
        <w:t>123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7A0458">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7A0458">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7A0458">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D20B3D"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montant de l’</w:t>
      </w:r>
      <w:r w:rsidR="00164CFA">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w:t>
      </w:r>
      <w:r w:rsidR="00FC0580">
        <w:rPr>
          <w:rFonts w:ascii="Arial" w:hAnsi="Arial" w:cs="Arial"/>
          <w:lang w:eastAsia="fr-FR"/>
        </w:rPr>
        <w:t xml:space="preserve">t </w:t>
      </w:r>
      <w:r>
        <w:rPr>
          <w:rFonts w:ascii="Arial" w:hAnsi="Arial" w:cs="Arial"/>
          <w:lang w:eastAsia="fr-FR"/>
        </w:rPr>
        <w:t>comme suit :</w:t>
      </w:r>
    </w:p>
    <w:tbl>
      <w:tblPr>
        <w:tblStyle w:val="Grilledutableau2"/>
        <w:tblW w:w="4252" w:type="dxa"/>
        <w:tblInd w:w="2547" w:type="dxa"/>
        <w:tblLook w:val="04A0" w:firstRow="1" w:lastRow="0" w:firstColumn="1" w:lastColumn="0" w:noHBand="0" w:noVBand="1"/>
      </w:tblPr>
      <w:tblGrid>
        <w:gridCol w:w="1276"/>
        <w:gridCol w:w="2976"/>
      </w:tblGrid>
      <w:tr w:rsidR="00FC0580" w:rsidRPr="00FC0580" w:rsidTr="007D687A">
        <w:trPr>
          <w:trHeight w:val="313"/>
        </w:trPr>
        <w:tc>
          <w:tcPr>
            <w:tcW w:w="1276" w:type="dxa"/>
            <w:vMerge w:val="restart"/>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N° Lot</w:t>
            </w:r>
          </w:p>
        </w:tc>
        <w:tc>
          <w:tcPr>
            <w:tcW w:w="29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r w:rsidRPr="00FC0580">
              <w:rPr>
                <w:rFonts w:ascii="Arial" w:hAnsi="Arial" w:cs="Arial"/>
                <w:sz w:val="18"/>
                <w:szCs w:val="18"/>
                <w:lang w:eastAsia="fr-FR"/>
              </w:rPr>
              <w:t>Montant annuel</w:t>
            </w:r>
          </w:p>
        </w:tc>
      </w:tr>
      <w:tr w:rsidR="00FC0580" w:rsidRPr="00FC0580" w:rsidTr="00F773EF">
        <w:tc>
          <w:tcPr>
            <w:tcW w:w="1276" w:type="dxa"/>
            <w:vMerge/>
            <w:vAlign w:val="center"/>
          </w:tcPr>
          <w:p w:rsidR="00FC0580" w:rsidRPr="00FC0580" w:rsidRDefault="00FC0580" w:rsidP="00FC0580">
            <w:pPr>
              <w:suppressAutoHyphens w:val="0"/>
              <w:overflowPunct w:val="0"/>
              <w:autoSpaceDE w:val="0"/>
              <w:autoSpaceDN w:val="0"/>
              <w:adjustRightInd w:val="0"/>
              <w:textAlignment w:val="baseline"/>
              <w:rPr>
                <w:rFonts w:ascii="Arial" w:hAnsi="Arial" w:cs="Arial"/>
                <w:sz w:val="18"/>
                <w:szCs w:val="18"/>
                <w:lang w:eastAsia="fr-FR"/>
              </w:rPr>
            </w:pPr>
          </w:p>
        </w:tc>
        <w:tc>
          <w:tcPr>
            <w:tcW w:w="2976" w:type="dxa"/>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proofErr w:type="gramStart"/>
            <w:r w:rsidRPr="00FC0580">
              <w:rPr>
                <w:rFonts w:ascii="Arial" w:hAnsi="Arial" w:cs="Arial"/>
                <w:sz w:val="18"/>
                <w:szCs w:val="18"/>
                <w:lang w:eastAsia="fr-FR"/>
              </w:rPr>
              <w:t>Maximum  HT</w:t>
            </w:r>
            <w:proofErr w:type="gramEnd"/>
          </w:p>
        </w:tc>
      </w:tr>
      <w:tr w:rsidR="00FC0580" w:rsidRPr="00FC0580" w:rsidTr="00F773EF">
        <w:tc>
          <w:tcPr>
            <w:tcW w:w="12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 xml:space="preserve">Lot </w:t>
            </w:r>
            <w:r w:rsidR="00FA7778">
              <w:rPr>
                <w:rFonts w:ascii="Arial" w:eastAsiaTheme="minorHAnsi" w:hAnsi="Arial" w:cs="Arial"/>
                <w:sz w:val="18"/>
                <w:szCs w:val="18"/>
                <w:lang w:eastAsia="en-US"/>
              </w:rPr>
              <w:t>4</w:t>
            </w:r>
          </w:p>
        </w:tc>
        <w:tc>
          <w:tcPr>
            <w:tcW w:w="2976" w:type="dxa"/>
          </w:tcPr>
          <w:p w:rsidR="00FC0580" w:rsidRPr="00FC0580" w:rsidRDefault="00FA7778" w:rsidP="00FC0580">
            <w:pPr>
              <w:suppressAutoHyphens w:val="0"/>
              <w:overflowPunct w:val="0"/>
              <w:autoSpaceDE w:val="0"/>
              <w:autoSpaceDN w:val="0"/>
              <w:adjustRightInd w:val="0"/>
              <w:jc w:val="center"/>
              <w:textAlignment w:val="baseline"/>
              <w:rPr>
                <w:rFonts w:ascii="Arial" w:hAnsi="Arial" w:cs="Arial"/>
                <w:sz w:val="18"/>
                <w:szCs w:val="18"/>
                <w:lang w:eastAsia="fr-FR"/>
              </w:rPr>
            </w:pPr>
            <w:r>
              <w:rPr>
                <w:rFonts w:ascii="Arial" w:eastAsiaTheme="minorHAnsi" w:hAnsi="Arial" w:cs="Arial"/>
                <w:sz w:val="18"/>
                <w:szCs w:val="18"/>
                <w:lang w:eastAsia="en-US"/>
              </w:rPr>
              <w:t>65</w:t>
            </w:r>
            <w:r w:rsidR="00FC0580" w:rsidRPr="00FC0580">
              <w:rPr>
                <w:rFonts w:ascii="Arial" w:eastAsiaTheme="minorHAnsi" w:hAnsi="Arial" w:cs="Arial"/>
                <w:sz w:val="18"/>
                <w:szCs w:val="18"/>
                <w:lang w:eastAsia="en-US"/>
              </w:rPr>
              <w:t xml:space="preserve">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C3ADB" w:rsidRDefault="002C3ADB" w:rsidP="00A349E7">
      <w:pPr>
        <w:tabs>
          <w:tab w:val="left" w:pos="426"/>
          <w:tab w:val="left" w:pos="851"/>
        </w:tabs>
        <w:spacing w:before="120"/>
        <w:ind w:left="924" w:hanging="924"/>
        <w:jc w:val="both"/>
        <w:rPr>
          <w:rFonts w:ascii="Arial" w:hAnsi="Arial" w:cs="Arial"/>
        </w:rPr>
      </w:pPr>
    </w:p>
    <w:p w:rsidR="00EF6F5F" w:rsidRPr="00EF6F5F" w:rsidRDefault="00EF6F5F" w:rsidP="00EF6F5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EF6F5F">
        <w:rPr>
          <w:rFonts w:ascii="Arial" w:hAnsi="Arial" w:cs="Arial"/>
          <w:lang w:eastAsia="fr-FR"/>
        </w:rPr>
        <w:t>Le marché pren</w:t>
      </w:r>
      <w:r>
        <w:rPr>
          <w:rFonts w:ascii="Arial" w:hAnsi="Arial" w:cs="Arial"/>
          <w:lang w:eastAsia="fr-FR"/>
        </w:rPr>
        <w:t>d</w:t>
      </w:r>
      <w:r w:rsidRPr="00EF6F5F">
        <w:rPr>
          <w:rFonts w:ascii="Arial" w:hAnsi="Arial" w:cs="Arial"/>
          <w:lang w:eastAsia="fr-FR"/>
        </w:rPr>
        <w:t xml:space="preserve"> effet au 1er janvier 2026 ou à la date de réception de la notification si cette dernière est postérieure, jusqu’au 31 décembre 2026, tacitement reconductible 3 fois 12 mois, jusqu’au 31 décembre 2029.</w:t>
      </w:r>
    </w:p>
    <w:p w:rsidR="00EF6F5F" w:rsidRDefault="00EF6F5F" w:rsidP="00A349E7">
      <w:pPr>
        <w:tabs>
          <w:tab w:val="left" w:pos="426"/>
          <w:tab w:val="left" w:pos="851"/>
        </w:tabs>
        <w:spacing w:before="120"/>
        <w:ind w:left="924" w:hanging="924"/>
        <w:jc w:val="both"/>
        <w:rPr>
          <w:rFonts w:ascii="Arial" w:hAnsi="Arial" w:cs="Arial"/>
        </w:rPr>
      </w:pPr>
    </w:p>
    <w:p w:rsidR="00C814B7" w:rsidRPr="00A349E7" w:rsidRDefault="00C814B7"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8E6569" w:rsidTr="008E6569">
        <w:trPr>
          <w:trHeight w:val="634"/>
        </w:trPr>
        <w:tc>
          <w:tcPr>
            <w:tcW w:w="4644" w:type="dxa"/>
            <w:tcBorders>
              <w:top w:val="single" w:sz="4" w:space="0" w:color="000000"/>
              <w:left w:val="single" w:sz="4" w:space="0" w:color="000000"/>
              <w:bottom w:val="single" w:sz="4" w:space="0" w:color="000000"/>
            </w:tcBorders>
            <w:shd w:val="clear" w:color="auto" w:fill="auto"/>
            <w:vAlign w:val="center"/>
          </w:tcPr>
          <w:p w:rsidR="008E6569" w:rsidRDefault="008E6569"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8E6569" w:rsidRDefault="008E6569"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6569" w:rsidRDefault="008E6569"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FA7778" w:rsidP="00FA7778">
      <w:pPr>
        <w:tabs>
          <w:tab w:val="left" w:pos="4590"/>
        </w:tabs>
        <w:rPr>
          <w:rFonts w:ascii="Arial" w:hAnsi="Arial" w:cs="Arial"/>
        </w:rPr>
      </w:pPr>
      <w:r>
        <w:rPr>
          <w:rFonts w:ascii="Arial" w:hAnsi="Arial" w:cs="Arial"/>
        </w:rPr>
        <w:tab/>
      </w: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7A045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F437BD" w:rsidP="001B3DF0">
      <w:pPr>
        <w:jc w:val="center"/>
        <w:rPr>
          <w:rFonts w:ascii="Arial" w:eastAsia="Arial" w:hAnsi="Arial" w:cs="Arial"/>
          <w:b/>
        </w:rPr>
      </w:pPr>
      <w:r>
        <w:rPr>
          <w:rFonts w:ascii="Arial" w:eastAsia="Arial" w:hAnsi="Arial" w:cs="Arial"/>
          <w:b/>
        </w:rPr>
        <w:t>Direction des infrastructures et de la reconstruction</w:t>
      </w:r>
    </w:p>
    <w:p w:rsidR="001B3DF0" w:rsidRDefault="001B3DF0" w:rsidP="001B3DF0">
      <w:pPr>
        <w:jc w:val="center"/>
        <w:rPr>
          <w:rFonts w:ascii="Arial" w:eastAsia="Arial" w:hAnsi="Arial" w:cs="Arial"/>
          <w:b/>
        </w:rPr>
      </w:pPr>
      <w:r>
        <w:rPr>
          <w:rFonts w:ascii="Arial" w:eastAsia="Arial" w:hAnsi="Arial" w:cs="Arial"/>
          <w:b/>
        </w:rPr>
        <w:t xml:space="preserve">Cellule </w:t>
      </w:r>
      <w:r w:rsidR="00F437BD">
        <w:rPr>
          <w:rFonts w:ascii="Arial" w:eastAsia="Arial" w:hAnsi="Arial" w:cs="Arial"/>
          <w:b/>
        </w:rPr>
        <w:t>m</w:t>
      </w:r>
      <w:r>
        <w:rPr>
          <w:rFonts w:ascii="Arial" w:eastAsia="Arial" w:hAnsi="Arial" w:cs="Arial"/>
          <w:b/>
        </w:rPr>
        <w:t xml:space="preserve">archés </w:t>
      </w:r>
      <w:r w:rsidR="00F437BD">
        <w:rPr>
          <w:rFonts w:ascii="Arial" w:eastAsia="Arial" w:hAnsi="Arial" w:cs="Arial"/>
          <w:b/>
        </w:rPr>
        <w:t>p</w:t>
      </w:r>
      <w:r>
        <w:rPr>
          <w:rFonts w:ascii="Arial" w:eastAsia="Arial" w:hAnsi="Arial" w:cs="Arial"/>
          <w:b/>
        </w:rPr>
        <w:t xml:space="preserve">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061F27">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7A0458" w:rsidRPr="001041BF" w:rsidTr="00F773EF">
        <w:trPr>
          <w:trHeight w:val="439"/>
          <w:jc w:val="center"/>
        </w:trPr>
        <w:tc>
          <w:tcPr>
            <w:tcW w:w="2407" w:type="dxa"/>
            <w:vAlign w:val="center"/>
          </w:tcPr>
          <w:p w:rsidR="007A0458" w:rsidRPr="001041BF" w:rsidRDefault="007A0458" w:rsidP="00F773EF">
            <w:pPr>
              <w:jc w:val="center"/>
              <w:rPr>
                <w:b/>
                <w:bCs/>
                <w:color w:val="000000"/>
              </w:rPr>
            </w:pPr>
            <w:r w:rsidRPr="001041BF">
              <w:rPr>
                <w:b/>
                <w:bCs/>
                <w:color w:val="000000"/>
              </w:rPr>
              <w:t>Etablissements parties</w:t>
            </w:r>
          </w:p>
        </w:tc>
        <w:tc>
          <w:tcPr>
            <w:tcW w:w="3967" w:type="dxa"/>
            <w:vAlign w:val="center"/>
          </w:tcPr>
          <w:p w:rsidR="007A0458" w:rsidRPr="001041BF" w:rsidRDefault="007A0458" w:rsidP="00F773EF">
            <w:pPr>
              <w:jc w:val="center"/>
              <w:rPr>
                <w:color w:val="000000"/>
              </w:rPr>
            </w:pPr>
            <w:r w:rsidRPr="001041BF">
              <w:rPr>
                <w:color w:val="000000"/>
              </w:rPr>
              <w:t>Adresse de l’établissement</w:t>
            </w:r>
          </w:p>
        </w:tc>
      </w:tr>
      <w:tr w:rsidR="007A0458" w:rsidRPr="00FC51B2" w:rsidTr="00F773EF">
        <w:trPr>
          <w:trHeight w:val="454"/>
          <w:jc w:val="center"/>
        </w:trPr>
        <w:tc>
          <w:tcPr>
            <w:tcW w:w="2407" w:type="dxa"/>
            <w:vAlign w:val="center"/>
          </w:tcPr>
          <w:p w:rsidR="007A0458" w:rsidRDefault="007A0458" w:rsidP="00F773EF">
            <w:pPr>
              <w:rPr>
                <w:b/>
                <w:bCs/>
                <w:color w:val="000000"/>
              </w:rPr>
            </w:pPr>
            <w:r>
              <w:rPr>
                <w:b/>
                <w:bCs/>
                <w:color w:val="000000"/>
              </w:rPr>
              <w:t>CH COTE FLEURIE</w:t>
            </w:r>
          </w:p>
        </w:tc>
        <w:tc>
          <w:tcPr>
            <w:tcW w:w="3967" w:type="dxa"/>
            <w:vAlign w:val="center"/>
          </w:tcPr>
          <w:p w:rsidR="007A0458" w:rsidRPr="00C74ABD" w:rsidRDefault="007A0458" w:rsidP="00F773EF">
            <w:pPr>
              <w:jc w:val="center"/>
              <w:rPr>
                <w:bCs/>
                <w:color w:val="000000"/>
              </w:rPr>
            </w:pPr>
            <w:r w:rsidRPr="00C74ABD">
              <w:rPr>
                <w:bCs/>
                <w:color w:val="000000"/>
              </w:rPr>
              <w:t>BP 30009</w:t>
            </w:r>
          </w:p>
          <w:p w:rsidR="007A0458" w:rsidRPr="00FC51B2" w:rsidRDefault="007A0458" w:rsidP="00F773EF">
            <w:pPr>
              <w:jc w:val="center"/>
              <w:rPr>
                <w:color w:val="000000"/>
              </w:rPr>
            </w:pPr>
            <w:r w:rsidRPr="00C74ABD">
              <w:rPr>
                <w:bCs/>
                <w:color w:val="000000"/>
              </w:rPr>
              <w:t>14601 HONFLEUR Cedex</w:t>
            </w:r>
          </w:p>
        </w:tc>
      </w:tr>
      <w:tr w:rsidR="007A0458" w:rsidRPr="00B7283F" w:rsidTr="00F773EF">
        <w:trPr>
          <w:trHeight w:val="454"/>
          <w:jc w:val="center"/>
        </w:trPr>
        <w:tc>
          <w:tcPr>
            <w:tcW w:w="2407" w:type="dxa"/>
            <w:vAlign w:val="center"/>
          </w:tcPr>
          <w:p w:rsidR="007A0458" w:rsidRDefault="007A0458" w:rsidP="00F773EF">
            <w:pPr>
              <w:rPr>
                <w:b/>
                <w:bCs/>
                <w:color w:val="000000"/>
              </w:rPr>
            </w:pPr>
            <w:r>
              <w:rPr>
                <w:b/>
                <w:bCs/>
                <w:color w:val="000000"/>
              </w:rPr>
              <w:t>CH FALAISE</w:t>
            </w:r>
          </w:p>
        </w:tc>
        <w:tc>
          <w:tcPr>
            <w:tcW w:w="3967" w:type="dxa"/>
            <w:vAlign w:val="center"/>
          </w:tcPr>
          <w:p w:rsidR="007A0458" w:rsidRPr="00B7283F" w:rsidRDefault="007A0458" w:rsidP="00F773EF">
            <w:pPr>
              <w:jc w:val="center"/>
              <w:rPr>
                <w:bCs/>
                <w:color w:val="000000"/>
              </w:rPr>
            </w:pPr>
            <w:r w:rsidRPr="009F3FB5">
              <w:rPr>
                <w:color w:val="000000"/>
              </w:rPr>
              <w:t xml:space="preserve">Bd des </w:t>
            </w:r>
            <w:proofErr w:type="spellStart"/>
            <w:r w:rsidRPr="009F3FB5">
              <w:rPr>
                <w:color w:val="000000"/>
              </w:rPr>
              <w:t>Bercagnes</w:t>
            </w:r>
            <w:proofErr w:type="spellEnd"/>
            <w:r w:rsidRPr="009F3FB5">
              <w:rPr>
                <w:color w:val="000000"/>
              </w:rPr>
              <w:br/>
              <w:t>14700 FALAISE</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p w:rsidR="00191933" w:rsidRDefault="00191933"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7A0458" w:rsidTr="00F773EF">
        <w:tc>
          <w:tcPr>
            <w:tcW w:w="2405" w:type="dxa"/>
            <w:vAlign w:val="center"/>
          </w:tcPr>
          <w:p w:rsidR="007A0458" w:rsidRPr="003E6C49" w:rsidRDefault="007A0458" w:rsidP="00F773EF">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7A0458" w:rsidRPr="003E6C49" w:rsidRDefault="007A0458" w:rsidP="00F773EF">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7A0458" w:rsidRPr="003E6C49" w:rsidRDefault="007A0458" w:rsidP="00F773EF">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7A0458" w:rsidRDefault="007A0458" w:rsidP="00F773EF">
            <w:pPr>
              <w:jc w:val="center"/>
            </w:pPr>
            <w:r>
              <w:t>Courriels</w:t>
            </w:r>
          </w:p>
        </w:tc>
      </w:tr>
      <w:tr w:rsidR="007A0458" w:rsidRPr="00EA1E1F" w:rsidTr="00F773EF">
        <w:tc>
          <w:tcPr>
            <w:tcW w:w="2405" w:type="dxa"/>
            <w:vAlign w:val="center"/>
          </w:tcPr>
          <w:p w:rsidR="007A0458" w:rsidRPr="003E6C49" w:rsidRDefault="007A0458" w:rsidP="00F773EF">
            <w:pPr>
              <w:rPr>
                <w:bCs/>
                <w:color w:val="000000"/>
              </w:rPr>
            </w:pPr>
            <w:r w:rsidRPr="003E6C49">
              <w:rPr>
                <w:bCs/>
                <w:color w:val="000000"/>
              </w:rPr>
              <w:t>CH COTE FLEURIE</w:t>
            </w:r>
          </w:p>
        </w:tc>
        <w:tc>
          <w:tcPr>
            <w:tcW w:w="2268" w:type="dxa"/>
            <w:vAlign w:val="center"/>
          </w:tcPr>
          <w:p w:rsidR="007A0458" w:rsidRPr="003E6C49" w:rsidRDefault="007A0458" w:rsidP="00F773EF">
            <w:r w:rsidRPr="003E6C49">
              <w:rPr>
                <w:rFonts w:ascii="Arial" w:eastAsia="Arial" w:hAnsi="Arial" w:cs="Arial"/>
              </w:rPr>
              <w:t>Madame DIEU</w:t>
            </w:r>
          </w:p>
        </w:tc>
        <w:tc>
          <w:tcPr>
            <w:tcW w:w="2268" w:type="dxa"/>
            <w:vAlign w:val="center"/>
          </w:tcPr>
          <w:p w:rsidR="007A0458" w:rsidRPr="003E6C49" w:rsidRDefault="007A0458" w:rsidP="00F773EF">
            <w:r w:rsidRPr="003E6C49">
              <w:rPr>
                <w:rFonts w:ascii="Arial" w:eastAsia="Arial" w:hAnsi="Arial" w:cs="Arial"/>
              </w:rPr>
              <w:t>Cellule financière</w:t>
            </w:r>
          </w:p>
        </w:tc>
        <w:tc>
          <w:tcPr>
            <w:tcW w:w="3260" w:type="dxa"/>
            <w:vAlign w:val="center"/>
          </w:tcPr>
          <w:p w:rsidR="007A0458" w:rsidRPr="00EA1E1F" w:rsidRDefault="007A0458" w:rsidP="00F773EF">
            <w:pPr>
              <w:tabs>
                <w:tab w:val="left" w:pos="426"/>
                <w:tab w:val="left" w:pos="851"/>
              </w:tabs>
              <w:jc w:val="both"/>
            </w:pPr>
            <w:hyperlink r:id="rId27" w:history="1">
              <w:r w:rsidRPr="00EA1E1F">
                <w:rPr>
                  <w:rStyle w:val="Lienhypertexte"/>
                  <w:rFonts w:ascii="Arial" w:eastAsia="Arial" w:hAnsi="Arial" w:cs="Arial"/>
                </w:rPr>
                <w:t>ldieu@ch-cotefleurie.fr</w:t>
              </w:r>
            </w:hyperlink>
          </w:p>
        </w:tc>
      </w:tr>
      <w:tr w:rsidR="007A0458" w:rsidRPr="00EA1E1F" w:rsidTr="00F773EF">
        <w:tc>
          <w:tcPr>
            <w:tcW w:w="2405" w:type="dxa"/>
            <w:vAlign w:val="center"/>
          </w:tcPr>
          <w:p w:rsidR="007A0458" w:rsidRPr="003E6C49" w:rsidRDefault="007A0458" w:rsidP="00F773EF">
            <w:r w:rsidRPr="003E6C49">
              <w:rPr>
                <w:bCs/>
                <w:color w:val="000000"/>
              </w:rPr>
              <w:t>CH FALAISE</w:t>
            </w:r>
          </w:p>
        </w:tc>
        <w:tc>
          <w:tcPr>
            <w:tcW w:w="2268" w:type="dxa"/>
            <w:vAlign w:val="center"/>
          </w:tcPr>
          <w:p w:rsidR="007A0458" w:rsidRPr="003E6C49" w:rsidRDefault="007A0458" w:rsidP="00F773EF">
            <w:r w:rsidRPr="003E6C49">
              <w:rPr>
                <w:rFonts w:ascii="Arial" w:eastAsia="Arial" w:hAnsi="Arial" w:cs="Arial"/>
              </w:rPr>
              <w:t>Madame GRASLAND</w:t>
            </w:r>
          </w:p>
        </w:tc>
        <w:tc>
          <w:tcPr>
            <w:tcW w:w="2268" w:type="dxa"/>
            <w:vAlign w:val="center"/>
          </w:tcPr>
          <w:p w:rsidR="007A0458" w:rsidRPr="003E6C49" w:rsidRDefault="007A0458" w:rsidP="00F773EF">
            <w:r w:rsidRPr="003E6C49">
              <w:rPr>
                <w:rFonts w:ascii="Arial" w:eastAsia="Arial" w:hAnsi="Arial" w:cs="Arial"/>
              </w:rPr>
              <w:t>Cellule financière</w:t>
            </w:r>
          </w:p>
        </w:tc>
        <w:tc>
          <w:tcPr>
            <w:tcW w:w="3260" w:type="dxa"/>
            <w:vAlign w:val="center"/>
          </w:tcPr>
          <w:p w:rsidR="007A0458" w:rsidRPr="00EA1E1F" w:rsidRDefault="007A0458" w:rsidP="007A0458">
            <w:pPr>
              <w:tabs>
                <w:tab w:val="left" w:pos="426"/>
                <w:tab w:val="left" w:pos="851"/>
              </w:tabs>
              <w:jc w:val="both"/>
            </w:pPr>
            <w:hyperlink r:id="rId28" w:history="1">
              <w:r w:rsidRPr="00EA1E1F">
                <w:rPr>
                  <w:rStyle w:val="Lienhypertexte"/>
                  <w:rFonts w:ascii="Arial" w:eastAsia="Arial" w:hAnsi="Arial" w:cs="Arial"/>
                </w:rPr>
                <w:t>francoise.grasland@ch-falaise.fr</w:t>
              </w:r>
            </w:hyperlink>
          </w:p>
        </w:tc>
      </w:tr>
    </w:tbl>
    <w:p w:rsidR="007A0458" w:rsidRDefault="007A0458"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7A0458"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29"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Default="003C72A6" w:rsidP="0015164B">
      <w:pPr>
        <w:suppressAutoHyphens w:val="0"/>
        <w:rPr>
          <w:rFonts w:ascii="Arial" w:hAnsi="Arial" w:cs="Arial"/>
          <w:i/>
          <w:iCs/>
          <w:sz w:val="10"/>
          <w:szCs w:val="10"/>
          <w:lang w:eastAsia="fr-FR"/>
        </w:rPr>
      </w:pPr>
    </w:p>
    <w:p w:rsidR="007A0458" w:rsidRPr="00652EB8" w:rsidRDefault="007A0458" w:rsidP="0015164B">
      <w:pPr>
        <w:suppressAutoHyphens w:val="0"/>
        <w:rPr>
          <w:rFonts w:ascii="Arial" w:hAnsi="Arial" w:cs="Arial"/>
          <w:i/>
          <w:iCs/>
          <w:sz w:val="10"/>
          <w:szCs w:val="10"/>
          <w:lang w:eastAsia="fr-FR"/>
        </w:rPr>
      </w:pPr>
      <w:bookmarkStart w:id="2" w:name="_GoBack"/>
      <w:bookmarkEnd w:id="2"/>
    </w:p>
    <w:bookmarkStart w:id="3"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lastRenderedPageBreak/>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Pr>
          <w:rFonts w:ascii="Arial" w:hAnsi="Arial" w:cs="Arial"/>
          <w:lang w:eastAsia="fr-FR"/>
        </w:rPr>
        <w:fldChar w:fldCharType="end"/>
      </w:r>
      <w:bookmarkEnd w:id="4"/>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5" w:name="_Hlk205280207"/>
    <w:bookmarkEnd w:id="3"/>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5"/>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7A0458">
        <w:rPr>
          <w:rFonts w:ascii="Arial" w:hAnsi="Arial" w:cs="Arial"/>
          <w:lang w:eastAsia="fr-FR"/>
        </w:rPr>
      </w:r>
      <w:r w:rsidR="007A0458">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w:t>
          </w:r>
          <w:r w:rsidR="00A427CA" w:rsidRPr="00A427CA">
            <w:rPr>
              <w:rFonts w:ascii="Arial" w:hAnsi="Arial" w:cs="Arial"/>
              <w:b/>
            </w:rPr>
            <w:t>2025 0 123 00</w:t>
          </w:r>
          <w:r w:rsidR="00FA7778">
            <w:rPr>
              <w:rFonts w:ascii="Arial" w:hAnsi="Arial" w:cs="Arial"/>
              <w:b/>
            </w:rPr>
            <w:t>4</w:t>
          </w:r>
          <w:r w:rsidR="00A427CA" w:rsidRPr="00A427CA">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61F27"/>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7CE0"/>
    <w:rsid w:val="00142251"/>
    <w:rsid w:val="00144AA7"/>
    <w:rsid w:val="0015164B"/>
    <w:rsid w:val="0015244F"/>
    <w:rsid w:val="00157FB5"/>
    <w:rsid w:val="00164CFA"/>
    <w:rsid w:val="00166B56"/>
    <w:rsid w:val="00167C4F"/>
    <w:rsid w:val="00174505"/>
    <w:rsid w:val="00175EFE"/>
    <w:rsid w:val="00180BFF"/>
    <w:rsid w:val="00191933"/>
    <w:rsid w:val="001A0ACF"/>
    <w:rsid w:val="001B3DF0"/>
    <w:rsid w:val="001C40C0"/>
    <w:rsid w:val="001C733C"/>
    <w:rsid w:val="001F05AD"/>
    <w:rsid w:val="0021527A"/>
    <w:rsid w:val="0021797C"/>
    <w:rsid w:val="00221808"/>
    <w:rsid w:val="00225A1A"/>
    <w:rsid w:val="00271497"/>
    <w:rsid w:val="00273F36"/>
    <w:rsid w:val="00286179"/>
    <w:rsid w:val="002904AF"/>
    <w:rsid w:val="002B080F"/>
    <w:rsid w:val="002B1FE2"/>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597F"/>
    <w:rsid w:val="004959F7"/>
    <w:rsid w:val="004A01A2"/>
    <w:rsid w:val="004A6DAE"/>
    <w:rsid w:val="004A7169"/>
    <w:rsid w:val="004B15E2"/>
    <w:rsid w:val="004B4B1E"/>
    <w:rsid w:val="004C5755"/>
    <w:rsid w:val="004C60E4"/>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002A"/>
    <w:rsid w:val="005824AE"/>
    <w:rsid w:val="005846FB"/>
    <w:rsid w:val="005A05C1"/>
    <w:rsid w:val="005A16C6"/>
    <w:rsid w:val="005A4A3B"/>
    <w:rsid w:val="005A4CB5"/>
    <w:rsid w:val="005B2316"/>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6F7EA5"/>
    <w:rsid w:val="007052AF"/>
    <w:rsid w:val="007060E5"/>
    <w:rsid w:val="00710FD6"/>
    <w:rsid w:val="00711285"/>
    <w:rsid w:val="0072077A"/>
    <w:rsid w:val="00730A78"/>
    <w:rsid w:val="00757151"/>
    <w:rsid w:val="007777A5"/>
    <w:rsid w:val="0078321A"/>
    <w:rsid w:val="0078361D"/>
    <w:rsid w:val="007909E0"/>
    <w:rsid w:val="00793B42"/>
    <w:rsid w:val="007947CB"/>
    <w:rsid w:val="00796321"/>
    <w:rsid w:val="0079785C"/>
    <w:rsid w:val="007A0458"/>
    <w:rsid w:val="007A06D2"/>
    <w:rsid w:val="007D4001"/>
    <w:rsid w:val="007D687A"/>
    <w:rsid w:val="007D7A65"/>
    <w:rsid w:val="007F68A6"/>
    <w:rsid w:val="00806A7A"/>
    <w:rsid w:val="00830730"/>
    <w:rsid w:val="0083205E"/>
    <w:rsid w:val="00840934"/>
    <w:rsid w:val="00844DAA"/>
    <w:rsid w:val="008450C7"/>
    <w:rsid w:val="00864129"/>
    <w:rsid w:val="00864B0F"/>
    <w:rsid w:val="00876A73"/>
    <w:rsid w:val="008922F4"/>
    <w:rsid w:val="00893E1E"/>
    <w:rsid w:val="008A7C6D"/>
    <w:rsid w:val="008B076F"/>
    <w:rsid w:val="008B2A38"/>
    <w:rsid w:val="008C081D"/>
    <w:rsid w:val="008C183B"/>
    <w:rsid w:val="008E6569"/>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3FF3"/>
    <w:rsid w:val="00992615"/>
    <w:rsid w:val="00996584"/>
    <w:rsid w:val="009B1CD0"/>
    <w:rsid w:val="009B45B9"/>
    <w:rsid w:val="009C4738"/>
    <w:rsid w:val="009C54E4"/>
    <w:rsid w:val="009D661E"/>
    <w:rsid w:val="009E0D9A"/>
    <w:rsid w:val="009E1249"/>
    <w:rsid w:val="009F3FB5"/>
    <w:rsid w:val="00A00005"/>
    <w:rsid w:val="00A30D41"/>
    <w:rsid w:val="00A349E7"/>
    <w:rsid w:val="00A34D04"/>
    <w:rsid w:val="00A40C04"/>
    <w:rsid w:val="00A427CA"/>
    <w:rsid w:val="00A45144"/>
    <w:rsid w:val="00A46A16"/>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82A8E"/>
    <w:rsid w:val="00B87564"/>
    <w:rsid w:val="00B96346"/>
    <w:rsid w:val="00BA44E5"/>
    <w:rsid w:val="00BA7957"/>
    <w:rsid w:val="00BB1140"/>
    <w:rsid w:val="00BC5E78"/>
    <w:rsid w:val="00BD767E"/>
    <w:rsid w:val="00BE6078"/>
    <w:rsid w:val="00BF6D56"/>
    <w:rsid w:val="00C01A79"/>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20B3D"/>
    <w:rsid w:val="00D26AD2"/>
    <w:rsid w:val="00D337D7"/>
    <w:rsid w:val="00D3722C"/>
    <w:rsid w:val="00D412FD"/>
    <w:rsid w:val="00D455FF"/>
    <w:rsid w:val="00D46BC7"/>
    <w:rsid w:val="00D773B5"/>
    <w:rsid w:val="00D90A00"/>
    <w:rsid w:val="00DC5F35"/>
    <w:rsid w:val="00DE41EA"/>
    <w:rsid w:val="00E20DB0"/>
    <w:rsid w:val="00E47798"/>
    <w:rsid w:val="00E53E03"/>
    <w:rsid w:val="00E62BB3"/>
    <w:rsid w:val="00E74C76"/>
    <w:rsid w:val="00E96FF6"/>
    <w:rsid w:val="00EA1E1F"/>
    <w:rsid w:val="00EC2218"/>
    <w:rsid w:val="00EC5424"/>
    <w:rsid w:val="00ED0391"/>
    <w:rsid w:val="00ED1CD4"/>
    <w:rsid w:val="00EE026E"/>
    <w:rsid w:val="00EE0D78"/>
    <w:rsid w:val="00EF6F5F"/>
    <w:rsid w:val="00F42A43"/>
    <w:rsid w:val="00F437BD"/>
    <w:rsid w:val="00F476AB"/>
    <w:rsid w:val="00F77CDF"/>
    <w:rsid w:val="00F9037F"/>
    <w:rsid w:val="00F92811"/>
    <w:rsid w:val="00FA5DC7"/>
    <w:rsid w:val="00FA770C"/>
    <w:rsid w:val="00FA7778"/>
    <w:rsid w:val="00FC0580"/>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58729543"/>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793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uiPriority w:val="59"/>
    <w:rsid w:val="006F7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francoise.grasland@ch-falaise.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dieu@ch-cotefleurie.f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692CC-CD1B-4DAD-A026-212521E5D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6</Pages>
  <Words>2487</Words>
  <Characters>13680</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16135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9</cp:revision>
  <cp:lastPrinted>2024-10-03T11:07:00Z</cp:lastPrinted>
  <dcterms:created xsi:type="dcterms:W3CDTF">2025-08-27T14:01:00Z</dcterms:created>
  <dcterms:modified xsi:type="dcterms:W3CDTF">2025-08-27T14:36:00Z</dcterms:modified>
</cp:coreProperties>
</file>