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3C72A6" w:rsidTr="00D3722C">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4E39A3" w:rsidRPr="004E39A3" w:rsidRDefault="004E39A3" w:rsidP="004E39A3">
      <w:pPr>
        <w:tabs>
          <w:tab w:val="left" w:pos="426"/>
          <w:tab w:val="left" w:pos="851"/>
        </w:tabs>
        <w:jc w:val="center"/>
        <w:rPr>
          <w:b/>
          <w:iCs/>
          <w:sz w:val="24"/>
          <w:szCs w:val="24"/>
        </w:rPr>
      </w:pPr>
      <w:bookmarkStart w:id="0" w:name="_Hlk187239728"/>
      <w:bookmarkStart w:id="1" w:name="_Hlk141278761"/>
      <w:r w:rsidRPr="004E39A3">
        <w:rPr>
          <w:b/>
          <w:iCs/>
          <w:sz w:val="24"/>
          <w:szCs w:val="24"/>
        </w:rPr>
        <w:t xml:space="preserve">Maintenance préventive et corrective des systèmes de sécurité incendie (SSI), des équipements de désenfumage et des asservissements associés </w:t>
      </w:r>
    </w:p>
    <w:p w:rsidR="004E39A3" w:rsidRPr="004E39A3" w:rsidRDefault="004E39A3" w:rsidP="004E39A3">
      <w:pPr>
        <w:tabs>
          <w:tab w:val="left" w:pos="426"/>
          <w:tab w:val="left" w:pos="851"/>
        </w:tabs>
        <w:jc w:val="center"/>
        <w:rPr>
          <w:b/>
          <w:iCs/>
          <w:sz w:val="24"/>
          <w:szCs w:val="24"/>
        </w:rPr>
      </w:pPr>
      <w:proofErr w:type="gramStart"/>
      <w:r w:rsidRPr="004E39A3">
        <w:rPr>
          <w:b/>
          <w:iCs/>
          <w:sz w:val="24"/>
          <w:szCs w:val="24"/>
        </w:rPr>
        <w:t>pour</w:t>
      </w:r>
      <w:proofErr w:type="gramEnd"/>
      <w:r w:rsidRPr="004E39A3">
        <w:rPr>
          <w:b/>
          <w:iCs/>
          <w:sz w:val="24"/>
          <w:szCs w:val="24"/>
        </w:rPr>
        <w:t xml:space="preserve"> le GHT Normandie Centre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4E39A3">
      <w:pPr>
        <w:pStyle w:val="Paragraphedeliste"/>
        <w:widowControl w:val="0"/>
        <w:numPr>
          <w:ilvl w:val="0"/>
          <w:numId w:val="7"/>
        </w:numPr>
        <w:tabs>
          <w:tab w:val="left" w:pos="1418"/>
        </w:tabs>
        <w:suppressAutoHyphens w:val="0"/>
        <w:overflowPunct w:val="0"/>
        <w:autoSpaceDE w:val="0"/>
        <w:autoSpaceDN w:val="0"/>
        <w:adjustRightInd w:val="0"/>
        <w:ind w:left="1701" w:hanging="708"/>
        <w:textAlignment w:val="baseline"/>
        <w:rPr>
          <w:b/>
          <w:iCs/>
          <w:sz w:val="28"/>
          <w:szCs w:val="28"/>
        </w:rPr>
      </w:pPr>
      <w:r w:rsidRPr="00BB7023">
        <w:rPr>
          <w:b/>
          <w:iCs/>
          <w:sz w:val="28"/>
          <w:szCs w:val="28"/>
        </w:rPr>
        <w:t xml:space="preserve">LOT </w:t>
      </w:r>
      <w:r w:rsidR="00793B42">
        <w:rPr>
          <w:b/>
          <w:iCs/>
          <w:sz w:val="28"/>
          <w:szCs w:val="28"/>
        </w:rPr>
        <w:t>3</w:t>
      </w:r>
    </w:p>
    <w:tbl>
      <w:tblPr>
        <w:tblStyle w:val="Grilledutableau7"/>
        <w:tblW w:w="6379" w:type="dxa"/>
        <w:tblInd w:w="1696" w:type="dxa"/>
        <w:tblLook w:val="04A0" w:firstRow="1" w:lastRow="0" w:firstColumn="1" w:lastColumn="0" w:noHBand="0" w:noVBand="1"/>
      </w:tblPr>
      <w:tblGrid>
        <w:gridCol w:w="6379"/>
      </w:tblGrid>
      <w:tr w:rsidR="007D2516" w:rsidRPr="00793B42" w:rsidTr="007D2516">
        <w:trPr>
          <w:trHeight w:val="752"/>
        </w:trPr>
        <w:tc>
          <w:tcPr>
            <w:tcW w:w="6379"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7D2516" w:rsidRPr="00793B42" w:rsidRDefault="007D2516" w:rsidP="00793B42">
            <w:pPr>
              <w:widowControl w:val="0"/>
              <w:tabs>
                <w:tab w:val="left" w:pos="1701"/>
                <w:tab w:val="left" w:pos="2268"/>
              </w:tabs>
              <w:suppressAutoHyphens w:val="0"/>
              <w:overflowPunct w:val="0"/>
              <w:autoSpaceDE w:val="0"/>
              <w:autoSpaceDN w:val="0"/>
              <w:adjustRightInd w:val="0"/>
              <w:jc w:val="center"/>
              <w:textAlignment w:val="baseline"/>
              <w:rPr>
                <w:b/>
                <w:iCs/>
                <w:sz w:val="24"/>
                <w:szCs w:val="24"/>
              </w:rPr>
            </w:pPr>
            <w:r w:rsidRPr="00793B42">
              <w:rPr>
                <w:b/>
                <w:iCs/>
                <w:sz w:val="24"/>
                <w:szCs w:val="24"/>
              </w:rPr>
              <w:t>Objet</w:t>
            </w:r>
          </w:p>
        </w:tc>
      </w:tr>
      <w:tr w:rsidR="007D2516" w:rsidRPr="00793B42" w:rsidTr="007D2516">
        <w:tc>
          <w:tcPr>
            <w:tcW w:w="6379" w:type="dxa"/>
            <w:tcBorders>
              <w:top w:val="single" w:sz="4" w:space="0" w:color="auto"/>
              <w:left w:val="single" w:sz="4" w:space="0" w:color="auto"/>
              <w:bottom w:val="single" w:sz="4" w:space="0" w:color="auto"/>
              <w:right w:val="single" w:sz="4" w:space="0" w:color="auto"/>
            </w:tcBorders>
            <w:vAlign w:val="center"/>
          </w:tcPr>
          <w:p w:rsidR="007D2516" w:rsidRPr="00793B42" w:rsidRDefault="007D2516" w:rsidP="00793B42">
            <w:pPr>
              <w:widowControl w:val="0"/>
              <w:tabs>
                <w:tab w:val="left" w:pos="1701"/>
                <w:tab w:val="left" w:pos="2268"/>
              </w:tabs>
              <w:suppressAutoHyphens w:val="0"/>
              <w:overflowPunct w:val="0"/>
              <w:autoSpaceDE w:val="0"/>
              <w:autoSpaceDN w:val="0"/>
              <w:adjustRightInd w:val="0"/>
              <w:textAlignment w:val="baseline"/>
              <w:rPr>
                <w:b/>
                <w:iCs/>
                <w:sz w:val="24"/>
                <w:szCs w:val="24"/>
              </w:rPr>
            </w:pPr>
            <w:r w:rsidRPr="00793B42">
              <w:rPr>
                <w:b/>
                <w:iCs/>
                <w:sz w:val="24"/>
                <w:szCs w:val="24"/>
              </w:rPr>
              <w:t>Maintenance des équipements :</w:t>
            </w:r>
          </w:p>
          <w:p w:rsidR="007D2516" w:rsidRPr="00793B42" w:rsidRDefault="007D2516" w:rsidP="00793B42">
            <w:pPr>
              <w:widowControl w:val="0"/>
              <w:numPr>
                <w:ilvl w:val="0"/>
                <w:numId w:val="8"/>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793B42">
              <w:rPr>
                <w:b/>
                <w:iCs/>
                <w:sz w:val="24"/>
                <w:szCs w:val="24"/>
              </w:rPr>
              <w:t>du</w:t>
            </w:r>
            <w:proofErr w:type="gramEnd"/>
            <w:r w:rsidRPr="00793B42">
              <w:rPr>
                <w:b/>
                <w:iCs/>
                <w:sz w:val="24"/>
                <w:szCs w:val="24"/>
              </w:rPr>
              <w:t xml:space="preserve"> CH Lisieux</w:t>
            </w:r>
          </w:p>
          <w:p w:rsidR="007D2516" w:rsidRPr="00793B42" w:rsidRDefault="007D2516" w:rsidP="00793B42">
            <w:pPr>
              <w:widowControl w:val="0"/>
              <w:numPr>
                <w:ilvl w:val="0"/>
                <w:numId w:val="8"/>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793B42">
              <w:rPr>
                <w:b/>
                <w:iCs/>
                <w:sz w:val="24"/>
                <w:szCs w:val="24"/>
              </w:rPr>
              <w:t>du</w:t>
            </w:r>
            <w:proofErr w:type="gramEnd"/>
            <w:r w:rsidRPr="00793B42">
              <w:rPr>
                <w:b/>
                <w:iCs/>
                <w:sz w:val="24"/>
                <w:szCs w:val="24"/>
              </w:rPr>
              <w:t xml:space="preserve"> CH Pont L’évêque</w:t>
            </w:r>
          </w:p>
        </w:tc>
      </w:tr>
    </w:tbl>
    <w:p w:rsidR="004E39A3" w:rsidRDefault="004E39A3"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4E39A3" w:rsidRDefault="004E39A3"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9C048F">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7D687A">
        <w:rPr>
          <w:rFonts w:ascii="Arial" w:hAnsi="Arial" w:cs="Arial"/>
        </w:rPr>
        <w:t>3</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9C048F">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7D687A">
        <w:rPr>
          <w:rFonts w:ascii="Arial" w:hAnsi="Arial" w:cs="Arial"/>
        </w:rPr>
        <w:t>123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9C048F">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C048F">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9C048F">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l</w:t>
      </w:r>
      <w:r w:rsidR="00D3722C">
        <w:rPr>
          <w:rFonts w:ascii="Arial" w:hAnsi="Arial" w:cs="Arial"/>
        </w:rPr>
        <w:t xml:space="preserve">es </w:t>
      </w:r>
      <w:r w:rsidR="003C72A6">
        <w:rPr>
          <w:rFonts w:ascii="Arial" w:hAnsi="Arial" w:cs="Arial"/>
        </w:rPr>
        <w:t>annexe</w:t>
      </w:r>
      <w:r w:rsidR="00D3722C">
        <w:rPr>
          <w:rFonts w:ascii="Arial" w:hAnsi="Arial" w:cs="Arial"/>
        </w:rPr>
        <w:t>s</w:t>
      </w:r>
      <w:r w:rsidR="003C72A6">
        <w:rPr>
          <w:rFonts w:ascii="Arial" w:hAnsi="Arial" w:cs="Arial"/>
        </w:rPr>
        <w:t xml:space="preserve"> financière</w:t>
      </w:r>
      <w:r w:rsidR="00D3722C">
        <w:rPr>
          <w:rFonts w:ascii="Arial" w:hAnsi="Arial" w:cs="Arial"/>
        </w:rPr>
        <w:t>s</w:t>
      </w:r>
      <w:r w:rsidR="003C72A6">
        <w:rPr>
          <w:rFonts w:ascii="Arial" w:hAnsi="Arial" w:cs="Arial"/>
        </w:rPr>
        <w:t xml:space="preserve"> jointe</w:t>
      </w:r>
      <w:r w:rsidR="00D3722C">
        <w:rPr>
          <w:rFonts w:ascii="Arial" w:hAnsi="Arial" w:cs="Arial"/>
        </w:rPr>
        <w:t>s</w:t>
      </w:r>
      <w:r w:rsidR="003C72A6">
        <w:rPr>
          <w:rFonts w:ascii="Arial" w:hAnsi="Arial" w:cs="Arial"/>
        </w:rPr>
        <w:t xml:space="preserve"> au présent document</w:t>
      </w:r>
      <w:r w:rsidR="006C2C97">
        <w:rPr>
          <w:rFonts w:ascii="Arial" w:hAnsi="Arial" w:cs="Arial"/>
        </w:rPr>
        <w:t xml:space="preserve"> (BPU</w:t>
      </w:r>
      <w:r w:rsidR="00D3722C">
        <w:rPr>
          <w:rFonts w:ascii="Arial" w:hAnsi="Arial" w:cs="Arial"/>
        </w:rPr>
        <w:t xml:space="preserve"> et DPGF</w:t>
      </w:r>
      <w:r w:rsidR="006C2C97">
        <w:rPr>
          <w:rFonts w:ascii="Arial" w:hAnsi="Arial" w:cs="Arial"/>
        </w:rPr>
        <w:t>)</w:t>
      </w:r>
      <w:r w:rsidR="003C72A6">
        <w:rPr>
          <w:rFonts w:ascii="Arial" w:hAnsi="Arial" w:cs="Arial"/>
        </w:rPr>
        <w:t>.</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D20B3D"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 montant de l’</w:t>
      </w:r>
      <w:r w:rsidR="00164CFA">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s’établi</w:t>
      </w:r>
      <w:r w:rsidR="00FC0580">
        <w:rPr>
          <w:rFonts w:ascii="Arial" w:hAnsi="Arial" w:cs="Arial"/>
          <w:lang w:eastAsia="fr-FR"/>
        </w:rPr>
        <w:t xml:space="preserve">t </w:t>
      </w:r>
      <w:r>
        <w:rPr>
          <w:rFonts w:ascii="Arial" w:hAnsi="Arial" w:cs="Arial"/>
          <w:lang w:eastAsia="fr-FR"/>
        </w:rPr>
        <w:t>comme suit :</w:t>
      </w:r>
    </w:p>
    <w:tbl>
      <w:tblPr>
        <w:tblStyle w:val="Grilledutableau2"/>
        <w:tblW w:w="4252" w:type="dxa"/>
        <w:tblInd w:w="2547" w:type="dxa"/>
        <w:tblLook w:val="04A0" w:firstRow="1" w:lastRow="0" w:firstColumn="1" w:lastColumn="0" w:noHBand="0" w:noVBand="1"/>
      </w:tblPr>
      <w:tblGrid>
        <w:gridCol w:w="1276"/>
        <w:gridCol w:w="2976"/>
      </w:tblGrid>
      <w:tr w:rsidR="00FC0580" w:rsidRPr="00FC0580" w:rsidTr="007D687A">
        <w:trPr>
          <w:trHeight w:val="313"/>
        </w:trPr>
        <w:tc>
          <w:tcPr>
            <w:tcW w:w="1276" w:type="dxa"/>
            <w:vMerge w:val="restart"/>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FC0580">
              <w:rPr>
                <w:rFonts w:ascii="Arial" w:eastAsiaTheme="minorHAnsi" w:hAnsi="Arial" w:cs="Arial"/>
                <w:sz w:val="18"/>
                <w:szCs w:val="18"/>
                <w:lang w:eastAsia="en-US"/>
              </w:rPr>
              <w:t>N° Lot</w:t>
            </w:r>
          </w:p>
        </w:tc>
        <w:tc>
          <w:tcPr>
            <w:tcW w:w="2976" w:type="dxa"/>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hAnsi="Arial" w:cs="Arial"/>
                <w:sz w:val="18"/>
                <w:szCs w:val="18"/>
                <w:lang w:eastAsia="fr-FR"/>
              </w:rPr>
            </w:pPr>
            <w:r w:rsidRPr="00FC0580">
              <w:rPr>
                <w:rFonts w:ascii="Arial" w:hAnsi="Arial" w:cs="Arial"/>
                <w:sz w:val="18"/>
                <w:szCs w:val="18"/>
                <w:lang w:eastAsia="fr-FR"/>
              </w:rPr>
              <w:t>Montant annuel</w:t>
            </w:r>
          </w:p>
        </w:tc>
      </w:tr>
      <w:tr w:rsidR="00FC0580" w:rsidRPr="00FC0580" w:rsidTr="00F773EF">
        <w:tc>
          <w:tcPr>
            <w:tcW w:w="1276" w:type="dxa"/>
            <w:vMerge/>
            <w:vAlign w:val="center"/>
          </w:tcPr>
          <w:p w:rsidR="00FC0580" w:rsidRPr="00FC0580" w:rsidRDefault="00FC0580" w:rsidP="00FC0580">
            <w:pPr>
              <w:suppressAutoHyphens w:val="0"/>
              <w:overflowPunct w:val="0"/>
              <w:autoSpaceDE w:val="0"/>
              <w:autoSpaceDN w:val="0"/>
              <w:adjustRightInd w:val="0"/>
              <w:textAlignment w:val="baseline"/>
              <w:rPr>
                <w:rFonts w:ascii="Arial" w:hAnsi="Arial" w:cs="Arial"/>
                <w:sz w:val="18"/>
                <w:szCs w:val="18"/>
                <w:lang w:eastAsia="fr-FR"/>
              </w:rPr>
            </w:pPr>
          </w:p>
        </w:tc>
        <w:tc>
          <w:tcPr>
            <w:tcW w:w="2976" w:type="dxa"/>
          </w:tcPr>
          <w:p w:rsidR="00FC0580" w:rsidRPr="00FC0580" w:rsidRDefault="00FC0580" w:rsidP="00FC0580">
            <w:pPr>
              <w:suppressAutoHyphens w:val="0"/>
              <w:overflowPunct w:val="0"/>
              <w:autoSpaceDE w:val="0"/>
              <w:autoSpaceDN w:val="0"/>
              <w:adjustRightInd w:val="0"/>
              <w:jc w:val="center"/>
              <w:textAlignment w:val="baseline"/>
              <w:rPr>
                <w:rFonts w:ascii="Arial" w:hAnsi="Arial" w:cs="Arial"/>
                <w:sz w:val="18"/>
                <w:szCs w:val="18"/>
                <w:lang w:eastAsia="fr-FR"/>
              </w:rPr>
            </w:pPr>
            <w:proofErr w:type="gramStart"/>
            <w:r w:rsidRPr="00FC0580">
              <w:rPr>
                <w:rFonts w:ascii="Arial" w:hAnsi="Arial" w:cs="Arial"/>
                <w:sz w:val="18"/>
                <w:szCs w:val="18"/>
                <w:lang w:eastAsia="fr-FR"/>
              </w:rPr>
              <w:t>Maximum  HT</w:t>
            </w:r>
            <w:proofErr w:type="gramEnd"/>
          </w:p>
        </w:tc>
      </w:tr>
      <w:tr w:rsidR="00FC0580" w:rsidRPr="00FC0580" w:rsidTr="00F773EF">
        <w:tc>
          <w:tcPr>
            <w:tcW w:w="1276" w:type="dxa"/>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FC0580">
              <w:rPr>
                <w:rFonts w:ascii="Arial" w:eastAsiaTheme="minorHAnsi" w:hAnsi="Arial" w:cs="Arial"/>
                <w:sz w:val="18"/>
                <w:szCs w:val="18"/>
                <w:lang w:eastAsia="en-US"/>
              </w:rPr>
              <w:t xml:space="preserve">Lot </w:t>
            </w:r>
            <w:r w:rsidR="007D687A">
              <w:rPr>
                <w:rFonts w:ascii="Arial" w:eastAsiaTheme="minorHAnsi" w:hAnsi="Arial" w:cs="Arial"/>
                <w:sz w:val="18"/>
                <w:szCs w:val="18"/>
                <w:lang w:eastAsia="en-US"/>
              </w:rPr>
              <w:t>3</w:t>
            </w:r>
          </w:p>
        </w:tc>
        <w:tc>
          <w:tcPr>
            <w:tcW w:w="2976" w:type="dxa"/>
          </w:tcPr>
          <w:p w:rsidR="00FC0580" w:rsidRPr="00FC0580" w:rsidRDefault="007D687A" w:rsidP="00FC0580">
            <w:pPr>
              <w:suppressAutoHyphens w:val="0"/>
              <w:overflowPunct w:val="0"/>
              <w:autoSpaceDE w:val="0"/>
              <w:autoSpaceDN w:val="0"/>
              <w:adjustRightInd w:val="0"/>
              <w:jc w:val="center"/>
              <w:textAlignment w:val="baseline"/>
              <w:rPr>
                <w:rFonts w:ascii="Arial" w:hAnsi="Arial" w:cs="Arial"/>
                <w:sz w:val="18"/>
                <w:szCs w:val="18"/>
                <w:lang w:eastAsia="fr-FR"/>
              </w:rPr>
            </w:pPr>
            <w:r>
              <w:rPr>
                <w:rFonts w:ascii="Arial" w:eastAsiaTheme="minorHAnsi" w:hAnsi="Arial" w:cs="Arial"/>
                <w:sz w:val="18"/>
                <w:szCs w:val="18"/>
                <w:lang w:eastAsia="en-US"/>
              </w:rPr>
              <w:t>50</w:t>
            </w:r>
            <w:r w:rsidR="00FC0580" w:rsidRPr="00FC0580">
              <w:rPr>
                <w:rFonts w:ascii="Arial" w:eastAsiaTheme="minorHAnsi" w:hAnsi="Arial" w:cs="Arial"/>
                <w:sz w:val="18"/>
                <w:szCs w:val="18"/>
                <w:lang w:eastAsia="en-US"/>
              </w:rPr>
              <w:t xml:space="preserve"> 000 €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D3722C">
        <w:trPr>
          <w:trHeight w:val="393"/>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2C3ADB" w:rsidRDefault="002C3ADB" w:rsidP="00A349E7">
      <w:pPr>
        <w:tabs>
          <w:tab w:val="left" w:pos="426"/>
          <w:tab w:val="left" w:pos="851"/>
        </w:tabs>
        <w:spacing w:before="120"/>
        <w:ind w:left="924" w:hanging="924"/>
        <w:jc w:val="both"/>
        <w:rPr>
          <w:rFonts w:ascii="Arial" w:hAnsi="Arial" w:cs="Arial"/>
        </w:rPr>
      </w:pPr>
    </w:p>
    <w:p w:rsidR="00EF6F5F" w:rsidRPr="00EF6F5F" w:rsidRDefault="00EF6F5F" w:rsidP="00EF6F5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lang w:eastAsia="fr-FR"/>
        </w:rPr>
      </w:pPr>
      <w:r w:rsidRPr="00EF6F5F">
        <w:rPr>
          <w:rFonts w:ascii="Arial" w:hAnsi="Arial" w:cs="Arial"/>
          <w:lang w:eastAsia="fr-FR"/>
        </w:rPr>
        <w:t>Le marché pren</w:t>
      </w:r>
      <w:r>
        <w:rPr>
          <w:rFonts w:ascii="Arial" w:hAnsi="Arial" w:cs="Arial"/>
          <w:lang w:eastAsia="fr-FR"/>
        </w:rPr>
        <w:t>d</w:t>
      </w:r>
      <w:r w:rsidRPr="00EF6F5F">
        <w:rPr>
          <w:rFonts w:ascii="Arial" w:hAnsi="Arial" w:cs="Arial"/>
          <w:lang w:eastAsia="fr-FR"/>
        </w:rPr>
        <w:t xml:space="preserve"> effet au 1er janvier 2026 ou à la date de réception de la notification si cette dernière est postérieure, jusqu’au 31 décembre 2026, tacitement reconductible 3 fois 12 mois, jusqu’au 31 décembre 2029.</w:t>
      </w:r>
    </w:p>
    <w:p w:rsidR="00EF6F5F" w:rsidRDefault="00EF6F5F" w:rsidP="00A349E7">
      <w:pPr>
        <w:tabs>
          <w:tab w:val="left" w:pos="426"/>
          <w:tab w:val="left" w:pos="851"/>
        </w:tabs>
        <w:spacing w:before="120"/>
        <w:ind w:left="924" w:hanging="924"/>
        <w:jc w:val="both"/>
        <w:rPr>
          <w:rFonts w:ascii="Arial" w:hAnsi="Arial" w:cs="Arial"/>
        </w:rPr>
      </w:pPr>
    </w:p>
    <w:p w:rsidR="00C814B7" w:rsidRPr="00A349E7" w:rsidRDefault="00C814B7"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8E6569" w:rsidTr="008E6569">
        <w:trPr>
          <w:trHeight w:val="634"/>
        </w:trPr>
        <w:tc>
          <w:tcPr>
            <w:tcW w:w="4644" w:type="dxa"/>
            <w:tcBorders>
              <w:top w:val="single" w:sz="4" w:space="0" w:color="000000"/>
              <w:left w:val="single" w:sz="4" w:space="0" w:color="000000"/>
              <w:bottom w:val="single" w:sz="4" w:space="0" w:color="000000"/>
            </w:tcBorders>
            <w:shd w:val="clear" w:color="auto" w:fill="auto"/>
            <w:vAlign w:val="center"/>
          </w:tcPr>
          <w:p w:rsidR="008E6569" w:rsidRDefault="008E6569"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8E6569" w:rsidRDefault="008E6569"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E6569" w:rsidRDefault="008E6569"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C048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lastRenderedPageBreak/>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F437BD" w:rsidP="001B3DF0">
      <w:pPr>
        <w:jc w:val="center"/>
        <w:rPr>
          <w:rFonts w:ascii="Arial" w:eastAsia="Arial" w:hAnsi="Arial" w:cs="Arial"/>
          <w:b/>
        </w:rPr>
      </w:pPr>
      <w:r>
        <w:rPr>
          <w:rFonts w:ascii="Arial" w:eastAsia="Arial" w:hAnsi="Arial" w:cs="Arial"/>
          <w:b/>
        </w:rPr>
        <w:t>Direction des infrastructures et de la reconstruction</w:t>
      </w:r>
    </w:p>
    <w:p w:rsidR="001B3DF0" w:rsidRDefault="001B3DF0" w:rsidP="001B3DF0">
      <w:pPr>
        <w:jc w:val="center"/>
        <w:rPr>
          <w:rFonts w:ascii="Arial" w:eastAsia="Arial" w:hAnsi="Arial" w:cs="Arial"/>
          <w:b/>
        </w:rPr>
      </w:pPr>
      <w:r>
        <w:rPr>
          <w:rFonts w:ascii="Arial" w:eastAsia="Arial" w:hAnsi="Arial" w:cs="Arial"/>
          <w:b/>
        </w:rPr>
        <w:t xml:space="preserve">Cellule </w:t>
      </w:r>
      <w:r w:rsidR="00F437BD">
        <w:rPr>
          <w:rFonts w:ascii="Arial" w:eastAsia="Arial" w:hAnsi="Arial" w:cs="Arial"/>
          <w:b/>
        </w:rPr>
        <w:t>m</w:t>
      </w:r>
      <w:r>
        <w:rPr>
          <w:rFonts w:ascii="Arial" w:eastAsia="Arial" w:hAnsi="Arial" w:cs="Arial"/>
          <w:b/>
        </w:rPr>
        <w:t xml:space="preserve">archés </w:t>
      </w:r>
      <w:r w:rsidR="00F437BD">
        <w:rPr>
          <w:rFonts w:ascii="Arial" w:eastAsia="Arial" w:hAnsi="Arial" w:cs="Arial"/>
          <w:b/>
        </w:rPr>
        <w:t>p</w:t>
      </w:r>
      <w:r>
        <w:rPr>
          <w:rFonts w:ascii="Arial" w:eastAsia="Arial" w:hAnsi="Arial" w:cs="Arial"/>
          <w:b/>
        </w:rPr>
        <w:t xml:space="preserve">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w:t>
      </w:r>
      <w:r w:rsidR="008C081D">
        <w:rPr>
          <w:rFonts w:ascii="Arial" w:eastAsia="Arial" w:hAnsi="Arial" w:cs="Arial"/>
          <w:b/>
          <w:u w:val="single"/>
        </w:rPr>
        <w:t>u marché</w:t>
      </w:r>
      <w:r>
        <w:rPr>
          <w:rFonts w:ascii="Arial" w:eastAsia="Arial" w:hAnsi="Arial" w:cs="Arial"/>
          <w:b/>
        </w:rPr>
        <w:t>, le représentant de</w:t>
      </w:r>
      <w:r w:rsidR="008B076F">
        <w:rPr>
          <w:rFonts w:ascii="Arial" w:eastAsia="Arial" w:hAnsi="Arial" w:cs="Arial"/>
          <w:b/>
        </w:rPr>
        <w:t xml:space="preserve">s </w:t>
      </w:r>
      <w:r w:rsidR="00061F27">
        <w:rPr>
          <w:rFonts w:ascii="Arial" w:eastAsia="Arial" w:hAnsi="Arial" w:cs="Arial"/>
          <w:b/>
        </w:rPr>
        <w:t>9</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w:t>
      </w:r>
      <w:r w:rsidR="008C081D">
        <w:rPr>
          <w:rFonts w:ascii="Arial" w:eastAsia="Arial" w:hAnsi="Arial" w:cs="Arial"/>
          <w:b/>
        </w:rPr>
        <w:t>s</w:t>
      </w:r>
      <w:r>
        <w:rPr>
          <w:rFonts w:ascii="Arial" w:eastAsia="Arial" w:hAnsi="Arial" w:cs="Arial"/>
          <w:b/>
        </w:rPr>
        <w:t xml:space="preserv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8E6569" w:rsidRPr="001041BF" w:rsidTr="00F773EF">
        <w:trPr>
          <w:trHeight w:val="439"/>
          <w:jc w:val="center"/>
        </w:trPr>
        <w:tc>
          <w:tcPr>
            <w:tcW w:w="2407" w:type="dxa"/>
            <w:vAlign w:val="center"/>
          </w:tcPr>
          <w:p w:rsidR="008E6569" w:rsidRPr="001041BF" w:rsidRDefault="008E6569" w:rsidP="00F773EF">
            <w:pPr>
              <w:jc w:val="center"/>
              <w:rPr>
                <w:b/>
                <w:bCs/>
                <w:color w:val="000000"/>
              </w:rPr>
            </w:pPr>
            <w:r w:rsidRPr="001041BF">
              <w:rPr>
                <w:b/>
                <w:bCs/>
                <w:color w:val="000000"/>
              </w:rPr>
              <w:t>Etablissements parties</w:t>
            </w:r>
          </w:p>
        </w:tc>
        <w:tc>
          <w:tcPr>
            <w:tcW w:w="3967" w:type="dxa"/>
            <w:vAlign w:val="center"/>
          </w:tcPr>
          <w:p w:rsidR="008E6569" w:rsidRPr="001041BF" w:rsidRDefault="008E6569" w:rsidP="00F773EF">
            <w:pPr>
              <w:jc w:val="center"/>
              <w:rPr>
                <w:color w:val="000000"/>
              </w:rPr>
            </w:pPr>
            <w:r w:rsidRPr="001041BF">
              <w:rPr>
                <w:color w:val="000000"/>
              </w:rPr>
              <w:t>Adresse de l’établissement</w:t>
            </w:r>
          </w:p>
        </w:tc>
      </w:tr>
      <w:tr w:rsidR="008E6569" w:rsidRPr="009F3FB5" w:rsidTr="00F773EF">
        <w:trPr>
          <w:trHeight w:val="454"/>
          <w:jc w:val="center"/>
        </w:trPr>
        <w:tc>
          <w:tcPr>
            <w:tcW w:w="2407" w:type="dxa"/>
            <w:vAlign w:val="center"/>
          </w:tcPr>
          <w:p w:rsidR="008E6569" w:rsidRDefault="008E6569" w:rsidP="00F773EF">
            <w:pPr>
              <w:rPr>
                <w:b/>
                <w:bCs/>
                <w:color w:val="000000"/>
              </w:rPr>
            </w:pPr>
            <w:r>
              <w:rPr>
                <w:b/>
                <w:bCs/>
                <w:color w:val="000000"/>
              </w:rPr>
              <w:t>CH LISIEUX</w:t>
            </w:r>
          </w:p>
        </w:tc>
        <w:tc>
          <w:tcPr>
            <w:tcW w:w="3967" w:type="dxa"/>
            <w:vAlign w:val="center"/>
          </w:tcPr>
          <w:p w:rsidR="008E6569" w:rsidRDefault="008E6569" w:rsidP="00F773EF">
            <w:pPr>
              <w:jc w:val="center"/>
              <w:rPr>
                <w:color w:val="000000"/>
              </w:rPr>
            </w:pPr>
            <w:r w:rsidRPr="00FD757F">
              <w:rPr>
                <w:color w:val="000000"/>
              </w:rPr>
              <w:t xml:space="preserve">4, rue Roger </w:t>
            </w:r>
            <w:proofErr w:type="spellStart"/>
            <w:r w:rsidRPr="00FD757F">
              <w:rPr>
                <w:color w:val="000000"/>
              </w:rPr>
              <w:t>Aini</w:t>
            </w:r>
            <w:proofErr w:type="spellEnd"/>
          </w:p>
          <w:p w:rsidR="008E6569" w:rsidRDefault="008E6569" w:rsidP="00F773EF">
            <w:pPr>
              <w:jc w:val="center"/>
              <w:rPr>
                <w:color w:val="000000"/>
              </w:rPr>
            </w:pPr>
            <w:r w:rsidRPr="00FD757F">
              <w:rPr>
                <w:color w:val="000000"/>
              </w:rPr>
              <w:t xml:space="preserve">BP 97223 </w:t>
            </w:r>
          </w:p>
          <w:p w:rsidR="008E6569" w:rsidRPr="009F3FB5" w:rsidRDefault="008E6569" w:rsidP="00F773EF">
            <w:pPr>
              <w:jc w:val="center"/>
              <w:rPr>
                <w:color w:val="000000"/>
              </w:rPr>
            </w:pPr>
            <w:r w:rsidRPr="00FD757F">
              <w:rPr>
                <w:color w:val="000000"/>
              </w:rPr>
              <w:t>14107 LISIEUX Cedex</w:t>
            </w:r>
          </w:p>
        </w:tc>
      </w:tr>
      <w:tr w:rsidR="008E6569" w:rsidRPr="009F3FB5" w:rsidTr="00F773EF">
        <w:trPr>
          <w:trHeight w:val="454"/>
          <w:jc w:val="center"/>
        </w:trPr>
        <w:tc>
          <w:tcPr>
            <w:tcW w:w="2407" w:type="dxa"/>
            <w:vAlign w:val="center"/>
          </w:tcPr>
          <w:p w:rsidR="008E6569" w:rsidRDefault="008E6569" w:rsidP="00F773EF">
            <w:pPr>
              <w:rPr>
                <w:b/>
                <w:bCs/>
                <w:color w:val="000000"/>
              </w:rPr>
            </w:pPr>
            <w:r>
              <w:rPr>
                <w:b/>
                <w:bCs/>
                <w:color w:val="000000"/>
              </w:rPr>
              <w:t>CH PONT L’EVEQUE</w:t>
            </w:r>
          </w:p>
        </w:tc>
        <w:tc>
          <w:tcPr>
            <w:tcW w:w="3967" w:type="dxa"/>
            <w:vAlign w:val="center"/>
          </w:tcPr>
          <w:p w:rsidR="008E6569" w:rsidRDefault="008E6569" w:rsidP="00F773EF">
            <w:pPr>
              <w:jc w:val="center"/>
              <w:rPr>
                <w:color w:val="000000"/>
              </w:rPr>
            </w:pPr>
            <w:r w:rsidRPr="005E4AD2">
              <w:rPr>
                <w:color w:val="000000"/>
              </w:rPr>
              <w:t>9, rue de Brossard</w:t>
            </w:r>
          </w:p>
          <w:p w:rsidR="008E6569" w:rsidRPr="009F3FB5" w:rsidRDefault="008E6569" w:rsidP="00F773EF">
            <w:pPr>
              <w:jc w:val="center"/>
              <w:rPr>
                <w:color w:val="000000"/>
              </w:rPr>
            </w:pPr>
            <w:r w:rsidRPr="005E4AD2">
              <w:rPr>
                <w:color w:val="000000"/>
              </w:rPr>
              <w:t>14130 PONT L'EVEQUE</w:t>
            </w:r>
          </w:p>
        </w:tc>
      </w:tr>
    </w:tbl>
    <w:p w:rsidR="009F3FB5" w:rsidRDefault="009F3FB5"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p w:rsidR="00191933" w:rsidRDefault="00191933"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268"/>
        <w:gridCol w:w="3260"/>
      </w:tblGrid>
      <w:tr w:rsidR="001A5C32" w:rsidTr="00F773EF">
        <w:tc>
          <w:tcPr>
            <w:tcW w:w="2405" w:type="dxa"/>
            <w:vAlign w:val="center"/>
          </w:tcPr>
          <w:p w:rsidR="001A5C32" w:rsidRPr="003E6C49" w:rsidRDefault="001A5C32" w:rsidP="00F773EF">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1A5C32" w:rsidRPr="003E6C49" w:rsidRDefault="001A5C32" w:rsidP="00F773EF">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268" w:type="dxa"/>
            <w:vAlign w:val="center"/>
          </w:tcPr>
          <w:p w:rsidR="001A5C32" w:rsidRPr="003E6C49" w:rsidRDefault="001A5C32" w:rsidP="00F773EF">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260" w:type="dxa"/>
            <w:vAlign w:val="center"/>
          </w:tcPr>
          <w:p w:rsidR="001A5C32" w:rsidRDefault="001A5C32" w:rsidP="00F773EF">
            <w:pPr>
              <w:jc w:val="center"/>
            </w:pPr>
            <w:r>
              <w:t>Courriels</w:t>
            </w:r>
          </w:p>
        </w:tc>
      </w:tr>
      <w:tr w:rsidR="001A5C32" w:rsidRPr="00EA1E1F" w:rsidTr="00F773EF">
        <w:tc>
          <w:tcPr>
            <w:tcW w:w="2405" w:type="dxa"/>
            <w:vAlign w:val="center"/>
          </w:tcPr>
          <w:p w:rsidR="001A5C32" w:rsidRPr="003E6C49" w:rsidRDefault="001A5C32" w:rsidP="00F773EF">
            <w:pPr>
              <w:rPr>
                <w:bCs/>
                <w:color w:val="000000"/>
              </w:rPr>
            </w:pPr>
            <w:r w:rsidRPr="003E6C49">
              <w:rPr>
                <w:bCs/>
                <w:color w:val="000000"/>
              </w:rPr>
              <w:t>CH LISIEUX</w:t>
            </w:r>
          </w:p>
        </w:tc>
        <w:tc>
          <w:tcPr>
            <w:tcW w:w="2268" w:type="dxa"/>
            <w:vAlign w:val="center"/>
          </w:tcPr>
          <w:p w:rsidR="001A5C32" w:rsidRPr="003E6C49" w:rsidRDefault="001A5C32" w:rsidP="00F773EF">
            <w:r w:rsidRPr="003E6C49">
              <w:rPr>
                <w:rFonts w:ascii="Arial" w:eastAsia="Arial" w:hAnsi="Arial" w:cs="Arial"/>
              </w:rPr>
              <w:t>Madame TABESSE</w:t>
            </w:r>
          </w:p>
        </w:tc>
        <w:tc>
          <w:tcPr>
            <w:tcW w:w="2268" w:type="dxa"/>
            <w:vAlign w:val="center"/>
          </w:tcPr>
          <w:p w:rsidR="001A5C32" w:rsidRPr="003E6C49" w:rsidRDefault="001A5C32" w:rsidP="00F773EF">
            <w:r w:rsidRPr="003E6C49">
              <w:rPr>
                <w:rFonts w:ascii="Arial" w:eastAsia="Arial" w:hAnsi="Arial" w:cs="Arial"/>
              </w:rPr>
              <w:t>Cellule financière</w:t>
            </w:r>
          </w:p>
        </w:tc>
        <w:tc>
          <w:tcPr>
            <w:tcW w:w="3260" w:type="dxa"/>
            <w:vAlign w:val="center"/>
          </w:tcPr>
          <w:p w:rsidR="001A5C32" w:rsidRPr="00EA1E1F" w:rsidRDefault="001A5C32" w:rsidP="00F773EF">
            <w:pPr>
              <w:tabs>
                <w:tab w:val="left" w:pos="426"/>
                <w:tab w:val="left" w:pos="851"/>
              </w:tabs>
              <w:jc w:val="both"/>
              <w:rPr>
                <w:rFonts w:ascii="Arial" w:eastAsia="Arial" w:hAnsi="Arial" w:cs="Arial"/>
              </w:rPr>
            </w:pPr>
            <w:hyperlink r:id="rId27" w:history="1">
              <w:r w:rsidRPr="00EA1E1F">
                <w:rPr>
                  <w:rStyle w:val="Lienhypertexte"/>
                  <w:rFonts w:ascii="Arial" w:eastAsia="Arial" w:hAnsi="Arial" w:cs="Arial"/>
                </w:rPr>
                <w:t>s.tabesse@ch-lisieux.fr</w:t>
              </w:r>
            </w:hyperlink>
          </w:p>
          <w:p w:rsidR="001A5C32" w:rsidRPr="00EA1E1F" w:rsidRDefault="001A5C32" w:rsidP="00F773EF"/>
        </w:tc>
      </w:tr>
      <w:tr w:rsidR="001A5C32" w:rsidRPr="00EA1E1F" w:rsidTr="001A5C32">
        <w:trPr>
          <w:trHeight w:val="569"/>
        </w:trPr>
        <w:tc>
          <w:tcPr>
            <w:tcW w:w="2405" w:type="dxa"/>
            <w:vAlign w:val="center"/>
          </w:tcPr>
          <w:p w:rsidR="001A5C32" w:rsidRPr="003E6C49" w:rsidRDefault="001A5C32" w:rsidP="00F773EF">
            <w:r w:rsidRPr="003E6C49">
              <w:rPr>
                <w:bCs/>
                <w:color w:val="000000"/>
              </w:rPr>
              <w:t>CH PONT L’EVEQUE</w:t>
            </w:r>
          </w:p>
        </w:tc>
        <w:tc>
          <w:tcPr>
            <w:tcW w:w="2268" w:type="dxa"/>
            <w:vAlign w:val="center"/>
          </w:tcPr>
          <w:p w:rsidR="001A5C32" w:rsidRPr="003E6C49" w:rsidRDefault="001A5C32" w:rsidP="00F773EF">
            <w:r w:rsidRPr="003E6C49">
              <w:rPr>
                <w:rFonts w:ascii="Arial" w:eastAsia="Arial" w:hAnsi="Arial" w:cs="Arial"/>
              </w:rPr>
              <w:t>Madame LEFORT</w:t>
            </w:r>
          </w:p>
        </w:tc>
        <w:tc>
          <w:tcPr>
            <w:tcW w:w="2268" w:type="dxa"/>
            <w:vAlign w:val="center"/>
          </w:tcPr>
          <w:p w:rsidR="001A5C32" w:rsidRPr="003E6C49" w:rsidRDefault="001A5C32" w:rsidP="00F773EF">
            <w:r w:rsidRPr="003E6C49">
              <w:t>Chargée des finances</w:t>
            </w:r>
          </w:p>
        </w:tc>
        <w:tc>
          <w:tcPr>
            <w:tcW w:w="3260" w:type="dxa"/>
            <w:vAlign w:val="center"/>
          </w:tcPr>
          <w:p w:rsidR="001A5C32" w:rsidRPr="00EA1E1F" w:rsidRDefault="001A5C32" w:rsidP="001A5C32">
            <w:pPr>
              <w:tabs>
                <w:tab w:val="left" w:pos="426"/>
                <w:tab w:val="left" w:pos="851"/>
              </w:tabs>
              <w:jc w:val="both"/>
            </w:pPr>
            <w:hyperlink r:id="rId28" w:history="1">
              <w:r w:rsidRPr="00EA1E1F">
                <w:rPr>
                  <w:rStyle w:val="Lienhypertexte"/>
                  <w:rFonts w:ascii="Arial" w:eastAsia="Arial" w:hAnsi="Arial" w:cs="Arial"/>
                </w:rPr>
                <w:t>a.lefort@ch-ple.fr</w:t>
              </w:r>
            </w:hyperlink>
          </w:p>
        </w:tc>
      </w:tr>
    </w:tbl>
    <w:p w:rsidR="001A5C32" w:rsidRDefault="001A5C32" w:rsidP="0015164B">
      <w:pPr>
        <w:tabs>
          <w:tab w:val="left" w:pos="851"/>
        </w:tabs>
        <w:jc w:val="both"/>
        <w:rPr>
          <w:rFonts w:ascii="Arial" w:hAnsi="Arial" w:cs="Arial"/>
        </w:rPr>
      </w:pPr>
    </w:p>
    <w:p w:rsidR="001A5C32" w:rsidRDefault="001A5C32" w:rsidP="0015164B">
      <w:pPr>
        <w:tabs>
          <w:tab w:val="left" w:pos="851"/>
        </w:tabs>
        <w:jc w:val="both"/>
        <w:rPr>
          <w:rFonts w:ascii="Arial" w:hAnsi="Arial" w:cs="Arial"/>
        </w:rPr>
      </w:pPr>
      <w:bookmarkStart w:id="2" w:name="_GoBack"/>
      <w:bookmarkEnd w:id="2"/>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9C048F"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29"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lastRenderedPageBreak/>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bookmarkStart w:id="3" w:name="_Hlk205280126"/>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4" w:name="CaseACocher111"/>
      <w:r>
        <w:rPr>
          <w:rFonts w:ascii="Arial" w:hAnsi="Arial" w:cs="Arial"/>
          <w:lang w:eastAsia="fr-FR"/>
        </w:rPr>
        <w:instrText xml:space="preserve"> FORMCHECKBOX </w:instrText>
      </w:r>
      <w:r w:rsidR="009C048F">
        <w:rPr>
          <w:rFonts w:ascii="Arial" w:hAnsi="Arial" w:cs="Arial"/>
          <w:lang w:eastAsia="fr-FR"/>
        </w:rPr>
      </w:r>
      <w:r w:rsidR="009C048F">
        <w:rPr>
          <w:rFonts w:ascii="Arial" w:hAnsi="Arial" w:cs="Arial"/>
          <w:lang w:eastAsia="fr-FR"/>
        </w:rPr>
        <w:fldChar w:fldCharType="separate"/>
      </w:r>
      <w:r>
        <w:rPr>
          <w:rFonts w:ascii="Arial" w:hAnsi="Arial" w:cs="Arial"/>
          <w:lang w:eastAsia="fr-FR"/>
        </w:rPr>
        <w:fldChar w:fldCharType="end"/>
      </w:r>
      <w:bookmarkEnd w:id="4"/>
      <w:r w:rsidR="003C72A6" w:rsidRPr="003C72A6">
        <w:rPr>
          <w:rFonts w:ascii="Arial" w:hAnsi="Arial" w:cs="Arial"/>
          <w:lang w:eastAsia="fr-FR"/>
        </w:rPr>
        <w:t xml:space="preserve"> Annexe n° 1 relative </w:t>
      </w:r>
      <w:r w:rsidR="005A16C6">
        <w:rPr>
          <w:rFonts w:ascii="Arial" w:hAnsi="Arial" w:cs="Arial"/>
          <w:lang w:eastAsia="fr-FR"/>
        </w:rPr>
        <w:t>au cadre de décomposition du prix global et forfaitaire</w:t>
      </w:r>
      <w:r w:rsidR="003C72A6" w:rsidRPr="003C72A6">
        <w:rPr>
          <w:rFonts w:ascii="Arial" w:hAnsi="Arial" w:cs="Arial"/>
          <w:lang w:eastAsia="fr-FR"/>
        </w:rPr>
        <w:t> ;</w:t>
      </w:r>
    </w:p>
    <w:bookmarkStart w:id="5" w:name="_Hlk205280207"/>
    <w:bookmarkEnd w:id="3"/>
    <w:p w:rsidR="00025226" w:rsidRDefault="00025226" w:rsidP="00025226">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9C048F">
        <w:rPr>
          <w:rFonts w:ascii="Arial" w:hAnsi="Arial" w:cs="Arial"/>
          <w:lang w:eastAsia="fr-FR"/>
        </w:rPr>
      </w:r>
      <w:r w:rsidR="009C048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w:t>
      </w:r>
      <w:r>
        <w:rPr>
          <w:rFonts w:ascii="Arial" w:hAnsi="Arial" w:cs="Arial"/>
          <w:lang w:eastAsia="fr-FR"/>
        </w:rPr>
        <w:t>(x)</w:t>
      </w:r>
      <w:r w:rsidRPr="003C72A6">
        <w:rPr>
          <w:rFonts w:ascii="Arial" w:hAnsi="Arial" w:cs="Arial"/>
          <w:lang w:eastAsia="fr-FR"/>
        </w:rPr>
        <w:t xml:space="preserve"> bordereau</w:t>
      </w:r>
      <w:r>
        <w:rPr>
          <w:rFonts w:ascii="Arial" w:hAnsi="Arial" w:cs="Arial"/>
          <w:lang w:eastAsia="fr-FR"/>
        </w:rPr>
        <w:t>(x)</w:t>
      </w:r>
      <w:r w:rsidRPr="003C72A6">
        <w:rPr>
          <w:rFonts w:ascii="Arial" w:hAnsi="Arial" w:cs="Arial"/>
          <w:lang w:eastAsia="fr-FR"/>
        </w:rPr>
        <w:t xml:space="preserve"> des prix unitaires ;</w:t>
      </w:r>
    </w:p>
    <w:bookmarkEnd w:id="5"/>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9C048F">
        <w:rPr>
          <w:rFonts w:ascii="Arial" w:hAnsi="Arial" w:cs="Arial"/>
          <w:lang w:eastAsia="fr-FR"/>
        </w:rPr>
      </w:r>
      <w:r w:rsidR="009C048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9C048F">
        <w:rPr>
          <w:rFonts w:ascii="Arial" w:hAnsi="Arial" w:cs="Arial"/>
          <w:lang w:eastAsia="fr-FR"/>
        </w:rPr>
      </w:r>
      <w:r w:rsidR="009C048F">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4</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C048F">
        <w:rPr>
          <w:rFonts w:ascii="Arial" w:hAnsi="Arial" w:cs="Arial"/>
          <w:lang w:eastAsia="fr-FR"/>
        </w:rPr>
      </w:r>
      <w:r w:rsidR="009C048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C048F">
        <w:rPr>
          <w:rFonts w:ascii="Arial" w:hAnsi="Arial" w:cs="Arial"/>
          <w:lang w:eastAsia="fr-FR"/>
        </w:rPr>
      </w:r>
      <w:r w:rsidR="009C048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C048F">
        <w:rPr>
          <w:rFonts w:ascii="Arial" w:hAnsi="Arial" w:cs="Arial"/>
          <w:lang w:eastAsia="fr-FR"/>
        </w:rPr>
      </w:r>
      <w:r w:rsidR="009C048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9C048F">
        <w:rPr>
          <w:rFonts w:ascii="Arial" w:hAnsi="Arial" w:cs="Arial"/>
          <w:lang w:eastAsia="fr-FR"/>
        </w:rPr>
      </w:r>
      <w:r w:rsidR="009C048F">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w:t>
          </w:r>
          <w:r w:rsidR="00A427CA" w:rsidRPr="00A427CA">
            <w:rPr>
              <w:rFonts w:ascii="Arial" w:hAnsi="Arial" w:cs="Arial"/>
              <w:b/>
            </w:rPr>
            <w:t>2025 0 123 00</w:t>
          </w:r>
          <w:r w:rsidR="007D687A">
            <w:rPr>
              <w:rFonts w:ascii="Arial" w:hAnsi="Arial" w:cs="Arial"/>
              <w:b/>
            </w:rPr>
            <w:t>3</w:t>
          </w:r>
          <w:r w:rsidR="00A427CA" w:rsidRPr="00A427CA">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25226"/>
    <w:rsid w:val="00034834"/>
    <w:rsid w:val="00036500"/>
    <w:rsid w:val="00061F27"/>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7A5B"/>
    <w:rsid w:val="00137CE0"/>
    <w:rsid w:val="00142251"/>
    <w:rsid w:val="00144AA7"/>
    <w:rsid w:val="0015164B"/>
    <w:rsid w:val="0015244F"/>
    <w:rsid w:val="00157FB5"/>
    <w:rsid w:val="00164CFA"/>
    <w:rsid w:val="00166B56"/>
    <w:rsid w:val="00167C4F"/>
    <w:rsid w:val="00174505"/>
    <w:rsid w:val="00175EFE"/>
    <w:rsid w:val="00180BFF"/>
    <w:rsid w:val="00191933"/>
    <w:rsid w:val="001A0ACF"/>
    <w:rsid w:val="001A5C32"/>
    <w:rsid w:val="001B3DF0"/>
    <w:rsid w:val="001C40C0"/>
    <w:rsid w:val="001C733C"/>
    <w:rsid w:val="001F05AD"/>
    <w:rsid w:val="0021527A"/>
    <w:rsid w:val="0021797C"/>
    <w:rsid w:val="00221808"/>
    <w:rsid w:val="00225A1A"/>
    <w:rsid w:val="00271497"/>
    <w:rsid w:val="00273F36"/>
    <w:rsid w:val="00286179"/>
    <w:rsid w:val="002904AF"/>
    <w:rsid w:val="002B080F"/>
    <w:rsid w:val="002B1FE2"/>
    <w:rsid w:val="002C2CA3"/>
    <w:rsid w:val="002C3ADB"/>
    <w:rsid w:val="002C4B3E"/>
    <w:rsid w:val="002C79D6"/>
    <w:rsid w:val="002C7D4F"/>
    <w:rsid w:val="002E56C1"/>
    <w:rsid w:val="00332B12"/>
    <w:rsid w:val="00354C04"/>
    <w:rsid w:val="003757D0"/>
    <w:rsid w:val="00385E76"/>
    <w:rsid w:val="00391199"/>
    <w:rsid w:val="003A1120"/>
    <w:rsid w:val="003A57A0"/>
    <w:rsid w:val="003A7270"/>
    <w:rsid w:val="003B08A8"/>
    <w:rsid w:val="003C72A6"/>
    <w:rsid w:val="003D4041"/>
    <w:rsid w:val="003D4C8C"/>
    <w:rsid w:val="0042151F"/>
    <w:rsid w:val="00433B4B"/>
    <w:rsid w:val="004342DC"/>
    <w:rsid w:val="0043706E"/>
    <w:rsid w:val="0044597F"/>
    <w:rsid w:val="004959F7"/>
    <w:rsid w:val="004A01A2"/>
    <w:rsid w:val="004A6DAE"/>
    <w:rsid w:val="004A7169"/>
    <w:rsid w:val="004B15E2"/>
    <w:rsid w:val="004B4B1E"/>
    <w:rsid w:val="004C5755"/>
    <w:rsid w:val="004C60E4"/>
    <w:rsid w:val="004E39A3"/>
    <w:rsid w:val="004E75A6"/>
    <w:rsid w:val="004F2FD6"/>
    <w:rsid w:val="00506B7B"/>
    <w:rsid w:val="00514DAF"/>
    <w:rsid w:val="0051732A"/>
    <w:rsid w:val="00526C50"/>
    <w:rsid w:val="00532EC7"/>
    <w:rsid w:val="00535A59"/>
    <w:rsid w:val="00541CA3"/>
    <w:rsid w:val="0054347C"/>
    <w:rsid w:val="00550081"/>
    <w:rsid w:val="0055039E"/>
    <w:rsid w:val="005546A9"/>
    <w:rsid w:val="0058002A"/>
    <w:rsid w:val="005824AE"/>
    <w:rsid w:val="005846FB"/>
    <w:rsid w:val="005A05C1"/>
    <w:rsid w:val="005A16C6"/>
    <w:rsid w:val="005A4A3B"/>
    <w:rsid w:val="005A4CB5"/>
    <w:rsid w:val="005B2316"/>
    <w:rsid w:val="005C57D4"/>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4338"/>
    <w:rsid w:val="006D0E63"/>
    <w:rsid w:val="006E7B1E"/>
    <w:rsid w:val="006F3DF9"/>
    <w:rsid w:val="007052AF"/>
    <w:rsid w:val="007060E5"/>
    <w:rsid w:val="00710FD6"/>
    <w:rsid w:val="00711285"/>
    <w:rsid w:val="0072077A"/>
    <w:rsid w:val="00730A78"/>
    <w:rsid w:val="00757151"/>
    <w:rsid w:val="007777A5"/>
    <w:rsid w:val="0078321A"/>
    <w:rsid w:val="0078361D"/>
    <w:rsid w:val="007909E0"/>
    <w:rsid w:val="00793B42"/>
    <w:rsid w:val="007947CB"/>
    <w:rsid w:val="00796321"/>
    <w:rsid w:val="0079785C"/>
    <w:rsid w:val="007A06D2"/>
    <w:rsid w:val="007D2516"/>
    <w:rsid w:val="007D4001"/>
    <w:rsid w:val="007D687A"/>
    <w:rsid w:val="007D7A65"/>
    <w:rsid w:val="007F68A6"/>
    <w:rsid w:val="00806A7A"/>
    <w:rsid w:val="00830730"/>
    <w:rsid w:val="0083205E"/>
    <w:rsid w:val="00840934"/>
    <w:rsid w:val="00844DAA"/>
    <w:rsid w:val="008450C7"/>
    <w:rsid w:val="00864129"/>
    <w:rsid w:val="00864B0F"/>
    <w:rsid w:val="00876A73"/>
    <w:rsid w:val="008922F4"/>
    <w:rsid w:val="00893E1E"/>
    <w:rsid w:val="008A7C6D"/>
    <w:rsid w:val="008B076F"/>
    <w:rsid w:val="008B2A38"/>
    <w:rsid w:val="008C081D"/>
    <w:rsid w:val="008C183B"/>
    <w:rsid w:val="008E6569"/>
    <w:rsid w:val="008E7C42"/>
    <w:rsid w:val="008F4DEF"/>
    <w:rsid w:val="00904B39"/>
    <w:rsid w:val="00913737"/>
    <w:rsid w:val="00921A5C"/>
    <w:rsid w:val="00925B35"/>
    <w:rsid w:val="00930A5C"/>
    <w:rsid w:val="00934503"/>
    <w:rsid w:val="009349A5"/>
    <w:rsid w:val="00940C63"/>
    <w:rsid w:val="00943D95"/>
    <w:rsid w:val="00952885"/>
    <w:rsid w:val="00960247"/>
    <w:rsid w:val="00962553"/>
    <w:rsid w:val="00972598"/>
    <w:rsid w:val="00983FF3"/>
    <w:rsid w:val="00992615"/>
    <w:rsid w:val="00996584"/>
    <w:rsid w:val="009B1CD0"/>
    <w:rsid w:val="009B45B9"/>
    <w:rsid w:val="009C048F"/>
    <w:rsid w:val="009C4738"/>
    <w:rsid w:val="009C54E4"/>
    <w:rsid w:val="009D661E"/>
    <w:rsid w:val="009E0D9A"/>
    <w:rsid w:val="009E1249"/>
    <w:rsid w:val="009F3FB5"/>
    <w:rsid w:val="00A00005"/>
    <w:rsid w:val="00A30D41"/>
    <w:rsid w:val="00A349E7"/>
    <w:rsid w:val="00A34D04"/>
    <w:rsid w:val="00A40C04"/>
    <w:rsid w:val="00A427CA"/>
    <w:rsid w:val="00A45144"/>
    <w:rsid w:val="00A46A16"/>
    <w:rsid w:val="00A67E57"/>
    <w:rsid w:val="00A73D2C"/>
    <w:rsid w:val="00A756DC"/>
    <w:rsid w:val="00A84DD2"/>
    <w:rsid w:val="00A9485F"/>
    <w:rsid w:val="00AC03F3"/>
    <w:rsid w:val="00AD727C"/>
    <w:rsid w:val="00AE7831"/>
    <w:rsid w:val="00AF4E70"/>
    <w:rsid w:val="00B019B1"/>
    <w:rsid w:val="00B02608"/>
    <w:rsid w:val="00B0289C"/>
    <w:rsid w:val="00B054DA"/>
    <w:rsid w:val="00B363D7"/>
    <w:rsid w:val="00B82A8E"/>
    <w:rsid w:val="00B87564"/>
    <w:rsid w:val="00B96346"/>
    <w:rsid w:val="00BA44E5"/>
    <w:rsid w:val="00BA7957"/>
    <w:rsid w:val="00BB1140"/>
    <w:rsid w:val="00BC5E78"/>
    <w:rsid w:val="00BD767E"/>
    <w:rsid w:val="00BE6078"/>
    <w:rsid w:val="00BF6D56"/>
    <w:rsid w:val="00C01A79"/>
    <w:rsid w:val="00C1766B"/>
    <w:rsid w:val="00C2168F"/>
    <w:rsid w:val="00C23457"/>
    <w:rsid w:val="00C2737E"/>
    <w:rsid w:val="00C27D0C"/>
    <w:rsid w:val="00C450E7"/>
    <w:rsid w:val="00C515F6"/>
    <w:rsid w:val="00C55F52"/>
    <w:rsid w:val="00C630AD"/>
    <w:rsid w:val="00C63B72"/>
    <w:rsid w:val="00C67EC9"/>
    <w:rsid w:val="00C814B7"/>
    <w:rsid w:val="00C83930"/>
    <w:rsid w:val="00C91060"/>
    <w:rsid w:val="00C911FE"/>
    <w:rsid w:val="00C94B2A"/>
    <w:rsid w:val="00CB58F7"/>
    <w:rsid w:val="00CD185D"/>
    <w:rsid w:val="00CD46CC"/>
    <w:rsid w:val="00CE67FD"/>
    <w:rsid w:val="00CF6215"/>
    <w:rsid w:val="00D20B3D"/>
    <w:rsid w:val="00D26AD2"/>
    <w:rsid w:val="00D337D7"/>
    <w:rsid w:val="00D3722C"/>
    <w:rsid w:val="00D412FD"/>
    <w:rsid w:val="00D455FF"/>
    <w:rsid w:val="00D46BC7"/>
    <w:rsid w:val="00D773B5"/>
    <w:rsid w:val="00D90A00"/>
    <w:rsid w:val="00DC5F35"/>
    <w:rsid w:val="00DE41EA"/>
    <w:rsid w:val="00E20DB0"/>
    <w:rsid w:val="00E47798"/>
    <w:rsid w:val="00E53E03"/>
    <w:rsid w:val="00E62BB3"/>
    <w:rsid w:val="00E74C76"/>
    <w:rsid w:val="00E96FF6"/>
    <w:rsid w:val="00EA1E1F"/>
    <w:rsid w:val="00EC2218"/>
    <w:rsid w:val="00EC5424"/>
    <w:rsid w:val="00ED0391"/>
    <w:rsid w:val="00ED1CD4"/>
    <w:rsid w:val="00EE026E"/>
    <w:rsid w:val="00EE0D78"/>
    <w:rsid w:val="00EF6F5F"/>
    <w:rsid w:val="00F42A43"/>
    <w:rsid w:val="00F437BD"/>
    <w:rsid w:val="00F476AB"/>
    <w:rsid w:val="00F77CDF"/>
    <w:rsid w:val="00F9037F"/>
    <w:rsid w:val="00F92811"/>
    <w:rsid w:val="00FA5DC7"/>
    <w:rsid w:val="00FA770C"/>
    <w:rsid w:val="00FC0580"/>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4:docId w14:val="35981D54"/>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4E3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793B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t014014@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a.lefort@ch-ple.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s.tabesse@ch-lisieux.fr"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3DC48-9825-4524-8F0B-80C793B14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6</Pages>
  <Words>2487</Words>
  <Characters>13684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16139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9</cp:revision>
  <cp:lastPrinted>2024-10-03T11:07:00Z</cp:lastPrinted>
  <dcterms:created xsi:type="dcterms:W3CDTF">2025-08-27T14:01:00Z</dcterms:created>
  <dcterms:modified xsi:type="dcterms:W3CDTF">2025-08-27T14:37:00Z</dcterms:modified>
</cp:coreProperties>
</file>