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7777777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>ANNEXE 3</w:t>
      </w:r>
    </w:p>
    <w:bookmarkEnd w:id="2"/>
    <w:p w14:paraId="65D97808" w14:textId="77777777" w:rsidR="00AA71F1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DESCRIPTIF DE</w:t>
      </w:r>
      <w:r w:rsidR="00E43111">
        <w:rPr>
          <w:rFonts w:cstheme="minorHAnsi"/>
          <w:b/>
          <w:color w:val="FFFFFF" w:themeColor="background1"/>
          <w:sz w:val="32"/>
        </w:rPr>
        <w:t xml:space="preserve">S INSTALLATIONS </w:t>
      </w:r>
    </w:p>
    <w:p w14:paraId="2901E90A" w14:textId="47DB6386" w:rsidR="00E517C8" w:rsidRPr="00A662E0" w:rsidRDefault="00E43111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</w:t>
      </w:r>
      <w:r w:rsidR="00AA71F1">
        <w:rPr>
          <w:rFonts w:cstheme="minorHAnsi"/>
          <w:b/>
          <w:color w:val="FFFFFF" w:themeColor="background1"/>
          <w:sz w:val="32"/>
        </w:rPr>
        <w:t xml:space="preserve"> </w:t>
      </w:r>
      <w:r w:rsidR="00493057">
        <w:rPr>
          <w:rFonts w:cstheme="minorHAnsi"/>
          <w:b/>
          <w:color w:val="FFFFFF" w:themeColor="background1"/>
          <w:sz w:val="32"/>
        </w:rPr>
        <w:t>2</w:t>
      </w:r>
      <w:r w:rsidR="00AA71F1">
        <w:rPr>
          <w:rFonts w:cstheme="minorHAnsi"/>
          <w:b/>
          <w:color w:val="FFFFFF" w:themeColor="background1"/>
          <w:sz w:val="32"/>
        </w:rPr>
        <w:t xml:space="preserve"> : CH de </w:t>
      </w:r>
      <w:r w:rsidR="00493057">
        <w:rPr>
          <w:rFonts w:cstheme="minorHAnsi"/>
          <w:b/>
          <w:color w:val="FFFFFF" w:themeColor="background1"/>
          <w:sz w:val="32"/>
        </w:rPr>
        <w:t>Vimoutiers</w:t>
      </w:r>
    </w:p>
    <w:p w14:paraId="4955E9F1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b/>
          <w:color w:val="FFFFFF" w:themeColor="background1"/>
        </w:rPr>
      </w:pPr>
    </w:p>
    <w:p w14:paraId="7FFC9D10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64681B3F" w14:textId="480F59D5" w:rsidR="00E517C8" w:rsidRPr="009210F1" w:rsidRDefault="00E517C8" w:rsidP="0038182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left="426"/>
        <w:jc w:val="both"/>
        <w:rPr>
          <w:rFonts w:cstheme="minorHAnsi"/>
          <w:b/>
          <w:caps/>
          <w:color w:val="0F4C81"/>
          <w:u w:val="single"/>
        </w:rPr>
      </w:pPr>
      <w:r w:rsidRPr="009210F1">
        <w:rPr>
          <w:rFonts w:cstheme="minorHAnsi"/>
          <w:b/>
          <w:caps/>
          <w:color w:val="0F4C81"/>
          <w:u w:val="single"/>
        </w:rPr>
        <w:lastRenderedPageBreak/>
        <w:t xml:space="preserve">DESCRPTION </w:t>
      </w:r>
      <w:r w:rsidR="008D611A" w:rsidRPr="009210F1">
        <w:rPr>
          <w:rFonts w:cstheme="minorHAnsi"/>
          <w:b/>
          <w:caps/>
          <w:color w:val="0F4C81"/>
          <w:u w:val="single"/>
        </w:rPr>
        <w:t xml:space="preserve">GENERALE </w:t>
      </w:r>
      <w:r w:rsidR="00BE734B">
        <w:rPr>
          <w:rFonts w:cstheme="minorHAnsi"/>
          <w:b/>
          <w:caps/>
          <w:color w:val="0F4C81"/>
          <w:u w:val="single"/>
        </w:rPr>
        <w:t>DU GHT</w:t>
      </w:r>
    </w:p>
    <w:p w14:paraId="54088F78" w14:textId="77777777" w:rsidR="00BE734B" w:rsidRDefault="009B1F16" w:rsidP="009B1F16">
      <w:pPr>
        <w:spacing w:before="240" w:after="240"/>
        <w:jc w:val="both"/>
      </w:pPr>
      <w:r w:rsidRPr="00E517C8">
        <w:t xml:space="preserve">Le </w:t>
      </w:r>
      <w:r w:rsidR="00BE734B">
        <w:t>Groupement Hospitalier de Territoire (GHT) « Normandie Centre » regroupe les établissements suivants :</w:t>
      </w:r>
    </w:p>
    <w:p w14:paraId="0681F8C4" w14:textId="4899665A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5F3321C" wp14:editId="7060A2A6">
            <wp:simplePos x="0" y="0"/>
            <wp:positionH relativeFrom="column">
              <wp:posOffset>2481580</wp:posOffset>
            </wp:positionH>
            <wp:positionV relativeFrom="paragraph">
              <wp:posOffset>1905</wp:posOffset>
            </wp:positionV>
            <wp:extent cx="2847975" cy="1962692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019" cy="197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34B">
        <w:t>CHU Caen Normandie</w:t>
      </w:r>
    </w:p>
    <w:p w14:paraId="643DA845" w14:textId="0580F3D0" w:rsidR="00BE734B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EPSM Caen</w:t>
      </w:r>
    </w:p>
    <w:p w14:paraId="69661387" w14:textId="76544374" w:rsidR="00921359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 xml:space="preserve">CH </w:t>
      </w:r>
      <w:r w:rsidR="00921359">
        <w:t>Bayeux</w:t>
      </w:r>
    </w:p>
    <w:p w14:paraId="3F161F12" w14:textId="759F1FAE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</w:t>
      </w:r>
      <w:r w:rsidR="00014594">
        <w:t>u</w:t>
      </w:r>
      <w:r>
        <w:t>nay-sur-Odon</w:t>
      </w:r>
    </w:p>
    <w:p w14:paraId="24797A27" w14:textId="311ACF6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Falaise</w:t>
      </w:r>
    </w:p>
    <w:p w14:paraId="33C049CF" w14:textId="62A0A847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Argentan</w:t>
      </w:r>
    </w:p>
    <w:p w14:paraId="2DDE5F39" w14:textId="65991B8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Vimoutiers</w:t>
      </w:r>
    </w:p>
    <w:p w14:paraId="76DB5109" w14:textId="17F0035C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Lisieux</w:t>
      </w:r>
    </w:p>
    <w:p w14:paraId="257754BC" w14:textId="0B40273B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Pont L’Evêque</w:t>
      </w:r>
    </w:p>
    <w:p w14:paraId="47B7AEBC" w14:textId="21199EF1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5D8A71A" wp14:editId="14C29F36">
            <wp:simplePos x="0" y="0"/>
            <wp:positionH relativeFrom="column">
              <wp:posOffset>3215005</wp:posOffset>
            </wp:positionH>
            <wp:positionV relativeFrom="paragraph">
              <wp:posOffset>227965</wp:posOffset>
            </wp:positionV>
            <wp:extent cx="1059180" cy="19176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917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CH Côte Fleurie</w:t>
      </w:r>
    </w:p>
    <w:p w14:paraId="720C6D83" w14:textId="6558F771" w:rsidR="00921359" w:rsidRDefault="00BE734B" w:rsidP="009B1F16">
      <w:pPr>
        <w:spacing w:before="240" w:after="240"/>
        <w:jc w:val="both"/>
      </w:pPr>
      <w:r>
        <w:t xml:space="preserve"> </w:t>
      </w:r>
    </w:p>
    <w:p w14:paraId="5D69F9CC" w14:textId="64C4B5C0" w:rsidR="00921359" w:rsidRDefault="00921359" w:rsidP="00921359">
      <w:pPr>
        <w:spacing w:before="240" w:after="240"/>
        <w:jc w:val="both"/>
      </w:pPr>
      <w:r>
        <w:t xml:space="preserve">Le </w:t>
      </w:r>
      <w:r w:rsidR="003B033C">
        <w:t>présent</w:t>
      </w:r>
      <w:r>
        <w:t xml:space="preserve"> </w:t>
      </w:r>
      <w:r w:rsidR="003B033C">
        <w:t xml:space="preserve">marché </w:t>
      </w:r>
      <w:r>
        <w:t xml:space="preserve">concerne les bâtiments selon l’allotissements suivants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5271"/>
      </w:tblGrid>
      <w:tr w:rsidR="009D7BEF" w14:paraId="2BCCB135" w14:textId="77777777" w:rsidTr="009D7BEF">
        <w:trPr>
          <w:trHeight w:val="34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00BFA63F" w14:textId="77777777" w:rsidR="009D7BEF" w:rsidRDefault="009D7BEF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N° Lot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53598192" w14:textId="77777777" w:rsidR="009D7BEF" w:rsidRDefault="009D7BEF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Etablissement </w:t>
            </w:r>
          </w:p>
        </w:tc>
      </w:tr>
      <w:tr w:rsidR="009D7BEF" w14:paraId="051E28CE" w14:textId="77777777" w:rsidTr="009D7BEF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70429" w14:textId="77777777" w:rsidR="009D7BEF" w:rsidRDefault="009D7BEF">
            <w:pPr>
              <w:autoSpaceDE w:val="0"/>
              <w:autoSpaceDN w:val="0"/>
              <w:adjustRightInd w:val="0"/>
              <w:jc w:val="center"/>
            </w:pPr>
            <w:r>
              <w:t>Lot 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84CB" w14:textId="77777777" w:rsidR="009D7BEF" w:rsidRDefault="009D7BEF">
            <w:pPr>
              <w:autoSpaceDE w:val="0"/>
              <w:autoSpaceDN w:val="0"/>
              <w:adjustRightInd w:val="0"/>
            </w:pPr>
            <w:r>
              <w:t xml:space="preserve">CHU CAEN </w:t>
            </w:r>
          </w:p>
        </w:tc>
      </w:tr>
      <w:tr w:rsidR="009D7BEF" w14:paraId="289D5E30" w14:textId="77777777" w:rsidTr="009D7BEF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1E21" w14:textId="77777777" w:rsidR="009D7BEF" w:rsidRDefault="009D7BEF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DA24" w14:textId="77777777" w:rsidR="009D7BEF" w:rsidRDefault="009D7BEF">
            <w:pPr>
              <w:autoSpaceDE w:val="0"/>
              <w:autoSpaceDN w:val="0"/>
              <w:adjustRightInd w:val="0"/>
            </w:pPr>
            <w:r>
              <w:t xml:space="preserve">CH </w:t>
            </w:r>
            <w:proofErr w:type="spellStart"/>
            <w:r>
              <w:t>Aunay</w:t>
            </w:r>
            <w:proofErr w:type="spellEnd"/>
            <w:r>
              <w:t>-Bayeux</w:t>
            </w:r>
          </w:p>
        </w:tc>
      </w:tr>
      <w:tr w:rsidR="009D7BEF" w14:paraId="7EA2B57F" w14:textId="77777777" w:rsidTr="009D7BEF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31960" w14:textId="77777777" w:rsidR="009D7BEF" w:rsidRDefault="009D7BEF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14BB9" w14:textId="77777777" w:rsidR="009D7BEF" w:rsidRDefault="009D7BEF">
            <w:pPr>
              <w:autoSpaceDE w:val="0"/>
              <w:autoSpaceDN w:val="0"/>
              <w:adjustRightInd w:val="0"/>
            </w:pPr>
            <w:r>
              <w:t>EPSM de Caen</w:t>
            </w:r>
          </w:p>
        </w:tc>
      </w:tr>
      <w:tr w:rsidR="009D7BEF" w14:paraId="4AC83873" w14:textId="77777777" w:rsidTr="009D7BEF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B94E" w14:textId="77777777" w:rsidR="009D7BEF" w:rsidRDefault="009D7BEF">
            <w:pPr>
              <w:autoSpaceDE w:val="0"/>
              <w:autoSpaceDN w:val="0"/>
              <w:adjustRightInd w:val="0"/>
              <w:jc w:val="center"/>
            </w:pPr>
            <w:r>
              <w:t>Lot 2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BC07" w14:textId="77777777" w:rsidR="009D7BEF" w:rsidRDefault="009D7BEF">
            <w:pPr>
              <w:autoSpaceDE w:val="0"/>
              <w:autoSpaceDN w:val="0"/>
              <w:adjustRightInd w:val="0"/>
            </w:pPr>
            <w:r>
              <w:t>CH Argentan</w:t>
            </w:r>
          </w:p>
        </w:tc>
      </w:tr>
      <w:tr w:rsidR="009D7BEF" w14:paraId="5D5E2816" w14:textId="77777777" w:rsidTr="009D7BEF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A80CB" w14:textId="77777777" w:rsidR="009D7BEF" w:rsidRDefault="009D7BEF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F6F7" w14:textId="77777777" w:rsidR="009D7BEF" w:rsidRDefault="009D7BEF">
            <w:pPr>
              <w:autoSpaceDE w:val="0"/>
              <w:autoSpaceDN w:val="0"/>
              <w:adjustRightInd w:val="0"/>
            </w:pPr>
            <w:r>
              <w:t>CH Vimoutiers</w:t>
            </w:r>
          </w:p>
        </w:tc>
      </w:tr>
      <w:tr w:rsidR="009D7BEF" w14:paraId="5F6300BB" w14:textId="77777777" w:rsidTr="009D7BEF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C357" w14:textId="77777777" w:rsidR="009D7BEF" w:rsidRDefault="009D7BEF">
            <w:pPr>
              <w:autoSpaceDE w:val="0"/>
              <w:autoSpaceDN w:val="0"/>
              <w:adjustRightInd w:val="0"/>
              <w:jc w:val="center"/>
            </w:pPr>
            <w:r>
              <w:t>Lot 3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690F0" w14:textId="77777777" w:rsidR="009D7BEF" w:rsidRDefault="009D7BEF">
            <w:pPr>
              <w:autoSpaceDE w:val="0"/>
              <w:autoSpaceDN w:val="0"/>
              <w:adjustRightInd w:val="0"/>
            </w:pPr>
            <w:r>
              <w:t>CH Lisieux</w:t>
            </w:r>
          </w:p>
        </w:tc>
      </w:tr>
      <w:tr w:rsidR="009D7BEF" w14:paraId="47C762F1" w14:textId="77777777" w:rsidTr="009D7BEF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00153" w14:textId="77777777" w:rsidR="009D7BEF" w:rsidRDefault="009D7BEF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FD3A7" w14:textId="77777777" w:rsidR="009D7BEF" w:rsidRDefault="009D7BEF">
            <w:pPr>
              <w:autoSpaceDE w:val="0"/>
              <w:autoSpaceDN w:val="0"/>
              <w:adjustRightInd w:val="0"/>
            </w:pPr>
            <w:r>
              <w:t>CH Pont l’EVEQUE</w:t>
            </w:r>
          </w:p>
        </w:tc>
      </w:tr>
      <w:tr w:rsidR="009D7BEF" w14:paraId="1D9D8E31" w14:textId="77777777" w:rsidTr="009D7BEF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9702" w14:textId="77777777" w:rsidR="009D7BEF" w:rsidRDefault="009D7BEF">
            <w:pPr>
              <w:autoSpaceDE w:val="0"/>
              <w:autoSpaceDN w:val="0"/>
              <w:adjustRightInd w:val="0"/>
              <w:jc w:val="center"/>
            </w:pPr>
            <w:r>
              <w:t>Lot 4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D114C" w14:textId="77777777" w:rsidR="009D7BEF" w:rsidRDefault="009D7BEF">
            <w:pPr>
              <w:autoSpaceDE w:val="0"/>
              <w:autoSpaceDN w:val="0"/>
              <w:adjustRightInd w:val="0"/>
            </w:pPr>
            <w:r>
              <w:t>CH Falaise</w:t>
            </w:r>
          </w:p>
        </w:tc>
      </w:tr>
      <w:tr w:rsidR="009D7BEF" w14:paraId="2B649891" w14:textId="77777777" w:rsidTr="009D7BEF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4B1C3" w14:textId="77777777" w:rsidR="009D7BEF" w:rsidRDefault="009D7BEF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45603" w14:textId="77777777" w:rsidR="009D7BEF" w:rsidRDefault="009D7BEF">
            <w:pPr>
              <w:autoSpaceDE w:val="0"/>
              <w:autoSpaceDN w:val="0"/>
              <w:adjustRightInd w:val="0"/>
            </w:pPr>
            <w:r>
              <w:t>CH Côte fleurie</w:t>
            </w:r>
          </w:p>
        </w:tc>
      </w:tr>
    </w:tbl>
    <w:p w14:paraId="285A0AE6" w14:textId="2B6B973E" w:rsidR="00921359" w:rsidRPr="009F3F70" w:rsidRDefault="00921359" w:rsidP="00903F07">
      <w:pPr>
        <w:autoSpaceDE w:val="0"/>
        <w:autoSpaceDN w:val="0"/>
        <w:adjustRightInd w:val="0"/>
        <w:spacing w:after="0" w:line="240" w:lineRule="auto"/>
        <w:jc w:val="center"/>
        <w:rPr>
          <w:rFonts w:cs="Courier New"/>
          <w:i/>
        </w:rPr>
      </w:pPr>
      <w:bookmarkStart w:id="3" w:name="_GoBack"/>
      <w:bookmarkEnd w:id="3"/>
    </w:p>
    <w:p w14:paraId="489BD9BF" w14:textId="450579D0" w:rsidR="00921359" w:rsidRPr="00921359" w:rsidRDefault="003B033C" w:rsidP="00903F07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left="426"/>
        <w:jc w:val="both"/>
        <w:rPr>
          <w:rFonts w:cstheme="minorHAnsi"/>
          <w:b/>
          <w:caps/>
          <w:color w:val="0F4C81"/>
          <w:u w:val="single"/>
        </w:rPr>
      </w:pPr>
      <w:r>
        <w:rPr>
          <w:rFonts w:cstheme="minorHAnsi"/>
          <w:b/>
          <w:caps/>
          <w:color w:val="0F4C81"/>
          <w:u w:val="single"/>
        </w:rPr>
        <w:t xml:space="preserve">LOT </w:t>
      </w:r>
      <w:r w:rsidR="00493057">
        <w:rPr>
          <w:rFonts w:cstheme="minorHAnsi"/>
          <w:b/>
          <w:caps/>
          <w:color w:val="0F4C81"/>
          <w:u w:val="single"/>
        </w:rPr>
        <w:t>2</w:t>
      </w:r>
      <w:r>
        <w:rPr>
          <w:rFonts w:cstheme="minorHAnsi"/>
          <w:b/>
          <w:caps/>
          <w:color w:val="0F4C81"/>
          <w:u w:val="single"/>
        </w:rPr>
        <w:t xml:space="preserve"> </w:t>
      </w:r>
      <w:r w:rsidR="00493057">
        <w:rPr>
          <w:rFonts w:cstheme="minorHAnsi"/>
          <w:b/>
          <w:caps/>
          <w:color w:val="0F4C81"/>
          <w:u w:val="single"/>
        </w:rPr>
        <w:t>–</w:t>
      </w:r>
      <w:r>
        <w:rPr>
          <w:rFonts w:cstheme="minorHAnsi"/>
          <w:b/>
          <w:caps/>
          <w:color w:val="0F4C81"/>
          <w:u w:val="single"/>
        </w:rPr>
        <w:t xml:space="preserve"> </w:t>
      </w:r>
      <w:r w:rsidR="00921359">
        <w:rPr>
          <w:rFonts w:cstheme="minorHAnsi"/>
          <w:b/>
          <w:caps/>
          <w:color w:val="0F4C81"/>
          <w:u w:val="single"/>
        </w:rPr>
        <w:t>CH</w:t>
      </w:r>
      <w:r w:rsidR="00493057">
        <w:rPr>
          <w:rFonts w:cstheme="minorHAnsi"/>
          <w:b/>
          <w:caps/>
          <w:color w:val="0F4C81"/>
          <w:u w:val="single"/>
        </w:rPr>
        <w:t xml:space="preserve"> de VIMOUTIERS</w:t>
      </w:r>
    </w:p>
    <w:p w14:paraId="065FE356" w14:textId="77777777" w:rsidR="00903F07" w:rsidRDefault="00903F07" w:rsidP="00903F07">
      <w:pPr>
        <w:spacing w:after="0"/>
        <w:jc w:val="both"/>
      </w:pPr>
    </w:p>
    <w:p w14:paraId="46505CA0" w14:textId="03B8D189" w:rsidR="00921359" w:rsidRDefault="00921359" w:rsidP="00903F07">
      <w:pPr>
        <w:spacing w:after="0"/>
        <w:jc w:val="both"/>
      </w:pPr>
      <w:r>
        <w:t>Le CH</w:t>
      </w:r>
      <w:r w:rsidR="00493057">
        <w:t xml:space="preserve"> de Vimoutiers</w:t>
      </w:r>
      <w:r>
        <w:t xml:space="preserve"> est un établissement de santé regroupant une activité de soins</w:t>
      </w:r>
      <w:r w:rsidR="00493057">
        <w:t xml:space="preserve"> et une activité médico-sociale</w:t>
      </w:r>
      <w:r>
        <w:t xml:space="preserve">. D’une capacité de </w:t>
      </w:r>
      <w:r w:rsidR="00493057">
        <w:t>170</w:t>
      </w:r>
      <w:r>
        <w:t xml:space="preserve"> lits, </w:t>
      </w:r>
      <w:r w:rsidR="000F0DFC">
        <w:t xml:space="preserve">il </w:t>
      </w:r>
      <w:r>
        <w:t>s’étend sur</w:t>
      </w:r>
      <w:r w:rsidR="00493057">
        <w:t xml:space="preserve"> 1</w:t>
      </w:r>
      <w:r>
        <w:t xml:space="preserve"> site</w:t>
      </w:r>
      <w:r w:rsidR="00493057">
        <w:t xml:space="preserve"> </w:t>
      </w:r>
      <w:r>
        <w:t>:</w:t>
      </w:r>
    </w:p>
    <w:p w14:paraId="30AF9EAE" w14:textId="29366693" w:rsidR="00921359" w:rsidRPr="00493057" w:rsidRDefault="00493057" w:rsidP="000F7656">
      <w:pPr>
        <w:pStyle w:val="Retraitnormal"/>
        <w:widowControl/>
        <w:numPr>
          <w:ilvl w:val="0"/>
          <w:numId w:val="5"/>
        </w:numPr>
        <w:spacing w:after="0" w:line="240" w:lineRule="auto"/>
        <w:ind w:left="567" w:hanging="357"/>
        <w:jc w:val="both"/>
        <w:rPr>
          <w:rFonts w:ascii="Calibri" w:hAnsi="Calibri" w:cs="Calibri"/>
          <w:bCs/>
        </w:rPr>
      </w:pPr>
      <w:r w:rsidRPr="00493057">
        <w:rPr>
          <w:rFonts w:ascii="Calibri" w:hAnsi="Calibri" w:cs="Calibri"/>
          <w:bCs/>
        </w:rPr>
        <w:t>Bâtiment monobloc 2, rue du Docteur Marescot – 61120 VIMOUTIERS</w:t>
      </w:r>
    </w:p>
    <w:p w14:paraId="67282A59" w14:textId="252935CB" w:rsidR="00505D5E" w:rsidRDefault="00505D5E" w:rsidP="00903F07">
      <w:pPr>
        <w:pStyle w:val="Retraitnormal"/>
        <w:widowControl/>
        <w:spacing w:after="0" w:line="240" w:lineRule="auto"/>
        <w:jc w:val="both"/>
        <w:rPr>
          <w:rFonts w:ascii="Calibri" w:hAnsi="Calibri" w:cs="Calibri"/>
          <w:bCs/>
        </w:rPr>
      </w:pPr>
    </w:p>
    <w:p w14:paraId="7C93C8D1" w14:textId="7CD8D325" w:rsidR="00921359" w:rsidRDefault="00921359" w:rsidP="00903F07">
      <w:pPr>
        <w:pStyle w:val="Retraitnormal"/>
        <w:widowControl/>
        <w:spacing w:after="0" w:line="240" w:lineRule="auto"/>
        <w:ind w:left="210" w:firstLine="0"/>
        <w:jc w:val="both"/>
        <w:rPr>
          <w:rFonts w:ascii="Calibri" w:hAnsi="Calibri" w:cs="Calibri"/>
          <w:bCs/>
        </w:rPr>
      </w:pPr>
    </w:p>
    <w:p w14:paraId="627E0B90" w14:textId="76616F57" w:rsidR="00921359" w:rsidRDefault="0085740D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du site</w:t>
      </w:r>
    </w:p>
    <w:p w14:paraId="3B80E4C8" w14:textId="48EA3856" w:rsidR="0085740D" w:rsidRPr="005C08D6" w:rsidRDefault="005C08D6" w:rsidP="00903F07">
      <w:pPr>
        <w:spacing w:after="0" w:line="240" w:lineRule="auto"/>
        <w:jc w:val="both"/>
        <w:rPr>
          <w:rFonts w:cstheme="minorHAnsi"/>
        </w:rPr>
      </w:pPr>
      <w:bookmarkStart w:id="4" w:name="_Hlk155781216"/>
      <w:r w:rsidRPr="005C08D6">
        <w:rPr>
          <w:rFonts w:cstheme="minorHAnsi"/>
        </w:rPr>
        <w:t>L</w:t>
      </w:r>
      <w:r w:rsidR="0085740D" w:rsidRPr="005C08D6">
        <w:rPr>
          <w:rFonts w:cstheme="minorHAnsi"/>
        </w:rPr>
        <w:t xml:space="preserve">e </w:t>
      </w:r>
      <w:r w:rsidR="00493057">
        <w:rPr>
          <w:rFonts w:cstheme="minorHAnsi"/>
        </w:rPr>
        <w:t xml:space="preserve">CH de Vimoutiers </w:t>
      </w:r>
      <w:r w:rsidR="0085740D" w:rsidRPr="005C08D6">
        <w:rPr>
          <w:rFonts w:cstheme="minorHAnsi"/>
        </w:rPr>
        <w:t xml:space="preserve">se compose d’un bâtiment </w:t>
      </w:r>
      <w:r w:rsidR="00493057">
        <w:rPr>
          <w:rFonts w:cstheme="minorHAnsi"/>
        </w:rPr>
        <w:t>regroupant les activités de SMR et d’EHPAD</w:t>
      </w:r>
      <w:r w:rsidR="0085740D" w:rsidRPr="005C08D6">
        <w:rPr>
          <w:rFonts w:cstheme="minorHAnsi"/>
        </w:rPr>
        <w:t>.</w:t>
      </w:r>
      <w:r w:rsidR="00E160C7" w:rsidRPr="005C08D6">
        <w:rPr>
          <w:rFonts w:cstheme="minorHAnsi"/>
        </w:rPr>
        <w:t xml:space="preserve"> Ce </w:t>
      </w:r>
      <w:r w:rsidR="000F7656" w:rsidRPr="005C08D6">
        <w:rPr>
          <w:rFonts w:cstheme="minorHAnsi"/>
        </w:rPr>
        <w:t>bâtiment</w:t>
      </w:r>
      <w:r w:rsidR="009D1EA0">
        <w:rPr>
          <w:rFonts w:cstheme="minorHAnsi"/>
        </w:rPr>
        <w:t xml:space="preserve"> est</w:t>
      </w:r>
      <w:r w:rsidR="00E160C7" w:rsidRPr="005C08D6">
        <w:rPr>
          <w:rFonts w:cstheme="minorHAnsi"/>
        </w:rPr>
        <w:t xml:space="preserve"> un ERP de 3</w:t>
      </w:r>
      <w:r w:rsidR="00E160C7" w:rsidRPr="005C08D6">
        <w:rPr>
          <w:rFonts w:cstheme="minorHAnsi"/>
          <w:vertAlign w:val="superscript"/>
        </w:rPr>
        <w:t>ème</w:t>
      </w:r>
      <w:r w:rsidR="00E160C7" w:rsidRPr="005C08D6">
        <w:rPr>
          <w:rFonts w:cstheme="minorHAnsi"/>
        </w:rPr>
        <w:t xml:space="preserve"> catégorie de type U qui accueille les activités suivantes :</w:t>
      </w:r>
    </w:p>
    <w:p w14:paraId="45435350" w14:textId="5C801E4C" w:rsidR="00E160C7" w:rsidRPr="005C08D6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 xml:space="preserve">Sous-sol : </w:t>
      </w:r>
      <w:r w:rsidR="00493057">
        <w:rPr>
          <w:rFonts w:eastAsia="Arial" w:cstheme="minorHAnsi"/>
          <w:bCs/>
          <w:spacing w:val="-1"/>
          <w:position w:val="-1"/>
        </w:rPr>
        <w:t xml:space="preserve">Blanchisserie, cuisine, </w:t>
      </w:r>
      <w:proofErr w:type="spellStart"/>
      <w:r w:rsidR="00493057">
        <w:rPr>
          <w:rFonts w:eastAsia="Arial" w:cstheme="minorHAnsi"/>
          <w:bCs/>
          <w:spacing w:val="-1"/>
          <w:position w:val="-1"/>
        </w:rPr>
        <w:t>ssiad</w:t>
      </w:r>
      <w:proofErr w:type="spellEnd"/>
    </w:p>
    <w:p w14:paraId="09087398" w14:textId="6C7E5D3B" w:rsidR="00E160C7" w:rsidRPr="005C08D6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 xml:space="preserve">RDC : locaux à sommeil et l’accueil de </w:t>
      </w:r>
      <w:r w:rsidR="009D1EA0">
        <w:rPr>
          <w:rFonts w:eastAsia="Arial" w:cstheme="minorHAnsi"/>
          <w:bCs/>
          <w:spacing w:val="-1"/>
          <w:position w:val="-1"/>
        </w:rPr>
        <w:t>résidents d’EHPAD</w:t>
      </w:r>
    </w:p>
    <w:p w14:paraId="24475507" w14:textId="4226A374" w:rsidR="00E160C7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 xml:space="preserve">R+1 : locaux à sommeil et l’accueil de patients </w:t>
      </w:r>
      <w:r w:rsidR="009D1EA0">
        <w:rPr>
          <w:rFonts w:eastAsia="Arial" w:cstheme="minorHAnsi"/>
          <w:bCs/>
          <w:spacing w:val="-1"/>
          <w:position w:val="-1"/>
        </w:rPr>
        <w:t xml:space="preserve">du </w:t>
      </w:r>
      <w:r w:rsidRPr="005C08D6">
        <w:rPr>
          <w:rFonts w:eastAsia="Arial" w:cstheme="minorHAnsi"/>
          <w:bCs/>
          <w:spacing w:val="-1"/>
          <w:position w:val="-1"/>
        </w:rPr>
        <w:t xml:space="preserve">service de Soins </w:t>
      </w:r>
      <w:r w:rsidR="009D1EA0">
        <w:rPr>
          <w:rFonts w:eastAsia="Arial" w:cstheme="minorHAnsi"/>
          <w:bCs/>
          <w:spacing w:val="-1"/>
          <w:position w:val="-1"/>
        </w:rPr>
        <w:t>médicaux de</w:t>
      </w:r>
      <w:r w:rsidRPr="005C08D6">
        <w:rPr>
          <w:rFonts w:eastAsia="Arial" w:cstheme="minorHAnsi"/>
          <w:bCs/>
          <w:spacing w:val="-1"/>
          <w:position w:val="-1"/>
        </w:rPr>
        <w:t xml:space="preserve"> Réadaptation</w:t>
      </w:r>
      <w:r w:rsidR="00300ABC" w:rsidRPr="005C08D6">
        <w:rPr>
          <w:rFonts w:eastAsia="Arial" w:cstheme="minorHAnsi"/>
          <w:bCs/>
          <w:spacing w:val="-1"/>
          <w:position w:val="-1"/>
        </w:rPr>
        <w:t>.</w:t>
      </w:r>
    </w:p>
    <w:p w14:paraId="5F5966D7" w14:textId="0933D1E4" w:rsidR="009D1EA0" w:rsidRPr="005C08D6" w:rsidRDefault="009D1EA0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>
        <w:rPr>
          <w:rFonts w:eastAsia="Arial" w:cstheme="minorHAnsi"/>
          <w:bCs/>
          <w:spacing w:val="-1"/>
          <w:position w:val="-1"/>
        </w:rPr>
        <w:t>R+2 locaux à sommeil et l’accueil de résident d’EHPAD</w:t>
      </w:r>
    </w:p>
    <w:p w14:paraId="4C61CD28" w14:textId="77777777" w:rsidR="00CE2C7B" w:rsidRDefault="00CE2C7B" w:rsidP="00903F07">
      <w:pPr>
        <w:spacing w:after="0" w:line="240" w:lineRule="auto"/>
        <w:jc w:val="both"/>
        <w:rPr>
          <w:rFonts w:cstheme="minorHAnsi"/>
        </w:rPr>
      </w:pPr>
    </w:p>
    <w:p w14:paraId="348CE191" w14:textId="1BB63A5D" w:rsidR="00D06742" w:rsidRDefault="00D06742" w:rsidP="00903F07">
      <w:pPr>
        <w:spacing w:after="0" w:line="240" w:lineRule="auto"/>
        <w:jc w:val="both"/>
        <w:rPr>
          <w:rFonts w:cstheme="minorHAnsi"/>
          <w:u w:val="single"/>
        </w:rPr>
      </w:pPr>
    </w:p>
    <w:p w14:paraId="38E9CE96" w14:textId="6D43B6AA" w:rsidR="00D06742" w:rsidRPr="005155E2" w:rsidRDefault="00D06742" w:rsidP="00903F07">
      <w:pPr>
        <w:spacing w:after="0" w:line="240" w:lineRule="auto"/>
        <w:jc w:val="both"/>
        <w:rPr>
          <w:rFonts w:cstheme="minorHAnsi"/>
        </w:rPr>
      </w:pPr>
      <w:r w:rsidRPr="005155E2">
        <w:rPr>
          <w:rFonts w:cstheme="minorHAnsi"/>
          <w:u w:val="single"/>
        </w:rPr>
        <w:lastRenderedPageBreak/>
        <w:t>Effectif formation : </w:t>
      </w:r>
      <w:r w:rsidR="005155E2" w:rsidRPr="005155E2">
        <w:rPr>
          <w:rFonts w:cstheme="minorHAnsi"/>
          <w:u w:val="single"/>
        </w:rPr>
        <w:t>Pas de formation</w:t>
      </w:r>
    </w:p>
    <w:p w14:paraId="43C5BA71" w14:textId="77777777" w:rsidR="00D06742" w:rsidRDefault="00D06742" w:rsidP="00903F07">
      <w:pPr>
        <w:spacing w:after="0" w:line="240" w:lineRule="auto"/>
        <w:jc w:val="both"/>
        <w:rPr>
          <w:rFonts w:cstheme="minorHAnsi"/>
          <w:u w:val="single"/>
        </w:rPr>
      </w:pPr>
    </w:p>
    <w:p w14:paraId="6F08A183" w14:textId="0DE8BC4F" w:rsidR="003D4009" w:rsidRDefault="003D4009" w:rsidP="00903F07">
      <w:pPr>
        <w:spacing w:after="0" w:line="240" w:lineRule="auto"/>
        <w:jc w:val="both"/>
        <w:rPr>
          <w:rFonts w:cstheme="minorHAnsi"/>
        </w:rPr>
      </w:pPr>
      <w:r w:rsidRPr="003D4009">
        <w:rPr>
          <w:rFonts w:cstheme="minorHAnsi"/>
          <w:u w:val="single"/>
        </w:rPr>
        <w:t>Nombre de visite annuelle</w:t>
      </w:r>
      <w:r w:rsidR="007D2369">
        <w:rPr>
          <w:rFonts w:cstheme="minorHAnsi"/>
          <w:u w:val="single"/>
        </w:rPr>
        <w:t xml:space="preserve"> de maintenance préventive</w:t>
      </w:r>
      <w:r>
        <w:rPr>
          <w:rFonts w:cstheme="minorHAnsi"/>
        </w:rPr>
        <w:t> : 2</w:t>
      </w:r>
    </w:p>
    <w:p w14:paraId="719D8D8F" w14:textId="77777777" w:rsidR="00CE2C7B" w:rsidRPr="00621935" w:rsidRDefault="00CE2C7B" w:rsidP="00903F07">
      <w:pPr>
        <w:spacing w:after="0" w:line="240" w:lineRule="auto"/>
        <w:jc w:val="both"/>
        <w:rPr>
          <w:rFonts w:cstheme="minorHAnsi"/>
        </w:rPr>
      </w:pPr>
    </w:p>
    <w:p w14:paraId="64441921" w14:textId="572EC6EC" w:rsidR="00300ABC" w:rsidRDefault="00300ABC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détaillée du SS</w:t>
      </w:r>
      <w:r w:rsidR="00EE5FAA">
        <w:rPr>
          <w:rFonts w:cstheme="minorHAnsi"/>
          <w:b/>
          <w:color w:val="0070C0"/>
          <w:u w:val="single"/>
        </w:rPr>
        <w:t>I</w:t>
      </w:r>
      <w:r>
        <w:rPr>
          <w:rFonts w:cstheme="minorHAnsi"/>
          <w:b/>
          <w:color w:val="0070C0"/>
          <w:u w:val="single"/>
        </w:rPr>
        <w:t xml:space="preserve"> </w:t>
      </w:r>
    </w:p>
    <w:p w14:paraId="38923157" w14:textId="538BCA95" w:rsidR="00266C95" w:rsidRPr="006C1522" w:rsidRDefault="00266C95" w:rsidP="00903F07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ind w:left="567" w:hanging="283"/>
        <w:jc w:val="both"/>
        <w:rPr>
          <w:rFonts w:cstheme="minorHAnsi"/>
        </w:rPr>
      </w:pPr>
      <w:r w:rsidRPr="006C1522">
        <w:rPr>
          <w:rFonts w:cstheme="minorHAnsi"/>
        </w:rPr>
        <w:t>SSI de catégorie A avec équipement d’alarme de type 1.</w:t>
      </w:r>
    </w:p>
    <w:p w14:paraId="5B912D6B" w14:textId="4B241B53" w:rsidR="00CE2C7B" w:rsidRPr="005155E2" w:rsidRDefault="00266C95" w:rsidP="00AB2E13">
      <w:pPr>
        <w:pStyle w:val="Paragraphedeliste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  <w:color w:val="FF0000"/>
        </w:rPr>
      </w:pPr>
      <w:r w:rsidRPr="006C1522">
        <w:t>Marque </w:t>
      </w:r>
      <w:r>
        <w:t xml:space="preserve">: </w:t>
      </w:r>
      <w:r w:rsidR="00570778">
        <w:t>DEF</w:t>
      </w:r>
      <w:r w:rsidR="005C08D6">
        <w:t xml:space="preserve"> </w:t>
      </w:r>
      <w:r w:rsidR="005C08D6" w:rsidRPr="006605EF">
        <w:t>datant de 20</w:t>
      </w:r>
      <w:r w:rsidR="00570778" w:rsidRPr="006605EF">
        <w:t>2</w:t>
      </w:r>
      <w:r w:rsidR="005C08D6" w:rsidRPr="006605EF">
        <w:t>5</w:t>
      </w:r>
      <w:bookmarkEnd w:id="4"/>
      <w:r w:rsidR="005155E2" w:rsidRPr="006605EF">
        <w:t xml:space="preserve"> </w:t>
      </w:r>
      <w:r w:rsidR="005155E2" w:rsidRPr="006F3B51">
        <w:rPr>
          <w:highlight w:val="yellow"/>
        </w:rPr>
        <w:t>(garantie jusqu’au 30 juillet 2027)</w:t>
      </w:r>
      <w:r w:rsidR="00AB2E13" w:rsidRPr="006F3B51">
        <w:rPr>
          <w:highlight w:val="yellow"/>
        </w:rPr>
        <w:t>.</w:t>
      </w:r>
    </w:p>
    <w:p w14:paraId="3CE1E826" w14:textId="1F48C0D2" w:rsidR="00CE2C7B" w:rsidRDefault="00B749E8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  <w:bookmarkStart w:id="5" w:name="_Hlk200532458"/>
      <w:r w:rsidRPr="00621935">
        <w:rPr>
          <w:rFonts w:cstheme="minorHAnsi"/>
          <w:sz w:val="20"/>
          <w:szCs w:val="20"/>
          <w:u w:val="single"/>
        </w:rPr>
        <w:t>SDI </w:t>
      </w:r>
    </w:p>
    <w:p w14:paraId="61C745A6" w14:textId="77777777" w:rsidR="00C751A9" w:rsidRPr="00621935" w:rsidRDefault="00C751A9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6210" w:type="dxa"/>
        <w:tblInd w:w="562" w:type="dxa"/>
        <w:tblLook w:val="04A0" w:firstRow="1" w:lastRow="0" w:firstColumn="1" w:lastColumn="0" w:noHBand="0" w:noVBand="1"/>
      </w:tblPr>
      <w:tblGrid>
        <w:gridCol w:w="3929"/>
        <w:gridCol w:w="2281"/>
      </w:tblGrid>
      <w:tr w:rsidR="00B749E8" w:rsidRPr="00621935" w14:paraId="3AD3072C" w14:textId="77777777" w:rsidTr="00693AFC">
        <w:trPr>
          <w:trHeight w:val="302"/>
        </w:trPr>
        <w:tc>
          <w:tcPr>
            <w:tcW w:w="3929" w:type="dxa"/>
            <w:shd w:val="clear" w:color="auto" w:fill="00B0F0"/>
            <w:vAlign w:val="center"/>
          </w:tcPr>
          <w:p w14:paraId="55131351" w14:textId="77777777" w:rsidR="00B749E8" w:rsidRPr="00621935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621935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281" w:type="dxa"/>
            <w:shd w:val="clear" w:color="auto" w:fill="00B0F0"/>
            <w:vAlign w:val="center"/>
          </w:tcPr>
          <w:p w14:paraId="57D8FF9D" w14:textId="77777777" w:rsidR="00B749E8" w:rsidRPr="00621935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621935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B749E8" w:rsidRPr="00621935" w14:paraId="1A1117E6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4CC6F45B" w14:textId="320E1E3E" w:rsidR="00B749E8" w:rsidRPr="00621935" w:rsidRDefault="00AB2E13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Détecteur automatique d’incendie de type optique</w:t>
            </w:r>
          </w:p>
        </w:tc>
        <w:tc>
          <w:tcPr>
            <w:tcW w:w="2281" w:type="dxa"/>
            <w:vAlign w:val="center"/>
          </w:tcPr>
          <w:p w14:paraId="07992AF1" w14:textId="7153AC83" w:rsidR="00B749E8" w:rsidRPr="00621935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484</w:t>
            </w:r>
          </w:p>
        </w:tc>
      </w:tr>
      <w:tr w:rsidR="00B749E8" w:rsidRPr="00621935" w14:paraId="08856FEC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1CCE9CD0" w14:textId="424FCC05" w:rsidR="00B749E8" w:rsidRPr="00621935" w:rsidRDefault="00AB2E13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Détecteur automatique d’incendie de type thermique</w:t>
            </w:r>
          </w:p>
        </w:tc>
        <w:tc>
          <w:tcPr>
            <w:tcW w:w="2281" w:type="dxa"/>
            <w:vAlign w:val="center"/>
          </w:tcPr>
          <w:p w14:paraId="3D628B43" w14:textId="789D7BB1" w:rsidR="00B749E8" w:rsidRPr="00621935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</w:t>
            </w:r>
          </w:p>
        </w:tc>
      </w:tr>
      <w:tr w:rsidR="009E27FF" w:rsidRPr="00621935" w14:paraId="4A0DAF2A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293D868E" w14:textId="082AF3BC" w:rsidR="009E27FF" w:rsidRPr="00621935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>Indicateur d’action</w:t>
            </w:r>
          </w:p>
        </w:tc>
        <w:tc>
          <w:tcPr>
            <w:tcW w:w="2281" w:type="dxa"/>
            <w:vAlign w:val="center"/>
          </w:tcPr>
          <w:p w14:paraId="385FB0C8" w14:textId="19DB689A" w:rsidR="009E27FF" w:rsidRPr="00621935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251</w:t>
            </w:r>
          </w:p>
        </w:tc>
      </w:tr>
      <w:tr w:rsidR="00B749E8" w:rsidRPr="00621935" w14:paraId="78296BC4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0A05B52E" w14:textId="762292B0" w:rsidR="00B749E8" w:rsidRPr="00621935" w:rsidRDefault="00AB2E13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Déclencheur manuel avec volet de protection</w:t>
            </w:r>
          </w:p>
        </w:tc>
        <w:tc>
          <w:tcPr>
            <w:tcW w:w="2281" w:type="dxa"/>
            <w:vAlign w:val="center"/>
          </w:tcPr>
          <w:p w14:paraId="18044DCD" w14:textId="2FEE2D22" w:rsidR="00B749E8" w:rsidRPr="00621935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</w:t>
            </w:r>
          </w:p>
        </w:tc>
      </w:tr>
    </w:tbl>
    <w:p w14:paraId="749D2480" w14:textId="77777777" w:rsidR="00C751A9" w:rsidRDefault="00C751A9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p w14:paraId="6273E18B" w14:textId="5F464CD6" w:rsidR="00B749E8" w:rsidRDefault="00517F4E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  <w:r w:rsidRPr="00621935">
        <w:rPr>
          <w:rFonts w:cstheme="minorHAnsi"/>
          <w:sz w:val="20"/>
          <w:szCs w:val="20"/>
          <w:u w:val="single"/>
        </w:rPr>
        <w:t xml:space="preserve">CMSI :  </w:t>
      </w:r>
    </w:p>
    <w:p w14:paraId="384893C8" w14:textId="77777777" w:rsidR="00B24682" w:rsidRDefault="00B24682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6240" w:type="dxa"/>
        <w:tblInd w:w="562" w:type="dxa"/>
        <w:tblLook w:val="04A0" w:firstRow="1" w:lastRow="0" w:firstColumn="1" w:lastColumn="0" w:noHBand="0" w:noVBand="1"/>
      </w:tblPr>
      <w:tblGrid>
        <w:gridCol w:w="3948"/>
        <w:gridCol w:w="2292"/>
      </w:tblGrid>
      <w:tr w:rsidR="00B749E8" w:rsidRPr="00300ABC" w14:paraId="48C4B0B2" w14:textId="77777777" w:rsidTr="00693AFC">
        <w:trPr>
          <w:trHeight w:val="420"/>
        </w:trPr>
        <w:tc>
          <w:tcPr>
            <w:tcW w:w="3948" w:type="dxa"/>
            <w:shd w:val="clear" w:color="auto" w:fill="00B0F0"/>
            <w:vAlign w:val="center"/>
          </w:tcPr>
          <w:p w14:paraId="12A08F74" w14:textId="77777777" w:rsidR="00B749E8" w:rsidRPr="00300ABC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292" w:type="dxa"/>
            <w:shd w:val="clear" w:color="auto" w:fill="00B0F0"/>
            <w:vAlign w:val="center"/>
          </w:tcPr>
          <w:p w14:paraId="34AC1594" w14:textId="77777777" w:rsidR="00B749E8" w:rsidRPr="00300ABC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B749E8" w:rsidRPr="00300ABC" w14:paraId="1B068E3F" w14:textId="77777777" w:rsidTr="00693AFC">
        <w:trPr>
          <w:trHeight w:val="314"/>
        </w:trPr>
        <w:tc>
          <w:tcPr>
            <w:tcW w:w="3948" w:type="dxa"/>
            <w:vAlign w:val="center"/>
          </w:tcPr>
          <w:p w14:paraId="5D732E18" w14:textId="77777777" w:rsidR="00B749E8" w:rsidRPr="00454D6B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Ouvrant de désenfumage</w:t>
            </w:r>
          </w:p>
        </w:tc>
        <w:tc>
          <w:tcPr>
            <w:tcW w:w="2292" w:type="dxa"/>
            <w:vAlign w:val="center"/>
          </w:tcPr>
          <w:p w14:paraId="26BC25E5" w14:textId="40C153CF" w:rsidR="00B749E8" w:rsidRPr="00454D6B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</w:tr>
      <w:tr w:rsidR="00012240" w:rsidRPr="00012240" w14:paraId="277CA89C" w14:textId="77777777" w:rsidTr="00693AFC">
        <w:trPr>
          <w:trHeight w:val="314"/>
        </w:trPr>
        <w:tc>
          <w:tcPr>
            <w:tcW w:w="3948" w:type="dxa"/>
            <w:vAlign w:val="center"/>
          </w:tcPr>
          <w:p w14:paraId="5AE61D55" w14:textId="77777777" w:rsidR="00B749E8" w:rsidRPr="00454D6B" w:rsidRDefault="00B749E8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Portes Coupe-feu</w:t>
            </w:r>
          </w:p>
        </w:tc>
        <w:tc>
          <w:tcPr>
            <w:tcW w:w="2292" w:type="dxa"/>
            <w:vAlign w:val="center"/>
          </w:tcPr>
          <w:p w14:paraId="490031A0" w14:textId="7C1B1FF3" w:rsidR="00B749E8" w:rsidRPr="00454D6B" w:rsidRDefault="00012240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 w:rsidRPr="00454D6B">
              <w:rPr>
                <w:rFonts w:cstheme="minorHAnsi"/>
                <w:sz w:val="20"/>
                <w:szCs w:val="20"/>
              </w:rPr>
              <w:t>1</w:t>
            </w:r>
            <w:r w:rsidR="00AB2E13"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012240" w:rsidRPr="00012240" w14:paraId="095A4D2F" w14:textId="77777777" w:rsidTr="00693AFC">
        <w:trPr>
          <w:trHeight w:val="314"/>
        </w:trPr>
        <w:tc>
          <w:tcPr>
            <w:tcW w:w="3948" w:type="dxa"/>
            <w:vAlign w:val="center"/>
          </w:tcPr>
          <w:p w14:paraId="745D2835" w14:textId="77777777" w:rsidR="009E27FF" w:rsidRPr="00454D6B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Clapet coupe-feu</w:t>
            </w:r>
          </w:p>
        </w:tc>
        <w:tc>
          <w:tcPr>
            <w:tcW w:w="2292" w:type="dxa"/>
            <w:vAlign w:val="center"/>
          </w:tcPr>
          <w:p w14:paraId="34DC7AA8" w14:textId="1F124926" w:rsidR="009E27FF" w:rsidRPr="00454D6B" w:rsidRDefault="00012240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 w:rsidRPr="00454D6B">
              <w:rPr>
                <w:rFonts w:cstheme="minorHAnsi"/>
                <w:sz w:val="20"/>
                <w:szCs w:val="20"/>
              </w:rPr>
              <w:t>2</w:t>
            </w:r>
            <w:r w:rsidR="00950BDF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012240" w:rsidRPr="00012240" w14:paraId="4BAB5053" w14:textId="77777777" w:rsidTr="00693AFC">
        <w:trPr>
          <w:trHeight w:val="314"/>
        </w:trPr>
        <w:tc>
          <w:tcPr>
            <w:tcW w:w="3948" w:type="dxa"/>
            <w:vAlign w:val="center"/>
          </w:tcPr>
          <w:p w14:paraId="684FC8DB" w14:textId="77777777" w:rsidR="00B749E8" w:rsidRPr="00454D6B" w:rsidRDefault="00B749E8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Volet de désenfumage</w:t>
            </w:r>
          </w:p>
        </w:tc>
        <w:tc>
          <w:tcPr>
            <w:tcW w:w="2292" w:type="dxa"/>
            <w:vAlign w:val="center"/>
          </w:tcPr>
          <w:p w14:paraId="57D97005" w14:textId="596AEAD2" w:rsidR="00B749E8" w:rsidRPr="00454D6B" w:rsidRDefault="00AB2E13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35</w:t>
            </w:r>
          </w:p>
        </w:tc>
      </w:tr>
      <w:tr w:rsidR="00012240" w:rsidRPr="00012240" w14:paraId="5D10CDED" w14:textId="77777777" w:rsidTr="00693AFC">
        <w:trPr>
          <w:trHeight w:val="314"/>
        </w:trPr>
        <w:tc>
          <w:tcPr>
            <w:tcW w:w="3948" w:type="dxa"/>
            <w:vAlign w:val="center"/>
          </w:tcPr>
          <w:p w14:paraId="06355832" w14:textId="77777777" w:rsidR="009E27FF" w:rsidRPr="00454D6B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Moteur de désenfumage</w:t>
            </w:r>
          </w:p>
        </w:tc>
        <w:tc>
          <w:tcPr>
            <w:tcW w:w="2292" w:type="dxa"/>
            <w:vAlign w:val="center"/>
          </w:tcPr>
          <w:p w14:paraId="47853A0D" w14:textId="1C3CF0AE" w:rsidR="009E27FF" w:rsidRPr="00454D6B" w:rsidRDefault="00950BDF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bookmarkEnd w:id="5"/>
    </w:tbl>
    <w:p w14:paraId="6DCEFDB5" w14:textId="77777777" w:rsidR="005E72CA" w:rsidRPr="00621935" w:rsidRDefault="005E72CA" w:rsidP="00903F07">
      <w:pPr>
        <w:spacing w:after="0"/>
        <w:jc w:val="both"/>
        <w:rPr>
          <w:rFonts w:cstheme="minorHAnsi"/>
          <w:color w:val="00704A"/>
          <w:sz w:val="20"/>
          <w:szCs w:val="20"/>
        </w:rPr>
      </w:pPr>
    </w:p>
    <w:p w14:paraId="65B66430" w14:textId="4331152D" w:rsidR="00EE5FAA" w:rsidRPr="00266C95" w:rsidRDefault="00EE5FAA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Fonctionnement propre au site</w:t>
      </w:r>
    </w:p>
    <w:p w14:paraId="7AE75BD5" w14:textId="67D7AC5E" w:rsidR="00EE5FAA" w:rsidRDefault="00DF3A22" w:rsidP="00903F07">
      <w:pPr>
        <w:spacing w:after="0" w:line="240" w:lineRule="auto"/>
        <w:jc w:val="both"/>
        <w:rPr>
          <w:rFonts w:cstheme="minorHAnsi"/>
          <w:i/>
        </w:rPr>
      </w:pPr>
      <w:r w:rsidRPr="00DF3A22">
        <w:rPr>
          <w:rFonts w:cstheme="minorHAnsi"/>
          <w:i/>
        </w:rPr>
        <w:t>E</w:t>
      </w:r>
      <w:r w:rsidR="00442D94" w:rsidRPr="00DF3A22">
        <w:rPr>
          <w:rFonts w:cstheme="minorHAnsi"/>
          <w:i/>
        </w:rPr>
        <w:t>n précision</w:t>
      </w:r>
      <w:r w:rsidR="00EE5FAA" w:rsidRPr="00DF3A22">
        <w:rPr>
          <w:rFonts w:cstheme="minorHAnsi"/>
          <w:i/>
        </w:rPr>
        <w:t xml:space="preserve"> de l’article 6.4 du CCTP, les moyens mis à disposition au TITULAIRE seront les suivantes.</w:t>
      </w:r>
    </w:p>
    <w:p w14:paraId="57FC78CD" w14:textId="77777777" w:rsidR="0013595F" w:rsidRPr="00DF3A22" w:rsidRDefault="0013595F" w:rsidP="00903F07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638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  <w:gridCol w:w="1825"/>
      </w:tblGrid>
      <w:tr w:rsidR="00DF3A22" w:rsidRPr="00DF3A22" w14:paraId="6FBC04E1" w14:textId="07CC2D78" w:rsidTr="00734A37">
        <w:trPr>
          <w:trHeight w:val="425"/>
        </w:trPr>
        <w:tc>
          <w:tcPr>
            <w:tcW w:w="4564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37845" w14:textId="3E6A40E2" w:rsidR="00EE5FAA" w:rsidRPr="00DF3A22" w:rsidRDefault="00A0074A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1825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9B259" w14:textId="1CAE0C4C" w:rsidR="00EE5FAA" w:rsidRPr="00DF3A22" w:rsidRDefault="00EE5FAA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CH</w:t>
            </w:r>
            <w:r w:rsidR="00950BDF">
              <w:rPr>
                <w:rFonts w:cstheme="minorHAnsi"/>
                <w:b/>
                <w:bCs/>
              </w:rPr>
              <w:t xml:space="preserve"> de Vimoutiers</w:t>
            </w:r>
          </w:p>
        </w:tc>
      </w:tr>
      <w:tr w:rsidR="00DF3A22" w:rsidRPr="00DF3A22" w14:paraId="6FC2BBCC" w14:textId="75B409CF" w:rsidTr="00734A37">
        <w:trPr>
          <w:trHeight w:val="470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41205" w14:textId="1BFDF74E" w:rsidR="00EE5FAA" w:rsidRPr="00DF3A22" w:rsidRDefault="00A0074A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>M</w:t>
            </w:r>
            <w:r w:rsidR="00EE5FAA" w:rsidRPr="00DF3A22">
              <w:rPr>
                <w:rFonts w:cstheme="minorHAnsi"/>
              </w:rPr>
              <w:t>oyens d’accès (clés, badges ou dispositifs équivalents</w:t>
            </w:r>
            <w:r w:rsidRPr="00DF3A22">
              <w:rPr>
                <w:rFonts w:cstheme="minorHAnsi"/>
              </w:rPr>
              <w:t>, …</w:t>
            </w:r>
            <w:r w:rsidR="00EE5FAA" w:rsidRPr="00DF3A22">
              <w:rPr>
                <w:rFonts w:cstheme="minorHAnsi"/>
              </w:rPr>
              <w:t>)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3FB0B" w14:textId="70DDEB86" w:rsidR="00EE5FAA" w:rsidRPr="00DF3A22" w:rsidRDefault="009D7BE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5223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0BDF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0074A" w:rsidRPr="00DF3A22">
              <w:rPr>
                <w:rFonts w:cstheme="minorHAnsi"/>
              </w:rPr>
              <w:t xml:space="preserve"> Oui</w:t>
            </w:r>
            <w:r w:rsidR="00A0074A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23586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0BDF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0074A" w:rsidRPr="00DF3A22">
              <w:rPr>
                <w:rFonts w:cstheme="minorHAnsi"/>
              </w:rPr>
              <w:t xml:space="preserve"> Non</w:t>
            </w:r>
          </w:p>
        </w:tc>
      </w:tr>
      <w:tr w:rsidR="00DF3A22" w:rsidRPr="00DF3A22" w14:paraId="7A88E8BA" w14:textId="0B79C9F7" w:rsidTr="00734A37">
        <w:trPr>
          <w:trHeight w:val="447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B630B" w14:textId="79051F8F" w:rsidR="00EE5FAA" w:rsidRPr="00DF3A22" w:rsidRDefault="00A0074A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 xml:space="preserve">Moyens de communication (téléphone, </w:t>
            </w:r>
            <w:r w:rsidR="00EE5FAA" w:rsidRPr="00DF3A22">
              <w:rPr>
                <w:rFonts w:cstheme="minorHAnsi"/>
              </w:rPr>
              <w:t>talkie-walkie</w:t>
            </w:r>
            <w:r w:rsidRPr="00DF3A22">
              <w:rPr>
                <w:rFonts w:cstheme="minorHAnsi"/>
              </w:rPr>
              <w:t>, …)</w:t>
            </w:r>
            <w:r w:rsidR="00EE5FAA" w:rsidRPr="00DF3A22">
              <w:rPr>
                <w:rFonts w:cstheme="minorHAnsi"/>
              </w:rPr>
              <w:t>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600E" w14:textId="09FAC6BF" w:rsidR="00EE5FAA" w:rsidRPr="00DF3A22" w:rsidRDefault="009D7BE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927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074A" w:rsidRPr="00DF3A2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0074A" w:rsidRPr="00DF3A22">
              <w:rPr>
                <w:rFonts w:cstheme="minorHAnsi"/>
              </w:rPr>
              <w:t xml:space="preserve"> Oui</w:t>
            </w:r>
            <w:r w:rsidR="00A0074A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7347298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A22" w:rsidRPr="00DF3A2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A0074A" w:rsidRPr="00DF3A22">
              <w:rPr>
                <w:rFonts w:cstheme="minorHAnsi"/>
              </w:rPr>
              <w:t xml:space="preserve"> Non</w:t>
            </w:r>
          </w:p>
        </w:tc>
      </w:tr>
    </w:tbl>
    <w:p w14:paraId="0AA90E27" w14:textId="77777777" w:rsidR="0013595F" w:rsidRDefault="0013595F" w:rsidP="00903F07">
      <w:pPr>
        <w:spacing w:after="0" w:line="240" w:lineRule="auto"/>
        <w:jc w:val="both"/>
        <w:rPr>
          <w:rFonts w:cstheme="minorHAnsi"/>
        </w:rPr>
      </w:pPr>
    </w:p>
    <w:p w14:paraId="7A4E229A" w14:textId="65699E16" w:rsidR="00EE5FAA" w:rsidRPr="00266C95" w:rsidRDefault="00DF3A22" w:rsidP="00903F07">
      <w:pPr>
        <w:spacing w:after="0" w:line="240" w:lineRule="auto"/>
        <w:jc w:val="both"/>
        <w:rPr>
          <w:rFonts w:cstheme="minorHAnsi"/>
        </w:rPr>
      </w:pPr>
      <w:r w:rsidRPr="00266C95">
        <w:rPr>
          <w:rFonts w:cstheme="minorHAnsi"/>
        </w:rPr>
        <w:t xml:space="preserve">Les moyens d’accès seront délivrés par le </w:t>
      </w:r>
      <w:r w:rsidR="00950BDF">
        <w:rPr>
          <w:rFonts w:cstheme="minorHAnsi"/>
        </w:rPr>
        <w:t>service technique selon les besoins</w:t>
      </w:r>
      <w:r w:rsidRPr="00266C95">
        <w:rPr>
          <w:rFonts w:cstheme="minorHAnsi"/>
        </w:rPr>
        <w:t>.</w:t>
      </w:r>
    </w:p>
    <w:p w14:paraId="6E9B70F9" w14:textId="43395343" w:rsidR="00EE5FAA" w:rsidRPr="00501E54" w:rsidRDefault="00EE5FAA" w:rsidP="00903F07">
      <w:pPr>
        <w:spacing w:after="0" w:line="240" w:lineRule="auto"/>
        <w:jc w:val="both"/>
        <w:rPr>
          <w:rFonts w:cstheme="minorHAnsi"/>
        </w:rPr>
      </w:pPr>
      <w:r w:rsidRPr="00501E54">
        <w:rPr>
          <w:rFonts w:cstheme="minorHAnsi"/>
        </w:rPr>
        <w:t xml:space="preserve">Pour </w:t>
      </w:r>
      <w:r w:rsidR="00442D94" w:rsidRPr="00501E54">
        <w:rPr>
          <w:rFonts w:cstheme="minorHAnsi"/>
        </w:rPr>
        <w:t>mémoire, à la fin de cha</w:t>
      </w:r>
      <w:r w:rsidRPr="00501E54">
        <w:rPr>
          <w:rFonts w:cstheme="minorHAnsi"/>
        </w:rPr>
        <w:t xml:space="preserve">que intervention, le technicien intervenant </w:t>
      </w:r>
      <w:r w:rsidR="00442D94" w:rsidRPr="00501E54">
        <w:rPr>
          <w:rFonts w:cstheme="minorHAnsi"/>
        </w:rPr>
        <w:t xml:space="preserve">pour le compte du TITULAIRE </w:t>
      </w:r>
      <w:r w:rsidRPr="00501E54">
        <w:rPr>
          <w:rFonts w:cstheme="minorHAnsi"/>
        </w:rPr>
        <w:t xml:space="preserve">devra </w:t>
      </w:r>
      <w:r w:rsidR="00950BDF">
        <w:rPr>
          <w:rFonts w:cstheme="minorHAnsi"/>
        </w:rPr>
        <w:t xml:space="preserve">se présenter au service </w:t>
      </w:r>
      <w:r w:rsidR="00C75EEC">
        <w:rPr>
          <w:rFonts w:cstheme="minorHAnsi"/>
        </w:rPr>
        <w:t>administratif</w:t>
      </w:r>
      <w:r w:rsidRPr="00501E54">
        <w:rPr>
          <w:rFonts w:cstheme="minorHAnsi"/>
        </w:rPr>
        <w:t xml:space="preserve"> afin que cette intervention puisse être notée sur l</w:t>
      </w:r>
      <w:r w:rsidR="00950BDF">
        <w:rPr>
          <w:rFonts w:cstheme="minorHAnsi"/>
        </w:rPr>
        <w:t>e registre de sécurité de l’établissement.</w:t>
      </w:r>
    </w:p>
    <w:sectPr w:rsidR="00EE5FAA" w:rsidRPr="00501E54" w:rsidSect="009B1F1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680E" w14:textId="77777777" w:rsidR="000F7656" w:rsidRDefault="000F7656" w:rsidP="00E517C8">
      <w:pPr>
        <w:spacing w:after="0" w:line="240" w:lineRule="auto"/>
      </w:pPr>
      <w:r>
        <w:separator/>
      </w:r>
    </w:p>
  </w:endnote>
  <w:endnote w:type="continuationSeparator" w:id="0">
    <w:p w14:paraId="65C5ECE2" w14:textId="77777777" w:rsidR="000F7656" w:rsidRDefault="000F7656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01E7F" w14:textId="77777777" w:rsidR="000F7656" w:rsidRPr="00E517C8" w:rsidRDefault="000F7656" w:rsidP="00E517C8">
    <w:pPr>
      <w:pBdr>
        <w:top w:val="single" w:sz="6" w:space="1" w:color="000000"/>
      </w:pBdr>
      <w:tabs>
        <w:tab w:val="right" w:pos="9923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>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FC3E" w14:textId="77777777" w:rsidR="000F7656" w:rsidRDefault="000F7656" w:rsidP="00E517C8">
      <w:pPr>
        <w:spacing w:after="0" w:line="240" w:lineRule="auto"/>
      </w:pPr>
      <w:r>
        <w:separator/>
      </w:r>
    </w:p>
  </w:footnote>
  <w:footnote w:type="continuationSeparator" w:id="0">
    <w:p w14:paraId="468B0FC7" w14:textId="77777777" w:rsidR="000F7656" w:rsidRDefault="000F7656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59882" w14:textId="19625355" w:rsidR="000F7656" w:rsidRPr="00E517C8" w:rsidRDefault="000F7656" w:rsidP="00E517C8">
    <w:pPr>
      <w:pBdr>
        <w:bottom w:val="single" w:sz="6" w:space="5" w:color="auto"/>
      </w:pBdr>
      <w:tabs>
        <w:tab w:val="right" w:pos="9923"/>
      </w:tabs>
      <w:spacing w:after="240"/>
      <w:rPr>
        <w:rFonts w:ascii="Calibri" w:hAnsi="Calibri"/>
      </w:rPr>
    </w:pPr>
    <w:bookmarkStart w:id="6" w:name="_Hlk179206950"/>
    <w:bookmarkStart w:id="7" w:name="_Hlk179206951"/>
    <w:r w:rsidRPr="00B37C13">
      <w:rPr>
        <w:rFonts w:ascii="Calibri" w:hAnsi="Calibri"/>
      </w:rPr>
      <w:t>CCTP</w:t>
    </w:r>
    <w:r>
      <w:rPr>
        <w:rFonts w:ascii="Calibri" w:hAnsi="Calibri"/>
      </w:rPr>
      <w:tab/>
    </w:r>
    <w:bookmarkEnd w:id="6"/>
    <w:bookmarkEnd w:id="7"/>
    <w:r w:rsidRPr="00C87D20">
      <w:rPr>
        <w:rFonts w:ascii="Arial" w:hAnsi="Arial" w:cs="Arial"/>
        <w:noProof/>
      </w:rPr>
      <w:drawing>
        <wp:inline distT="0" distB="0" distL="0" distR="0" wp14:anchorId="61238A19" wp14:editId="43F48972">
          <wp:extent cx="717777" cy="360000"/>
          <wp:effectExtent l="0" t="0" r="6350" b="2540"/>
          <wp:docPr id="5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7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7306"/>
    <w:multiLevelType w:val="hybridMultilevel"/>
    <w:tmpl w:val="20664CCA"/>
    <w:lvl w:ilvl="0" w:tplc="6AAA7300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228" w:hanging="360"/>
      </w:pPr>
    </w:lvl>
    <w:lvl w:ilvl="2" w:tplc="040C001B" w:tentative="1">
      <w:start w:val="1"/>
      <w:numFmt w:val="lowerRoman"/>
      <w:lvlText w:val="%3."/>
      <w:lvlJc w:val="right"/>
      <w:pPr>
        <w:ind w:left="3948" w:hanging="180"/>
      </w:pPr>
    </w:lvl>
    <w:lvl w:ilvl="3" w:tplc="040C000F" w:tentative="1">
      <w:start w:val="1"/>
      <w:numFmt w:val="decimal"/>
      <w:lvlText w:val="%4."/>
      <w:lvlJc w:val="left"/>
      <w:pPr>
        <w:ind w:left="4668" w:hanging="360"/>
      </w:pPr>
    </w:lvl>
    <w:lvl w:ilvl="4" w:tplc="040C0019" w:tentative="1">
      <w:start w:val="1"/>
      <w:numFmt w:val="lowerLetter"/>
      <w:lvlText w:val="%5."/>
      <w:lvlJc w:val="left"/>
      <w:pPr>
        <w:ind w:left="5388" w:hanging="360"/>
      </w:pPr>
    </w:lvl>
    <w:lvl w:ilvl="5" w:tplc="040C001B" w:tentative="1">
      <w:start w:val="1"/>
      <w:numFmt w:val="lowerRoman"/>
      <w:lvlText w:val="%6."/>
      <w:lvlJc w:val="right"/>
      <w:pPr>
        <w:ind w:left="6108" w:hanging="180"/>
      </w:pPr>
    </w:lvl>
    <w:lvl w:ilvl="6" w:tplc="040C000F" w:tentative="1">
      <w:start w:val="1"/>
      <w:numFmt w:val="decimal"/>
      <w:lvlText w:val="%7."/>
      <w:lvlJc w:val="left"/>
      <w:pPr>
        <w:ind w:left="6828" w:hanging="360"/>
      </w:pPr>
    </w:lvl>
    <w:lvl w:ilvl="7" w:tplc="040C0019" w:tentative="1">
      <w:start w:val="1"/>
      <w:numFmt w:val="lowerLetter"/>
      <w:lvlText w:val="%8."/>
      <w:lvlJc w:val="left"/>
      <w:pPr>
        <w:ind w:left="7548" w:hanging="360"/>
      </w:pPr>
    </w:lvl>
    <w:lvl w:ilvl="8" w:tplc="040C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454C8"/>
    <w:multiLevelType w:val="hybridMultilevel"/>
    <w:tmpl w:val="DF1E3E5A"/>
    <w:lvl w:ilvl="0" w:tplc="9678F7BC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451D8"/>
    <w:multiLevelType w:val="hybridMultilevel"/>
    <w:tmpl w:val="4EA801C8"/>
    <w:lvl w:ilvl="0" w:tplc="199CE5E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826BE"/>
    <w:multiLevelType w:val="hybridMultilevel"/>
    <w:tmpl w:val="01849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43E37AB"/>
    <w:multiLevelType w:val="hybridMultilevel"/>
    <w:tmpl w:val="7CB0CA6E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7">
      <w:start w:val="1"/>
      <w:numFmt w:val="lowerLetter"/>
      <w:lvlText w:val="%2)"/>
      <w:lvlJc w:val="left"/>
      <w:pPr>
        <w:ind w:left="1788" w:hanging="360"/>
      </w:pPr>
    </w:lvl>
    <w:lvl w:ilvl="2" w:tplc="73C4912C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55E9136E"/>
    <w:multiLevelType w:val="hybridMultilevel"/>
    <w:tmpl w:val="EEF4AD1E"/>
    <w:lvl w:ilvl="0" w:tplc="C2C8FC76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1EE7E31"/>
    <w:multiLevelType w:val="hybridMultilevel"/>
    <w:tmpl w:val="C15EB7E8"/>
    <w:lvl w:ilvl="0" w:tplc="54E07CF2">
      <w:start w:val="5"/>
      <w:numFmt w:val="upperRoman"/>
      <w:lvlText w:val="%1)"/>
      <w:lvlJc w:val="left"/>
      <w:pPr>
        <w:ind w:left="21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7CB0970"/>
    <w:multiLevelType w:val="hybridMultilevel"/>
    <w:tmpl w:val="8258F3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3"/>
  </w:num>
  <w:num w:numId="4">
    <w:abstractNumId w:val="12"/>
  </w:num>
  <w:num w:numId="5">
    <w:abstractNumId w:val="24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18"/>
  </w:num>
  <w:num w:numId="12">
    <w:abstractNumId w:val="2"/>
  </w:num>
  <w:num w:numId="13">
    <w:abstractNumId w:val="22"/>
  </w:num>
  <w:num w:numId="14">
    <w:abstractNumId w:val="4"/>
  </w:num>
  <w:num w:numId="15">
    <w:abstractNumId w:val="19"/>
  </w:num>
  <w:num w:numId="16">
    <w:abstractNumId w:val="5"/>
  </w:num>
  <w:num w:numId="17">
    <w:abstractNumId w:val="15"/>
  </w:num>
  <w:num w:numId="18">
    <w:abstractNumId w:val="14"/>
  </w:num>
  <w:num w:numId="19">
    <w:abstractNumId w:val="16"/>
  </w:num>
  <w:num w:numId="20">
    <w:abstractNumId w:val="11"/>
  </w:num>
  <w:num w:numId="21">
    <w:abstractNumId w:val="9"/>
  </w:num>
  <w:num w:numId="22">
    <w:abstractNumId w:val="7"/>
  </w:num>
  <w:num w:numId="23">
    <w:abstractNumId w:val="17"/>
  </w:num>
  <w:num w:numId="24">
    <w:abstractNumId w:val="1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62346"/>
    <w:rsid w:val="00081BF0"/>
    <w:rsid w:val="0008336C"/>
    <w:rsid w:val="000975B1"/>
    <w:rsid w:val="000B24B6"/>
    <w:rsid w:val="000C33FD"/>
    <w:rsid w:val="000C5A43"/>
    <w:rsid w:val="000E1F36"/>
    <w:rsid w:val="000E7479"/>
    <w:rsid w:val="000F0DFC"/>
    <w:rsid w:val="000F53C2"/>
    <w:rsid w:val="000F7656"/>
    <w:rsid w:val="001223DF"/>
    <w:rsid w:val="00122F7A"/>
    <w:rsid w:val="00133614"/>
    <w:rsid w:val="001352EA"/>
    <w:rsid w:val="0013595F"/>
    <w:rsid w:val="00160F2E"/>
    <w:rsid w:val="001610D4"/>
    <w:rsid w:val="00164EE5"/>
    <w:rsid w:val="0016747F"/>
    <w:rsid w:val="00167745"/>
    <w:rsid w:val="00181657"/>
    <w:rsid w:val="00184481"/>
    <w:rsid w:val="001907AC"/>
    <w:rsid w:val="001917F4"/>
    <w:rsid w:val="00191A67"/>
    <w:rsid w:val="00192C2B"/>
    <w:rsid w:val="001A0415"/>
    <w:rsid w:val="001C3A92"/>
    <w:rsid w:val="001C6F50"/>
    <w:rsid w:val="001E5863"/>
    <w:rsid w:val="001F026D"/>
    <w:rsid w:val="0020062A"/>
    <w:rsid w:val="00210A6A"/>
    <w:rsid w:val="00222AB5"/>
    <w:rsid w:val="00264E4B"/>
    <w:rsid w:val="00266991"/>
    <w:rsid w:val="00266C95"/>
    <w:rsid w:val="00283EE9"/>
    <w:rsid w:val="00286014"/>
    <w:rsid w:val="002945D9"/>
    <w:rsid w:val="002B48B6"/>
    <w:rsid w:val="002E6685"/>
    <w:rsid w:val="002F64B4"/>
    <w:rsid w:val="00300ABC"/>
    <w:rsid w:val="00305371"/>
    <w:rsid w:val="00315546"/>
    <w:rsid w:val="00330F5A"/>
    <w:rsid w:val="003317D2"/>
    <w:rsid w:val="00331969"/>
    <w:rsid w:val="00372A28"/>
    <w:rsid w:val="0038182F"/>
    <w:rsid w:val="003A4775"/>
    <w:rsid w:val="003A7EED"/>
    <w:rsid w:val="003B033C"/>
    <w:rsid w:val="003D4009"/>
    <w:rsid w:val="003D57F6"/>
    <w:rsid w:val="003D6C7A"/>
    <w:rsid w:val="003E0B85"/>
    <w:rsid w:val="003E40AE"/>
    <w:rsid w:val="003E6682"/>
    <w:rsid w:val="0043284A"/>
    <w:rsid w:val="00434BC7"/>
    <w:rsid w:val="00442D94"/>
    <w:rsid w:val="00446D9B"/>
    <w:rsid w:val="00454D6B"/>
    <w:rsid w:val="0047486B"/>
    <w:rsid w:val="00491327"/>
    <w:rsid w:val="00491EB0"/>
    <w:rsid w:val="00493057"/>
    <w:rsid w:val="00493E5E"/>
    <w:rsid w:val="004A372C"/>
    <w:rsid w:val="004D2B6D"/>
    <w:rsid w:val="004E373D"/>
    <w:rsid w:val="005017E1"/>
    <w:rsid w:val="00501E54"/>
    <w:rsid w:val="005033AC"/>
    <w:rsid w:val="00505D5E"/>
    <w:rsid w:val="005155E2"/>
    <w:rsid w:val="005160D2"/>
    <w:rsid w:val="00517F4E"/>
    <w:rsid w:val="00541CC9"/>
    <w:rsid w:val="00553020"/>
    <w:rsid w:val="00570778"/>
    <w:rsid w:val="00576C45"/>
    <w:rsid w:val="00586A3F"/>
    <w:rsid w:val="00593770"/>
    <w:rsid w:val="005965EB"/>
    <w:rsid w:val="00597889"/>
    <w:rsid w:val="005C08D6"/>
    <w:rsid w:val="005C2F8A"/>
    <w:rsid w:val="005C63BF"/>
    <w:rsid w:val="005D77BC"/>
    <w:rsid w:val="005E24B4"/>
    <w:rsid w:val="005E72CA"/>
    <w:rsid w:val="005F1BA8"/>
    <w:rsid w:val="00615B31"/>
    <w:rsid w:val="00621935"/>
    <w:rsid w:val="0062330E"/>
    <w:rsid w:val="00624DDE"/>
    <w:rsid w:val="006415E5"/>
    <w:rsid w:val="0064761D"/>
    <w:rsid w:val="00657F44"/>
    <w:rsid w:val="006605EF"/>
    <w:rsid w:val="006710F9"/>
    <w:rsid w:val="00693AFC"/>
    <w:rsid w:val="00696CF8"/>
    <w:rsid w:val="006B7637"/>
    <w:rsid w:val="006C1522"/>
    <w:rsid w:val="006F3B51"/>
    <w:rsid w:val="00700969"/>
    <w:rsid w:val="007132DF"/>
    <w:rsid w:val="00722842"/>
    <w:rsid w:val="00734A37"/>
    <w:rsid w:val="00736469"/>
    <w:rsid w:val="00792124"/>
    <w:rsid w:val="00794CC9"/>
    <w:rsid w:val="007975B2"/>
    <w:rsid w:val="007A5B78"/>
    <w:rsid w:val="007D2369"/>
    <w:rsid w:val="007E1707"/>
    <w:rsid w:val="007E5E7A"/>
    <w:rsid w:val="007E6FE1"/>
    <w:rsid w:val="00804912"/>
    <w:rsid w:val="00821A7B"/>
    <w:rsid w:val="008272BF"/>
    <w:rsid w:val="0083259A"/>
    <w:rsid w:val="00833AF9"/>
    <w:rsid w:val="0083409E"/>
    <w:rsid w:val="00837A22"/>
    <w:rsid w:val="00837DBE"/>
    <w:rsid w:val="00844E1E"/>
    <w:rsid w:val="0085740D"/>
    <w:rsid w:val="00862C13"/>
    <w:rsid w:val="00890ECB"/>
    <w:rsid w:val="00897D00"/>
    <w:rsid w:val="008A43A7"/>
    <w:rsid w:val="008B0832"/>
    <w:rsid w:val="008B79B5"/>
    <w:rsid w:val="008C2981"/>
    <w:rsid w:val="008C7E24"/>
    <w:rsid w:val="008D07CF"/>
    <w:rsid w:val="008D1D6F"/>
    <w:rsid w:val="008D611A"/>
    <w:rsid w:val="00902878"/>
    <w:rsid w:val="00903497"/>
    <w:rsid w:val="00903F07"/>
    <w:rsid w:val="009054AB"/>
    <w:rsid w:val="009207FB"/>
    <w:rsid w:val="009210F1"/>
    <w:rsid w:val="00921359"/>
    <w:rsid w:val="00950BDF"/>
    <w:rsid w:val="00950D99"/>
    <w:rsid w:val="00956D82"/>
    <w:rsid w:val="00977082"/>
    <w:rsid w:val="009A0C72"/>
    <w:rsid w:val="009B1F16"/>
    <w:rsid w:val="009B6C20"/>
    <w:rsid w:val="009D1EA0"/>
    <w:rsid w:val="009D7BEF"/>
    <w:rsid w:val="009E2250"/>
    <w:rsid w:val="009E27FF"/>
    <w:rsid w:val="009E4ACB"/>
    <w:rsid w:val="009F28FD"/>
    <w:rsid w:val="009F6B12"/>
    <w:rsid w:val="00A0074A"/>
    <w:rsid w:val="00A15674"/>
    <w:rsid w:val="00A16150"/>
    <w:rsid w:val="00A20F81"/>
    <w:rsid w:val="00A27552"/>
    <w:rsid w:val="00A3289A"/>
    <w:rsid w:val="00A447CC"/>
    <w:rsid w:val="00A46246"/>
    <w:rsid w:val="00A713BB"/>
    <w:rsid w:val="00A731D2"/>
    <w:rsid w:val="00A83EE5"/>
    <w:rsid w:val="00AA71F1"/>
    <w:rsid w:val="00AB0335"/>
    <w:rsid w:val="00AB2E13"/>
    <w:rsid w:val="00AE415D"/>
    <w:rsid w:val="00AE5C29"/>
    <w:rsid w:val="00B24682"/>
    <w:rsid w:val="00B322B7"/>
    <w:rsid w:val="00B33962"/>
    <w:rsid w:val="00B42E24"/>
    <w:rsid w:val="00B436D8"/>
    <w:rsid w:val="00B62C0F"/>
    <w:rsid w:val="00B643D9"/>
    <w:rsid w:val="00B749E8"/>
    <w:rsid w:val="00B778BD"/>
    <w:rsid w:val="00B811E4"/>
    <w:rsid w:val="00B81E0A"/>
    <w:rsid w:val="00B835C6"/>
    <w:rsid w:val="00BD2BFA"/>
    <w:rsid w:val="00BE1754"/>
    <w:rsid w:val="00BE5E3B"/>
    <w:rsid w:val="00BE734B"/>
    <w:rsid w:val="00C0719B"/>
    <w:rsid w:val="00C10879"/>
    <w:rsid w:val="00C3386F"/>
    <w:rsid w:val="00C54706"/>
    <w:rsid w:val="00C553F3"/>
    <w:rsid w:val="00C744D8"/>
    <w:rsid w:val="00C751A9"/>
    <w:rsid w:val="00C75EEC"/>
    <w:rsid w:val="00C83A79"/>
    <w:rsid w:val="00C90762"/>
    <w:rsid w:val="00CE2C7B"/>
    <w:rsid w:val="00CF2707"/>
    <w:rsid w:val="00CF5E9B"/>
    <w:rsid w:val="00D06742"/>
    <w:rsid w:val="00D320BC"/>
    <w:rsid w:val="00D42155"/>
    <w:rsid w:val="00D56F41"/>
    <w:rsid w:val="00D5706B"/>
    <w:rsid w:val="00D7174D"/>
    <w:rsid w:val="00D92166"/>
    <w:rsid w:val="00D95BC0"/>
    <w:rsid w:val="00DA35DA"/>
    <w:rsid w:val="00DB747B"/>
    <w:rsid w:val="00DC2A65"/>
    <w:rsid w:val="00DD1766"/>
    <w:rsid w:val="00DD494C"/>
    <w:rsid w:val="00DF3A22"/>
    <w:rsid w:val="00E10D91"/>
    <w:rsid w:val="00E11A35"/>
    <w:rsid w:val="00E160C7"/>
    <w:rsid w:val="00E43111"/>
    <w:rsid w:val="00E50AC7"/>
    <w:rsid w:val="00E517C8"/>
    <w:rsid w:val="00E57CE6"/>
    <w:rsid w:val="00E60395"/>
    <w:rsid w:val="00E6346A"/>
    <w:rsid w:val="00E77395"/>
    <w:rsid w:val="00E80745"/>
    <w:rsid w:val="00E9403E"/>
    <w:rsid w:val="00EA44FA"/>
    <w:rsid w:val="00EB7838"/>
    <w:rsid w:val="00EC166B"/>
    <w:rsid w:val="00EC3C9A"/>
    <w:rsid w:val="00EC635F"/>
    <w:rsid w:val="00EC7A90"/>
    <w:rsid w:val="00ED450C"/>
    <w:rsid w:val="00ED6873"/>
    <w:rsid w:val="00EE5FAA"/>
    <w:rsid w:val="00F00E5C"/>
    <w:rsid w:val="00F026B1"/>
    <w:rsid w:val="00F10BAA"/>
    <w:rsid w:val="00F33713"/>
    <w:rsid w:val="00F60433"/>
    <w:rsid w:val="00F643B1"/>
    <w:rsid w:val="00F7471C"/>
    <w:rsid w:val="00F97B8F"/>
    <w:rsid w:val="00FB036A"/>
    <w:rsid w:val="00FB2147"/>
    <w:rsid w:val="00FB254C"/>
    <w:rsid w:val="00FC314B"/>
    <w:rsid w:val="00F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6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4B914-65FB-4C1D-A52D-5151298A5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403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16</cp:revision>
  <cp:lastPrinted>2025-07-04T12:55:00Z</cp:lastPrinted>
  <dcterms:created xsi:type="dcterms:W3CDTF">2025-08-14T08:05:00Z</dcterms:created>
  <dcterms:modified xsi:type="dcterms:W3CDTF">2025-08-27T09:35:00Z</dcterms:modified>
</cp:coreProperties>
</file>