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4A991" w14:textId="6C23AC66" w:rsidR="0096344E" w:rsidRPr="00380B4D" w:rsidRDefault="0096344E" w:rsidP="00142089">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etablissement support</w:t>
      </w:r>
      <w:r w:rsidR="00DF2623">
        <w:rPr>
          <w:rFonts w:ascii="Arial Gras" w:hAnsi="Arial Gras" w:cs="Times New Roman"/>
          <w:b/>
          <w:caps/>
          <w:color w:val="436E91"/>
          <w:sz w:val="48"/>
          <w:szCs w:val="20"/>
        </w:rPr>
        <w:br/>
      </w:r>
      <w:r>
        <w:rPr>
          <w:rFonts w:ascii="Arial Gras" w:hAnsi="Arial Gras" w:cs="Times New Roman"/>
          <w:b/>
          <w:caps/>
          <w:color w:val="436E91"/>
          <w:sz w:val="48"/>
          <w:szCs w:val="20"/>
        </w:rPr>
        <w:t>du ght de la haute-saone</w:t>
      </w:r>
    </w:p>
    <w:p w14:paraId="7EDF36B6" w14:textId="53821401" w:rsidR="00487DE5" w:rsidRPr="00487DE5" w:rsidRDefault="00487DE5" w:rsidP="00443B74">
      <w:pPr>
        <w:pStyle w:val="03Numlot"/>
        <w:keepLines/>
        <w:spacing w:before="1200" w:after="1200"/>
        <w:ind w:right="0"/>
        <w:rPr>
          <w:bCs w:val="0"/>
        </w:rPr>
      </w:pPr>
      <w:r w:rsidRPr="00487DE5">
        <w:t xml:space="preserve">LOT N° </w:t>
      </w:r>
      <w:r w:rsidRPr="0096344E">
        <w:rPr>
          <w:b/>
          <w:bCs w:val="0"/>
        </w:rPr>
        <w:t>1</w:t>
      </w:r>
    </w:p>
    <w:p w14:paraId="5442E79E" w14:textId="54E3FA92" w:rsidR="00487DE5" w:rsidRPr="00142089" w:rsidRDefault="00142089" w:rsidP="0009444A">
      <w:pPr>
        <w:keepLines/>
        <w:pBdr>
          <w:top w:val="single" w:sz="4" w:space="10" w:color="436E91"/>
          <w:left w:val="single" w:sz="4" w:space="4" w:color="436E91"/>
          <w:bottom w:val="single" w:sz="4" w:space="10" w:color="436E91"/>
          <w:right w:val="single" w:sz="4" w:space="4" w:color="436E91"/>
        </w:pBdr>
        <w:shd w:val="clear" w:color="auto" w:fill="A2C037"/>
        <w:spacing w:before="500" w:after="500"/>
        <w:jc w:val="center"/>
        <w:rPr>
          <w:rFonts w:ascii="Arial Gras" w:hAnsi="Arial Gras" w:cs="Times New Roman"/>
          <w:b/>
          <w:bCs/>
          <w:caps/>
          <w:color w:val="FFFFFF"/>
          <w:sz w:val="12"/>
          <w:szCs w:val="40"/>
        </w:rPr>
      </w:pPr>
      <w:r w:rsidRPr="00BE4081">
        <w:rPr>
          <w:rFonts w:ascii="Arial Gras" w:hAnsi="Arial Gras" w:cs="Times New Roman"/>
          <w:b/>
          <w:bCs/>
          <w:caps/>
          <w:color w:val="FFFFFF"/>
          <w:sz w:val="40"/>
          <w:szCs w:val="40"/>
        </w:rPr>
        <w:t xml:space="preserve">Assurance </w:t>
      </w:r>
      <w:r w:rsidRPr="00142089">
        <w:rPr>
          <w:rFonts w:ascii="Arial Gras" w:hAnsi="Arial Gras" w:cs="Times New Roman"/>
          <w:b/>
          <w:bCs/>
          <w:caps/>
          <w:color w:val="FFFFFF"/>
          <w:sz w:val="40"/>
          <w:szCs w:val="40"/>
        </w:rPr>
        <w:t xml:space="preserve">dommages aux biens </w:t>
      </w:r>
      <w:r w:rsidRPr="00142089">
        <w:rPr>
          <w:rFonts w:ascii="Arial Gras" w:hAnsi="Arial Gras" w:cs="Times New Roman"/>
          <w:b/>
          <w:bCs/>
          <w:caps/>
          <w:color w:val="FFFFFF"/>
          <w:sz w:val="40"/>
          <w:szCs w:val="40"/>
        </w:rPr>
        <w:br/>
        <w:t>et risques annexes</w:t>
      </w:r>
    </w:p>
    <w:p w14:paraId="752F6B04" w14:textId="77777777" w:rsidR="0064562F" w:rsidRPr="00BE4081" w:rsidRDefault="0064562F" w:rsidP="0064562F">
      <w:pPr>
        <w:pStyle w:val="04TitreAECPDTSIN"/>
        <w:keepLines/>
        <w:spacing w:before="1200" w:after="800"/>
        <w:rPr>
          <w:caps/>
          <w:sz w:val="34"/>
          <w:szCs w:val="34"/>
        </w:rPr>
      </w:pPr>
      <w:r w:rsidRPr="00BE4081">
        <w:rPr>
          <w:caps/>
          <w:sz w:val="34"/>
          <w:szCs w:val="34"/>
        </w:rPr>
        <w:t>Cahier des clauses techniques particulières</w:t>
      </w:r>
    </w:p>
    <w:p w14:paraId="6ABCD622" w14:textId="00F07BC6" w:rsidR="00487DE5" w:rsidRPr="00487DE5" w:rsidRDefault="00487DE5" w:rsidP="0009444A">
      <w:pPr>
        <w:keepLines/>
        <w:spacing w:before="1200" w:after="300"/>
        <w:rPr>
          <w:rFonts w:cs="Times New Roman"/>
          <w:szCs w:val="18"/>
        </w:rPr>
      </w:pPr>
      <w:r w:rsidRPr="00487DE5">
        <w:rPr>
          <w:rFonts w:cs="Times New Roman"/>
          <w:szCs w:val="18"/>
        </w:rPr>
        <w:t>Le présent cahier des clauses</w:t>
      </w:r>
      <w:r w:rsidR="00114564">
        <w:rPr>
          <w:rFonts w:cs="Times New Roman"/>
          <w:szCs w:val="18"/>
        </w:rPr>
        <w:t xml:space="preserve"> techniques</w:t>
      </w:r>
      <w:r w:rsidRPr="00487DE5">
        <w:rPr>
          <w:rFonts w:cs="Times New Roman"/>
          <w:szCs w:val="18"/>
        </w:rPr>
        <w:t xml:space="preserve"> particulières comporte</w:t>
      </w:r>
      <w:r w:rsidR="00054AF9">
        <w:rPr>
          <w:rFonts w:cs="Times New Roman"/>
          <w:szCs w:val="18"/>
        </w:rPr>
        <w:t> :</w:t>
      </w:r>
    </w:p>
    <w:p w14:paraId="04C4A09B" w14:textId="5BD52989" w:rsidR="00487DE5" w:rsidRPr="007D0730" w:rsidRDefault="00054AF9" w:rsidP="0091486C">
      <w:pPr>
        <w:keepLines/>
        <w:numPr>
          <w:ilvl w:val="0"/>
          <w:numId w:val="6"/>
        </w:numPr>
        <w:tabs>
          <w:tab w:val="clear" w:pos="1973"/>
          <w:tab w:val="left" w:pos="1134"/>
          <w:tab w:val="left" w:pos="1701"/>
        </w:tabs>
        <w:spacing w:before="160" w:after="160"/>
        <w:ind w:left="1135" w:hanging="284"/>
        <w:rPr>
          <w:rFonts w:cs="Times New Roman"/>
          <w:szCs w:val="18"/>
        </w:rPr>
      </w:pPr>
      <w:r w:rsidRPr="007D0730">
        <w:rPr>
          <w:rFonts w:cs="Times New Roman"/>
          <w:szCs w:val="18"/>
        </w:rPr>
        <w:t xml:space="preserve">les </w:t>
      </w:r>
      <w:r w:rsidR="001076D8" w:rsidRPr="007D0730">
        <w:rPr>
          <w:rFonts w:cs="Times New Roman"/>
          <w:szCs w:val="18"/>
        </w:rPr>
        <w:t>c</w:t>
      </w:r>
      <w:r w:rsidR="00487DE5" w:rsidRPr="007D0730">
        <w:rPr>
          <w:rFonts w:cs="Times New Roman"/>
          <w:szCs w:val="18"/>
        </w:rPr>
        <w:t xml:space="preserve">onditions </w:t>
      </w:r>
      <w:r w:rsidR="001076D8" w:rsidRPr="007D0730">
        <w:rPr>
          <w:rFonts w:cs="Times New Roman"/>
          <w:szCs w:val="18"/>
        </w:rPr>
        <w:t>particulières</w:t>
      </w:r>
      <w:r w:rsidRPr="007D0730">
        <w:rPr>
          <w:rFonts w:cs="Times New Roman"/>
          <w:szCs w:val="18"/>
        </w:rPr>
        <w:t>,</w:t>
      </w:r>
    </w:p>
    <w:p w14:paraId="0B50737B" w14:textId="07F04613" w:rsidR="00487DE5" w:rsidRPr="007D0730" w:rsidRDefault="00054AF9" w:rsidP="0091486C">
      <w:pPr>
        <w:keepLines/>
        <w:numPr>
          <w:ilvl w:val="0"/>
          <w:numId w:val="6"/>
        </w:numPr>
        <w:tabs>
          <w:tab w:val="clear" w:pos="1973"/>
          <w:tab w:val="left" w:pos="1134"/>
          <w:tab w:val="left" w:pos="1701"/>
        </w:tabs>
        <w:spacing w:before="160" w:after="160"/>
        <w:ind w:left="1135" w:hanging="284"/>
        <w:rPr>
          <w:rFonts w:cs="Times New Roman"/>
          <w:szCs w:val="18"/>
        </w:rPr>
      </w:pPr>
      <w:r w:rsidRPr="007D0730">
        <w:rPr>
          <w:rFonts w:cs="Times New Roman"/>
          <w:szCs w:val="18"/>
        </w:rPr>
        <w:t xml:space="preserve">les </w:t>
      </w:r>
      <w:r w:rsidR="001076D8" w:rsidRPr="007D0730">
        <w:rPr>
          <w:rFonts w:cs="Times New Roman"/>
          <w:szCs w:val="18"/>
        </w:rPr>
        <w:t>c</w:t>
      </w:r>
      <w:r w:rsidR="00487DE5" w:rsidRPr="007D0730">
        <w:rPr>
          <w:rFonts w:cs="Times New Roman"/>
          <w:szCs w:val="18"/>
        </w:rPr>
        <w:t xml:space="preserve">onditions </w:t>
      </w:r>
      <w:r w:rsidR="001076D8" w:rsidRPr="007D0730">
        <w:rPr>
          <w:rFonts w:cs="Times New Roman"/>
          <w:szCs w:val="18"/>
        </w:rPr>
        <w:t>g</w:t>
      </w:r>
      <w:r w:rsidR="00487DE5" w:rsidRPr="007D0730">
        <w:rPr>
          <w:rFonts w:cs="Times New Roman"/>
          <w:szCs w:val="18"/>
        </w:rPr>
        <w:t>énérales</w:t>
      </w:r>
      <w:r w:rsidRPr="007D0730">
        <w:rPr>
          <w:rFonts w:cs="Times New Roman"/>
          <w:szCs w:val="18"/>
        </w:rPr>
        <w:t>.</w:t>
      </w:r>
    </w:p>
    <w:p w14:paraId="0D60CAE9" w14:textId="77777777" w:rsidR="00487DE5" w:rsidRPr="00487DE5" w:rsidRDefault="00487DE5" w:rsidP="00CA454D">
      <w:pPr>
        <w:keepLines/>
        <w:widowControl/>
        <w:tabs>
          <w:tab w:val="left" w:pos="1701"/>
        </w:tabs>
        <w:spacing w:before="120"/>
        <w:ind w:left="1974"/>
        <w:jc w:val="left"/>
        <w:rPr>
          <w:rFonts w:cs="Times New Roman"/>
          <w:szCs w:val="18"/>
          <w:highlight w:val="yellow"/>
        </w:rPr>
      </w:pPr>
    </w:p>
    <w:p w14:paraId="5554FF72" w14:textId="77777777" w:rsidR="00487DE5" w:rsidRPr="00487DE5" w:rsidRDefault="00487DE5" w:rsidP="00CA454D">
      <w:pPr>
        <w:keepLines/>
        <w:jc w:val="center"/>
        <w:rPr>
          <w:rFonts w:cs="Times New Roman"/>
          <w:szCs w:val="20"/>
        </w:rPr>
        <w:sectPr w:rsidR="00487DE5" w:rsidRPr="00487DE5" w:rsidSect="00BE4081">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63D21659" w14:textId="77777777" w:rsidR="0064562F" w:rsidRPr="00B71BFE" w:rsidRDefault="0064562F" w:rsidP="0064562F">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Hlk190866235"/>
      <w:bookmarkStart w:id="1" w:name="_Toc34921409"/>
      <w:r w:rsidRPr="00B71BFE">
        <w:rPr>
          <w:rFonts w:cs="Times New Roman"/>
          <w:caps/>
          <w:color w:val="FFFFFF"/>
          <w:sz w:val="36"/>
          <w:szCs w:val="18"/>
        </w:rPr>
        <w:lastRenderedPageBreak/>
        <w:t>Conditions particulières</w:t>
      </w:r>
    </w:p>
    <w:bookmarkEnd w:id="0"/>
    <w:p w14:paraId="05C2146B" w14:textId="0F21D7BD" w:rsidR="00857854" w:rsidRPr="00BE4081" w:rsidRDefault="0064562F" w:rsidP="00CA454D">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BE4081">
        <w:rPr>
          <w:rFonts w:ascii="Arial Gras" w:hAnsi="Arial Gras"/>
          <w:b/>
          <w:caps/>
          <w:color w:val="FFFFFF"/>
          <w:sz w:val="40"/>
          <w:szCs w:val="40"/>
        </w:rPr>
        <w:t xml:space="preserve">Assurance </w:t>
      </w:r>
      <w:bookmarkEnd w:id="1"/>
      <w:r w:rsidRPr="00BE4081">
        <w:rPr>
          <w:rFonts w:ascii="Arial Gras" w:hAnsi="Arial Gras"/>
          <w:b/>
          <w:caps/>
          <w:color w:val="FFFFFF"/>
          <w:sz w:val="40"/>
          <w:szCs w:val="40"/>
        </w:rPr>
        <w:t xml:space="preserve">dommages aux biens </w:t>
      </w:r>
      <w:r w:rsidR="00BE4081">
        <w:rPr>
          <w:rFonts w:ascii="Arial Gras" w:hAnsi="Arial Gras"/>
          <w:b/>
          <w:caps/>
          <w:color w:val="FFFFFF"/>
          <w:sz w:val="40"/>
          <w:szCs w:val="40"/>
        </w:rPr>
        <w:br/>
      </w:r>
      <w:r w:rsidRPr="00BE4081">
        <w:rPr>
          <w:rFonts w:ascii="Arial Gras" w:hAnsi="Arial Gras"/>
          <w:b/>
          <w:caps/>
          <w:color w:val="FFFFFF"/>
          <w:sz w:val="40"/>
          <w:szCs w:val="40"/>
        </w:rPr>
        <w:t>et risques annexes</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495DD6" w:rsidRPr="00487DE5" w14:paraId="5583712D" w14:textId="77777777" w:rsidTr="00CE26F0">
        <w:trPr>
          <w:trHeight w:val="523"/>
        </w:trPr>
        <w:tc>
          <w:tcPr>
            <w:tcW w:w="7087" w:type="dxa"/>
            <w:shd w:val="clear" w:color="auto" w:fill="auto"/>
            <w:vAlign w:val="center"/>
          </w:tcPr>
          <w:p w14:paraId="234CD491" w14:textId="77777777" w:rsidR="00495DD6" w:rsidRPr="00487DE5" w:rsidRDefault="00495DD6" w:rsidP="00CE26F0">
            <w:pPr>
              <w:keepLines/>
              <w:spacing w:before="120" w:after="120"/>
              <w:ind w:left="174"/>
              <w:jc w:val="left"/>
              <w:rPr>
                <w:rFonts w:cs="Times New Roman"/>
                <w:szCs w:val="24"/>
                <w:u w:val="single"/>
              </w:rPr>
            </w:pPr>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p w14:paraId="30E4C269" w14:textId="34147FAD" w:rsidR="00CD7C0B" w:rsidRDefault="00CD7C0B" w:rsidP="00592E8F">
      <w:pPr>
        <w:keepLines/>
        <w:spacing w:before="360"/>
      </w:pPr>
      <w:r w:rsidRPr="0008679C">
        <w:t>En complément des conditions générales</w:t>
      </w:r>
      <w:r w:rsidR="00D06B84">
        <w:t xml:space="preserve"> « assurance dommages aux biens</w:t>
      </w:r>
      <w:r w:rsidR="00AF74CB">
        <w:t xml:space="preserve"> et risques annexes</w:t>
      </w:r>
      <w:r w:rsidR="00D06B84">
        <w:t> »</w:t>
      </w:r>
      <w:r w:rsidRPr="0008679C">
        <w:t xml:space="preserve"> PROTECTAS jointes, les présentes conditions particulières ont pour objet de définir les garanties, montants de garantie et franchises du contrat, ses modalités de gestion ains</w:t>
      </w:r>
      <w:r w:rsidR="007C5E9E">
        <w:t>i</w:t>
      </w:r>
      <w:r w:rsidRPr="0008679C">
        <w:t xml:space="preserve"> que celles des sinistres, et ce par dérogation à toute autre stipulation moins favorable. </w:t>
      </w:r>
    </w:p>
    <w:p w14:paraId="339255DF" w14:textId="77777777" w:rsidR="00184121" w:rsidRPr="0034443C" w:rsidRDefault="00184121" w:rsidP="00CA454D">
      <w:pPr>
        <w:pStyle w:val="Titre1"/>
      </w:pPr>
      <w:bookmarkStart w:id="2" w:name="_Toc11654483"/>
      <w:bookmarkStart w:id="3" w:name="_Toc11654714"/>
      <w:r w:rsidRPr="0034443C">
        <w:t>Identification du contrat</w:t>
      </w:r>
      <w:bookmarkEnd w:id="2"/>
      <w:bookmarkEnd w:id="3"/>
    </w:p>
    <w:p w14:paraId="0C98787E" w14:textId="361D2270" w:rsidR="00DF0522" w:rsidRPr="0034443C" w:rsidRDefault="002C4D86" w:rsidP="00DE5DDE">
      <w:pPr>
        <w:pStyle w:val="Titre2"/>
      </w:pPr>
      <w:bookmarkStart w:id="4" w:name="_Hlk34994411"/>
      <w:r>
        <w:t xml:space="preserve">ACHETEUR </w:t>
      </w:r>
      <w:r w:rsidR="00DF0522">
        <w:t xml:space="preserve">Souscripteur </w:t>
      </w:r>
    </w:p>
    <w:p w14:paraId="00096685" w14:textId="5BE1C68E" w:rsidR="002C4D86" w:rsidRPr="00867A42" w:rsidRDefault="002C4D86" w:rsidP="0079081C">
      <w:pPr>
        <w:keepLines/>
      </w:pPr>
      <w:bookmarkStart w:id="5" w:name="_Hlk29362525"/>
      <w:bookmarkEnd w:id="4"/>
      <w:r w:rsidRPr="00867A42">
        <w:rPr>
          <w:b/>
          <w:bCs/>
        </w:rPr>
        <w:t xml:space="preserve">Le Groupe Hospitalier de la Haute Saône </w:t>
      </w:r>
      <w:r w:rsidR="008A2D18" w:rsidRPr="00867A42">
        <w:rPr>
          <w:b/>
          <w:bCs/>
        </w:rPr>
        <w:t>-</w:t>
      </w:r>
      <w:r w:rsidRPr="00867A42">
        <w:rPr>
          <w:b/>
          <w:bCs/>
        </w:rPr>
        <w:t xml:space="preserve"> Etablissement support du GHT 70 </w:t>
      </w:r>
      <w:r w:rsidR="0079081C" w:rsidRPr="00867A42">
        <w:t>(</w:t>
      </w:r>
      <w:r w:rsidRPr="00867A42">
        <w:t>composé du Groupe Hospitalier de la Haute Saône</w:t>
      </w:r>
      <w:r w:rsidR="0079081C" w:rsidRPr="00867A42">
        <w:t>, de l’EHPAD Villa Saint Joseph - Site de Scey-sur-Saône, de l’EHPAD Jean Michel- Site de Saulx, de l’EHPAD Alfred Dornier- Site Dampierre-Sur-Salon)</w:t>
      </w:r>
    </w:p>
    <w:p w14:paraId="60A35B84" w14:textId="7908951C" w:rsidR="002C4D86" w:rsidRPr="00867A42" w:rsidRDefault="002C4D86" w:rsidP="002C4D86">
      <w:pPr>
        <w:keepLines/>
      </w:pPr>
      <w:r w:rsidRPr="00867A42">
        <w:t>La prime d'assurance sera payée par chaque établissement assuré. L'assureur établira des quittances séparées.</w:t>
      </w:r>
    </w:p>
    <w:p w14:paraId="75FAC129" w14:textId="0C2ECFF4" w:rsidR="002C4D86" w:rsidRPr="00867A42" w:rsidRDefault="002C4D86" w:rsidP="002C4D86">
      <w:pPr>
        <w:keepLines/>
      </w:pPr>
      <w:r w:rsidRPr="00867A42">
        <w:t xml:space="preserve">Le souscripteur est représenté par le </w:t>
      </w:r>
      <w:r w:rsidR="008A2D18" w:rsidRPr="00867A42">
        <w:t>D</w:t>
      </w:r>
      <w:r w:rsidRPr="00867A42">
        <w:t xml:space="preserve">irecteur </w:t>
      </w:r>
      <w:r w:rsidR="008A2D18" w:rsidRPr="00867A42">
        <w:t>G</w:t>
      </w:r>
      <w:r w:rsidRPr="00867A42">
        <w:t>énéral en exercice.</w:t>
      </w:r>
    </w:p>
    <w:p w14:paraId="3F00C37D" w14:textId="7B7CC9B9" w:rsidR="002C4D86" w:rsidRPr="0034443C" w:rsidRDefault="002C4D86" w:rsidP="002C4D86">
      <w:pPr>
        <w:pStyle w:val="Titre2"/>
      </w:pPr>
      <w:r>
        <w:t>Assurés</w:t>
      </w:r>
    </w:p>
    <w:p w14:paraId="62065A7B" w14:textId="77777777" w:rsidR="002C4D86" w:rsidRDefault="002C4D86" w:rsidP="0096344E">
      <w:pPr>
        <w:keepLines/>
      </w:pPr>
    </w:p>
    <w:p w14:paraId="7BD3E7FF" w14:textId="0C925F99" w:rsidR="0096344E" w:rsidRPr="00213C9B" w:rsidRDefault="0096344E" w:rsidP="0096344E">
      <w:pPr>
        <w:keepLines/>
        <w:rPr>
          <w:b/>
          <w:bCs/>
          <w:u w:val="single"/>
        </w:rPr>
      </w:pPr>
      <w:r w:rsidRPr="00213C9B">
        <w:rPr>
          <w:b/>
          <w:bCs/>
          <w:u w:val="single"/>
        </w:rPr>
        <w:t>GROUPE HOSPITALIER DE LA HAUTE SAONE</w:t>
      </w:r>
    </w:p>
    <w:p w14:paraId="3C1F0806" w14:textId="30D72CDD" w:rsidR="0096344E" w:rsidRDefault="0096344E" w:rsidP="0096344E">
      <w:pPr>
        <w:keepLines/>
      </w:pPr>
      <w:r>
        <w:t xml:space="preserve">2 Rue </w:t>
      </w:r>
      <w:proofErr w:type="spellStart"/>
      <w:r>
        <w:t>Heymès</w:t>
      </w:r>
      <w:proofErr w:type="spellEnd"/>
      <w:r>
        <w:t xml:space="preserve"> </w:t>
      </w:r>
    </w:p>
    <w:p w14:paraId="0C498533" w14:textId="27C70518" w:rsidR="0096344E" w:rsidRDefault="0096344E" w:rsidP="0096344E">
      <w:pPr>
        <w:keepLines/>
      </w:pPr>
      <w:r>
        <w:t>BP 409</w:t>
      </w:r>
    </w:p>
    <w:p w14:paraId="56BC9223" w14:textId="3EA6937E" w:rsidR="0096344E" w:rsidRPr="0096344E" w:rsidRDefault="0096344E" w:rsidP="0096344E">
      <w:pPr>
        <w:keepLines/>
        <w:rPr>
          <w:b/>
          <w:bCs/>
        </w:rPr>
      </w:pPr>
      <w:r w:rsidRPr="0096344E">
        <w:rPr>
          <w:b/>
          <w:bCs/>
        </w:rPr>
        <w:t>70014 VESOUL CEDEX</w:t>
      </w:r>
    </w:p>
    <w:p w14:paraId="12C7F5B1" w14:textId="04CBE28E" w:rsidR="0096344E" w:rsidRDefault="0096344E" w:rsidP="0096344E">
      <w:pPr>
        <w:keepLines/>
      </w:pPr>
      <w:r>
        <w:t xml:space="preserve">Le Groupe Hospitalier de la Haute-Saône comprend les </w:t>
      </w:r>
      <w:r w:rsidR="0079081C">
        <w:t>sites</w:t>
      </w:r>
      <w:r>
        <w:t xml:space="preserve"> ci-dessous :</w:t>
      </w:r>
    </w:p>
    <w:p w14:paraId="1C293A54" w14:textId="77777777" w:rsidR="0096344E" w:rsidRDefault="0096344E" w:rsidP="0096344E">
      <w:pPr>
        <w:pStyle w:val="Paragraphedeliste"/>
        <w:keepLines/>
        <w:numPr>
          <w:ilvl w:val="0"/>
          <w:numId w:val="15"/>
        </w:numPr>
        <w:spacing w:before="120"/>
        <w:ind w:left="567"/>
      </w:pPr>
      <w:r>
        <w:t xml:space="preserve">Site de Vesoul - Hôpital : 2 rue </w:t>
      </w:r>
      <w:proofErr w:type="spellStart"/>
      <w:r>
        <w:t>Heymès</w:t>
      </w:r>
      <w:proofErr w:type="spellEnd"/>
      <w:r>
        <w:t xml:space="preserve"> – 70000 VESOUL</w:t>
      </w:r>
    </w:p>
    <w:p w14:paraId="74AF76BD" w14:textId="77777777" w:rsidR="0096344E" w:rsidRDefault="0096344E" w:rsidP="0096344E">
      <w:pPr>
        <w:pStyle w:val="Paragraphedeliste"/>
        <w:keepLines/>
        <w:numPr>
          <w:ilvl w:val="0"/>
          <w:numId w:val="15"/>
        </w:numPr>
        <w:spacing w:before="120"/>
        <w:ind w:left="567"/>
      </w:pPr>
      <w:r>
        <w:t xml:space="preserve">Site de </w:t>
      </w:r>
      <w:proofErr w:type="spellStart"/>
      <w:r>
        <w:t>Neurey</w:t>
      </w:r>
      <w:proofErr w:type="spellEnd"/>
      <w:r>
        <w:t xml:space="preserve"> - EHPAD Les Horizons : 4, rue de la Demie - 70000 NEUREY-LES-LA-DEMIE </w:t>
      </w:r>
    </w:p>
    <w:p w14:paraId="0A6B22C8" w14:textId="77777777" w:rsidR="0096344E" w:rsidRDefault="0096344E" w:rsidP="0096344E">
      <w:pPr>
        <w:pStyle w:val="Paragraphedeliste"/>
        <w:keepLines/>
        <w:numPr>
          <w:ilvl w:val="0"/>
          <w:numId w:val="15"/>
        </w:numPr>
        <w:spacing w:before="120"/>
        <w:ind w:left="567"/>
      </w:pPr>
      <w:r>
        <w:t>Site de Lure - Hôpital : 37 rue Carnot – 70200 LURE</w:t>
      </w:r>
    </w:p>
    <w:p w14:paraId="4B21F858" w14:textId="77777777" w:rsidR="0096344E" w:rsidRDefault="0096344E" w:rsidP="0096344E">
      <w:pPr>
        <w:pStyle w:val="Paragraphedeliste"/>
        <w:keepLines/>
        <w:numPr>
          <w:ilvl w:val="0"/>
          <w:numId w:val="15"/>
        </w:numPr>
        <w:spacing w:before="120"/>
        <w:ind w:left="567"/>
      </w:pPr>
      <w:r>
        <w:t>Site de Lure - EHPAD Marie Richard : 37 rue Carnot - 70200 LURE</w:t>
      </w:r>
    </w:p>
    <w:p w14:paraId="71412FD1" w14:textId="77777777" w:rsidR="0096344E" w:rsidRDefault="0096344E" w:rsidP="0096344E">
      <w:pPr>
        <w:pStyle w:val="Paragraphedeliste"/>
        <w:keepLines/>
        <w:numPr>
          <w:ilvl w:val="0"/>
          <w:numId w:val="15"/>
        </w:numPr>
        <w:spacing w:before="120"/>
        <w:ind w:left="567"/>
      </w:pPr>
      <w:r>
        <w:t>Site de Lure - EHPAD Mont Châtel : 37 rue Carnot - 70200 LURE</w:t>
      </w:r>
    </w:p>
    <w:p w14:paraId="6CD45BAF" w14:textId="637BCFC0" w:rsidR="0096344E" w:rsidRDefault="0096344E" w:rsidP="0096344E">
      <w:pPr>
        <w:pStyle w:val="Paragraphedeliste"/>
        <w:keepLines/>
        <w:numPr>
          <w:ilvl w:val="0"/>
          <w:numId w:val="15"/>
        </w:numPr>
        <w:spacing w:before="120"/>
        <w:ind w:left="567"/>
      </w:pPr>
      <w:r>
        <w:t xml:space="preserve">Site de Villersexel </w:t>
      </w:r>
      <w:r w:rsidR="00D70D17">
        <w:t>–</w:t>
      </w:r>
      <w:r>
        <w:t xml:space="preserve"> EHPAD</w:t>
      </w:r>
      <w:r w:rsidR="00D70D17">
        <w:t xml:space="preserve"> </w:t>
      </w:r>
      <w:proofErr w:type="spellStart"/>
      <w:r w:rsidR="00D70D17">
        <w:t>Griboulard</w:t>
      </w:r>
      <w:proofErr w:type="spellEnd"/>
      <w:r>
        <w:t xml:space="preserve"> : 441 rue du 13 septembre 1944 - 70110 VILLERSEXEL</w:t>
      </w:r>
    </w:p>
    <w:p w14:paraId="29CE4508" w14:textId="3A3C9255" w:rsidR="0096344E" w:rsidRDefault="0096344E" w:rsidP="0096344E">
      <w:pPr>
        <w:pStyle w:val="Paragraphedeliste"/>
        <w:keepLines/>
        <w:numPr>
          <w:ilvl w:val="0"/>
          <w:numId w:val="15"/>
        </w:numPr>
        <w:spacing w:before="120"/>
        <w:ind w:left="567"/>
      </w:pPr>
      <w:r>
        <w:t xml:space="preserve">Site d'Héricourt </w:t>
      </w:r>
      <w:r w:rsidR="00D70D17">
        <w:t>–</w:t>
      </w:r>
      <w:r>
        <w:t xml:space="preserve"> EHPAD</w:t>
      </w:r>
      <w:r w:rsidR="00D70D17">
        <w:t xml:space="preserve"> La </w:t>
      </w:r>
      <w:proofErr w:type="spellStart"/>
      <w:r w:rsidR="00D70D17">
        <w:t>Lizaine</w:t>
      </w:r>
      <w:proofErr w:type="spellEnd"/>
      <w:r>
        <w:t xml:space="preserve"> : 1 rue Edgar Faur</w:t>
      </w:r>
      <w:r w:rsidR="00BF1398">
        <w:t>e</w:t>
      </w:r>
      <w:bookmarkStart w:id="6" w:name="_GoBack"/>
      <w:bookmarkEnd w:id="6"/>
      <w:r>
        <w:t xml:space="preserve"> - 70400 HERICOURT</w:t>
      </w:r>
    </w:p>
    <w:p w14:paraId="693B1281" w14:textId="77777777" w:rsidR="0096344E" w:rsidRDefault="0096344E" w:rsidP="0096344E">
      <w:pPr>
        <w:pStyle w:val="Paragraphedeliste"/>
        <w:keepLines/>
        <w:numPr>
          <w:ilvl w:val="0"/>
          <w:numId w:val="15"/>
        </w:numPr>
        <w:spacing w:before="120"/>
        <w:ind w:left="567"/>
      </w:pPr>
      <w:r>
        <w:t>Site de Luxeuil-Les-Bains - Hôpital : 12 rue Grammont - 70300 LUXEUIL-LES-BAINS</w:t>
      </w:r>
    </w:p>
    <w:p w14:paraId="1A41CD76" w14:textId="77777777" w:rsidR="0096344E" w:rsidRDefault="0096344E" w:rsidP="0096344E">
      <w:pPr>
        <w:pStyle w:val="Paragraphedeliste"/>
        <w:keepLines/>
        <w:numPr>
          <w:ilvl w:val="0"/>
          <w:numId w:val="15"/>
        </w:numPr>
        <w:spacing w:before="120"/>
        <w:ind w:left="567"/>
      </w:pPr>
      <w:r>
        <w:t>Site de Luxeuil-Les-Bains - EHPAD Château Grammont : 12 rue Grammont - 70300 LUXEUIL-LES-BAINS</w:t>
      </w:r>
    </w:p>
    <w:p w14:paraId="6973DF3D" w14:textId="77777777" w:rsidR="0096344E" w:rsidRDefault="0096344E" w:rsidP="0096344E">
      <w:pPr>
        <w:pStyle w:val="Paragraphedeliste"/>
        <w:keepLines/>
        <w:numPr>
          <w:ilvl w:val="0"/>
          <w:numId w:val="15"/>
        </w:numPr>
        <w:spacing w:before="120"/>
        <w:ind w:left="567"/>
      </w:pPr>
      <w:r>
        <w:t>Site de Luxeuil-Les-Bains - EHPAD La Source : 12 rue Grammont - 70300 LUXEUIL-LES-BAINS</w:t>
      </w:r>
    </w:p>
    <w:p w14:paraId="1D4809EB" w14:textId="2260324A" w:rsidR="0096344E" w:rsidRDefault="0096344E" w:rsidP="0096344E">
      <w:pPr>
        <w:pStyle w:val="Paragraphedeliste"/>
        <w:keepLines/>
        <w:numPr>
          <w:ilvl w:val="0"/>
          <w:numId w:val="15"/>
        </w:numPr>
        <w:spacing w:before="120"/>
        <w:ind w:left="567"/>
      </w:pPr>
      <w:r>
        <w:lastRenderedPageBreak/>
        <w:t xml:space="preserve">Site de Saint-Loup-Sur-Semouse </w:t>
      </w:r>
      <w:r w:rsidR="00D70D17">
        <w:t>–</w:t>
      </w:r>
      <w:r>
        <w:t xml:space="preserve"> EHPAD</w:t>
      </w:r>
      <w:r w:rsidR="00D70D17">
        <w:t xml:space="preserve"> Les Lilas</w:t>
      </w:r>
      <w:r>
        <w:t xml:space="preserve"> : 20 avenue Jacques Parisot - 70800 SAINT-LOUP-SUR-SEMOUSE</w:t>
      </w:r>
    </w:p>
    <w:p w14:paraId="6FB13F48" w14:textId="77777777" w:rsidR="0096344E" w:rsidRDefault="0096344E" w:rsidP="0096344E">
      <w:pPr>
        <w:pStyle w:val="Paragraphedeliste"/>
        <w:keepLines/>
        <w:numPr>
          <w:ilvl w:val="0"/>
          <w:numId w:val="15"/>
        </w:numPr>
        <w:spacing w:before="120"/>
        <w:ind w:left="567"/>
      </w:pPr>
      <w:r>
        <w:t>Site de Gray - Hôpital : 5 rue de l'Arsenal - 70100 GRAY</w:t>
      </w:r>
    </w:p>
    <w:p w14:paraId="7DD58EDC" w14:textId="104BED38" w:rsidR="0096344E" w:rsidRDefault="0096344E" w:rsidP="0096344E">
      <w:pPr>
        <w:pStyle w:val="Paragraphedeliste"/>
        <w:keepLines/>
        <w:numPr>
          <w:ilvl w:val="0"/>
          <w:numId w:val="15"/>
        </w:numPr>
        <w:spacing w:before="120"/>
        <w:ind w:left="567"/>
      </w:pPr>
      <w:r>
        <w:t>Site de Gray - EHPAD Hôtel-Dieu : 87 Grande Rue - 70100 GRAY</w:t>
      </w:r>
    </w:p>
    <w:p w14:paraId="04D688BC" w14:textId="77777777" w:rsidR="0096344E" w:rsidRDefault="0096344E" w:rsidP="0096344E">
      <w:pPr>
        <w:pStyle w:val="Paragraphedeliste"/>
        <w:keepLines/>
        <w:numPr>
          <w:ilvl w:val="0"/>
          <w:numId w:val="15"/>
        </w:numPr>
        <w:spacing w:before="120"/>
        <w:ind w:left="567"/>
      </w:pPr>
      <w:r>
        <w:t>Site de Gray - EHPAD des Capucins : 1 Rue du Faubourg des Capucins - 70100 GRAY</w:t>
      </w:r>
    </w:p>
    <w:p w14:paraId="35483CAF" w14:textId="77777777" w:rsidR="0096344E" w:rsidRDefault="0096344E" w:rsidP="0096344E">
      <w:pPr>
        <w:pStyle w:val="Paragraphedeliste"/>
        <w:keepLines/>
        <w:numPr>
          <w:ilvl w:val="0"/>
          <w:numId w:val="15"/>
        </w:numPr>
        <w:spacing w:before="120"/>
        <w:ind w:left="567"/>
      </w:pPr>
      <w:r>
        <w:t xml:space="preserve">Site de Gy - EHPAD Le Verger : 90 Grande Rue - 70700 GY </w:t>
      </w:r>
    </w:p>
    <w:p w14:paraId="2F4CDBBE" w14:textId="77777777" w:rsidR="0096344E" w:rsidRDefault="0096344E" w:rsidP="0096344E">
      <w:pPr>
        <w:pStyle w:val="Paragraphedeliste"/>
        <w:keepLines/>
        <w:numPr>
          <w:ilvl w:val="0"/>
          <w:numId w:val="15"/>
        </w:numPr>
        <w:spacing w:before="120"/>
        <w:ind w:left="567"/>
      </w:pPr>
      <w:r>
        <w:t>Site de Pesmes - EHPAD Saint Hilaire : 6 rue des Capucins - 70140 PESMES</w:t>
      </w:r>
    </w:p>
    <w:p w14:paraId="3296DD85" w14:textId="77777777" w:rsidR="0096344E" w:rsidRDefault="0096344E" w:rsidP="0096344E">
      <w:pPr>
        <w:pStyle w:val="Paragraphedeliste"/>
        <w:keepLines/>
        <w:numPr>
          <w:ilvl w:val="0"/>
          <w:numId w:val="15"/>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031E794E" w14:textId="77777777" w:rsidR="0096344E" w:rsidRPr="00213C9B" w:rsidRDefault="0096344E" w:rsidP="0096344E">
      <w:pPr>
        <w:pStyle w:val="Paragraphedeliste"/>
        <w:keepLines/>
        <w:spacing w:before="120"/>
        <w:rPr>
          <w:u w:val="single"/>
        </w:rPr>
      </w:pPr>
    </w:p>
    <w:p w14:paraId="48F6C13D" w14:textId="1D106A57" w:rsidR="0096344E" w:rsidRPr="00213C9B" w:rsidRDefault="0096344E" w:rsidP="0096344E">
      <w:pPr>
        <w:pStyle w:val="Paragraphedeliste"/>
        <w:keepLines/>
        <w:spacing w:before="120"/>
        <w:ind w:left="0"/>
        <w:rPr>
          <w:b/>
          <w:bCs/>
          <w:u w:val="single"/>
        </w:rPr>
      </w:pPr>
      <w:r w:rsidRPr="00213C9B">
        <w:rPr>
          <w:b/>
          <w:bCs/>
          <w:u w:val="single"/>
        </w:rPr>
        <w:t xml:space="preserve">Etablissement parti GHT 70 </w:t>
      </w:r>
      <w:r w:rsidR="00816699" w:rsidRPr="00213C9B">
        <w:rPr>
          <w:b/>
          <w:bCs/>
          <w:u w:val="single"/>
        </w:rPr>
        <w:t>-</w:t>
      </w:r>
      <w:r w:rsidRPr="00213C9B">
        <w:rPr>
          <w:b/>
          <w:bCs/>
          <w:u w:val="single"/>
        </w:rPr>
        <w:t xml:space="preserve"> Site de Scey-sur-Saône </w:t>
      </w:r>
    </w:p>
    <w:p w14:paraId="274DF274" w14:textId="77777777" w:rsidR="0096344E" w:rsidRPr="0096344E" w:rsidRDefault="0096344E" w:rsidP="0096344E">
      <w:pPr>
        <w:pStyle w:val="Paragraphedeliste"/>
        <w:keepLines/>
        <w:spacing w:before="120"/>
        <w:ind w:left="0"/>
        <w:rPr>
          <w:b/>
          <w:bCs/>
        </w:rPr>
      </w:pPr>
      <w:r w:rsidRPr="0096344E">
        <w:rPr>
          <w:b/>
          <w:bCs/>
        </w:rPr>
        <w:t xml:space="preserve">EHPAD Villa Saint Joseph </w:t>
      </w:r>
    </w:p>
    <w:p w14:paraId="549E2422" w14:textId="77777777" w:rsidR="0096344E" w:rsidRDefault="0096344E" w:rsidP="0096344E">
      <w:pPr>
        <w:pStyle w:val="Paragraphedeliste"/>
        <w:keepLines/>
        <w:spacing w:before="120"/>
        <w:ind w:left="0"/>
      </w:pPr>
      <w:r>
        <w:t>13 Rue de la Croix de Pierre</w:t>
      </w:r>
    </w:p>
    <w:p w14:paraId="66B82726" w14:textId="77777777" w:rsidR="0079081C" w:rsidRDefault="0096344E" w:rsidP="0096344E">
      <w:pPr>
        <w:pStyle w:val="Paragraphedeliste"/>
        <w:keepLines/>
        <w:spacing w:before="120"/>
        <w:ind w:left="0"/>
        <w:rPr>
          <w:b/>
          <w:bCs/>
        </w:rPr>
      </w:pPr>
      <w:r w:rsidRPr="0096344E">
        <w:rPr>
          <w:b/>
          <w:bCs/>
        </w:rPr>
        <w:t>70360 SCEY-SUR-SAONE-ET-SAINT-ALBIN</w:t>
      </w:r>
    </w:p>
    <w:p w14:paraId="6AF9DBAC" w14:textId="3132D6DD" w:rsidR="0096344E" w:rsidRPr="0079081C" w:rsidRDefault="0079081C" w:rsidP="0096344E">
      <w:pPr>
        <w:pStyle w:val="Paragraphedeliste"/>
        <w:keepLines/>
        <w:spacing w:before="120"/>
        <w:ind w:left="0"/>
        <w:rPr>
          <w:b/>
          <w:bCs/>
        </w:rPr>
      </w:pPr>
      <w:r>
        <w:t>R</w:t>
      </w:r>
      <w:r w:rsidR="00816699" w:rsidRPr="008F28DD">
        <w:t>eprésenté par l</w:t>
      </w:r>
      <w:r w:rsidR="00816699">
        <w:t xml:space="preserve">e Directeur </w:t>
      </w:r>
      <w:r w:rsidR="00816699" w:rsidRPr="00560A93">
        <w:t>en exercice.</w:t>
      </w:r>
    </w:p>
    <w:p w14:paraId="16789D6B" w14:textId="77777777" w:rsidR="00816699" w:rsidRDefault="00816699" w:rsidP="0096344E">
      <w:pPr>
        <w:pStyle w:val="Paragraphedeliste"/>
        <w:keepLines/>
        <w:spacing w:before="120"/>
        <w:ind w:left="0"/>
      </w:pPr>
    </w:p>
    <w:p w14:paraId="27516E0C" w14:textId="6F40B76B" w:rsidR="00816699" w:rsidRPr="00213C9B" w:rsidRDefault="0096344E" w:rsidP="0096344E">
      <w:pPr>
        <w:pStyle w:val="Paragraphedeliste"/>
        <w:keepLines/>
        <w:spacing w:before="120"/>
        <w:ind w:left="0"/>
        <w:rPr>
          <w:b/>
          <w:bCs/>
          <w:u w:val="single"/>
        </w:rPr>
      </w:pPr>
      <w:bookmarkStart w:id="7" w:name="_Hlk193783547"/>
      <w:r w:rsidRPr="00213C9B">
        <w:rPr>
          <w:b/>
          <w:bCs/>
          <w:u w:val="single"/>
        </w:rPr>
        <w:t xml:space="preserve">Etablissement parti GHT 70 </w:t>
      </w:r>
      <w:r w:rsidR="00816699" w:rsidRPr="00213C9B">
        <w:rPr>
          <w:b/>
          <w:bCs/>
          <w:u w:val="single"/>
        </w:rPr>
        <w:t>-</w:t>
      </w:r>
      <w:r w:rsidRPr="00213C9B">
        <w:rPr>
          <w:b/>
          <w:bCs/>
          <w:u w:val="single"/>
        </w:rPr>
        <w:t xml:space="preserve"> Site de Saulx </w:t>
      </w:r>
    </w:p>
    <w:p w14:paraId="25601D9C" w14:textId="77777777" w:rsidR="00816699" w:rsidRPr="0045291B" w:rsidRDefault="0096344E" w:rsidP="0096344E">
      <w:pPr>
        <w:pStyle w:val="Paragraphedeliste"/>
        <w:keepLines/>
        <w:spacing w:before="120"/>
        <w:ind w:left="0"/>
        <w:rPr>
          <w:b/>
          <w:bCs/>
        </w:rPr>
      </w:pPr>
      <w:r w:rsidRPr="0045291B">
        <w:rPr>
          <w:b/>
          <w:bCs/>
        </w:rPr>
        <w:t>EHPAD Jean Michel</w:t>
      </w:r>
    </w:p>
    <w:bookmarkEnd w:id="7"/>
    <w:p w14:paraId="3CA18AA8" w14:textId="77777777" w:rsidR="00816699" w:rsidRDefault="0096344E" w:rsidP="0096344E">
      <w:pPr>
        <w:pStyle w:val="Paragraphedeliste"/>
        <w:keepLines/>
        <w:spacing w:before="120"/>
        <w:ind w:left="0"/>
      </w:pPr>
      <w:r>
        <w:t>18 Grande Rue</w:t>
      </w:r>
    </w:p>
    <w:p w14:paraId="79712127" w14:textId="358D8462" w:rsidR="0096344E" w:rsidRPr="00816699" w:rsidRDefault="00816699" w:rsidP="0096344E">
      <w:pPr>
        <w:pStyle w:val="Paragraphedeliste"/>
        <w:keepLines/>
        <w:spacing w:before="120"/>
        <w:ind w:left="0"/>
        <w:rPr>
          <w:b/>
          <w:bCs/>
        </w:rPr>
      </w:pPr>
      <w:r w:rsidRPr="00816699">
        <w:rPr>
          <w:b/>
          <w:bCs/>
        </w:rPr>
        <w:t>70240 SAULX</w:t>
      </w:r>
    </w:p>
    <w:p w14:paraId="334DE1B0" w14:textId="2CF01479" w:rsidR="0096344E" w:rsidRDefault="0079081C" w:rsidP="0096344E">
      <w:pPr>
        <w:pStyle w:val="Paragraphedeliste"/>
        <w:keepLines/>
        <w:spacing w:before="120"/>
        <w:ind w:left="0"/>
      </w:pPr>
      <w:r>
        <w:t>R</w:t>
      </w:r>
      <w:r w:rsidR="00816699" w:rsidRPr="008F28DD">
        <w:t>eprésenté par l</w:t>
      </w:r>
      <w:r w:rsidR="00816699">
        <w:t xml:space="preserve">e Directeur </w:t>
      </w:r>
      <w:r w:rsidR="00816699" w:rsidRPr="00560A93">
        <w:t>en exercice.</w:t>
      </w:r>
    </w:p>
    <w:p w14:paraId="1099AC88" w14:textId="77777777" w:rsidR="00816699" w:rsidRDefault="00816699" w:rsidP="0096344E">
      <w:pPr>
        <w:pStyle w:val="Paragraphedeliste"/>
        <w:keepLines/>
        <w:spacing w:before="120"/>
        <w:ind w:left="0"/>
        <w:rPr>
          <w:b/>
          <w:bCs/>
        </w:rPr>
      </w:pPr>
    </w:p>
    <w:p w14:paraId="00CECBCC" w14:textId="4B442704" w:rsidR="00816699" w:rsidRPr="00213C9B" w:rsidRDefault="0096344E" w:rsidP="0096344E">
      <w:pPr>
        <w:pStyle w:val="Paragraphedeliste"/>
        <w:keepLines/>
        <w:spacing w:before="120"/>
        <w:ind w:left="0"/>
        <w:rPr>
          <w:b/>
          <w:bCs/>
          <w:u w:val="single"/>
        </w:rPr>
      </w:pPr>
      <w:r w:rsidRPr="00213C9B">
        <w:rPr>
          <w:b/>
          <w:bCs/>
          <w:u w:val="single"/>
        </w:rPr>
        <w:t xml:space="preserve">Etablissement associé GHT 70 </w:t>
      </w:r>
      <w:r w:rsidR="00816699" w:rsidRPr="00213C9B">
        <w:rPr>
          <w:b/>
          <w:bCs/>
          <w:u w:val="single"/>
        </w:rPr>
        <w:t>-</w:t>
      </w:r>
      <w:r w:rsidRPr="00213C9B">
        <w:rPr>
          <w:b/>
          <w:bCs/>
          <w:u w:val="single"/>
        </w:rPr>
        <w:t xml:space="preserve"> Site Dampierre-Sur-Salon</w:t>
      </w:r>
    </w:p>
    <w:p w14:paraId="0A624553" w14:textId="77777777" w:rsidR="00816699" w:rsidRPr="00D70D17" w:rsidRDefault="0096344E" w:rsidP="0096344E">
      <w:pPr>
        <w:pStyle w:val="Paragraphedeliste"/>
        <w:keepLines/>
        <w:spacing w:before="120"/>
        <w:ind w:left="0"/>
        <w:rPr>
          <w:b/>
        </w:rPr>
      </w:pPr>
      <w:r w:rsidRPr="00D70D17">
        <w:rPr>
          <w:b/>
        </w:rPr>
        <w:t>EHPAD Alfred Dornier</w:t>
      </w:r>
    </w:p>
    <w:p w14:paraId="7215B09B" w14:textId="77777777" w:rsidR="00816699" w:rsidRDefault="0096344E" w:rsidP="0096344E">
      <w:pPr>
        <w:pStyle w:val="Paragraphedeliste"/>
        <w:keepLines/>
        <w:spacing w:before="120"/>
        <w:ind w:left="0"/>
      </w:pPr>
      <w:r>
        <w:t>11 Rue Alfred Dornier</w:t>
      </w:r>
    </w:p>
    <w:p w14:paraId="3AF4321B" w14:textId="027B8524" w:rsidR="0096344E" w:rsidRPr="00816699" w:rsidRDefault="00816699" w:rsidP="0096344E">
      <w:pPr>
        <w:pStyle w:val="Paragraphedeliste"/>
        <w:keepLines/>
        <w:spacing w:before="120"/>
        <w:ind w:left="0"/>
        <w:rPr>
          <w:b/>
          <w:bCs/>
        </w:rPr>
      </w:pPr>
      <w:r w:rsidRPr="00816699">
        <w:rPr>
          <w:b/>
          <w:bCs/>
        </w:rPr>
        <w:t>70180 DAMPIERRE-SUR-SALON</w:t>
      </w:r>
    </w:p>
    <w:bookmarkEnd w:id="5"/>
    <w:p w14:paraId="20930187" w14:textId="617187B1" w:rsidR="002C4D86" w:rsidRDefault="0079081C" w:rsidP="00CA454D">
      <w:pPr>
        <w:keepLines/>
        <w:spacing w:before="120"/>
      </w:pPr>
      <w:r>
        <w:t>R</w:t>
      </w:r>
      <w:r w:rsidRPr="008F28DD">
        <w:t>eprésenté par l</w:t>
      </w:r>
      <w:r>
        <w:t xml:space="preserve">e Directeur </w:t>
      </w:r>
      <w:r w:rsidRPr="00560A93">
        <w:t>en exercice.</w:t>
      </w:r>
    </w:p>
    <w:p w14:paraId="54AAED65" w14:textId="77777777" w:rsidR="002C4D86" w:rsidRPr="00493CED" w:rsidRDefault="002C4D86" w:rsidP="002C4D86">
      <w:pPr>
        <w:keepLines/>
        <w:spacing w:before="240"/>
      </w:pPr>
      <w:r w:rsidRPr="00493CED">
        <w:t xml:space="preserve">Il est convenu que : </w:t>
      </w:r>
    </w:p>
    <w:p w14:paraId="3C622C03" w14:textId="77777777" w:rsidR="002C4D86" w:rsidRPr="00493CED" w:rsidRDefault="002C4D86" w:rsidP="002C4D86">
      <w:pPr>
        <w:keepLines/>
        <w:numPr>
          <w:ilvl w:val="0"/>
          <w:numId w:val="17"/>
        </w:numPr>
        <w:spacing w:before="120"/>
        <w:ind w:left="714" w:hanging="357"/>
        <w:contextualSpacing/>
      </w:pPr>
      <w:r w:rsidRPr="00493CED">
        <w:t>la notion de tiers ou d'autrui est maintenue entre les différents assurés ;</w:t>
      </w:r>
    </w:p>
    <w:p w14:paraId="1D3F4449" w14:textId="1688A877" w:rsidR="002C4D86" w:rsidRPr="00493CED" w:rsidRDefault="00493CED" w:rsidP="002C4D86">
      <w:pPr>
        <w:keepLines/>
        <w:numPr>
          <w:ilvl w:val="0"/>
          <w:numId w:val="17"/>
        </w:numPr>
        <w:spacing w:before="120"/>
        <w:ind w:left="714" w:hanging="357"/>
        <w:contextualSpacing/>
      </w:pPr>
      <w:r w:rsidRPr="00493CED">
        <w:t>L’assureur</w:t>
      </w:r>
      <w:r w:rsidR="002C4D86" w:rsidRPr="00493CED">
        <w:t xml:space="preserve"> établira un contrat d'assurance pour chacun des assurés avec un numéro de contrat distinct.</w:t>
      </w:r>
    </w:p>
    <w:p w14:paraId="0B8A083C" w14:textId="5FB480D4" w:rsidR="005C7FFE" w:rsidRPr="005127A4" w:rsidRDefault="002C4D86" w:rsidP="00CA454D">
      <w:pPr>
        <w:keepLines/>
        <w:spacing w:before="120"/>
      </w:pPr>
      <w:r>
        <w:t xml:space="preserve">Chaque </w:t>
      </w:r>
      <w:r w:rsidR="0079081C">
        <w:t xml:space="preserve">établissement du GHT </w:t>
      </w:r>
      <w:r w:rsidR="00184121" w:rsidRPr="00881C70">
        <w:t>agit tant pour son compte que pour le compte de qui il appartiendra selon les stipulations ci-</w:t>
      </w:r>
      <w:r w:rsidR="00184121" w:rsidRPr="005127A4">
        <w:t>après</w:t>
      </w:r>
      <w:r w:rsidR="005C7FFE" w:rsidRPr="005127A4">
        <w:t> :</w:t>
      </w:r>
    </w:p>
    <w:p w14:paraId="65CD29B5" w14:textId="581ABDD9" w:rsidR="00184121" w:rsidRPr="006603F5" w:rsidRDefault="00184121" w:rsidP="00CA454D">
      <w:pPr>
        <w:keepLines/>
        <w:spacing w:before="120"/>
      </w:pPr>
      <w:r w:rsidRPr="006603F5">
        <w:t>Pour les bâtiments, les garanties du contrat sont acquises, y compris celles de responsabilités</w:t>
      </w:r>
      <w:r w:rsidR="00F65C6B">
        <w:t xml:space="preserve"> et les garanties annexes</w:t>
      </w:r>
      <w:r w:rsidRPr="006603F5">
        <w:t xml:space="preserve">, sans autres limitations que celles prévues </w:t>
      </w:r>
      <w:r w:rsidR="00C17E06">
        <w:t>ci-après</w:t>
      </w:r>
      <w:r w:rsidRPr="006603F5">
        <w:t xml:space="preserve"> pour autant que les bâtiments ou parties de bâtiments soient déclarés au contrat et la surface de ces bâtiments prise en compte pour le calcul de la prime.</w:t>
      </w:r>
    </w:p>
    <w:p w14:paraId="6699E0A0" w14:textId="6E482CEB" w:rsidR="00184121" w:rsidRPr="006603F5" w:rsidRDefault="00184121" w:rsidP="00CA454D">
      <w:pPr>
        <w:keepNext/>
        <w:keepLines/>
        <w:spacing w:before="120"/>
      </w:pPr>
      <w:r w:rsidRPr="006603F5">
        <w:t>Pour les autres biens</w:t>
      </w:r>
      <w:r w:rsidR="00AD11C0">
        <w:t>,</w:t>
      </w:r>
      <w:r w:rsidR="00337A6F">
        <w:t xml:space="preserve"> </w:t>
      </w:r>
      <w:r w:rsidR="00AD11C0" w:rsidRPr="006603F5">
        <w:t xml:space="preserve">les garanties du contrat sont acquises, y compris </w:t>
      </w:r>
      <w:r w:rsidR="00AD11C0">
        <w:t>les garanties annexes</w:t>
      </w:r>
      <w:r w:rsidR="00EE3A7D">
        <w:t>, dans les conditions suivantes</w:t>
      </w:r>
      <w:r w:rsidR="00AD11C0">
        <w:t> :</w:t>
      </w:r>
      <w:r w:rsidRPr="006603F5">
        <w:t xml:space="preserve"> </w:t>
      </w:r>
    </w:p>
    <w:p w14:paraId="3CFAA404" w14:textId="724FAB90" w:rsidR="00184121" w:rsidRPr="006603F5" w:rsidRDefault="00184121" w:rsidP="00CA454D">
      <w:pPr>
        <w:pStyle w:val="Paragraphedeliste"/>
        <w:keepLines/>
        <w:numPr>
          <w:ilvl w:val="0"/>
          <w:numId w:val="1"/>
        </w:numPr>
        <w:tabs>
          <w:tab w:val="left" w:pos="284"/>
        </w:tabs>
        <w:ind w:left="284" w:hanging="284"/>
        <w:contextualSpacing w:val="0"/>
      </w:pPr>
      <w:r w:rsidRPr="006603F5">
        <w:t>si l'</w:t>
      </w:r>
      <w:r w:rsidR="00964660">
        <w:t>a</w:t>
      </w:r>
      <w:r w:rsidRPr="006603F5">
        <w:t>ssuré en a la garde ou l'usage à quelque titre que ce soit, ou est tenu de les assurer pour le compte d’autrui</w:t>
      </w:r>
      <w:r w:rsidR="00EE3A7D">
        <w:t> :</w:t>
      </w:r>
      <w:r w:rsidRPr="006603F5">
        <w:t xml:space="preserve"> sans autres limitations que celles prévues </w:t>
      </w:r>
      <w:bookmarkStart w:id="8" w:name="_Hlk39248103"/>
      <w:r w:rsidR="00F65C6B">
        <w:t xml:space="preserve">au </w:t>
      </w:r>
      <w:r w:rsidR="00F65C6B" w:rsidRPr="0087170F">
        <w:t>paragraphe « Limitations contractuelles d’indemnités ».</w:t>
      </w:r>
      <w:bookmarkEnd w:id="8"/>
    </w:p>
    <w:p w14:paraId="36CBCFD5" w14:textId="432CD584" w:rsidR="00184121" w:rsidRPr="006603F5" w:rsidRDefault="00AE04F0" w:rsidP="00CA454D">
      <w:pPr>
        <w:pStyle w:val="Paragraphedeliste"/>
        <w:keepNext/>
        <w:keepLines/>
        <w:numPr>
          <w:ilvl w:val="0"/>
          <w:numId w:val="1"/>
        </w:numPr>
        <w:tabs>
          <w:tab w:val="left" w:pos="284"/>
        </w:tabs>
        <w:ind w:left="284" w:hanging="284"/>
        <w:contextualSpacing w:val="0"/>
      </w:pPr>
      <w:r>
        <w:t>s</w:t>
      </w:r>
      <w:r w:rsidR="00184121" w:rsidRPr="006603F5">
        <w:t>i l’</w:t>
      </w:r>
      <w:r w:rsidR="00964660">
        <w:t>a</w:t>
      </w:r>
      <w:r w:rsidR="00184121" w:rsidRPr="006603F5">
        <w:t>ssuré n’en a pas la garde ou l’usage et n’est pas tenu de les assurer pour le compte d’autrui</w:t>
      </w:r>
      <w:r w:rsidR="00AD11C0">
        <w:t> :</w:t>
      </w:r>
    </w:p>
    <w:p w14:paraId="0C3067E2" w14:textId="15EC962A" w:rsidR="00184121" w:rsidRPr="00C17E06" w:rsidRDefault="00184121" w:rsidP="00CA454D">
      <w:pPr>
        <w:pStyle w:val="Paragraphedeliste"/>
        <w:keepLines/>
        <w:numPr>
          <w:ilvl w:val="1"/>
          <w:numId w:val="3"/>
        </w:numPr>
        <w:tabs>
          <w:tab w:val="left" w:pos="567"/>
          <w:tab w:val="left" w:pos="851"/>
        </w:tabs>
        <w:ind w:left="567" w:hanging="283"/>
        <w:contextualSpacing w:val="0"/>
      </w:pPr>
      <w:r w:rsidRPr="00C17E06">
        <w:t>pour les organismes de droit public</w:t>
      </w:r>
      <w:r w:rsidR="00EE3A7D">
        <w:t> :</w:t>
      </w:r>
      <w:r w:rsidRPr="00C17E06">
        <w:t xml:space="preserve"> sans autres limita</w:t>
      </w:r>
      <w:r w:rsidR="00AE04F0">
        <w:t>t</w:t>
      </w:r>
      <w:r w:rsidRPr="00C17E06">
        <w:t xml:space="preserve">ions que celles </w:t>
      </w:r>
      <w:r w:rsidR="00C17E06" w:rsidRPr="00C17E06">
        <w:t xml:space="preserve">prévues </w:t>
      </w:r>
      <w:r w:rsidR="00F65C6B">
        <w:t>au paragraphe « Limitations contractuelles d’indemnités »,</w:t>
      </w:r>
    </w:p>
    <w:p w14:paraId="0E572C25" w14:textId="51BED348" w:rsidR="00184121" w:rsidRDefault="00184121" w:rsidP="00CA454D">
      <w:pPr>
        <w:pStyle w:val="Paragraphedeliste"/>
        <w:keepLines/>
        <w:numPr>
          <w:ilvl w:val="1"/>
          <w:numId w:val="3"/>
        </w:numPr>
        <w:tabs>
          <w:tab w:val="left" w:pos="567"/>
          <w:tab w:val="left" w:pos="851"/>
        </w:tabs>
        <w:ind w:left="567" w:hanging="283"/>
        <w:contextualSpacing w:val="0"/>
      </w:pPr>
      <w:r w:rsidRPr="006603F5">
        <w:t>pour les personnes physiques et/ou pour les personnes morales à but non lucratif</w:t>
      </w:r>
      <w:r w:rsidR="00EE3A7D">
        <w:t> :</w:t>
      </w:r>
      <w:r w:rsidRPr="006603F5">
        <w:t xml:space="preserve"> à concurrence de </w:t>
      </w:r>
      <w:r w:rsidRPr="00881C70">
        <w:rPr>
          <w:b/>
        </w:rPr>
        <w:t>150 000 €</w:t>
      </w:r>
      <w:r w:rsidRPr="006603F5">
        <w:t xml:space="preserve"> sauf pour les garanties concernées par une limitation inférieure</w:t>
      </w:r>
      <w:r w:rsidR="00EE3A7D">
        <w:t>.</w:t>
      </w:r>
    </w:p>
    <w:p w14:paraId="049D0ED9" w14:textId="5CD06093" w:rsidR="00EE3A7D" w:rsidRPr="006603F5" w:rsidRDefault="00EE3A7D" w:rsidP="00EE3A7D">
      <w:pPr>
        <w:pStyle w:val="Paragraphedeliste"/>
        <w:keepLines/>
        <w:numPr>
          <w:ilvl w:val="1"/>
          <w:numId w:val="3"/>
        </w:numPr>
        <w:tabs>
          <w:tab w:val="left" w:pos="567"/>
          <w:tab w:val="left" w:pos="851"/>
        </w:tabs>
        <w:ind w:left="567" w:hanging="283"/>
        <w:contextualSpacing w:val="0"/>
      </w:pPr>
      <w:r>
        <w:t xml:space="preserve">pour les personnes morales à but lucratif : la garantie n’est pas acquise. </w:t>
      </w:r>
    </w:p>
    <w:p w14:paraId="390EB961" w14:textId="5B0C22AF" w:rsidR="00184121" w:rsidRDefault="00184121" w:rsidP="00CA454D">
      <w:pPr>
        <w:keepLines/>
        <w:spacing w:before="120"/>
      </w:pPr>
      <w:r w:rsidRPr="006603F5">
        <w:lastRenderedPageBreak/>
        <w:t xml:space="preserve">Dans tous les cas, la présente extension s'exercera à défaut ou en complément des garanties souscrites par </w:t>
      </w:r>
      <w:r w:rsidR="00820401">
        <w:t>son</w:t>
      </w:r>
      <w:r w:rsidR="00DC7EBD">
        <w:t xml:space="preserve"> bénéficiaire, sauf si une convention signée avec ce dernier en stipule autrement</w:t>
      </w:r>
      <w:r w:rsidR="00820401">
        <w:t xml:space="preserve">. </w:t>
      </w:r>
      <w:r w:rsidRPr="006603F5">
        <w:t>L’</w:t>
      </w:r>
      <w:r w:rsidR="00964660">
        <w:t>a</w:t>
      </w:r>
      <w:r w:rsidRPr="006603F5">
        <w:t xml:space="preserve">ssuré précisera après le sinistre les tiers qui bénéficieront de l’assurance pour compte. </w:t>
      </w:r>
    </w:p>
    <w:p w14:paraId="3F38B894" w14:textId="77777777" w:rsidR="00184121" w:rsidRPr="00857854" w:rsidRDefault="00184121" w:rsidP="00DE5DDE">
      <w:pPr>
        <w:pStyle w:val="Titre2"/>
      </w:pPr>
      <w:bookmarkStart w:id="9" w:name="_Toc11654716"/>
      <w:bookmarkStart w:id="10" w:name="_Hlk34898956"/>
      <w:r w:rsidRPr="00857854">
        <w:t>Activités</w:t>
      </w:r>
      <w:bookmarkEnd w:id="9"/>
    </w:p>
    <w:bookmarkEnd w:id="10"/>
    <w:p w14:paraId="738A8306" w14:textId="1FD83478" w:rsidR="00184121" w:rsidRPr="006603F5" w:rsidRDefault="00184121" w:rsidP="00CA454D">
      <w:pPr>
        <w:keepLines/>
      </w:pPr>
      <w:r w:rsidRPr="006603F5">
        <w:t>Toutes activités de l’</w:t>
      </w:r>
      <w:r w:rsidR="00964660">
        <w:t>a</w:t>
      </w:r>
      <w:r w:rsidRPr="006603F5">
        <w:t>ssuré et de ses services, y compris les activités techniques et les activités annexes et connexes de toutes natures.</w:t>
      </w:r>
    </w:p>
    <w:p w14:paraId="52661CCF" w14:textId="77777777" w:rsidR="00184121" w:rsidRPr="00DE536C" w:rsidRDefault="00184121" w:rsidP="00DE5DDE">
      <w:pPr>
        <w:pStyle w:val="Titre2"/>
      </w:pPr>
      <w:bookmarkStart w:id="11" w:name="_Toc11654717"/>
      <w:r w:rsidRPr="00DE536C">
        <w:t>Situation des risques</w:t>
      </w:r>
      <w:bookmarkEnd w:id="11"/>
    </w:p>
    <w:p w14:paraId="74BF9E03" w14:textId="4683CE26" w:rsidR="00184121" w:rsidRPr="00DE536C" w:rsidRDefault="00184121" w:rsidP="00CA454D">
      <w:pPr>
        <w:keepLines/>
      </w:pPr>
      <w:r w:rsidRPr="00DE536C">
        <w:t>Ensemble des bâtiments et biens dont l’</w:t>
      </w:r>
      <w:r w:rsidR="00964660">
        <w:t>a</w:t>
      </w:r>
      <w:r w:rsidRPr="00DE536C">
        <w:t xml:space="preserve">ssuré est propriétaire, locataire et/ou occupant à quelque titre que ce soit ou qu’il a la charge d’assurer en tant que syndic. </w:t>
      </w:r>
    </w:p>
    <w:p w14:paraId="623B1B04" w14:textId="7900B19A" w:rsidR="00184121" w:rsidRDefault="00F31F70" w:rsidP="00CA454D">
      <w:pPr>
        <w:keepLines/>
      </w:pPr>
      <w:r>
        <w:t>L</w:t>
      </w:r>
      <w:r w:rsidR="00163856">
        <w:t>a</w:t>
      </w:r>
      <w:r w:rsidR="00184121" w:rsidRPr="00DE536C">
        <w:t xml:space="preserve"> garantie ne porte </w:t>
      </w:r>
      <w:r>
        <w:t xml:space="preserve">toutefois </w:t>
      </w:r>
      <w:r w:rsidR="00184121" w:rsidRPr="00DE536C">
        <w:t xml:space="preserve">pas sur les bâtiments </w:t>
      </w:r>
      <w:r w:rsidR="00163856">
        <w:t>et biens dont la charge de l’assurance incombe par convention à un tiers</w:t>
      </w:r>
      <w:r w:rsidR="00820401">
        <w:t xml:space="preserve"> et les risques locatifs pour lesquels l’assuré bénéficie d’une renonciation à recours. </w:t>
      </w:r>
    </w:p>
    <w:p w14:paraId="4CC4B8D4" w14:textId="49A581D1" w:rsidR="00CD7C0B" w:rsidRPr="00DE5DDE" w:rsidRDefault="00CD7C0B" w:rsidP="00DE5DDE">
      <w:pPr>
        <w:pStyle w:val="Titre2"/>
        <w:rPr>
          <w:spacing w:val="-2"/>
        </w:rPr>
      </w:pPr>
      <w:r w:rsidRPr="00DE5DDE">
        <w:rPr>
          <w:spacing w:val="-2"/>
        </w:rPr>
        <w:t>Prise d'effet et durée du contrat</w:t>
      </w:r>
      <w:r w:rsidR="0085754E" w:rsidRPr="00DE5DDE">
        <w:rPr>
          <w:spacing w:val="-2"/>
        </w:rPr>
        <w:t>, préavis de résiliation</w:t>
      </w:r>
    </w:p>
    <w:p w14:paraId="276903E4" w14:textId="73B2A8F4" w:rsidR="00CD7C0B" w:rsidRPr="00A85ABC" w:rsidRDefault="00C17E06" w:rsidP="00CA454D">
      <w:pPr>
        <w:keepLines/>
        <w:tabs>
          <w:tab w:val="left" w:pos="284"/>
        </w:tabs>
      </w:pPr>
      <w:r>
        <w:rPr>
          <w:rFonts w:cs="Times New Roman"/>
        </w:rPr>
        <w:t xml:space="preserve">Ces informations </w:t>
      </w:r>
      <w:r w:rsidR="00125B30">
        <w:rPr>
          <w:rFonts w:cs="Times New Roman"/>
        </w:rPr>
        <w:t xml:space="preserve">sont mentionnées </w:t>
      </w:r>
      <w:r>
        <w:rPr>
          <w:rFonts w:cs="Times New Roman"/>
        </w:rPr>
        <w:t>à l’acte d’engagement.</w:t>
      </w:r>
    </w:p>
    <w:p w14:paraId="42029EE8" w14:textId="77777777" w:rsidR="009034E7" w:rsidRDefault="009034E7" w:rsidP="00CA454D">
      <w:pPr>
        <w:pStyle w:val="Titre1"/>
      </w:pPr>
      <w:bookmarkStart w:id="12" w:name="_Toc11654489"/>
      <w:bookmarkStart w:id="13" w:name="_Toc11654731"/>
      <w:r>
        <w:t>Etendue de la couverture</w:t>
      </w:r>
      <w:bookmarkEnd w:id="12"/>
      <w:bookmarkEnd w:id="13"/>
    </w:p>
    <w:p w14:paraId="08C6EFFD" w14:textId="0879E417" w:rsidR="00C43703" w:rsidRDefault="00C46363" w:rsidP="00DE5DDE">
      <w:pPr>
        <w:pStyle w:val="Titre2"/>
      </w:pPr>
      <w:r>
        <w:t>Extensions</w:t>
      </w:r>
      <w:r w:rsidR="00C43703">
        <w:t xml:space="preserve"> relatives aux biens assurés</w:t>
      </w:r>
    </w:p>
    <w:p w14:paraId="712D9AA2" w14:textId="4A620C7A" w:rsidR="00A84EE8" w:rsidRPr="0026627C" w:rsidRDefault="00A84EE8" w:rsidP="00CA454D">
      <w:pPr>
        <w:keepLines/>
        <w:spacing w:before="120"/>
      </w:pPr>
      <w:bookmarkStart w:id="14" w:name="_Toc261440696"/>
      <w:r w:rsidRPr="0026627C">
        <w:t xml:space="preserve">Outre les biens mentionnés aux conditions générales, les garanties sont acquises pour tous les évènements assurés sur les biens en extérieur (kiosques, abris, feux, panneaux de </w:t>
      </w:r>
      <w:r w:rsidRPr="006233A8">
        <w:t xml:space="preserve">signalisation ou d'affichage, jeux, containers, poubelles, etc.), les édifices divers (fontaines, statues, etc.), antennes et relais de toute nature, installations d'éclairage, </w:t>
      </w:r>
      <w:r w:rsidR="007D4B9B" w:rsidRPr="006233A8">
        <w:t xml:space="preserve">ombrières photovoltaïques ou non, </w:t>
      </w:r>
      <w:r w:rsidRPr="006233A8">
        <w:t>systèmes de surveillance, de protection et de secours, installations extérieures techniques</w:t>
      </w:r>
      <w:r w:rsidR="006F535D" w:rsidRPr="006233A8">
        <w:t xml:space="preserve"> concourant à l’exécution des activités du souscripteur</w:t>
      </w:r>
      <w:r w:rsidRPr="006233A8">
        <w:t>, etc.</w:t>
      </w:r>
    </w:p>
    <w:p w14:paraId="5578302F" w14:textId="533FD150" w:rsidR="00C43703" w:rsidRDefault="00C43703" w:rsidP="00CA454D">
      <w:pPr>
        <w:keepLines/>
        <w:spacing w:before="120"/>
      </w:pPr>
      <w:r w:rsidRPr="0026627C">
        <w:t xml:space="preserve">Les garanties </w:t>
      </w:r>
      <w:r w:rsidRPr="005127A4">
        <w:t>du contrat sont étendues aux cont</w:t>
      </w:r>
      <w:r w:rsidR="006D395C" w:rsidRPr="005127A4">
        <w:t>e</w:t>
      </w:r>
      <w:r w:rsidRPr="005127A4">
        <w:t>ne</w:t>
      </w:r>
      <w:r w:rsidR="006D395C" w:rsidRPr="005127A4">
        <w:t>u</w:t>
      </w:r>
      <w:r w:rsidRPr="005127A4">
        <w:t xml:space="preserve">rs routiers </w:t>
      </w:r>
      <w:r w:rsidR="006D395C" w:rsidRPr="005127A4">
        <w:t xml:space="preserve">ou maritimes </w:t>
      </w:r>
      <w:r w:rsidRPr="005127A4">
        <w:t>et à leur contenu</w:t>
      </w:r>
      <w:r w:rsidR="00CD5E87" w:rsidRPr="005127A4">
        <w:t xml:space="preserve"> ainsi qu’aux bennes des véhicules</w:t>
      </w:r>
      <w:r w:rsidRPr="005127A4">
        <w:t xml:space="preserve"> déposés à l'extérieur des bâtiments.</w:t>
      </w:r>
      <w:bookmarkEnd w:id="14"/>
    </w:p>
    <w:p w14:paraId="3B831A23" w14:textId="1DF27FE7" w:rsidR="00C43703" w:rsidRPr="0079081C" w:rsidRDefault="00C43703" w:rsidP="00CA454D">
      <w:pPr>
        <w:keepLines/>
        <w:spacing w:before="120"/>
        <w:rPr>
          <w:b/>
          <w:bCs/>
        </w:rPr>
      </w:pPr>
      <w:bookmarkStart w:id="15" w:name="_Toc250984428"/>
      <w:bookmarkStart w:id="16" w:name="_Toc253559495"/>
      <w:bookmarkStart w:id="17" w:name="_Toc261440695"/>
      <w:r w:rsidRPr="0079081C">
        <w:t>Les garanties « incendie, chute de la foudre, explosion, fumées », « tempête, grêle, poids de la neige », « dégâts des eaux, inondations</w:t>
      </w:r>
      <w:r w:rsidR="00DB5909" w:rsidRPr="0079081C">
        <w:t> »</w:t>
      </w:r>
      <w:r w:rsidRPr="0079081C">
        <w:t xml:space="preserve">, « vandalisme, </w:t>
      </w:r>
      <w:r w:rsidR="00D61C9B" w:rsidRPr="0079081C">
        <w:t xml:space="preserve">grèves, </w:t>
      </w:r>
      <w:r w:rsidRPr="0079081C">
        <w:t>émeutes, mouvements populaires</w:t>
      </w:r>
      <w:r w:rsidR="00D61C9B" w:rsidRPr="0079081C">
        <w:t> »</w:t>
      </w:r>
      <w:r w:rsidR="00CF766B" w:rsidRPr="0079081C">
        <w:t>, « c</w:t>
      </w:r>
      <w:bookmarkStart w:id="18" w:name="_Toc11654741"/>
      <w:r w:rsidR="00CF766B" w:rsidRPr="0079081C">
        <w:t>hoc ou chute d'aéronef ou d’engin spatial, choc de véhicule terrestre identifié ou non identifié</w:t>
      </w:r>
      <w:bookmarkEnd w:id="18"/>
      <w:r w:rsidR="00CF766B" w:rsidRPr="0079081C">
        <w:t xml:space="preserve"> », </w:t>
      </w:r>
      <w:r w:rsidRPr="0079081C">
        <w:t xml:space="preserve">sont acquises sur les chapiteaux ou tentes et leur contenu pour autant que ceux-ci répondent aux DTU en la matière. La garantie est également acquise à tous les biens assimilés, tels que barnum, vélum, </w:t>
      </w:r>
      <w:proofErr w:type="spellStart"/>
      <w:r w:rsidRPr="0079081C">
        <w:t>canopy</w:t>
      </w:r>
      <w:proofErr w:type="spellEnd"/>
      <w:r w:rsidRPr="0079081C">
        <w:t xml:space="preserve">, </w:t>
      </w:r>
      <w:proofErr w:type="spellStart"/>
      <w:r w:rsidRPr="0079081C">
        <w:t>vitabris</w:t>
      </w:r>
      <w:proofErr w:type="spellEnd"/>
      <w:r w:rsidRPr="0079081C">
        <w:t xml:space="preserve">, etc. La garantie est limitée à </w:t>
      </w:r>
      <w:r w:rsidRPr="0079081C">
        <w:rPr>
          <w:b/>
          <w:bCs/>
        </w:rPr>
        <w:t>75</w:t>
      </w:r>
      <w:r w:rsidR="00046E6E" w:rsidRPr="0079081C">
        <w:rPr>
          <w:b/>
          <w:bCs/>
        </w:rPr>
        <w:t> </w:t>
      </w:r>
      <w:r w:rsidRPr="0079081C">
        <w:rPr>
          <w:b/>
          <w:bCs/>
        </w:rPr>
        <w:t>000</w:t>
      </w:r>
      <w:r w:rsidR="00046E6E" w:rsidRPr="0079081C">
        <w:rPr>
          <w:b/>
          <w:bCs/>
        </w:rPr>
        <w:t> </w:t>
      </w:r>
      <w:r w:rsidRPr="0079081C">
        <w:rPr>
          <w:b/>
          <w:bCs/>
        </w:rPr>
        <w:t>€.</w:t>
      </w:r>
      <w:bookmarkEnd w:id="15"/>
      <w:bookmarkEnd w:id="16"/>
      <w:bookmarkEnd w:id="17"/>
    </w:p>
    <w:p w14:paraId="08D0ED7F" w14:textId="242FBBCA" w:rsidR="00C43703" w:rsidRDefault="00C43703" w:rsidP="00CA454D">
      <w:pPr>
        <w:keepLines/>
        <w:spacing w:before="120"/>
      </w:pPr>
      <w:bookmarkStart w:id="19" w:name="_Toc250984424"/>
      <w:bookmarkStart w:id="20" w:name="_Toc253559491"/>
      <w:bookmarkStart w:id="21" w:name="_Toc261440691"/>
      <w:r w:rsidRPr="0079081C">
        <w:t xml:space="preserve">Une garantie de </w:t>
      </w:r>
      <w:r w:rsidRPr="0079081C">
        <w:rPr>
          <w:b/>
          <w:bCs/>
        </w:rPr>
        <w:t>150 000 €</w:t>
      </w:r>
      <w:r w:rsidRPr="0079081C">
        <w:t xml:space="preserve"> </w:t>
      </w:r>
      <w:r w:rsidR="005F5AA6" w:rsidRPr="0079081C">
        <w:t xml:space="preserve">par sinistre </w:t>
      </w:r>
      <w:r w:rsidRPr="0079081C">
        <w:t>est accordée sur du matériel, mobilier ou contenu de toute sorte pouvant se trouver chez un tiers.</w:t>
      </w:r>
      <w:bookmarkEnd w:id="19"/>
      <w:bookmarkEnd w:id="20"/>
      <w:bookmarkEnd w:id="21"/>
      <w:r w:rsidRPr="0079081C">
        <w:t xml:space="preserve"> Cette garantie est étendue aux frais de reconstitution ou de rénovation</w:t>
      </w:r>
      <w:r w:rsidRPr="004B2D69">
        <w:t xml:space="preserve"> ou de sauvetage d'archives appartenant à l'assuré et stockées chez des tiers.</w:t>
      </w:r>
    </w:p>
    <w:p w14:paraId="2FBED2D7" w14:textId="04A5F215" w:rsidR="00C43703" w:rsidRPr="008B07C1" w:rsidRDefault="00C43703" w:rsidP="00CA454D">
      <w:pPr>
        <w:keepLines/>
        <w:spacing w:before="120"/>
      </w:pPr>
      <w:bookmarkStart w:id="22" w:name="_Hlk58834094"/>
      <w:r w:rsidRPr="008B07C1">
        <w:t>La garantie est étendue aux ouvrages d’art et de génie civil.</w:t>
      </w:r>
    </w:p>
    <w:p w14:paraId="692661E9" w14:textId="77777777" w:rsidR="00442E73" w:rsidRPr="004B2D69" w:rsidRDefault="00442E73" w:rsidP="00CA454D">
      <w:pPr>
        <w:keepNext/>
        <w:keepLines/>
      </w:pPr>
      <w:r w:rsidRPr="004B2D69">
        <w:t>Sont seuls garantis :</w:t>
      </w:r>
    </w:p>
    <w:p w14:paraId="00870AB4" w14:textId="3905E873" w:rsidR="00442E73" w:rsidRPr="00442E73" w:rsidRDefault="00442E73" w:rsidP="00CA454D">
      <w:pPr>
        <w:pStyle w:val="Paragraphedeliste"/>
        <w:keepLines/>
        <w:numPr>
          <w:ilvl w:val="0"/>
          <w:numId w:val="5"/>
        </w:numPr>
        <w:tabs>
          <w:tab w:val="left" w:pos="284"/>
        </w:tabs>
        <w:ind w:left="284" w:hanging="284"/>
        <w:contextualSpacing w:val="0"/>
        <w:rPr>
          <w:strike/>
        </w:rPr>
      </w:pPr>
      <w:r w:rsidRPr="004B2D69">
        <w:t xml:space="preserve">les ponts, passerelles, passages souterrains, tunnels, galeries, </w:t>
      </w:r>
      <w:r>
        <w:t xml:space="preserve">ainsi que tout </w:t>
      </w:r>
      <w:r w:rsidRPr="004B2D69">
        <w:t xml:space="preserve">ouvrage d'art des réseaux </w:t>
      </w:r>
      <w:r>
        <w:t>piétonnier</w:t>
      </w:r>
      <w:r w:rsidR="00F53E4D">
        <w:t xml:space="preserve"> et </w:t>
      </w:r>
      <w:r w:rsidRPr="004B2D69">
        <w:t>routier</w:t>
      </w:r>
      <w:r w:rsidR="00F53E4D">
        <w:t>,</w:t>
      </w:r>
    </w:p>
    <w:p w14:paraId="0FB287BE" w14:textId="77777777" w:rsidR="000B5BF9" w:rsidRDefault="00442E73" w:rsidP="00254052">
      <w:pPr>
        <w:pStyle w:val="Paragraphedeliste"/>
        <w:keepLines/>
        <w:numPr>
          <w:ilvl w:val="0"/>
          <w:numId w:val="5"/>
        </w:numPr>
        <w:tabs>
          <w:tab w:val="left" w:pos="284"/>
        </w:tabs>
        <w:ind w:left="284" w:hanging="284"/>
        <w:contextualSpacing w:val="0"/>
      </w:pPr>
      <w:r w:rsidRPr="004B2D69">
        <w:lastRenderedPageBreak/>
        <w:t xml:space="preserve">les routes, chemins de roulement, voies de circulation diverses, aires de stationnement et autres ouvrages de voirie </w:t>
      </w:r>
      <w:r w:rsidR="000B5BF9" w:rsidRPr="009C6886">
        <w:t>(couches d</w:t>
      </w:r>
      <w:r w:rsidR="000B5BF9" w:rsidRPr="005127A4">
        <w:t>e fondation et revêtement compris, ce dernier étant indemnisé vétusté déduite),</w:t>
      </w:r>
      <w:r w:rsidR="000B5BF9" w:rsidRPr="009C6886">
        <w:t xml:space="preserve"> </w:t>
      </w:r>
    </w:p>
    <w:p w14:paraId="70D7B76C" w14:textId="3E098EA8" w:rsidR="00442E73" w:rsidRPr="004B2D69" w:rsidRDefault="00442E73" w:rsidP="00254052">
      <w:pPr>
        <w:pStyle w:val="Paragraphedeliste"/>
        <w:keepLines/>
        <w:numPr>
          <w:ilvl w:val="0"/>
          <w:numId w:val="5"/>
        </w:numPr>
        <w:tabs>
          <w:tab w:val="left" w:pos="284"/>
        </w:tabs>
        <w:ind w:left="284" w:hanging="284"/>
        <w:contextualSpacing w:val="0"/>
      </w:pPr>
      <w:r w:rsidRPr="004B2D69">
        <w:t>les prises d'eau, puits et autres ouvrages de prélèvement des eaux souterraines et des eaux de surface, stations techniques de pompage, relevage, filtrage, etc.,</w:t>
      </w:r>
    </w:p>
    <w:p w14:paraId="1EA4AF89" w14:textId="6252C377" w:rsidR="00442E73" w:rsidRDefault="00442E73" w:rsidP="00CA454D">
      <w:pPr>
        <w:pStyle w:val="Paragraphedeliste"/>
        <w:keepLines/>
        <w:numPr>
          <w:ilvl w:val="0"/>
          <w:numId w:val="5"/>
        </w:numPr>
        <w:tabs>
          <w:tab w:val="left" w:pos="284"/>
        </w:tabs>
        <w:ind w:left="284" w:hanging="284"/>
        <w:contextualSpacing w:val="0"/>
      </w:pPr>
      <w:r w:rsidRPr="004B2D69">
        <w:t>les ouvrages d'assainissement (dispositifs de collecte et d'évacuation des eaux usées et des eaux de pluie), usines de traitement d'eau, de résidus urbains, de déchets industriels</w:t>
      </w:r>
      <w:r>
        <w:t>,</w:t>
      </w:r>
      <w:r w:rsidRPr="004B2D69">
        <w:t xml:space="preserve"> </w:t>
      </w:r>
      <w:r>
        <w:t>de déchets hospitaliers</w:t>
      </w:r>
      <w:r w:rsidRPr="004B2D69">
        <w:t xml:space="preserve"> et d'effluents, </w:t>
      </w:r>
    </w:p>
    <w:p w14:paraId="2EEED3A4" w14:textId="77777777" w:rsidR="00442E73" w:rsidRPr="004B2D69" w:rsidRDefault="00442E73" w:rsidP="00CA454D">
      <w:pPr>
        <w:pStyle w:val="Paragraphedeliste"/>
        <w:keepLines/>
        <w:numPr>
          <w:ilvl w:val="0"/>
          <w:numId w:val="5"/>
        </w:numPr>
        <w:tabs>
          <w:tab w:val="left" w:pos="284"/>
        </w:tabs>
        <w:ind w:left="284" w:hanging="284"/>
        <w:contextualSpacing w:val="0"/>
      </w:pPr>
      <w:r>
        <w:t>les</w:t>
      </w:r>
      <w:r w:rsidRPr="004B2D69">
        <w:t xml:space="preserve"> réseaux divers souterrains ou non, tels que notamment alimentation en eau, gaz e</w:t>
      </w:r>
      <w:r>
        <w:t xml:space="preserve">tc. et </w:t>
      </w:r>
      <w:r w:rsidRPr="004B2D69">
        <w:t>lignes aériennes extérieures servant au transport et à la distribution d'électricité, téléphone,</w:t>
      </w:r>
      <w:r>
        <w:t xml:space="preserve"> etc.</w:t>
      </w:r>
      <w:r w:rsidRPr="004B2D69">
        <w:t xml:space="preserve"> ainsi que leurs supports,</w:t>
      </w:r>
    </w:p>
    <w:p w14:paraId="1B3A0F40" w14:textId="77777777" w:rsidR="00442E73" w:rsidRPr="004B2D69" w:rsidRDefault="00442E73" w:rsidP="00CA454D">
      <w:pPr>
        <w:pStyle w:val="Paragraphedeliste"/>
        <w:keepLines/>
        <w:numPr>
          <w:ilvl w:val="0"/>
          <w:numId w:val="5"/>
        </w:numPr>
        <w:tabs>
          <w:tab w:val="left" w:pos="284"/>
        </w:tabs>
        <w:ind w:left="284" w:hanging="284"/>
        <w:contextualSpacing w:val="0"/>
      </w:pPr>
      <w:r w:rsidRPr="004B2D69">
        <w:t>les cheminées industrielles, les réfrigérants, les unités de stockage (silos, cuves, réservoirs et citernes), les châteaux d’eau,</w:t>
      </w:r>
    </w:p>
    <w:p w14:paraId="6FEA716E" w14:textId="77777777" w:rsidR="00D62491" w:rsidRDefault="00442E73" w:rsidP="00CA454D">
      <w:pPr>
        <w:pStyle w:val="Paragraphedeliste"/>
        <w:keepLines/>
        <w:numPr>
          <w:ilvl w:val="0"/>
          <w:numId w:val="5"/>
        </w:numPr>
        <w:tabs>
          <w:tab w:val="left" w:pos="284"/>
        </w:tabs>
        <w:ind w:left="284" w:hanging="284"/>
        <w:contextualSpacing w:val="0"/>
      </w:pPr>
      <w:r w:rsidRPr="004B2D69">
        <w:t xml:space="preserve">les ouvrages de retenue, les massifs de terre, remblais, </w:t>
      </w:r>
    </w:p>
    <w:p w14:paraId="1D67C778" w14:textId="46688C97" w:rsidR="00442E73" w:rsidRPr="004B2D69" w:rsidRDefault="008F4340" w:rsidP="00CA454D">
      <w:pPr>
        <w:pStyle w:val="Paragraphedeliste"/>
        <w:keepLines/>
        <w:numPr>
          <w:ilvl w:val="0"/>
          <w:numId w:val="5"/>
        </w:numPr>
        <w:tabs>
          <w:tab w:val="left" w:pos="284"/>
        </w:tabs>
        <w:ind w:left="284" w:hanging="284"/>
        <w:contextualSpacing w:val="0"/>
      </w:pPr>
      <w:r>
        <w:t xml:space="preserve">les portails, </w:t>
      </w:r>
      <w:r w:rsidR="00442E73" w:rsidRPr="004B2D69">
        <w:t>les clôtures et murs d’enceinte, les remparts et murs de soutènement ne constituant pas l'accessoire d'un bâtiment,</w:t>
      </w:r>
    </w:p>
    <w:p w14:paraId="315C096E" w14:textId="77777777" w:rsidR="00442E73" w:rsidRPr="004B2D69" w:rsidRDefault="00442E73" w:rsidP="00CA454D">
      <w:pPr>
        <w:pStyle w:val="Paragraphedeliste"/>
        <w:keepLines/>
        <w:numPr>
          <w:ilvl w:val="0"/>
          <w:numId w:val="5"/>
        </w:numPr>
        <w:tabs>
          <w:tab w:val="left" w:pos="284"/>
        </w:tabs>
        <w:ind w:left="284" w:hanging="284"/>
        <w:contextualSpacing w:val="0"/>
      </w:pPr>
      <w:r w:rsidRPr="004B2D69">
        <w:t>les terrains de sports ou aires de jeux ou assimilés ayant fait l'objet de travaux de terrassement ou de drainage, y compris les terrains synthétiques</w:t>
      </w:r>
      <w:r>
        <w:t>.</w:t>
      </w:r>
    </w:p>
    <w:p w14:paraId="373DE139" w14:textId="38B7F7B0" w:rsidR="00C43703" w:rsidRPr="006E0195" w:rsidRDefault="00442E73" w:rsidP="00CA454D">
      <w:pPr>
        <w:keepLines/>
        <w:spacing w:before="120"/>
      </w:pPr>
      <w:r w:rsidRPr="003E210C">
        <w:t xml:space="preserve">Lorsque ces ouvrages d'art et de génie civil comportent une partie de bâtiment, </w:t>
      </w:r>
      <w:r>
        <w:t xml:space="preserve">cette partie de bâtiment est assurée </w:t>
      </w:r>
      <w:r w:rsidRPr="003E210C">
        <w:t>au titre de la garantie de base sur bâtiment</w:t>
      </w:r>
      <w:r w:rsidR="00C43703" w:rsidRPr="006E0195">
        <w:t>.</w:t>
      </w:r>
    </w:p>
    <w:bookmarkEnd w:id="22"/>
    <w:p w14:paraId="01910A6A" w14:textId="0AD4D9B8" w:rsidR="0020082C" w:rsidRPr="0079081C" w:rsidRDefault="0020082C" w:rsidP="00DE5DDE">
      <w:pPr>
        <w:pStyle w:val="Titre2"/>
      </w:pPr>
      <w:r w:rsidRPr="0079081C">
        <w:t>Evènements non assurés</w:t>
      </w:r>
    </w:p>
    <w:p w14:paraId="22B118D9" w14:textId="2D0330DE" w:rsidR="0020082C" w:rsidRPr="0079081C" w:rsidRDefault="0020082C" w:rsidP="00CA454D">
      <w:pPr>
        <w:keepNext/>
        <w:keepLines/>
      </w:pPr>
      <w:r w:rsidRPr="0079081C">
        <w:t xml:space="preserve">Bien qu’ils soient décrits aux conditions générales, les évènements suivants ne sont pas couverts : </w:t>
      </w:r>
    </w:p>
    <w:p w14:paraId="0C8BE063" w14:textId="1198E4CE" w:rsidR="003D347D" w:rsidRPr="0079081C" w:rsidRDefault="003E7926" w:rsidP="00CA454D">
      <w:pPr>
        <w:pStyle w:val="Paragraphedeliste"/>
        <w:keepLines/>
        <w:numPr>
          <w:ilvl w:val="0"/>
          <w:numId w:val="1"/>
        </w:numPr>
        <w:tabs>
          <w:tab w:val="left" w:pos="284"/>
        </w:tabs>
        <w:ind w:left="284" w:hanging="284"/>
        <w:contextualSpacing w:val="0"/>
      </w:pPr>
      <w:r w:rsidRPr="0079081C">
        <w:t>Évènements</w:t>
      </w:r>
      <w:r w:rsidR="003D347D" w:rsidRPr="0079081C">
        <w:t xml:space="preserve"> naturels hors catastrophes naturelles,</w:t>
      </w:r>
    </w:p>
    <w:p w14:paraId="519A00BE" w14:textId="77777777" w:rsidR="00D25FDE" w:rsidRPr="00487DE5" w:rsidRDefault="00D25FDE" w:rsidP="00DE5DDE">
      <w:pPr>
        <w:pStyle w:val="Titre2"/>
      </w:pPr>
      <w:r>
        <w:t>G</w:t>
      </w:r>
      <w:r w:rsidRPr="00487DE5">
        <w:t>aranties spécifiques</w:t>
      </w:r>
    </w:p>
    <w:p w14:paraId="1C1B4C45" w14:textId="77777777" w:rsidR="00D25FDE" w:rsidRDefault="00D25FDE" w:rsidP="00CA454D">
      <w:pPr>
        <w:keepNext/>
        <w:keepLines/>
        <w:spacing w:after="120"/>
      </w:pPr>
      <w:r>
        <w:t>Le tableau ci-dessous indique quelles sont celles couvertes parmi les garanties spécifiques définies aux conditions générales.</w:t>
      </w:r>
    </w:p>
    <w:tbl>
      <w:tblPr>
        <w:tblStyle w:val="Grilledutableau"/>
        <w:tblW w:w="0" w:type="auto"/>
        <w:tblInd w:w="38" w:type="dxa"/>
        <w:tblLook w:val="04A0" w:firstRow="1" w:lastRow="0" w:firstColumn="1" w:lastColumn="0" w:noHBand="0" w:noVBand="1"/>
      </w:tblPr>
      <w:tblGrid>
        <w:gridCol w:w="6759"/>
        <w:gridCol w:w="2263"/>
      </w:tblGrid>
      <w:tr w:rsidR="00D25FDE" w14:paraId="4BCFD7A7" w14:textId="77777777" w:rsidTr="00CE4544">
        <w:tc>
          <w:tcPr>
            <w:tcW w:w="6761" w:type="dxa"/>
          </w:tcPr>
          <w:p w14:paraId="5E49C556" w14:textId="77777777" w:rsidR="00D25FDE" w:rsidRPr="000F4992" w:rsidRDefault="00D25FDE" w:rsidP="00CA454D">
            <w:pPr>
              <w:keepLines/>
              <w:spacing w:before="100" w:after="100"/>
              <w:jc w:val="left"/>
              <w:rPr>
                <w:sz w:val="22"/>
                <w:szCs w:val="22"/>
              </w:rPr>
            </w:pPr>
            <w:r>
              <w:rPr>
                <w:sz w:val="22"/>
                <w:szCs w:val="22"/>
              </w:rPr>
              <w:t>P</w:t>
            </w:r>
            <w:r w:rsidRPr="000F4992">
              <w:rPr>
                <w:sz w:val="22"/>
                <w:szCs w:val="22"/>
              </w:rPr>
              <w:t>erte du contenu des installations en température contrôlée</w:t>
            </w:r>
          </w:p>
        </w:tc>
        <w:tc>
          <w:tcPr>
            <w:tcW w:w="2263" w:type="dxa"/>
            <w:vAlign w:val="center"/>
          </w:tcPr>
          <w:p w14:paraId="415DF013" w14:textId="7A33C72D" w:rsidR="00D25FDE" w:rsidRPr="003E7926" w:rsidRDefault="00D25FDE" w:rsidP="006233A8">
            <w:pPr>
              <w:keepNext/>
              <w:keepLines/>
              <w:jc w:val="center"/>
            </w:pPr>
            <w:r w:rsidRPr="003E7926">
              <w:t>GARANTI</w:t>
            </w:r>
          </w:p>
        </w:tc>
      </w:tr>
      <w:tr w:rsidR="00D25FDE" w14:paraId="5B0D3B26" w14:textId="77777777" w:rsidTr="00CE4544">
        <w:tc>
          <w:tcPr>
            <w:tcW w:w="6761" w:type="dxa"/>
          </w:tcPr>
          <w:p w14:paraId="7F90F7D5" w14:textId="77777777" w:rsidR="00D25FDE" w:rsidRPr="000F4992" w:rsidRDefault="00D25FDE" w:rsidP="00CA454D">
            <w:pPr>
              <w:keepLines/>
              <w:spacing w:before="100" w:after="100"/>
              <w:jc w:val="left"/>
              <w:rPr>
                <w:sz w:val="22"/>
                <w:szCs w:val="22"/>
              </w:rPr>
            </w:pPr>
            <w:r w:rsidRPr="000F4992">
              <w:rPr>
                <w:sz w:val="22"/>
                <w:szCs w:val="22"/>
              </w:rPr>
              <w:t>Tous</w:t>
            </w:r>
            <w:r>
              <w:rPr>
                <w:sz w:val="22"/>
                <w:szCs w:val="22"/>
              </w:rPr>
              <w:t xml:space="preserve"> </w:t>
            </w:r>
            <w:r w:rsidRPr="000F4992">
              <w:rPr>
                <w:sz w:val="22"/>
                <w:szCs w:val="22"/>
              </w:rPr>
              <w:t>dommages aux matériels informatiques et électroniques</w:t>
            </w:r>
          </w:p>
        </w:tc>
        <w:tc>
          <w:tcPr>
            <w:tcW w:w="2263" w:type="dxa"/>
            <w:vAlign w:val="center"/>
          </w:tcPr>
          <w:p w14:paraId="1CDCBB61" w14:textId="111C5C19" w:rsidR="00D25FDE" w:rsidRPr="003E7926" w:rsidRDefault="00D25FDE" w:rsidP="003E7926">
            <w:pPr>
              <w:keepNext/>
              <w:keepLines/>
              <w:jc w:val="center"/>
            </w:pPr>
            <w:r w:rsidRPr="003E7926">
              <w:t>GARANTI</w:t>
            </w:r>
          </w:p>
        </w:tc>
      </w:tr>
      <w:tr w:rsidR="00D25FDE" w14:paraId="1278EE44" w14:textId="77777777" w:rsidTr="00CE4544">
        <w:tc>
          <w:tcPr>
            <w:tcW w:w="6761" w:type="dxa"/>
          </w:tcPr>
          <w:p w14:paraId="25A30283" w14:textId="77777777" w:rsidR="00D25FDE" w:rsidRPr="000F4992" w:rsidRDefault="00D25FDE" w:rsidP="00CA454D">
            <w:pPr>
              <w:keepLines/>
              <w:spacing w:before="100" w:after="100"/>
              <w:jc w:val="left"/>
              <w:rPr>
                <w:sz w:val="22"/>
                <w:szCs w:val="22"/>
              </w:rPr>
            </w:pPr>
            <w:r>
              <w:rPr>
                <w:sz w:val="22"/>
                <w:szCs w:val="22"/>
              </w:rPr>
              <w:t>Vi</w:t>
            </w:r>
            <w:r w:rsidRPr="000F4992">
              <w:rPr>
                <w:sz w:val="22"/>
                <w:szCs w:val="22"/>
              </w:rPr>
              <w:t>rus informatique, fraude informatique, fraude téléphonique</w:t>
            </w:r>
          </w:p>
        </w:tc>
        <w:tc>
          <w:tcPr>
            <w:tcW w:w="2263" w:type="dxa"/>
            <w:vAlign w:val="center"/>
          </w:tcPr>
          <w:p w14:paraId="2AD397F2" w14:textId="77777777" w:rsidR="00D25FDE" w:rsidRPr="003E7926" w:rsidRDefault="00D25FDE" w:rsidP="00CA454D">
            <w:pPr>
              <w:keepNext/>
              <w:keepLines/>
              <w:jc w:val="center"/>
            </w:pPr>
            <w:r w:rsidRPr="003E7926">
              <w:t>EXCLU</w:t>
            </w:r>
          </w:p>
        </w:tc>
      </w:tr>
      <w:tr w:rsidR="00D25FDE" w14:paraId="51D7439B" w14:textId="77777777" w:rsidTr="00CE4544">
        <w:tc>
          <w:tcPr>
            <w:tcW w:w="6761" w:type="dxa"/>
          </w:tcPr>
          <w:p w14:paraId="445967E4"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matériels en exploitation</w:t>
            </w:r>
          </w:p>
        </w:tc>
        <w:tc>
          <w:tcPr>
            <w:tcW w:w="2263" w:type="dxa"/>
            <w:vAlign w:val="center"/>
          </w:tcPr>
          <w:p w14:paraId="7A3802FB" w14:textId="607209E6" w:rsidR="00D25FDE" w:rsidRPr="003E7926" w:rsidRDefault="00D25FDE" w:rsidP="003E7926">
            <w:pPr>
              <w:keepNext/>
              <w:keepLines/>
              <w:jc w:val="center"/>
            </w:pPr>
            <w:r w:rsidRPr="003E7926">
              <w:t>GARANTI</w:t>
            </w:r>
          </w:p>
        </w:tc>
      </w:tr>
      <w:tr w:rsidR="00D25FDE" w14:paraId="2899B263" w14:textId="77777777" w:rsidTr="00CE4544">
        <w:tc>
          <w:tcPr>
            <w:tcW w:w="6761" w:type="dxa"/>
          </w:tcPr>
          <w:p w14:paraId="4A4964DA"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objets d’art et /ou précieux</w:t>
            </w:r>
          </w:p>
        </w:tc>
        <w:tc>
          <w:tcPr>
            <w:tcW w:w="2263" w:type="dxa"/>
            <w:vAlign w:val="center"/>
          </w:tcPr>
          <w:p w14:paraId="5DD3FCE4" w14:textId="4D54033E" w:rsidR="00D25FDE" w:rsidRPr="003E7926" w:rsidRDefault="00D25FDE" w:rsidP="003E7926">
            <w:pPr>
              <w:keepNext/>
              <w:keepLines/>
              <w:jc w:val="center"/>
            </w:pPr>
            <w:r w:rsidRPr="003E7926">
              <w:t>GARANTI</w:t>
            </w:r>
          </w:p>
        </w:tc>
      </w:tr>
      <w:tr w:rsidR="00D25FDE" w14:paraId="2882CB5A" w14:textId="77777777" w:rsidTr="00CE4544">
        <w:tc>
          <w:tcPr>
            <w:tcW w:w="6761" w:type="dxa"/>
          </w:tcPr>
          <w:p w14:paraId="2B5D4799"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expositions temporaires</w:t>
            </w:r>
          </w:p>
        </w:tc>
        <w:tc>
          <w:tcPr>
            <w:tcW w:w="2263" w:type="dxa"/>
            <w:vAlign w:val="center"/>
          </w:tcPr>
          <w:p w14:paraId="2748A230" w14:textId="0F13737E" w:rsidR="00D25FDE" w:rsidRPr="003E7926" w:rsidRDefault="003E7926" w:rsidP="003E7926">
            <w:pPr>
              <w:keepNext/>
              <w:keepLines/>
              <w:jc w:val="center"/>
            </w:pPr>
            <w:r w:rsidRPr="003E7926">
              <w:t>EXCLU</w:t>
            </w:r>
          </w:p>
        </w:tc>
      </w:tr>
      <w:tr w:rsidR="00D25FDE" w14:paraId="5C6DF8FD" w14:textId="77777777" w:rsidTr="00CE4544">
        <w:tc>
          <w:tcPr>
            <w:tcW w:w="6761" w:type="dxa"/>
          </w:tcPr>
          <w:p w14:paraId="3CC01336"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instruments de musique</w:t>
            </w:r>
          </w:p>
        </w:tc>
        <w:tc>
          <w:tcPr>
            <w:tcW w:w="2263" w:type="dxa"/>
            <w:vAlign w:val="center"/>
          </w:tcPr>
          <w:p w14:paraId="3C3BC7D5" w14:textId="77777777" w:rsidR="00D25FDE" w:rsidRPr="003E7926" w:rsidRDefault="00D25FDE" w:rsidP="00CA454D">
            <w:pPr>
              <w:keepNext/>
              <w:keepLines/>
              <w:jc w:val="center"/>
            </w:pPr>
            <w:r w:rsidRPr="003E7926">
              <w:t>EXCLU</w:t>
            </w:r>
          </w:p>
        </w:tc>
      </w:tr>
      <w:tr w:rsidR="00D25FDE" w14:paraId="3AF15F08" w14:textId="77777777" w:rsidTr="00CE4544">
        <w:tc>
          <w:tcPr>
            <w:tcW w:w="6761" w:type="dxa"/>
          </w:tcPr>
          <w:p w14:paraId="01F5EE1C"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en tous lieux</w:t>
            </w:r>
          </w:p>
        </w:tc>
        <w:tc>
          <w:tcPr>
            <w:tcW w:w="2263" w:type="dxa"/>
            <w:vAlign w:val="center"/>
          </w:tcPr>
          <w:p w14:paraId="20BE2DD7" w14:textId="77777777" w:rsidR="00D25FDE" w:rsidRPr="003E7926" w:rsidRDefault="00D25FDE" w:rsidP="00CA454D">
            <w:pPr>
              <w:keepNext/>
              <w:keepLines/>
              <w:jc w:val="center"/>
            </w:pPr>
            <w:r w:rsidRPr="003E7926">
              <w:t>EXCLU</w:t>
            </w:r>
          </w:p>
        </w:tc>
      </w:tr>
      <w:tr w:rsidR="00D25FDE" w14:paraId="4ACE3899" w14:textId="77777777" w:rsidTr="00CE4544">
        <w:tc>
          <w:tcPr>
            <w:tcW w:w="6761" w:type="dxa"/>
          </w:tcPr>
          <w:p w14:paraId="58D78C26"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pontons et installations portuaires</w:t>
            </w:r>
          </w:p>
        </w:tc>
        <w:tc>
          <w:tcPr>
            <w:tcW w:w="2263" w:type="dxa"/>
            <w:vAlign w:val="center"/>
          </w:tcPr>
          <w:p w14:paraId="09819217" w14:textId="77777777" w:rsidR="00D25FDE" w:rsidRPr="003E7926" w:rsidRDefault="00D25FDE" w:rsidP="00CA454D">
            <w:pPr>
              <w:keepNext/>
              <w:keepLines/>
              <w:jc w:val="center"/>
            </w:pPr>
            <w:r w:rsidRPr="003E7926">
              <w:t>EXCLU</w:t>
            </w:r>
          </w:p>
        </w:tc>
      </w:tr>
      <w:tr w:rsidR="00D25FDE" w14:paraId="0C8A7CC5" w14:textId="77777777" w:rsidTr="00CE4544">
        <w:tc>
          <w:tcPr>
            <w:tcW w:w="6761" w:type="dxa"/>
          </w:tcPr>
          <w:p w14:paraId="645E20EB"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remontées mécaniques</w:t>
            </w:r>
          </w:p>
        </w:tc>
        <w:tc>
          <w:tcPr>
            <w:tcW w:w="2263" w:type="dxa"/>
            <w:vAlign w:val="center"/>
          </w:tcPr>
          <w:p w14:paraId="4C023A7C" w14:textId="77777777" w:rsidR="00D25FDE" w:rsidRPr="003E7926" w:rsidRDefault="00D25FDE" w:rsidP="00CA454D">
            <w:pPr>
              <w:keepNext/>
              <w:keepLines/>
              <w:jc w:val="center"/>
            </w:pPr>
            <w:r w:rsidRPr="003E7926">
              <w:t>EXCLU</w:t>
            </w:r>
          </w:p>
        </w:tc>
      </w:tr>
      <w:tr w:rsidR="00D25FDE" w14:paraId="009497BB" w14:textId="77777777" w:rsidTr="00CE4544">
        <w:tc>
          <w:tcPr>
            <w:tcW w:w="6761" w:type="dxa"/>
          </w:tcPr>
          <w:p w14:paraId="37E13D40" w14:textId="77777777" w:rsidR="00D25FDE" w:rsidRPr="000F4992" w:rsidRDefault="00D25FDE" w:rsidP="00CA454D">
            <w:pPr>
              <w:keepLines/>
              <w:spacing w:before="100" w:after="100"/>
              <w:jc w:val="left"/>
              <w:rPr>
                <w:sz w:val="22"/>
                <w:szCs w:val="22"/>
              </w:rPr>
            </w:pPr>
            <w:r>
              <w:rPr>
                <w:sz w:val="22"/>
                <w:szCs w:val="22"/>
              </w:rPr>
              <w:t>T</w:t>
            </w:r>
            <w:r w:rsidRPr="000F4992">
              <w:rPr>
                <w:sz w:val="22"/>
                <w:szCs w:val="22"/>
              </w:rPr>
              <w:t>ous dommages aux vélos à assistance électrique</w:t>
            </w:r>
          </w:p>
        </w:tc>
        <w:tc>
          <w:tcPr>
            <w:tcW w:w="2263" w:type="dxa"/>
            <w:vAlign w:val="center"/>
          </w:tcPr>
          <w:p w14:paraId="7346DCE1" w14:textId="77777777" w:rsidR="00D25FDE" w:rsidRPr="003E7926" w:rsidRDefault="00D25FDE" w:rsidP="00CA454D">
            <w:pPr>
              <w:keepNext/>
              <w:keepLines/>
              <w:jc w:val="center"/>
            </w:pPr>
            <w:r w:rsidRPr="003E7926">
              <w:t>EXCLU</w:t>
            </w:r>
          </w:p>
        </w:tc>
      </w:tr>
      <w:tr w:rsidR="00D25FDE" w14:paraId="3F92C885" w14:textId="77777777" w:rsidTr="00CE4544">
        <w:tc>
          <w:tcPr>
            <w:tcW w:w="6761" w:type="dxa"/>
          </w:tcPr>
          <w:p w14:paraId="5F8D9B4D" w14:textId="77777777" w:rsidR="00D25FDE" w:rsidRPr="000F4992" w:rsidRDefault="00D25FDE" w:rsidP="00CA454D">
            <w:pPr>
              <w:keepLines/>
              <w:spacing w:before="100" w:after="100"/>
              <w:jc w:val="left"/>
              <w:rPr>
                <w:sz w:val="22"/>
                <w:szCs w:val="22"/>
              </w:rPr>
            </w:pPr>
            <w:r>
              <w:rPr>
                <w:sz w:val="22"/>
                <w:szCs w:val="22"/>
              </w:rPr>
              <w:t>D</w:t>
            </w:r>
            <w:r w:rsidRPr="000F4992">
              <w:rPr>
                <w:sz w:val="22"/>
                <w:szCs w:val="22"/>
              </w:rPr>
              <w:t>ommages dénommés aux bois sur pied</w:t>
            </w:r>
          </w:p>
        </w:tc>
        <w:tc>
          <w:tcPr>
            <w:tcW w:w="2263" w:type="dxa"/>
            <w:vAlign w:val="center"/>
          </w:tcPr>
          <w:p w14:paraId="4B34B1B8" w14:textId="77777777" w:rsidR="00D25FDE" w:rsidRPr="003E7926" w:rsidRDefault="00D25FDE" w:rsidP="00CA454D">
            <w:pPr>
              <w:keepNext/>
              <w:keepLines/>
              <w:jc w:val="center"/>
            </w:pPr>
            <w:r w:rsidRPr="003E7926">
              <w:t>EXCLU</w:t>
            </w:r>
          </w:p>
        </w:tc>
      </w:tr>
      <w:tr w:rsidR="00D25FDE" w14:paraId="259CC281" w14:textId="77777777" w:rsidTr="00CE4544">
        <w:tc>
          <w:tcPr>
            <w:tcW w:w="6761" w:type="dxa"/>
          </w:tcPr>
          <w:p w14:paraId="7D2366A3" w14:textId="77777777" w:rsidR="00D25FDE" w:rsidRPr="000F4992" w:rsidRDefault="00D25FDE" w:rsidP="00CA454D">
            <w:pPr>
              <w:keepLines/>
              <w:spacing w:before="100" w:after="100"/>
              <w:jc w:val="left"/>
              <w:rPr>
                <w:sz w:val="22"/>
                <w:szCs w:val="22"/>
              </w:rPr>
            </w:pPr>
            <w:r>
              <w:rPr>
                <w:sz w:val="22"/>
                <w:szCs w:val="22"/>
              </w:rPr>
              <w:lastRenderedPageBreak/>
              <w:t>D</w:t>
            </w:r>
            <w:r w:rsidRPr="000F4992">
              <w:rPr>
                <w:sz w:val="22"/>
                <w:szCs w:val="22"/>
              </w:rPr>
              <w:t>ommages dénommés aux arbres, arbustes et haies</w:t>
            </w:r>
          </w:p>
        </w:tc>
        <w:tc>
          <w:tcPr>
            <w:tcW w:w="2263" w:type="dxa"/>
            <w:vAlign w:val="center"/>
          </w:tcPr>
          <w:p w14:paraId="015E9C3F" w14:textId="77777777" w:rsidR="00D25FDE" w:rsidRPr="003E7926" w:rsidRDefault="00D25FDE" w:rsidP="00CA454D">
            <w:pPr>
              <w:keepNext/>
              <w:keepLines/>
              <w:jc w:val="center"/>
            </w:pPr>
            <w:r w:rsidRPr="003E7926">
              <w:t>EXCLU</w:t>
            </w:r>
          </w:p>
        </w:tc>
      </w:tr>
      <w:tr w:rsidR="00D25FDE" w14:paraId="344CB09D" w14:textId="77777777" w:rsidTr="00CE4544">
        <w:tc>
          <w:tcPr>
            <w:tcW w:w="6761" w:type="dxa"/>
          </w:tcPr>
          <w:p w14:paraId="09DE8963" w14:textId="77777777" w:rsidR="00D25FDE" w:rsidRPr="000F4992" w:rsidRDefault="00D25FDE" w:rsidP="00CA454D">
            <w:pPr>
              <w:keepLines/>
              <w:spacing w:before="100" w:after="100"/>
              <w:jc w:val="left"/>
              <w:rPr>
                <w:sz w:val="22"/>
                <w:szCs w:val="22"/>
              </w:rPr>
            </w:pPr>
            <w:r>
              <w:rPr>
                <w:sz w:val="22"/>
                <w:szCs w:val="22"/>
              </w:rPr>
              <w:t>D</w:t>
            </w:r>
            <w:r w:rsidRPr="000F4992">
              <w:rPr>
                <w:sz w:val="22"/>
                <w:szCs w:val="22"/>
              </w:rPr>
              <w:t>istribution d’eau</w:t>
            </w:r>
          </w:p>
        </w:tc>
        <w:tc>
          <w:tcPr>
            <w:tcW w:w="2263" w:type="dxa"/>
            <w:vAlign w:val="center"/>
          </w:tcPr>
          <w:p w14:paraId="4D403C0E" w14:textId="77777777" w:rsidR="00D25FDE" w:rsidRPr="003E7926" w:rsidRDefault="00D25FDE" w:rsidP="00CA454D">
            <w:pPr>
              <w:keepNext/>
              <w:keepLines/>
              <w:jc w:val="center"/>
            </w:pPr>
            <w:r w:rsidRPr="003E7926">
              <w:t>EXCLU</w:t>
            </w:r>
          </w:p>
        </w:tc>
      </w:tr>
      <w:tr w:rsidR="00D25FDE" w14:paraId="4DF29973" w14:textId="77777777" w:rsidTr="00CE4544">
        <w:tc>
          <w:tcPr>
            <w:tcW w:w="6761" w:type="dxa"/>
          </w:tcPr>
          <w:p w14:paraId="7D205478" w14:textId="77777777" w:rsidR="00D25FDE" w:rsidRPr="000F4992" w:rsidRDefault="00D25FDE" w:rsidP="00CA454D">
            <w:pPr>
              <w:keepLines/>
              <w:spacing w:before="100" w:after="100"/>
              <w:jc w:val="left"/>
              <w:rPr>
                <w:sz w:val="22"/>
                <w:szCs w:val="22"/>
              </w:rPr>
            </w:pPr>
            <w:r>
              <w:rPr>
                <w:sz w:val="22"/>
                <w:szCs w:val="22"/>
              </w:rPr>
              <w:t>G</w:t>
            </w:r>
            <w:r w:rsidRPr="000F4992">
              <w:rPr>
                <w:sz w:val="22"/>
                <w:szCs w:val="22"/>
              </w:rPr>
              <w:t>arantie des locataires non assurés</w:t>
            </w:r>
          </w:p>
        </w:tc>
        <w:tc>
          <w:tcPr>
            <w:tcW w:w="2263" w:type="dxa"/>
            <w:vAlign w:val="center"/>
          </w:tcPr>
          <w:p w14:paraId="543D47A6" w14:textId="77777777" w:rsidR="00D25FDE" w:rsidRPr="003E7926" w:rsidRDefault="00D25FDE" w:rsidP="00CA454D">
            <w:pPr>
              <w:keepNext/>
              <w:keepLines/>
              <w:jc w:val="center"/>
            </w:pPr>
            <w:r w:rsidRPr="003E7926">
              <w:t>EXCLU</w:t>
            </w:r>
          </w:p>
        </w:tc>
      </w:tr>
    </w:tbl>
    <w:p w14:paraId="3FF7095A" w14:textId="469F00F8" w:rsidR="00E92A51" w:rsidRPr="00487DE5" w:rsidRDefault="00E92A51" w:rsidP="00CA454D">
      <w:pPr>
        <w:pStyle w:val="Titre1"/>
      </w:pPr>
      <w:bookmarkStart w:id="23" w:name="_Toc11654497"/>
      <w:bookmarkStart w:id="24" w:name="_Toc11654787"/>
      <w:r w:rsidRPr="00487DE5">
        <w:t>Limitations contractuelles d</w:t>
      </w:r>
      <w:r w:rsidR="002012A5">
        <w:t>’</w:t>
      </w:r>
      <w:r w:rsidRPr="00487DE5">
        <w:t>indemnités</w:t>
      </w:r>
      <w:bookmarkEnd w:id="23"/>
      <w:bookmarkEnd w:id="24"/>
    </w:p>
    <w:p w14:paraId="619282F5" w14:textId="40932341" w:rsidR="00E92A51" w:rsidRPr="00487DE5" w:rsidRDefault="00E92A51" w:rsidP="00CA454D">
      <w:pPr>
        <w:pStyle w:val="Titre2"/>
      </w:pPr>
      <w:bookmarkStart w:id="25" w:name="_Toc11654788"/>
      <w:r w:rsidRPr="00487DE5">
        <w:t>Limitation générale d</w:t>
      </w:r>
      <w:r w:rsidR="002012A5">
        <w:t>’</w:t>
      </w:r>
      <w:r w:rsidRPr="00487DE5">
        <w:t>indemnité</w:t>
      </w:r>
      <w:bookmarkEnd w:id="25"/>
    </w:p>
    <w:p w14:paraId="4361FE81" w14:textId="2400E6D1" w:rsidR="0045291B" w:rsidRPr="0045291B" w:rsidRDefault="00E92A51" w:rsidP="00CA454D">
      <w:pPr>
        <w:keepLines/>
      </w:pPr>
      <w:r w:rsidRPr="0045291B">
        <w:rPr>
          <w:szCs w:val="24"/>
        </w:rPr>
        <w:t>L</w:t>
      </w:r>
      <w:r w:rsidR="002012A5" w:rsidRPr="0045291B">
        <w:rPr>
          <w:szCs w:val="24"/>
        </w:rPr>
        <w:t>’</w:t>
      </w:r>
      <w:r w:rsidRPr="0045291B">
        <w:rPr>
          <w:szCs w:val="24"/>
        </w:rPr>
        <w:t>indemnité</w:t>
      </w:r>
      <w:r w:rsidRPr="0045291B">
        <w:t xml:space="preserve"> maximale qui pourra être versée par l</w:t>
      </w:r>
      <w:r w:rsidR="002012A5" w:rsidRPr="0045291B">
        <w:t>’</w:t>
      </w:r>
      <w:r w:rsidRPr="0045291B">
        <w:t>assureur en cas de sinistre est limitée à</w:t>
      </w:r>
      <w:r w:rsidR="0045291B" w:rsidRPr="0045291B">
        <w:t> :</w:t>
      </w:r>
    </w:p>
    <w:p w14:paraId="73333A1E" w14:textId="4ADBF2DB" w:rsidR="0045291B" w:rsidRPr="0045291B" w:rsidRDefault="0045291B" w:rsidP="0045291B">
      <w:pPr>
        <w:pStyle w:val="Paragraphedeliste"/>
        <w:keepLines/>
        <w:numPr>
          <w:ilvl w:val="0"/>
          <w:numId w:val="16"/>
        </w:numPr>
      </w:pPr>
      <w:r w:rsidRPr="0045291B">
        <w:rPr>
          <w:b/>
          <w:bCs/>
        </w:rPr>
        <w:t>pour le Groupe hospitalier de la haute Saône à 90 000</w:t>
      </w:r>
      <w:r w:rsidR="00C17E06" w:rsidRPr="0045291B">
        <w:rPr>
          <w:b/>
          <w:bCs/>
        </w:rPr>
        <w:t> 000 </w:t>
      </w:r>
      <w:r w:rsidR="00E92A51" w:rsidRPr="0045291B">
        <w:rPr>
          <w:b/>
          <w:bCs/>
        </w:rPr>
        <w:t>€</w:t>
      </w:r>
      <w:r w:rsidR="00E92A51" w:rsidRPr="0045291B">
        <w:t xml:space="preserve"> </w:t>
      </w:r>
    </w:p>
    <w:p w14:paraId="3D4EBFAB" w14:textId="1B83F22B" w:rsidR="002C4D86" w:rsidRPr="002C4D86" w:rsidRDefault="002C4D86" w:rsidP="002C4D86">
      <w:pPr>
        <w:pStyle w:val="Paragraphedeliste"/>
        <w:keepLines/>
        <w:numPr>
          <w:ilvl w:val="0"/>
          <w:numId w:val="16"/>
        </w:numPr>
        <w:rPr>
          <w:b/>
          <w:bCs/>
        </w:rPr>
      </w:pPr>
      <w:r w:rsidRPr="002C4D86">
        <w:rPr>
          <w:b/>
          <w:bCs/>
        </w:rPr>
        <w:t xml:space="preserve">pour l’EHPAD Villa Saint Joseph - Site de Scey-sur-Saône à </w:t>
      </w:r>
      <w:r w:rsidR="009B7F62">
        <w:rPr>
          <w:b/>
          <w:bCs/>
        </w:rPr>
        <w:t>15 000 000 €</w:t>
      </w:r>
    </w:p>
    <w:p w14:paraId="0F880DE1" w14:textId="300D6CC8" w:rsidR="002C4D86" w:rsidRPr="002C4D86" w:rsidRDefault="002C4D86" w:rsidP="002C4D86">
      <w:pPr>
        <w:pStyle w:val="Paragraphedeliste"/>
        <w:keepLines/>
        <w:numPr>
          <w:ilvl w:val="0"/>
          <w:numId w:val="16"/>
        </w:numPr>
        <w:rPr>
          <w:b/>
          <w:bCs/>
        </w:rPr>
      </w:pPr>
      <w:r w:rsidRPr="002C4D86">
        <w:rPr>
          <w:b/>
          <w:bCs/>
        </w:rPr>
        <w:t xml:space="preserve">pour l’EHPAD Jean Michel- Site de Saulx à </w:t>
      </w:r>
      <w:r w:rsidR="009B7F62">
        <w:rPr>
          <w:b/>
          <w:bCs/>
        </w:rPr>
        <w:t>19 900</w:t>
      </w:r>
      <w:r w:rsidR="00257EE0">
        <w:rPr>
          <w:b/>
          <w:bCs/>
        </w:rPr>
        <w:t> </w:t>
      </w:r>
      <w:r w:rsidR="009B7F62">
        <w:rPr>
          <w:b/>
          <w:bCs/>
        </w:rPr>
        <w:t>000</w:t>
      </w:r>
      <w:r w:rsidR="00257EE0">
        <w:rPr>
          <w:b/>
          <w:bCs/>
        </w:rPr>
        <w:t xml:space="preserve"> </w:t>
      </w:r>
      <w:r w:rsidR="009B7F62">
        <w:rPr>
          <w:b/>
          <w:bCs/>
        </w:rPr>
        <w:t>€</w:t>
      </w:r>
    </w:p>
    <w:p w14:paraId="4E01689C" w14:textId="4A66B93A" w:rsidR="002C4D86" w:rsidRPr="002C4D86" w:rsidRDefault="002C4D86" w:rsidP="002C4D86">
      <w:pPr>
        <w:pStyle w:val="Paragraphedeliste"/>
        <w:keepLines/>
        <w:numPr>
          <w:ilvl w:val="0"/>
          <w:numId w:val="16"/>
        </w:numPr>
        <w:rPr>
          <w:b/>
          <w:bCs/>
        </w:rPr>
      </w:pPr>
      <w:r w:rsidRPr="002C4D86">
        <w:rPr>
          <w:b/>
          <w:bCs/>
        </w:rPr>
        <w:t>pour l’EHPAD Alfred Dornier- Site Dampierre-Sur-</w:t>
      </w:r>
      <w:r w:rsidRPr="005C1324">
        <w:rPr>
          <w:b/>
          <w:bCs/>
        </w:rPr>
        <w:t xml:space="preserve">Salon à </w:t>
      </w:r>
      <w:r w:rsidR="005C1324" w:rsidRPr="005C1324">
        <w:rPr>
          <w:b/>
          <w:bCs/>
        </w:rPr>
        <w:t>19 900 000 €</w:t>
      </w:r>
    </w:p>
    <w:p w14:paraId="1E877000" w14:textId="74BA97DB" w:rsidR="00E92A51" w:rsidRPr="00E92A51" w:rsidRDefault="00E92A51" w:rsidP="002C4D86">
      <w:pPr>
        <w:keepLines/>
      </w:pPr>
      <w:r w:rsidRPr="00E92A51">
        <w:t xml:space="preserve">non indexés quel que soit le nombre de bâtiments sinistrés, tous </w:t>
      </w:r>
      <w:r w:rsidR="00836E2B">
        <w:t>évènement</w:t>
      </w:r>
      <w:r w:rsidRPr="00E92A51">
        <w:t xml:space="preserve">s et toutes garanties confondus y </w:t>
      </w:r>
      <w:r w:rsidRPr="005127A4">
        <w:t>compris les frais et pertes (notamment les frais supplémentaires</w:t>
      </w:r>
      <w:r w:rsidR="00CE4544" w:rsidRPr="005127A4">
        <w:t xml:space="preserve"> et les pertes d’exploitation</w:t>
      </w:r>
      <w:r w:rsidRPr="005127A4">
        <w:t>) et les assurances de responsabilités (risques locatifs, responsabilité à l</w:t>
      </w:r>
      <w:r w:rsidR="002012A5" w:rsidRPr="005127A4">
        <w:t>’</w:t>
      </w:r>
      <w:r w:rsidRPr="005127A4">
        <w:t>égard des locataires</w:t>
      </w:r>
      <w:r w:rsidRPr="00E92A51">
        <w:t>, des propriétaires ou occupants et recours des voisins et des tiers).</w:t>
      </w:r>
    </w:p>
    <w:p w14:paraId="7182EBF4" w14:textId="24B771E2" w:rsidR="0079081C" w:rsidRPr="00B04B87" w:rsidRDefault="0079081C" w:rsidP="0079081C">
      <w:pPr>
        <w:keepLines/>
        <w:spacing w:before="120"/>
      </w:pPr>
      <w:r w:rsidRPr="00B04B87">
        <w:t xml:space="preserve">La garantie des collections et œuvres d’art est limitée à </w:t>
      </w:r>
      <w:r w:rsidR="00FA599D">
        <w:rPr>
          <w:b/>
          <w:bCs/>
        </w:rPr>
        <w:t>5</w:t>
      </w:r>
      <w:r w:rsidRPr="00B04B87">
        <w:rPr>
          <w:b/>
          <w:bCs/>
        </w:rPr>
        <w:t>00 000 €</w:t>
      </w:r>
      <w:r w:rsidRPr="00B04B87">
        <w:t>.</w:t>
      </w:r>
    </w:p>
    <w:p w14:paraId="7FD15E45" w14:textId="3F92FBDA" w:rsidR="00E92A51" w:rsidRPr="00E92A51" w:rsidRDefault="00E92A51" w:rsidP="00CA454D">
      <w:pPr>
        <w:keepLines/>
        <w:spacing w:before="120"/>
      </w:pPr>
      <w:r w:rsidRPr="00E92A51">
        <w:rPr>
          <w:szCs w:val="24"/>
        </w:rPr>
        <w:t>Dans le cas</w:t>
      </w:r>
      <w:r w:rsidRPr="00E92A51">
        <w:t xml:space="preserve"> de la souscription d</w:t>
      </w:r>
      <w:r w:rsidR="002012A5">
        <w:t>’</w:t>
      </w:r>
      <w:r w:rsidRPr="00E92A51">
        <w:t>un contrat de 2</w:t>
      </w:r>
      <w:r w:rsidRPr="00E92A51">
        <w:rPr>
          <w:vertAlign w:val="superscript"/>
        </w:rPr>
        <w:t>e</w:t>
      </w:r>
      <w:r w:rsidRPr="00E92A51">
        <w:t> ligne, il est convenu que la limitation contractuelle d</w:t>
      </w:r>
      <w:r w:rsidR="002012A5">
        <w:t>’</w:t>
      </w:r>
      <w:r w:rsidRPr="00E92A51">
        <w:t>indemnité portera en priorité sur l</w:t>
      </w:r>
      <w:r w:rsidR="002012A5">
        <w:t>’</w:t>
      </w:r>
      <w:r w:rsidRPr="00E92A51">
        <w:t>ensemble et la totalité des garanties non souscrites au titre du contrat de 2</w:t>
      </w:r>
      <w:r w:rsidRPr="00E92A51">
        <w:rPr>
          <w:vertAlign w:val="superscript"/>
        </w:rPr>
        <w:t>e</w:t>
      </w:r>
      <w:r w:rsidRPr="00E92A51">
        <w:t> ligne.</w:t>
      </w:r>
    </w:p>
    <w:p w14:paraId="350E70C4" w14:textId="1F1CC04E" w:rsidR="00E92A51" w:rsidRDefault="00E92A51" w:rsidP="00CA454D">
      <w:pPr>
        <w:pStyle w:val="Titre2"/>
      </w:pPr>
      <w:bookmarkStart w:id="26" w:name="_Toc11654789"/>
      <w:r w:rsidRPr="003D30DC">
        <w:t>Limitation</w:t>
      </w:r>
      <w:r>
        <w:t>s</w:t>
      </w:r>
      <w:r w:rsidRPr="003D30DC">
        <w:t xml:space="preserve"> particulière</w:t>
      </w:r>
      <w:r>
        <w:t>s</w:t>
      </w:r>
      <w:r w:rsidRPr="003D30DC">
        <w:t xml:space="preserve"> d</w:t>
      </w:r>
      <w:r w:rsidR="002012A5">
        <w:t>’</w:t>
      </w:r>
      <w:r w:rsidRPr="003D30DC">
        <w:t>indemnité</w:t>
      </w:r>
      <w:bookmarkEnd w:id="26"/>
    </w:p>
    <w:p w14:paraId="2CDE5E20" w14:textId="1DB32A84" w:rsidR="002A0BD8" w:rsidRPr="00E92A51" w:rsidRDefault="002A0BD8" w:rsidP="00CA454D">
      <w:pPr>
        <w:keepLines/>
        <w:spacing w:before="120"/>
      </w:pPr>
      <w:bookmarkStart w:id="27" w:name="_Hlk93153219"/>
      <w:r w:rsidRPr="00E92A51">
        <w:t>Les montants ci-</w:t>
      </w:r>
      <w:r>
        <w:t>après</w:t>
      </w:r>
      <w:r w:rsidRPr="00E92A51">
        <w:t xml:space="preserve"> </w:t>
      </w:r>
      <w:r>
        <w:t xml:space="preserve">s’entendent par sinistre et </w:t>
      </w:r>
      <w:r w:rsidRPr="00E92A51">
        <w:t xml:space="preserve">constituent des limitations contractuelles d'indemnités au sens d'un </w:t>
      </w:r>
      <w:r w:rsidRPr="00E94022">
        <w:t>1</w:t>
      </w:r>
      <w:r w:rsidRPr="00E94022">
        <w:rPr>
          <w:vertAlign w:val="superscript"/>
        </w:rPr>
        <w:t>er</w:t>
      </w:r>
      <w:r w:rsidRPr="00E94022">
        <w:t> risque absolu</w:t>
      </w:r>
      <w:r w:rsidRPr="00E92A51">
        <w:t xml:space="preserve"> avec dérogation à la règle proportionnelle et s'appliquent aux dommages directs subis par les biens assurés.</w:t>
      </w:r>
    </w:p>
    <w:bookmarkEnd w:id="27"/>
    <w:p w14:paraId="69CDB715" w14:textId="35C88863" w:rsidR="002A0BD8" w:rsidRPr="00E92A51" w:rsidRDefault="002A0BD8" w:rsidP="00CA454D">
      <w:pPr>
        <w:keepLines/>
        <w:spacing w:before="120" w:after="240"/>
      </w:pPr>
      <w:r w:rsidRPr="00E92A51">
        <w:t xml:space="preserve">Il est convenu que la limitation sur la garantie </w:t>
      </w:r>
      <w:r>
        <w:t>« b</w:t>
      </w:r>
      <w:r w:rsidRPr="00E92A51">
        <w:t>ris de glace</w:t>
      </w:r>
      <w:r>
        <w:t> »</w:t>
      </w:r>
      <w:r w:rsidRPr="00E92A51">
        <w:t xml:space="preserve"> s'applique par bâtiment</w:t>
      </w:r>
      <w: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3543"/>
      </w:tblGrid>
      <w:tr w:rsidR="00BB3893" w:rsidRPr="0026627C" w14:paraId="1DD98AC9"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41EEE65B" w14:textId="669EDA93" w:rsidR="00BB3893" w:rsidRPr="00E92A51" w:rsidRDefault="00BB3893" w:rsidP="00CA454D">
            <w:pPr>
              <w:keepLines/>
              <w:spacing w:before="100" w:after="100"/>
              <w:jc w:val="left"/>
            </w:pPr>
            <w:r>
              <w:t>Dommages électriques et électroniques</w:t>
            </w:r>
          </w:p>
        </w:tc>
        <w:tc>
          <w:tcPr>
            <w:tcW w:w="3543" w:type="dxa"/>
            <w:tcBorders>
              <w:top w:val="single" w:sz="4" w:space="0" w:color="auto"/>
              <w:left w:val="single" w:sz="4" w:space="0" w:color="auto"/>
              <w:bottom w:val="single" w:sz="4" w:space="0" w:color="auto"/>
              <w:right w:val="single" w:sz="4" w:space="0" w:color="auto"/>
            </w:tcBorders>
            <w:vAlign w:val="center"/>
          </w:tcPr>
          <w:p w14:paraId="0507F89E" w14:textId="7E02540C" w:rsidR="00BB3893" w:rsidRPr="003E7926" w:rsidRDefault="003E7926" w:rsidP="00CA454D">
            <w:pPr>
              <w:keepLines/>
              <w:spacing w:before="100" w:after="100"/>
              <w:ind w:right="213"/>
              <w:jc w:val="right"/>
              <w:rPr>
                <w:b/>
                <w:bCs/>
              </w:rPr>
            </w:pPr>
            <w:r w:rsidRPr="003E7926">
              <w:rPr>
                <w:b/>
                <w:bCs/>
              </w:rPr>
              <w:t>5</w:t>
            </w:r>
            <w:r w:rsidR="00BB3893" w:rsidRPr="003E7926">
              <w:rPr>
                <w:b/>
                <w:bCs/>
              </w:rPr>
              <w:t>00 000 €</w:t>
            </w:r>
          </w:p>
        </w:tc>
      </w:tr>
      <w:tr w:rsidR="00BB3893" w:rsidRPr="0026627C" w14:paraId="7DF3C524"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5A70A6E8" w14:textId="77777777" w:rsidR="00BB3893" w:rsidRPr="00E92A51" w:rsidRDefault="00BB3893" w:rsidP="00CA454D">
            <w:pPr>
              <w:keepLines/>
              <w:spacing w:before="100" w:after="100"/>
              <w:jc w:val="left"/>
            </w:pPr>
            <w:r w:rsidRPr="00E92A51">
              <w:t>Vol y compris détériorations immobilières et mobilières</w:t>
            </w:r>
          </w:p>
          <w:p w14:paraId="2EC007FF" w14:textId="77777777" w:rsidR="00BB3893" w:rsidRDefault="00BB3893" w:rsidP="00CA454D">
            <w:pPr>
              <w:keepLines/>
              <w:spacing w:before="100" w:after="100"/>
              <w:jc w:val="left"/>
            </w:pPr>
            <w:bookmarkStart w:id="28" w:name="_Hlk41316482"/>
            <w:r w:rsidRPr="00E92A51">
              <w:t>Vol sur espèces et valeurs</w:t>
            </w:r>
            <w:r>
              <w:t xml:space="preserve"> e</w:t>
            </w:r>
            <w:r w:rsidRPr="00E92A51">
              <w:t xml:space="preserve">n </w:t>
            </w:r>
            <w:r>
              <w:t>c</w:t>
            </w:r>
            <w:r w:rsidRPr="00E92A51">
              <w:t>hambre forte ou coffre</w:t>
            </w:r>
            <w:r>
              <w:t>-</w:t>
            </w:r>
            <w:r w:rsidRPr="00E92A51">
              <w:t>fort</w:t>
            </w:r>
          </w:p>
          <w:p w14:paraId="17FF82D4" w14:textId="77777777" w:rsidR="00BB3893" w:rsidRPr="00E92A51" w:rsidRDefault="00BB3893" w:rsidP="00CA454D">
            <w:pPr>
              <w:keepLines/>
              <w:spacing w:before="100" w:after="100"/>
              <w:jc w:val="left"/>
            </w:pPr>
            <w:r w:rsidRPr="00E92A51">
              <w:t>Vol sur espèces et valeurs</w:t>
            </w:r>
            <w:r>
              <w:t xml:space="preserve"> e</w:t>
            </w:r>
            <w:r w:rsidRPr="00E92A51">
              <w:t>n tiroir</w:t>
            </w:r>
            <w:r>
              <w:t>-</w:t>
            </w:r>
            <w:r w:rsidRPr="00E92A51">
              <w:t>caisse ou meuble fermé à clé</w:t>
            </w:r>
          </w:p>
          <w:p w14:paraId="404AB38A" w14:textId="77777777" w:rsidR="00BB3893" w:rsidRPr="00E92A51" w:rsidRDefault="00BB3893" w:rsidP="00CA454D">
            <w:pPr>
              <w:keepLines/>
              <w:spacing w:before="100" w:after="100"/>
              <w:jc w:val="left"/>
            </w:pPr>
            <w:r w:rsidRPr="00E92A51">
              <w:t xml:space="preserve">Vol sur la personne </w:t>
            </w:r>
          </w:p>
          <w:p w14:paraId="0CD69BA3" w14:textId="77777777" w:rsidR="00BB3893" w:rsidRPr="00E92A51" w:rsidRDefault="00BB3893" w:rsidP="00CA454D">
            <w:pPr>
              <w:keepLines/>
              <w:spacing w:before="100" w:after="100"/>
              <w:jc w:val="left"/>
            </w:pPr>
            <w:r w:rsidRPr="00E92A51">
              <w:t>Vol au domicile des détenteurs de fonds</w:t>
            </w:r>
          </w:p>
          <w:bookmarkEnd w:id="28"/>
          <w:p w14:paraId="201D8246" w14:textId="77777777" w:rsidR="00BB3893" w:rsidRPr="00E92A51" w:rsidRDefault="00BB3893" w:rsidP="00CA454D">
            <w:pPr>
              <w:keepLines/>
              <w:spacing w:before="100" w:after="100"/>
              <w:jc w:val="left"/>
            </w:pPr>
            <w:r>
              <w:t xml:space="preserve">Vol et détournement de valeurs </w:t>
            </w:r>
          </w:p>
        </w:tc>
        <w:tc>
          <w:tcPr>
            <w:tcW w:w="3543" w:type="dxa"/>
            <w:tcBorders>
              <w:top w:val="single" w:sz="4" w:space="0" w:color="auto"/>
              <w:left w:val="single" w:sz="4" w:space="0" w:color="auto"/>
              <w:bottom w:val="single" w:sz="4" w:space="0" w:color="auto"/>
              <w:right w:val="single" w:sz="4" w:space="0" w:color="auto"/>
            </w:tcBorders>
            <w:vAlign w:val="center"/>
          </w:tcPr>
          <w:p w14:paraId="271B8AE7" w14:textId="77777777" w:rsidR="00BB3893" w:rsidRPr="003E7926" w:rsidRDefault="00BB3893" w:rsidP="00CA454D">
            <w:pPr>
              <w:keepLines/>
              <w:spacing w:before="100" w:after="100"/>
              <w:ind w:right="213"/>
              <w:jc w:val="right"/>
              <w:rPr>
                <w:b/>
                <w:bCs/>
              </w:rPr>
            </w:pPr>
            <w:r w:rsidRPr="003E7926">
              <w:rPr>
                <w:b/>
                <w:bCs/>
              </w:rPr>
              <w:t>300 000 €</w:t>
            </w:r>
          </w:p>
          <w:p w14:paraId="66AC80BB" w14:textId="77777777" w:rsidR="00BB3893" w:rsidRPr="003E7926" w:rsidRDefault="00BB3893" w:rsidP="00CA454D">
            <w:pPr>
              <w:keepLines/>
              <w:spacing w:before="100" w:after="100"/>
              <w:ind w:right="213"/>
              <w:jc w:val="right"/>
              <w:rPr>
                <w:b/>
                <w:bCs/>
              </w:rPr>
            </w:pPr>
            <w:r w:rsidRPr="003E7926">
              <w:rPr>
                <w:b/>
                <w:bCs/>
              </w:rPr>
              <w:t>30 000 €</w:t>
            </w:r>
          </w:p>
          <w:p w14:paraId="02D36459" w14:textId="6BB3B8E3" w:rsidR="00BB3893" w:rsidRPr="003E7926" w:rsidRDefault="003E7926" w:rsidP="00CA454D">
            <w:pPr>
              <w:keepLines/>
              <w:spacing w:before="100" w:after="100"/>
              <w:ind w:right="213"/>
              <w:jc w:val="right"/>
              <w:rPr>
                <w:b/>
                <w:bCs/>
              </w:rPr>
            </w:pPr>
            <w:r>
              <w:rPr>
                <w:b/>
                <w:bCs/>
              </w:rPr>
              <w:t>15</w:t>
            </w:r>
            <w:r w:rsidR="00BB3893" w:rsidRPr="003E7926">
              <w:rPr>
                <w:b/>
                <w:bCs/>
              </w:rPr>
              <w:t> 000 €</w:t>
            </w:r>
          </w:p>
          <w:p w14:paraId="02BD58B7" w14:textId="77777777" w:rsidR="00BB3893" w:rsidRPr="003E7926" w:rsidRDefault="00BB3893" w:rsidP="00CA454D">
            <w:pPr>
              <w:keepLines/>
              <w:spacing w:before="100" w:after="100"/>
              <w:ind w:right="213"/>
              <w:jc w:val="right"/>
              <w:rPr>
                <w:b/>
                <w:bCs/>
              </w:rPr>
            </w:pPr>
            <w:r w:rsidRPr="003E7926">
              <w:rPr>
                <w:b/>
                <w:bCs/>
              </w:rPr>
              <w:t>15 000 €</w:t>
            </w:r>
          </w:p>
          <w:p w14:paraId="350128AB" w14:textId="77777777" w:rsidR="00BB3893" w:rsidRPr="003E7926" w:rsidRDefault="00BB3893" w:rsidP="00CA454D">
            <w:pPr>
              <w:keepLines/>
              <w:spacing w:before="100" w:after="100"/>
              <w:ind w:right="213"/>
              <w:jc w:val="right"/>
              <w:rPr>
                <w:b/>
                <w:bCs/>
              </w:rPr>
            </w:pPr>
            <w:r w:rsidRPr="003E7926">
              <w:rPr>
                <w:b/>
                <w:bCs/>
              </w:rPr>
              <w:t>8 000 €</w:t>
            </w:r>
          </w:p>
          <w:p w14:paraId="0881FDD7" w14:textId="5A4419C2" w:rsidR="00BB3893" w:rsidRPr="003E7926" w:rsidRDefault="003E7926" w:rsidP="00CA454D">
            <w:pPr>
              <w:keepLines/>
              <w:spacing w:before="100" w:after="100"/>
              <w:ind w:right="213"/>
              <w:jc w:val="right"/>
              <w:rPr>
                <w:b/>
                <w:bCs/>
              </w:rPr>
            </w:pPr>
            <w:r>
              <w:rPr>
                <w:b/>
                <w:bCs/>
              </w:rPr>
              <w:t>8</w:t>
            </w:r>
            <w:r w:rsidR="00BB3893" w:rsidRPr="003E7926">
              <w:rPr>
                <w:b/>
                <w:bCs/>
              </w:rPr>
              <w:t> 000 €</w:t>
            </w:r>
          </w:p>
        </w:tc>
      </w:tr>
      <w:tr w:rsidR="00BB3893" w:rsidRPr="0026627C" w14:paraId="556B40BD"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0BDF0472" w14:textId="77777777" w:rsidR="00BB3893" w:rsidRPr="0081283F" w:rsidRDefault="00BB3893" w:rsidP="00CA454D">
            <w:pPr>
              <w:keepLines/>
              <w:spacing w:before="100" w:after="100"/>
              <w:jc w:val="left"/>
            </w:pPr>
            <w:r w:rsidRPr="0081283F">
              <w:t>Bris de glaces</w:t>
            </w:r>
          </w:p>
        </w:tc>
        <w:tc>
          <w:tcPr>
            <w:tcW w:w="3543" w:type="dxa"/>
            <w:tcBorders>
              <w:top w:val="single" w:sz="4" w:space="0" w:color="auto"/>
              <w:left w:val="single" w:sz="4" w:space="0" w:color="auto"/>
              <w:bottom w:val="single" w:sz="4" w:space="0" w:color="auto"/>
              <w:right w:val="single" w:sz="4" w:space="0" w:color="auto"/>
            </w:tcBorders>
            <w:vAlign w:val="center"/>
          </w:tcPr>
          <w:p w14:paraId="05BA4164" w14:textId="77777777" w:rsidR="00BB3893" w:rsidRPr="003E7926" w:rsidRDefault="00BB3893" w:rsidP="00CA454D">
            <w:pPr>
              <w:keepLines/>
              <w:spacing w:before="100" w:after="100"/>
              <w:ind w:right="213"/>
              <w:jc w:val="right"/>
              <w:rPr>
                <w:b/>
                <w:bCs/>
              </w:rPr>
            </w:pPr>
            <w:r w:rsidRPr="003E7926">
              <w:rPr>
                <w:b/>
                <w:bCs/>
              </w:rPr>
              <w:t>150 000 €</w:t>
            </w:r>
          </w:p>
        </w:tc>
      </w:tr>
      <w:tr w:rsidR="00BB3893" w:rsidRPr="0026627C" w14:paraId="58AE0F7E"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2E6D7278" w14:textId="77777777" w:rsidR="00BB3893" w:rsidRDefault="00BB3893" w:rsidP="00CA454D">
            <w:pPr>
              <w:keepLines/>
              <w:spacing w:before="100" w:after="100"/>
              <w:jc w:val="left"/>
            </w:pPr>
            <w:r>
              <w:t>Perte accidentelle de fluides</w:t>
            </w:r>
          </w:p>
        </w:tc>
        <w:tc>
          <w:tcPr>
            <w:tcW w:w="3543" w:type="dxa"/>
            <w:tcBorders>
              <w:top w:val="single" w:sz="4" w:space="0" w:color="auto"/>
              <w:left w:val="single" w:sz="4" w:space="0" w:color="auto"/>
              <w:bottom w:val="single" w:sz="4" w:space="0" w:color="auto"/>
              <w:right w:val="single" w:sz="4" w:space="0" w:color="auto"/>
            </w:tcBorders>
            <w:vAlign w:val="center"/>
          </w:tcPr>
          <w:p w14:paraId="37CD43C8" w14:textId="77777777" w:rsidR="00BB3893" w:rsidRPr="003E7926" w:rsidRDefault="00BB3893" w:rsidP="00CA454D">
            <w:pPr>
              <w:keepLines/>
              <w:spacing w:before="100" w:after="100"/>
              <w:ind w:right="213"/>
              <w:jc w:val="right"/>
              <w:rPr>
                <w:b/>
                <w:bCs/>
              </w:rPr>
            </w:pPr>
            <w:r w:rsidRPr="003E7926">
              <w:rPr>
                <w:b/>
                <w:bCs/>
              </w:rPr>
              <w:t>50 000 €</w:t>
            </w:r>
          </w:p>
        </w:tc>
      </w:tr>
      <w:tr w:rsidR="003E7926" w:rsidRPr="0026627C" w14:paraId="5F079239" w14:textId="77777777" w:rsidTr="00867A42">
        <w:tc>
          <w:tcPr>
            <w:tcW w:w="5529" w:type="dxa"/>
            <w:tcBorders>
              <w:top w:val="single" w:sz="4" w:space="0" w:color="auto"/>
              <w:left w:val="single" w:sz="4" w:space="0" w:color="auto"/>
              <w:bottom w:val="single" w:sz="4" w:space="0" w:color="auto"/>
              <w:right w:val="single" w:sz="4" w:space="0" w:color="auto"/>
            </w:tcBorders>
          </w:tcPr>
          <w:p w14:paraId="7BBEA7B2" w14:textId="55EB7251" w:rsidR="003E7926" w:rsidRDefault="003E7926" w:rsidP="003E7926">
            <w:pPr>
              <w:keepLines/>
              <w:spacing w:before="100" w:after="100"/>
              <w:jc w:val="left"/>
            </w:pPr>
            <w:r w:rsidRPr="00167379">
              <w:t>Inondations hors catastrophes naturelles</w:t>
            </w:r>
          </w:p>
        </w:tc>
        <w:tc>
          <w:tcPr>
            <w:tcW w:w="3543" w:type="dxa"/>
            <w:tcBorders>
              <w:top w:val="single" w:sz="4" w:space="0" w:color="auto"/>
              <w:left w:val="single" w:sz="4" w:space="0" w:color="auto"/>
              <w:bottom w:val="single" w:sz="4" w:space="0" w:color="auto"/>
              <w:right w:val="single" w:sz="4" w:space="0" w:color="auto"/>
            </w:tcBorders>
          </w:tcPr>
          <w:p w14:paraId="5C345757" w14:textId="448D5E0C" w:rsidR="003E7926" w:rsidRPr="003E7926" w:rsidRDefault="003E7926" w:rsidP="003E7926">
            <w:pPr>
              <w:keepLines/>
              <w:spacing w:before="100" w:after="100"/>
              <w:ind w:right="213"/>
              <w:jc w:val="right"/>
              <w:rPr>
                <w:b/>
                <w:bCs/>
              </w:rPr>
            </w:pPr>
            <w:r w:rsidRPr="003E7926">
              <w:rPr>
                <w:b/>
                <w:bCs/>
              </w:rPr>
              <w:t>1 000 000 €</w:t>
            </w:r>
          </w:p>
        </w:tc>
      </w:tr>
      <w:tr w:rsidR="00BB3893" w:rsidRPr="0026627C" w14:paraId="47D9487F"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74925B57" w14:textId="77777777" w:rsidR="00BB3893" w:rsidRPr="00E92A51" w:rsidRDefault="00BB3893" w:rsidP="00CA454D">
            <w:pPr>
              <w:keepLines/>
              <w:spacing w:before="100" w:after="100"/>
              <w:jc w:val="left"/>
            </w:pPr>
            <w:r w:rsidRPr="00E92A51">
              <w:t>Evénements non dénommés</w:t>
            </w:r>
          </w:p>
        </w:tc>
        <w:tc>
          <w:tcPr>
            <w:tcW w:w="3543" w:type="dxa"/>
            <w:tcBorders>
              <w:top w:val="single" w:sz="4" w:space="0" w:color="auto"/>
              <w:left w:val="single" w:sz="4" w:space="0" w:color="auto"/>
              <w:bottom w:val="single" w:sz="4" w:space="0" w:color="auto"/>
              <w:right w:val="single" w:sz="4" w:space="0" w:color="auto"/>
            </w:tcBorders>
            <w:vAlign w:val="center"/>
          </w:tcPr>
          <w:p w14:paraId="2DC70A0C" w14:textId="77777777" w:rsidR="00BB3893" w:rsidRPr="003E7926" w:rsidRDefault="00BB3893" w:rsidP="00CA454D">
            <w:pPr>
              <w:keepLines/>
              <w:spacing w:before="100" w:after="100"/>
              <w:ind w:right="213"/>
              <w:jc w:val="right"/>
              <w:rPr>
                <w:b/>
                <w:bCs/>
              </w:rPr>
            </w:pPr>
            <w:r w:rsidRPr="003E7926">
              <w:rPr>
                <w:b/>
                <w:bCs/>
              </w:rPr>
              <w:t>1 000 000 €</w:t>
            </w:r>
          </w:p>
        </w:tc>
      </w:tr>
      <w:tr w:rsidR="00BB3893" w:rsidRPr="0026627C" w14:paraId="710DBD7B"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75BF1DAE" w14:textId="77777777" w:rsidR="00BB3893" w:rsidRPr="0081283F" w:rsidRDefault="00BB3893" w:rsidP="00CA454D">
            <w:pPr>
              <w:keepLines/>
              <w:spacing w:before="100" w:after="100"/>
              <w:jc w:val="left"/>
            </w:pPr>
            <w:r w:rsidRPr="0081283F">
              <w:lastRenderedPageBreak/>
              <w:t>Effondrement</w:t>
            </w:r>
          </w:p>
        </w:tc>
        <w:tc>
          <w:tcPr>
            <w:tcW w:w="3543" w:type="dxa"/>
            <w:tcBorders>
              <w:top w:val="single" w:sz="4" w:space="0" w:color="auto"/>
              <w:left w:val="single" w:sz="4" w:space="0" w:color="auto"/>
              <w:bottom w:val="single" w:sz="4" w:space="0" w:color="auto"/>
              <w:right w:val="single" w:sz="4" w:space="0" w:color="auto"/>
            </w:tcBorders>
            <w:vAlign w:val="center"/>
          </w:tcPr>
          <w:p w14:paraId="3FE28B7B" w14:textId="6A7E24AB" w:rsidR="00BB3893" w:rsidRPr="003E7926" w:rsidRDefault="003E7926" w:rsidP="00CA454D">
            <w:pPr>
              <w:keepLines/>
              <w:spacing w:before="100" w:after="100"/>
              <w:ind w:right="213"/>
              <w:jc w:val="right"/>
              <w:rPr>
                <w:b/>
                <w:bCs/>
              </w:rPr>
            </w:pPr>
            <w:r w:rsidRPr="003E7926">
              <w:rPr>
                <w:b/>
                <w:bCs/>
              </w:rPr>
              <w:t>2</w:t>
            </w:r>
            <w:r w:rsidR="00BB3893" w:rsidRPr="003E7926">
              <w:rPr>
                <w:b/>
                <w:bCs/>
              </w:rPr>
              <w:t> 000 000 €</w:t>
            </w:r>
          </w:p>
        </w:tc>
      </w:tr>
      <w:tr w:rsidR="00BB3893" w:rsidRPr="00035DCE" w14:paraId="50D2D60C"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372B02AF" w14:textId="77777777" w:rsidR="00BB3893" w:rsidRPr="00BB3893" w:rsidRDefault="00BB3893" w:rsidP="00CA454D">
            <w:pPr>
              <w:keepLines/>
              <w:spacing w:before="100" w:after="100"/>
              <w:jc w:val="left"/>
            </w:pPr>
            <w:r w:rsidRPr="003E7926">
              <w:t>Perte du contenu des installations en température contrôlée</w:t>
            </w:r>
          </w:p>
        </w:tc>
        <w:tc>
          <w:tcPr>
            <w:tcW w:w="3543" w:type="dxa"/>
            <w:tcBorders>
              <w:top w:val="single" w:sz="4" w:space="0" w:color="auto"/>
              <w:left w:val="single" w:sz="4" w:space="0" w:color="auto"/>
              <w:bottom w:val="single" w:sz="4" w:space="0" w:color="auto"/>
              <w:right w:val="single" w:sz="4" w:space="0" w:color="auto"/>
            </w:tcBorders>
            <w:vAlign w:val="center"/>
          </w:tcPr>
          <w:p w14:paraId="086C027C" w14:textId="2BDEC6C5" w:rsidR="006233A8" w:rsidRPr="00867A42" w:rsidRDefault="006233A8" w:rsidP="006233A8">
            <w:pPr>
              <w:rPr>
                <w:b/>
                <w:bCs/>
                <w:sz w:val="20"/>
                <w:szCs w:val="20"/>
              </w:rPr>
            </w:pPr>
            <w:r w:rsidRPr="00867A42">
              <w:rPr>
                <w:b/>
                <w:bCs/>
                <w:sz w:val="20"/>
                <w:szCs w:val="20"/>
              </w:rPr>
              <w:t xml:space="preserve">Groupe hospitalier de la </w:t>
            </w:r>
            <w:r w:rsidR="00867A42">
              <w:rPr>
                <w:b/>
                <w:bCs/>
                <w:sz w:val="20"/>
                <w:szCs w:val="20"/>
              </w:rPr>
              <w:t>H</w:t>
            </w:r>
            <w:r w:rsidRPr="00867A42">
              <w:rPr>
                <w:b/>
                <w:bCs/>
                <w:sz w:val="20"/>
                <w:szCs w:val="20"/>
              </w:rPr>
              <w:t xml:space="preserve">aute Saône :  </w:t>
            </w:r>
          </w:p>
          <w:p w14:paraId="72C6E9DB" w14:textId="540A90A2" w:rsidR="006233A8" w:rsidRPr="00867A42" w:rsidRDefault="003E7926" w:rsidP="006233A8">
            <w:pPr>
              <w:rPr>
                <w:b/>
                <w:bCs/>
                <w:sz w:val="20"/>
                <w:szCs w:val="20"/>
              </w:rPr>
            </w:pPr>
            <w:r w:rsidRPr="00867A42">
              <w:rPr>
                <w:b/>
                <w:bCs/>
                <w:sz w:val="20"/>
                <w:szCs w:val="20"/>
              </w:rPr>
              <w:t>5</w:t>
            </w:r>
            <w:r w:rsidR="006233A8" w:rsidRPr="00867A42">
              <w:rPr>
                <w:b/>
                <w:bCs/>
                <w:sz w:val="20"/>
                <w:szCs w:val="20"/>
              </w:rPr>
              <w:t xml:space="preserve">00 000 € </w:t>
            </w:r>
          </w:p>
          <w:p w14:paraId="4BF95E22" w14:textId="77777777" w:rsidR="003E7926" w:rsidRPr="00867A42" w:rsidRDefault="003E7926" w:rsidP="006233A8">
            <w:pPr>
              <w:rPr>
                <w:b/>
                <w:bCs/>
                <w:sz w:val="20"/>
                <w:szCs w:val="20"/>
              </w:rPr>
            </w:pPr>
          </w:p>
          <w:p w14:paraId="540658F0" w14:textId="259D583B" w:rsidR="006233A8" w:rsidRPr="00867A42" w:rsidRDefault="006233A8" w:rsidP="006233A8">
            <w:pPr>
              <w:rPr>
                <w:b/>
                <w:bCs/>
                <w:sz w:val="20"/>
                <w:szCs w:val="20"/>
              </w:rPr>
            </w:pPr>
            <w:r w:rsidRPr="00867A42">
              <w:rPr>
                <w:b/>
                <w:bCs/>
                <w:sz w:val="20"/>
                <w:szCs w:val="20"/>
              </w:rPr>
              <w:t>EHPAD Villa Saint Joseph</w:t>
            </w:r>
            <w:r w:rsidR="00867A42">
              <w:rPr>
                <w:b/>
                <w:bCs/>
                <w:sz w:val="20"/>
                <w:szCs w:val="20"/>
              </w:rPr>
              <w:t> :</w:t>
            </w:r>
            <w:r w:rsidRPr="00867A42">
              <w:rPr>
                <w:b/>
                <w:bCs/>
                <w:sz w:val="20"/>
                <w:szCs w:val="20"/>
              </w:rPr>
              <w:t xml:space="preserve"> Scey-sur-Saône à </w:t>
            </w:r>
            <w:r w:rsidR="003E7926" w:rsidRPr="00867A42">
              <w:rPr>
                <w:b/>
                <w:bCs/>
                <w:sz w:val="20"/>
                <w:szCs w:val="20"/>
              </w:rPr>
              <w:t>5</w:t>
            </w:r>
            <w:r w:rsidR="00867A42">
              <w:rPr>
                <w:b/>
                <w:bCs/>
                <w:sz w:val="20"/>
                <w:szCs w:val="20"/>
              </w:rPr>
              <w:t> </w:t>
            </w:r>
            <w:r w:rsidRPr="00867A42">
              <w:rPr>
                <w:b/>
                <w:bCs/>
                <w:sz w:val="20"/>
                <w:szCs w:val="20"/>
              </w:rPr>
              <w:t>000</w:t>
            </w:r>
            <w:r w:rsidR="00867A42">
              <w:rPr>
                <w:b/>
                <w:bCs/>
                <w:sz w:val="20"/>
                <w:szCs w:val="20"/>
              </w:rPr>
              <w:t xml:space="preserve"> </w:t>
            </w:r>
            <w:r w:rsidRPr="00867A42">
              <w:rPr>
                <w:b/>
                <w:bCs/>
                <w:sz w:val="20"/>
                <w:szCs w:val="20"/>
              </w:rPr>
              <w:t>€</w:t>
            </w:r>
          </w:p>
          <w:p w14:paraId="4CA72EB1" w14:textId="77777777" w:rsidR="003E7926" w:rsidRPr="00867A42" w:rsidRDefault="003E7926" w:rsidP="006233A8">
            <w:pPr>
              <w:rPr>
                <w:b/>
                <w:bCs/>
                <w:sz w:val="20"/>
                <w:szCs w:val="20"/>
              </w:rPr>
            </w:pPr>
          </w:p>
          <w:p w14:paraId="128EDC10" w14:textId="5060171A" w:rsidR="006233A8" w:rsidRPr="00867A42" w:rsidRDefault="006233A8" w:rsidP="006233A8">
            <w:pPr>
              <w:rPr>
                <w:b/>
                <w:bCs/>
                <w:sz w:val="20"/>
                <w:szCs w:val="20"/>
              </w:rPr>
            </w:pPr>
            <w:r w:rsidRPr="00867A42">
              <w:rPr>
                <w:b/>
                <w:bCs/>
                <w:sz w:val="20"/>
                <w:szCs w:val="20"/>
              </w:rPr>
              <w:t>EHPAD Jean Michel-Saulx</w:t>
            </w:r>
            <w:r w:rsidR="00867A42">
              <w:rPr>
                <w:b/>
                <w:bCs/>
                <w:sz w:val="20"/>
                <w:szCs w:val="20"/>
              </w:rPr>
              <w:t xml:space="preserve"> : </w:t>
            </w:r>
            <w:r w:rsidRPr="00867A42">
              <w:rPr>
                <w:b/>
                <w:bCs/>
                <w:sz w:val="20"/>
                <w:szCs w:val="20"/>
              </w:rPr>
              <w:t>5 000€</w:t>
            </w:r>
          </w:p>
          <w:p w14:paraId="3C176C7E" w14:textId="77777777" w:rsidR="003E7926" w:rsidRPr="00867A42" w:rsidRDefault="003E7926" w:rsidP="006233A8">
            <w:pPr>
              <w:rPr>
                <w:b/>
                <w:bCs/>
                <w:sz w:val="20"/>
                <w:szCs w:val="20"/>
              </w:rPr>
            </w:pPr>
          </w:p>
          <w:p w14:paraId="0812B5BD" w14:textId="0CE1F33E" w:rsidR="0079081C" w:rsidRPr="00035DCE" w:rsidRDefault="006233A8" w:rsidP="00867A42">
            <w:pPr>
              <w:rPr>
                <w:b/>
                <w:bCs/>
                <w:highlight w:val="green"/>
              </w:rPr>
            </w:pPr>
            <w:r w:rsidRPr="00867A42">
              <w:rPr>
                <w:b/>
                <w:bCs/>
                <w:sz w:val="20"/>
                <w:szCs w:val="20"/>
              </w:rPr>
              <w:t xml:space="preserve">EHPAD Alfred Dornier- Dampierre-Sur-Salon </w:t>
            </w:r>
            <w:r w:rsidR="00D67DDF" w:rsidRPr="00867A42">
              <w:rPr>
                <w:b/>
                <w:bCs/>
                <w:sz w:val="20"/>
                <w:szCs w:val="20"/>
              </w:rPr>
              <w:t>5</w:t>
            </w:r>
            <w:r w:rsidR="00867A42">
              <w:rPr>
                <w:b/>
                <w:bCs/>
                <w:sz w:val="20"/>
                <w:szCs w:val="20"/>
              </w:rPr>
              <w:t xml:space="preserve"> </w:t>
            </w:r>
            <w:r w:rsidR="00D67DDF" w:rsidRPr="00867A42">
              <w:rPr>
                <w:b/>
                <w:bCs/>
                <w:sz w:val="20"/>
                <w:szCs w:val="20"/>
              </w:rPr>
              <w:t>000</w:t>
            </w:r>
            <w:r w:rsidR="00867A42">
              <w:rPr>
                <w:b/>
                <w:bCs/>
                <w:sz w:val="20"/>
                <w:szCs w:val="20"/>
              </w:rPr>
              <w:t xml:space="preserve"> </w:t>
            </w:r>
            <w:r w:rsidR="00D67DDF" w:rsidRPr="00867A42">
              <w:rPr>
                <w:b/>
                <w:bCs/>
                <w:sz w:val="20"/>
                <w:szCs w:val="20"/>
              </w:rPr>
              <w:t>€</w:t>
            </w:r>
            <w:r w:rsidR="00D67DDF">
              <w:rPr>
                <w:b/>
                <w:bCs/>
                <w:highlight w:val="green"/>
              </w:rPr>
              <w:t xml:space="preserve"> </w:t>
            </w:r>
          </w:p>
        </w:tc>
      </w:tr>
      <w:tr w:rsidR="00BB3893" w:rsidRPr="00035DCE" w14:paraId="5498A2DE"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436A61A7" w14:textId="77777777" w:rsidR="00BB3893" w:rsidRPr="003E7926" w:rsidRDefault="00BB3893" w:rsidP="00CA454D">
            <w:pPr>
              <w:keepLines/>
              <w:spacing w:before="100" w:after="100"/>
              <w:jc w:val="left"/>
            </w:pPr>
            <w:r w:rsidRPr="003E7926">
              <w:t>Tous dommages aux matériels informatiques et électroniques, virus informatique, fraude informatique, fraude téléphonique :</w:t>
            </w:r>
          </w:p>
          <w:p w14:paraId="63310E98" w14:textId="77777777" w:rsidR="00BB3893" w:rsidRPr="003E7926" w:rsidRDefault="00BB3893" w:rsidP="00CA454D">
            <w:pPr>
              <w:keepLines/>
              <w:spacing w:before="100" w:after="100"/>
              <w:jc w:val="left"/>
            </w:pPr>
            <w:r w:rsidRPr="003E7926">
              <w:t xml:space="preserve">Tous dommages aux matériels informatiques et électroniques </w:t>
            </w:r>
          </w:p>
          <w:p w14:paraId="6C09CFA2" w14:textId="77777777" w:rsidR="00BB3893" w:rsidRPr="003E7926" w:rsidRDefault="00BB3893" w:rsidP="00CA454D">
            <w:pPr>
              <w:keepLines/>
              <w:spacing w:before="100" w:after="100"/>
              <w:jc w:val="left"/>
            </w:pPr>
            <w:r w:rsidRPr="003E7926">
              <w:t>Garantie transport</w:t>
            </w:r>
          </w:p>
          <w:p w14:paraId="68EA8FE7" w14:textId="6E088979" w:rsidR="00BB3893" w:rsidRPr="003E7926" w:rsidRDefault="00BB3893" w:rsidP="00CA454D">
            <w:pPr>
              <w:keepLines/>
              <w:spacing w:before="100" w:after="100"/>
              <w:jc w:val="left"/>
            </w:pPr>
            <w:r w:rsidRPr="003E7926">
              <w:t>Matériels portables</w:t>
            </w:r>
          </w:p>
        </w:tc>
        <w:tc>
          <w:tcPr>
            <w:tcW w:w="3543" w:type="dxa"/>
            <w:tcBorders>
              <w:top w:val="single" w:sz="4" w:space="0" w:color="auto"/>
              <w:left w:val="single" w:sz="4" w:space="0" w:color="auto"/>
              <w:bottom w:val="single" w:sz="4" w:space="0" w:color="auto"/>
              <w:right w:val="single" w:sz="4" w:space="0" w:color="auto"/>
            </w:tcBorders>
            <w:vAlign w:val="center"/>
          </w:tcPr>
          <w:p w14:paraId="099F8B5B" w14:textId="77777777" w:rsidR="00BB3893" w:rsidRPr="003E7926" w:rsidRDefault="00BB3893" w:rsidP="00CA454D">
            <w:pPr>
              <w:keepLines/>
              <w:spacing w:before="100" w:after="100"/>
              <w:ind w:right="213"/>
              <w:jc w:val="right"/>
              <w:rPr>
                <w:b/>
                <w:bCs/>
              </w:rPr>
            </w:pPr>
            <w:r w:rsidRPr="003E7926">
              <w:rPr>
                <w:b/>
                <w:bCs/>
              </w:rPr>
              <w:br/>
            </w:r>
          </w:p>
          <w:p w14:paraId="48B1CDE4" w14:textId="7D92B7D6" w:rsidR="00BB3893" w:rsidRPr="003E7926" w:rsidRDefault="00BB3893" w:rsidP="00CA454D">
            <w:pPr>
              <w:keepLines/>
              <w:spacing w:before="100" w:after="100"/>
              <w:ind w:right="213"/>
              <w:jc w:val="right"/>
              <w:rPr>
                <w:b/>
                <w:bCs/>
              </w:rPr>
            </w:pPr>
            <w:r w:rsidRPr="003E7926">
              <w:rPr>
                <w:b/>
                <w:bCs/>
              </w:rPr>
              <w:t>500 000 €</w:t>
            </w:r>
          </w:p>
          <w:p w14:paraId="683487A1" w14:textId="34DBC463" w:rsidR="00BB3893" w:rsidRPr="003E7926" w:rsidRDefault="003E7926" w:rsidP="00CA454D">
            <w:pPr>
              <w:keepLines/>
              <w:spacing w:before="100" w:after="100"/>
              <w:ind w:right="213"/>
              <w:jc w:val="right"/>
              <w:rPr>
                <w:b/>
                <w:bCs/>
              </w:rPr>
            </w:pPr>
            <w:r w:rsidRPr="003E7926">
              <w:rPr>
                <w:b/>
                <w:bCs/>
              </w:rPr>
              <w:t>75</w:t>
            </w:r>
            <w:r w:rsidR="00BB3893" w:rsidRPr="003E7926">
              <w:rPr>
                <w:b/>
                <w:bCs/>
              </w:rPr>
              <w:t> 000 €</w:t>
            </w:r>
          </w:p>
          <w:p w14:paraId="562E9861" w14:textId="54BFDD05" w:rsidR="00BB3893" w:rsidRPr="003E7926" w:rsidRDefault="003E7926" w:rsidP="003E7926">
            <w:pPr>
              <w:keepLines/>
              <w:spacing w:before="100" w:after="100"/>
              <w:ind w:right="213"/>
              <w:jc w:val="right"/>
              <w:rPr>
                <w:b/>
                <w:bCs/>
              </w:rPr>
            </w:pPr>
            <w:r w:rsidRPr="003E7926">
              <w:rPr>
                <w:b/>
                <w:bCs/>
              </w:rPr>
              <w:t>75</w:t>
            </w:r>
            <w:r w:rsidR="00BB3893" w:rsidRPr="003E7926">
              <w:rPr>
                <w:b/>
                <w:bCs/>
              </w:rPr>
              <w:t> 000 €</w:t>
            </w:r>
          </w:p>
        </w:tc>
      </w:tr>
      <w:tr w:rsidR="00BB3893" w:rsidRPr="00035DCE" w14:paraId="254F296C"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7EAD127C" w14:textId="77777777" w:rsidR="00BB3893" w:rsidRPr="003E7926" w:rsidRDefault="00BB3893" w:rsidP="00CA454D">
            <w:pPr>
              <w:keepLines/>
              <w:spacing w:before="100" w:after="100"/>
              <w:jc w:val="left"/>
            </w:pPr>
            <w:r w:rsidRPr="003E7926">
              <w:t xml:space="preserve">Tous dommages aux matériels en exploitation </w:t>
            </w:r>
          </w:p>
          <w:p w14:paraId="50AB1835" w14:textId="77777777" w:rsidR="00BB3893" w:rsidRPr="003E7926" w:rsidRDefault="00BB3893" w:rsidP="00CA454D">
            <w:pPr>
              <w:keepLines/>
              <w:spacing w:before="100" w:after="100"/>
              <w:jc w:val="left"/>
            </w:pPr>
            <w:r w:rsidRPr="003E7926">
              <w:t>Garantie transport</w:t>
            </w:r>
          </w:p>
          <w:p w14:paraId="4ECC7827" w14:textId="77777777" w:rsidR="00BB3893" w:rsidRPr="003E7926" w:rsidRDefault="00BB3893" w:rsidP="00CA454D">
            <w:pPr>
              <w:keepLines/>
              <w:spacing w:before="100" w:after="100"/>
              <w:jc w:val="left"/>
            </w:pPr>
            <w:r w:rsidRPr="003E7926">
              <w:t>Matériels portables</w:t>
            </w:r>
          </w:p>
        </w:tc>
        <w:tc>
          <w:tcPr>
            <w:tcW w:w="3543" w:type="dxa"/>
            <w:tcBorders>
              <w:top w:val="single" w:sz="4" w:space="0" w:color="auto"/>
              <w:left w:val="single" w:sz="4" w:space="0" w:color="auto"/>
              <w:bottom w:val="single" w:sz="4" w:space="0" w:color="auto"/>
              <w:right w:val="single" w:sz="4" w:space="0" w:color="auto"/>
            </w:tcBorders>
            <w:vAlign w:val="center"/>
          </w:tcPr>
          <w:p w14:paraId="152A5446" w14:textId="23DF635E" w:rsidR="00BB3893" w:rsidRPr="003E7926" w:rsidRDefault="003E7926" w:rsidP="00CA454D">
            <w:pPr>
              <w:keepLines/>
              <w:spacing w:before="100" w:after="100"/>
              <w:ind w:right="213"/>
              <w:jc w:val="right"/>
              <w:rPr>
                <w:b/>
                <w:bCs/>
              </w:rPr>
            </w:pPr>
            <w:r w:rsidRPr="003E7926">
              <w:rPr>
                <w:b/>
                <w:bCs/>
              </w:rPr>
              <w:t>8</w:t>
            </w:r>
            <w:r w:rsidR="00BB3893" w:rsidRPr="003E7926">
              <w:rPr>
                <w:b/>
                <w:bCs/>
              </w:rPr>
              <w:t>00 000 €</w:t>
            </w:r>
          </w:p>
          <w:p w14:paraId="13EFCEAF" w14:textId="77777777" w:rsidR="00BB3893" w:rsidRPr="003E7926" w:rsidRDefault="00BB3893" w:rsidP="00CA454D">
            <w:pPr>
              <w:keepLines/>
              <w:spacing w:before="100" w:after="100"/>
              <w:ind w:right="213"/>
              <w:jc w:val="right"/>
              <w:rPr>
                <w:b/>
                <w:bCs/>
              </w:rPr>
            </w:pPr>
            <w:r w:rsidRPr="003E7926">
              <w:rPr>
                <w:b/>
                <w:bCs/>
              </w:rPr>
              <w:t>100 000 €</w:t>
            </w:r>
          </w:p>
          <w:p w14:paraId="71D8CD76" w14:textId="77777777" w:rsidR="00BB3893" w:rsidRPr="003E7926" w:rsidRDefault="00BB3893" w:rsidP="00CA454D">
            <w:pPr>
              <w:keepLines/>
              <w:spacing w:before="100" w:after="100"/>
              <w:ind w:right="213"/>
              <w:jc w:val="right"/>
              <w:rPr>
                <w:b/>
                <w:bCs/>
              </w:rPr>
            </w:pPr>
            <w:r w:rsidRPr="003E7926">
              <w:rPr>
                <w:b/>
                <w:bCs/>
              </w:rPr>
              <w:t>100 000 €</w:t>
            </w:r>
          </w:p>
        </w:tc>
      </w:tr>
      <w:tr w:rsidR="00BB3893" w:rsidRPr="00035DCE" w14:paraId="7081217D"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68F4C9F5" w14:textId="77777777" w:rsidR="00BB3893" w:rsidRPr="003E7926" w:rsidRDefault="00BB3893" w:rsidP="00CA454D">
            <w:pPr>
              <w:keepLines/>
              <w:spacing w:before="100" w:after="100"/>
              <w:jc w:val="left"/>
            </w:pPr>
            <w:r w:rsidRPr="003E7926">
              <w:t>Tous dommages aux objets d’art et/ou précieux, y compris transport</w:t>
            </w:r>
          </w:p>
        </w:tc>
        <w:tc>
          <w:tcPr>
            <w:tcW w:w="3543" w:type="dxa"/>
            <w:tcBorders>
              <w:top w:val="single" w:sz="4" w:space="0" w:color="auto"/>
              <w:left w:val="single" w:sz="4" w:space="0" w:color="auto"/>
              <w:bottom w:val="single" w:sz="4" w:space="0" w:color="auto"/>
              <w:right w:val="single" w:sz="4" w:space="0" w:color="auto"/>
            </w:tcBorders>
            <w:vAlign w:val="center"/>
          </w:tcPr>
          <w:p w14:paraId="11F49EEA" w14:textId="77777777" w:rsidR="00BB3893" w:rsidRPr="003E7926" w:rsidRDefault="00BB3893" w:rsidP="00CA454D">
            <w:pPr>
              <w:keepLines/>
              <w:spacing w:before="100" w:after="100"/>
              <w:ind w:right="213"/>
              <w:jc w:val="right"/>
              <w:rPr>
                <w:b/>
                <w:bCs/>
              </w:rPr>
            </w:pPr>
            <w:r w:rsidRPr="003E7926">
              <w:rPr>
                <w:b/>
                <w:bCs/>
              </w:rPr>
              <w:t>50 000 €</w:t>
            </w:r>
          </w:p>
        </w:tc>
      </w:tr>
      <w:tr w:rsidR="003A2165" w:rsidRPr="00035DCE" w14:paraId="01451E7F"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73637EE3" w14:textId="4CCBA6B9" w:rsidR="003A2165" w:rsidRPr="003E7926" w:rsidRDefault="003A2165" w:rsidP="00CA454D">
            <w:pPr>
              <w:keepLines/>
              <w:spacing w:before="100" w:after="100"/>
              <w:jc w:val="left"/>
            </w:pPr>
            <w:r>
              <w:t>Tous dommages en tous lieux</w:t>
            </w:r>
          </w:p>
        </w:tc>
        <w:tc>
          <w:tcPr>
            <w:tcW w:w="3543" w:type="dxa"/>
            <w:tcBorders>
              <w:top w:val="single" w:sz="4" w:space="0" w:color="auto"/>
              <w:left w:val="single" w:sz="4" w:space="0" w:color="auto"/>
              <w:bottom w:val="single" w:sz="4" w:space="0" w:color="auto"/>
              <w:right w:val="single" w:sz="4" w:space="0" w:color="auto"/>
            </w:tcBorders>
            <w:vAlign w:val="center"/>
          </w:tcPr>
          <w:p w14:paraId="4B07B204" w14:textId="623108E4" w:rsidR="003A2165" w:rsidRPr="003E7926" w:rsidRDefault="00D67DDF" w:rsidP="00CA454D">
            <w:pPr>
              <w:keepLines/>
              <w:spacing w:before="100" w:after="100"/>
              <w:ind w:right="213"/>
              <w:jc w:val="right"/>
              <w:rPr>
                <w:b/>
                <w:bCs/>
              </w:rPr>
            </w:pPr>
            <w:r>
              <w:rPr>
                <w:b/>
                <w:bCs/>
              </w:rPr>
              <w:t>10</w:t>
            </w:r>
            <w:r w:rsidR="003A2165">
              <w:rPr>
                <w:b/>
                <w:bCs/>
              </w:rPr>
              <w:t> 000 €</w:t>
            </w:r>
          </w:p>
        </w:tc>
      </w:tr>
      <w:tr w:rsidR="00BB3893" w:rsidRPr="0026627C" w14:paraId="6D585FBA"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3CFD6E71" w14:textId="77777777" w:rsidR="00BB3893" w:rsidRPr="00E92A51" w:rsidRDefault="00BB3893" w:rsidP="00CA454D">
            <w:pPr>
              <w:keepLines/>
              <w:spacing w:before="100" w:after="100"/>
              <w:jc w:val="left"/>
            </w:pPr>
            <w:r w:rsidRPr="005E25B6">
              <w:t>Dommages à l'environnement immédiat</w:t>
            </w:r>
          </w:p>
        </w:tc>
        <w:tc>
          <w:tcPr>
            <w:tcW w:w="3543" w:type="dxa"/>
            <w:tcBorders>
              <w:top w:val="single" w:sz="4" w:space="0" w:color="auto"/>
              <w:left w:val="single" w:sz="4" w:space="0" w:color="auto"/>
              <w:bottom w:val="single" w:sz="4" w:space="0" w:color="auto"/>
              <w:right w:val="single" w:sz="4" w:space="0" w:color="auto"/>
            </w:tcBorders>
            <w:vAlign w:val="center"/>
          </w:tcPr>
          <w:p w14:paraId="6182ADF4" w14:textId="77777777" w:rsidR="00BB3893" w:rsidRPr="009B7F62" w:rsidRDefault="00BB3893" w:rsidP="00CA454D">
            <w:pPr>
              <w:keepLines/>
              <w:spacing w:before="100" w:after="100"/>
              <w:ind w:right="213"/>
              <w:jc w:val="right"/>
              <w:rPr>
                <w:b/>
                <w:bCs/>
              </w:rPr>
            </w:pPr>
            <w:r w:rsidRPr="009B7F62">
              <w:rPr>
                <w:b/>
                <w:bCs/>
              </w:rPr>
              <w:t>100 000 €</w:t>
            </w:r>
          </w:p>
        </w:tc>
      </w:tr>
      <w:tr w:rsidR="00BB3893" w:rsidRPr="00035DCE" w14:paraId="1268E392"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7F6A484D" w14:textId="5AD56837" w:rsidR="00BB3893" w:rsidRPr="00BB3893" w:rsidRDefault="00BB3893" w:rsidP="009B7F62">
            <w:pPr>
              <w:keepNext/>
              <w:keepLines/>
              <w:spacing w:before="100" w:after="100"/>
              <w:jc w:val="left"/>
            </w:pPr>
            <w:r w:rsidRPr="00BB3893">
              <w:t>Ouvrages d'art et de génie civil, hors parties de bâtiments</w:t>
            </w:r>
          </w:p>
        </w:tc>
        <w:tc>
          <w:tcPr>
            <w:tcW w:w="3543" w:type="dxa"/>
            <w:tcBorders>
              <w:top w:val="single" w:sz="4" w:space="0" w:color="auto"/>
              <w:left w:val="single" w:sz="4" w:space="0" w:color="auto"/>
              <w:bottom w:val="single" w:sz="4" w:space="0" w:color="auto"/>
              <w:right w:val="single" w:sz="4" w:space="0" w:color="auto"/>
            </w:tcBorders>
            <w:vAlign w:val="center"/>
          </w:tcPr>
          <w:p w14:paraId="4E905710" w14:textId="42AD6062" w:rsidR="00BB3893" w:rsidRPr="009B7F62" w:rsidRDefault="00BB3893" w:rsidP="009B7F62">
            <w:pPr>
              <w:keepLines/>
              <w:spacing w:before="100" w:after="100"/>
              <w:ind w:right="213"/>
              <w:jc w:val="right"/>
              <w:rPr>
                <w:b/>
                <w:bCs/>
              </w:rPr>
            </w:pPr>
            <w:r w:rsidRPr="009B7F62">
              <w:rPr>
                <w:b/>
                <w:bCs/>
              </w:rPr>
              <w:t>300 000 €</w:t>
            </w:r>
          </w:p>
        </w:tc>
      </w:tr>
      <w:tr w:rsidR="00BB3893" w:rsidRPr="0026627C" w14:paraId="312A40FE"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5CEF1AF3" w14:textId="77777777" w:rsidR="00BB3893" w:rsidRPr="006541A9" w:rsidRDefault="00BB3893" w:rsidP="00CA454D">
            <w:pPr>
              <w:keepLines/>
              <w:spacing w:before="100" w:after="100"/>
              <w:jc w:val="left"/>
            </w:pPr>
            <w:r w:rsidRPr="006541A9">
              <w:t>Recours des voisins et des tiers</w:t>
            </w:r>
            <w:r w:rsidRPr="006541A9">
              <w:br/>
              <w:t>Dommages matériels et immatériels.</w:t>
            </w:r>
          </w:p>
        </w:tc>
        <w:tc>
          <w:tcPr>
            <w:tcW w:w="3543" w:type="dxa"/>
            <w:tcBorders>
              <w:top w:val="single" w:sz="4" w:space="0" w:color="auto"/>
              <w:left w:val="single" w:sz="4" w:space="0" w:color="auto"/>
              <w:bottom w:val="single" w:sz="4" w:space="0" w:color="auto"/>
              <w:right w:val="single" w:sz="4" w:space="0" w:color="auto"/>
            </w:tcBorders>
            <w:vAlign w:val="center"/>
          </w:tcPr>
          <w:p w14:paraId="5BE9BDFC" w14:textId="3108A49B" w:rsidR="00BB3893" w:rsidRPr="009B7F62" w:rsidRDefault="00BB3893" w:rsidP="00CA454D">
            <w:pPr>
              <w:keepLines/>
              <w:spacing w:before="100" w:after="100"/>
              <w:ind w:right="213"/>
              <w:jc w:val="right"/>
              <w:rPr>
                <w:b/>
                <w:bCs/>
              </w:rPr>
            </w:pPr>
            <w:r w:rsidRPr="009B7F62">
              <w:rPr>
                <w:b/>
                <w:bCs/>
              </w:rPr>
              <w:t>10 000 000 €</w:t>
            </w:r>
          </w:p>
        </w:tc>
      </w:tr>
      <w:tr w:rsidR="00BB3893" w:rsidRPr="0026627C" w14:paraId="7078CD35" w14:textId="77777777" w:rsidTr="00867A42">
        <w:tc>
          <w:tcPr>
            <w:tcW w:w="5529" w:type="dxa"/>
            <w:tcBorders>
              <w:top w:val="single" w:sz="4" w:space="0" w:color="auto"/>
              <w:left w:val="single" w:sz="4" w:space="0" w:color="auto"/>
              <w:bottom w:val="single" w:sz="4" w:space="0" w:color="auto"/>
              <w:right w:val="single" w:sz="4" w:space="0" w:color="auto"/>
            </w:tcBorders>
            <w:vAlign w:val="center"/>
          </w:tcPr>
          <w:p w14:paraId="1D02D85D" w14:textId="4A91B47A" w:rsidR="00BB3893" w:rsidRPr="006541A9" w:rsidRDefault="00BB3893" w:rsidP="00CA454D">
            <w:pPr>
              <w:keepLines/>
              <w:spacing w:before="100" w:after="100"/>
              <w:jc w:val="left"/>
            </w:pPr>
            <w:r>
              <w:t>Recours des locataires</w:t>
            </w:r>
            <w:r>
              <w:br/>
              <w:t>Dommages matériels et immatériels</w:t>
            </w:r>
          </w:p>
        </w:tc>
        <w:tc>
          <w:tcPr>
            <w:tcW w:w="3543" w:type="dxa"/>
            <w:tcBorders>
              <w:top w:val="single" w:sz="4" w:space="0" w:color="auto"/>
              <w:left w:val="single" w:sz="4" w:space="0" w:color="auto"/>
              <w:bottom w:val="single" w:sz="4" w:space="0" w:color="auto"/>
              <w:right w:val="single" w:sz="4" w:space="0" w:color="auto"/>
            </w:tcBorders>
            <w:vAlign w:val="center"/>
          </w:tcPr>
          <w:p w14:paraId="113319FE" w14:textId="0E5DBC09" w:rsidR="00BB3893" w:rsidRPr="009B7F62" w:rsidRDefault="00BB3893" w:rsidP="00CA454D">
            <w:pPr>
              <w:keepLines/>
              <w:spacing w:before="100" w:after="100"/>
              <w:ind w:right="213"/>
              <w:jc w:val="right"/>
              <w:rPr>
                <w:b/>
                <w:bCs/>
              </w:rPr>
            </w:pPr>
            <w:r w:rsidRPr="009B7F62">
              <w:rPr>
                <w:b/>
                <w:bCs/>
              </w:rPr>
              <w:t>10</w:t>
            </w:r>
            <w:r w:rsidR="00804946" w:rsidRPr="009B7F62">
              <w:rPr>
                <w:b/>
                <w:bCs/>
              </w:rPr>
              <w:t> </w:t>
            </w:r>
            <w:r w:rsidRPr="009B7F62">
              <w:rPr>
                <w:b/>
                <w:bCs/>
              </w:rPr>
              <w:t>000 000 €</w:t>
            </w:r>
          </w:p>
        </w:tc>
      </w:tr>
    </w:tbl>
    <w:p w14:paraId="3AED9E01" w14:textId="46FDEDBE" w:rsidR="00E92A51" w:rsidRDefault="00E92A51" w:rsidP="00CA454D">
      <w:pPr>
        <w:pStyle w:val="Titre2"/>
      </w:pPr>
      <w:bookmarkStart w:id="29" w:name="_Toc11654790"/>
      <w:r w:rsidRPr="00481043">
        <w:t>Garanties annexes</w:t>
      </w:r>
      <w:bookmarkEnd w:id="29"/>
    </w:p>
    <w:p w14:paraId="16966B6A" w14:textId="2ADA0A38" w:rsidR="002A0BD8" w:rsidRPr="002A0BD8" w:rsidRDefault="002A0BD8" w:rsidP="00CA454D">
      <w:pPr>
        <w:keepNext/>
        <w:keepLines/>
        <w:spacing w:after="240"/>
      </w:pPr>
      <w:bookmarkStart w:id="30" w:name="_Hlk93153274"/>
      <w:r>
        <w:t>Les montants assurés au titre des garanties annexes sont les suivants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3543"/>
      </w:tblGrid>
      <w:tr w:rsidR="00E92A51" w:rsidRPr="008C3725" w14:paraId="795408CA" w14:textId="77777777" w:rsidTr="00CA3756">
        <w:tc>
          <w:tcPr>
            <w:tcW w:w="5529" w:type="dxa"/>
            <w:vAlign w:val="center"/>
          </w:tcPr>
          <w:bookmarkEnd w:id="30"/>
          <w:p w14:paraId="70EACBB9" w14:textId="07132A29" w:rsidR="00E92A51" w:rsidRPr="00E92A51" w:rsidRDefault="00E92A51" w:rsidP="00CA454D">
            <w:pPr>
              <w:keepLines/>
              <w:spacing w:beforeLines="40" w:before="96" w:afterLines="40" w:after="96"/>
              <w:jc w:val="left"/>
            </w:pPr>
            <w:r w:rsidRPr="00E92A51">
              <w:t>Frais de reconstitution d'archives</w:t>
            </w:r>
          </w:p>
        </w:tc>
        <w:tc>
          <w:tcPr>
            <w:tcW w:w="3543" w:type="dxa"/>
            <w:vAlign w:val="center"/>
          </w:tcPr>
          <w:p w14:paraId="7A9676AF" w14:textId="2C7E445D" w:rsidR="00E92A51" w:rsidRPr="00061162" w:rsidRDefault="00E92A51" w:rsidP="00CA454D">
            <w:pPr>
              <w:keepLines/>
              <w:spacing w:beforeLines="40" w:before="96" w:afterLines="40" w:after="96"/>
              <w:jc w:val="center"/>
            </w:pPr>
            <w:r w:rsidRPr="003E7926">
              <w:rPr>
                <w:b/>
                <w:bCs/>
              </w:rPr>
              <w:t>750 000 €</w:t>
            </w:r>
          </w:p>
        </w:tc>
      </w:tr>
      <w:tr w:rsidR="00E92A51" w:rsidRPr="004162CE" w14:paraId="2F14CBB2" w14:textId="77777777" w:rsidTr="00CA3756">
        <w:trPr>
          <w:trHeight w:val="70"/>
        </w:trPr>
        <w:tc>
          <w:tcPr>
            <w:tcW w:w="5529" w:type="dxa"/>
            <w:vAlign w:val="center"/>
          </w:tcPr>
          <w:p w14:paraId="27E218E8" w14:textId="1FA5361E" w:rsidR="00E92A51" w:rsidRPr="00E92A51" w:rsidRDefault="00E92A51" w:rsidP="00CA454D">
            <w:pPr>
              <w:keepLines/>
              <w:spacing w:beforeLines="40" w:before="96" w:afterLines="40" w:after="96"/>
              <w:jc w:val="left"/>
            </w:pPr>
            <w:r w:rsidRPr="00E92A51">
              <w:t>Frais de déblais et de démolition</w:t>
            </w:r>
            <w:r w:rsidR="00337A6F">
              <w:t xml:space="preserve">, </w:t>
            </w:r>
            <w:r w:rsidR="00337A6F" w:rsidRPr="00E92A51">
              <w:t>frais de gardiennage</w:t>
            </w:r>
            <w:r w:rsidR="00DC5058">
              <w:t xml:space="preserve"> et</w:t>
            </w:r>
            <w:r w:rsidR="00337A6F" w:rsidRPr="00E92A51">
              <w:t xml:space="preserve"> de protection</w:t>
            </w:r>
            <w:r w:rsidR="00DC5058">
              <w:t>, mesures conservatoires</w:t>
            </w:r>
          </w:p>
        </w:tc>
        <w:tc>
          <w:tcPr>
            <w:tcW w:w="3543" w:type="dxa"/>
            <w:vAlign w:val="center"/>
          </w:tcPr>
          <w:p w14:paraId="27E248EF" w14:textId="239596C6" w:rsidR="00E92A51" w:rsidRPr="00E95992" w:rsidRDefault="006E0418" w:rsidP="00CA454D">
            <w:pPr>
              <w:keepLines/>
              <w:spacing w:beforeLines="40" w:before="96" w:afterLines="40" w:after="96"/>
              <w:jc w:val="center"/>
              <w:rPr>
                <w:b/>
                <w:bCs/>
              </w:rPr>
            </w:pPr>
            <w:r>
              <w:rPr>
                <w:b/>
                <w:bCs/>
              </w:rPr>
              <w:t>Frais réels</w:t>
            </w:r>
          </w:p>
        </w:tc>
      </w:tr>
      <w:tr w:rsidR="00E92A51" w:rsidRPr="008C3725" w14:paraId="6D8F0610" w14:textId="77777777" w:rsidTr="00CA3756">
        <w:tc>
          <w:tcPr>
            <w:tcW w:w="5529" w:type="dxa"/>
            <w:vAlign w:val="center"/>
          </w:tcPr>
          <w:p w14:paraId="4BD74175" w14:textId="37FE1F56" w:rsidR="00E92A51" w:rsidRPr="00E92A51" w:rsidRDefault="00E92A51" w:rsidP="00CA454D">
            <w:pPr>
              <w:keepLines/>
              <w:spacing w:beforeLines="40" w:before="96" w:afterLines="40" w:after="96"/>
              <w:jc w:val="left"/>
            </w:pPr>
            <w:r w:rsidRPr="00E92A51">
              <w:t xml:space="preserve">Pertes indirectes </w:t>
            </w:r>
          </w:p>
        </w:tc>
        <w:tc>
          <w:tcPr>
            <w:tcW w:w="3543" w:type="dxa"/>
            <w:vAlign w:val="center"/>
          </w:tcPr>
          <w:p w14:paraId="1BF6FE85" w14:textId="21E5A209" w:rsidR="00E92A51" w:rsidRPr="00061162" w:rsidRDefault="001C467E" w:rsidP="00CA454D">
            <w:pPr>
              <w:keepLines/>
              <w:spacing w:beforeLines="40" w:before="96" w:afterLines="40" w:after="96"/>
              <w:jc w:val="center"/>
            </w:pPr>
            <w:r w:rsidRPr="00E95992">
              <w:rPr>
                <w:b/>
                <w:bCs/>
              </w:rPr>
              <w:t>5 %</w:t>
            </w:r>
            <w:r w:rsidRPr="00061162">
              <w:t xml:space="preserve"> forfaitaire</w:t>
            </w:r>
            <w:r>
              <w:t>s</w:t>
            </w:r>
            <w:r>
              <w:br/>
            </w:r>
            <w:r w:rsidR="00E92A51" w:rsidRPr="00E95992">
              <w:rPr>
                <w:b/>
                <w:bCs/>
              </w:rPr>
              <w:t>5 %</w:t>
            </w:r>
            <w:r w:rsidR="00E92A51" w:rsidRPr="00061162">
              <w:t xml:space="preserve"> sur justificatif</w:t>
            </w:r>
            <w:r>
              <w:t>s</w:t>
            </w:r>
          </w:p>
        </w:tc>
      </w:tr>
      <w:tr w:rsidR="00E92A51" w:rsidRPr="004162CE" w14:paraId="53FB389F" w14:textId="77777777" w:rsidTr="00CA3756">
        <w:tc>
          <w:tcPr>
            <w:tcW w:w="5529" w:type="dxa"/>
            <w:vAlign w:val="center"/>
          </w:tcPr>
          <w:p w14:paraId="1A1D241C" w14:textId="78C45C92" w:rsidR="00E92A51" w:rsidRPr="00E92A51" w:rsidRDefault="00E92A51" w:rsidP="00CA454D">
            <w:pPr>
              <w:keepLines/>
              <w:spacing w:beforeLines="40" w:before="96" w:afterLines="40" w:after="96"/>
              <w:jc w:val="left"/>
            </w:pPr>
            <w:r w:rsidRPr="00E92A51">
              <w:t>Perte de loyers</w:t>
            </w:r>
            <w:r w:rsidR="00BB425B">
              <w:t xml:space="preserve"> - Perte d’usage - </w:t>
            </w:r>
            <w:r w:rsidRPr="00E92A51">
              <w:t>Privation de jouissance</w:t>
            </w:r>
          </w:p>
        </w:tc>
        <w:tc>
          <w:tcPr>
            <w:tcW w:w="3543" w:type="dxa"/>
            <w:vAlign w:val="center"/>
          </w:tcPr>
          <w:p w14:paraId="6AFF01F6" w14:textId="226FE9EA" w:rsidR="00E92A51" w:rsidRPr="00061162" w:rsidRDefault="00694CBE" w:rsidP="00CA454D">
            <w:pPr>
              <w:keepLines/>
              <w:spacing w:beforeLines="40" w:before="96" w:afterLines="40" w:after="96"/>
              <w:jc w:val="center"/>
            </w:pPr>
            <w:r w:rsidRPr="00E95992">
              <w:rPr>
                <w:b/>
                <w:bCs/>
              </w:rPr>
              <w:t>2</w:t>
            </w:r>
            <w:r w:rsidR="00E92A51" w:rsidRPr="00E95992">
              <w:rPr>
                <w:b/>
                <w:bCs/>
              </w:rPr>
              <w:t xml:space="preserve"> </w:t>
            </w:r>
            <w:r w:rsidR="00E92A51" w:rsidRPr="00061162">
              <w:t>années de loyer</w:t>
            </w:r>
            <w:r w:rsidR="00E95992">
              <w:t>s</w:t>
            </w:r>
          </w:p>
        </w:tc>
      </w:tr>
      <w:tr w:rsidR="00E92A51" w:rsidRPr="008C3725" w14:paraId="76B3B511" w14:textId="77777777" w:rsidTr="00CA3756">
        <w:tc>
          <w:tcPr>
            <w:tcW w:w="5529" w:type="dxa"/>
            <w:vAlign w:val="center"/>
          </w:tcPr>
          <w:p w14:paraId="67B80825" w14:textId="151E5C43" w:rsidR="00E92A51" w:rsidRPr="008C3725" w:rsidRDefault="00E92A51" w:rsidP="00CA454D">
            <w:pPr>
              <w:keepLines/>
              <w:spacing w:beforeLines="40" w:before="96" w:afterLines="40" w:after="96"/>
              <w:jc w:val="left"/>
            </w:pPr>
            <w:r w:rsidRPr="008C3725">
              <w:lastRenderedPageBreak/>
              <w:t>Honoraires d'experts</w:t>
            </w:r>
          </w:p>
        </w:tc>
        <w:tc>
          <w:tcPr>
            <w:tcW w:w="3543" w:type="dxa"/>
            <w:vAlign w:val="center"/>
          </w:tcPr>
          <w:p w14:paraId="1A1D7239" w14:textId="41711581" w:rsidR="00E92A51" w:rsidRPr="00061162" w:rsidRDefault="00F76D78" w:rsidP="00CA454D">
            <w:pPr>
              <w:keepLines/>
              <w:spacing w:beforeLines="40" w:before="96" w:afterLines="40" w:after="96"/>
              <w:jc w:val="center"/>
            </w:pPr>
            <w:r w:rsidRPr="00E95992">
              <w:rPr>
                <w:b/>
                <w:bCs/>
              </w:rPr>
              <w:t>Frais réels</w:t>
            </w:r>
            <w:r>
              <w:t xml:space="preserve"> dans la limite </w:t>
            </w:r>
            <w:r w:rsidR="004847B2">
              <w:t xml:space="preserve">prévue </w:t>
            </w:r>
            <w:r>
              <w:t xml:space="preserve">aux </w:t>
            </w:r>
            <w:r w:rsidR="00061162" w:rsidRPr="00061162">
              <w:t>conditions générales</w:t>
            </w:r>
          </w:p>
        </w:tc>
      </w:tr>
      <w:tr w:rsidR="00E92A51" w:rsidRPr="008C3725" w14:paraId="0D1CDF24" w14:textId="77777777" w:rsidTr="00CA3756">
        <w:trPr>
          <w:trHeight w:val="643"/>
        </w:trPr>
        <w:tc>
          <w:tcPr>
            <w:tcW w:w="5529" w:type="dxa"/>
            <w:vAlign w:val="center"/>
          </w:tcPr>
          <w:p w14:paraId="67364E80" w14:textId="6DD9981F" w:rsidR="00E92A51" w:rsidRPr="008C3725" w:rsidRDefault="00BB425B" w:rsidP="00CA454D">
            <w:pPr>
              <w:keepLines/>
              <w:spacing w:beforeLines="40" w:before="96" w:afterLines="40" w:after="96"/>
              <w:jc w:val="left"/>
            </w:pPr>
            <w:r>
              <w:t>Frais de r</w:t>
            </w:r>
            <w:r w:rsidR="00E92A51" w:rsidRPr="008C3725">
              <w:t>echerche de fuites</w:t>
            </w:r>
          </w:p>
        </w:tc>
        <w:tc>
          <w:tcPr>
            <w:tcW w:w="3543" w:type="dxa"/>
            <w:vAlign w:val="center"/>
          </w:tcPr>
          <w:p w14:paraId="296E721F" w14:textId="2BBF3228" w:rsidR="00E92A51" w:rsidRPr="00E95992" w:rsidRDefault="00337A6F" w:rsidP="00CA454D">
            <w:pPr>
              <w:keepLines/>
              <w:spacing w:beforeLines="40" w:before="96" w:afterLines="40" w:after="96"/>
              <w:jc w:val="center"/>
              <w:rPr>
                <w:b/>
                <w:bCs/>
              </w:rPr>
            </w:pPr>
            <w:r w:rsidRPr="00E95992">
              <w:rPr>
                <w:b/>
                <w:bCs/>
              </w:rPr>
              <w:t>2</w:t>
            </w:r>
            <w:r w:rsidR="00E92A51" w:rsidRPr="00E95992">
              <w:rPr>
                <w:b/>
                <w:bCs/>
              </w:rPr>
              <w:t>5 000 €</w:t>
            </w:r>
          </w:p>
        </w:tc>
      </w:tr>
      <w:tr w:rsidR="00E92A51" w:rsidRPr="004162CE" w14:paraId="4FA26E24" w14:textId="77777777" w:rsidTr="00CA3756">
        <w:trPr>
          <w:trHeight w:val="783"/>
        </w:trPr>
        <w:tc>
          <w:tcPr>
            <w:tcW w:w="5529" w:type="dxa"/>
            <w:vAlign w:val="center"/>
          </w:tcPr>
          <w:p w14:paraId="27A90D52" w14:textId="6F3584EF" w:rsidR="00E92A51" w:rsidRPr="00E92A51" w:rsidRDefault="00E92A51" w:rsidP="00CA454D">
            <w:pPr>
              <w:keepLines/>
              <w:spacing w:beforeLines="40" w:before="96" w:afterLines="40" w:after="96"/>
              <w:jc w:val="left"/>
            </w:pPr>
            <w:r w:rsidRPr="00E92A51">
              <w:t xml:space="preserve">Frais de BET, contrôleurs et décorateurs </w:t>
            </w:r>
          </w:p>
        </w:tc>
        <w:tc>
          <w:tcPr>
            <w:tcW w:w="3543" w:type="dxa"/>
            <w:vAlign w:val="center"/>
          </w:tcPr>
          <w:p w14:paraId="1B70C0D5" w14:textId="435D3469" w:rsidR="00E92A51" w:rsidRPr="00061162" w:rsidRDefault="002C23EA" w:rsidP="00CA454D">
            <w:pPr>
              <w:keepLines/>
              <w:spacing w:beforeLines="40" w:before="96" w:afterLines="40" w:after="96"/>
              <w:jc w:val="center"/>
            </w:pPr>
            <w:r w:rsidRPr="00E95992">
              <w:rPr>
                <w:b/>
                <w:bCs/>
              </w:rPr>
              <w:t>2</w:t>
            </w:r>
            <w:r w:rsidR="00E92A51" w:rsidRPr="00E95992">
              <w:rPr>
                <w:b/>
                <w:bCs/>
              </w:rPr>
              <w:t>5 %</w:t>
            </w:r>
            <w:r w:rsidR="00E92A51" w:rsidRPr="00061162">
              <w:t xml:space="preserve"> des dommages</w:t>
            </w:r>
          </w:p>
        </w:tc>
      </w:tr>
      <w:tr w:rsidR="00E92A51" w:rsidRPr="004162CE" w14:paraId="51C5173E" w14:textId="77777777" w:rsidTr="00CA3756">
        <w:trPr>
          <w:trHeight w:val="782"/>
        </w:trPr>
        <w:tc>
          <w:tcPr>
            <w:tcW w:w="5529" w:type="dxa"/>
            <w:vAlign w:val="center"/>
          </w:tcPr>
          <w:p w14:paraId="25682EDA" w14:textId="162A9112" w:rsidR="00E92A51" w:rsidRPr="00E92A51" w:rsidRDefault="00E92A51" w:rsidP="00CA454D">
            <w:pPr>
              <w:keepLines/>
              <w:spacing w:beforeLines="40" w:before="96" w:afterLines="40" w:after="96"/>
              <w:jc w:val="left"/>
            </w:pPr>
            <w:r w:rsidRPr="00E92A51">
              <w:t>Frais de mise en conformité</w:t>
            </w:r>
          </w:p>
        </w:tc>
        <w:tc>
          <w:tcPr>
            <w:tcW w:w="3543" w:type="dxa"/>
            <w:vAlign w:val="center"/>
          </w:tcPr>
          <w:p w14:paraId="28DA1785" w14:textId="271883BB" w:rsidR="00E92A51" w:rsidRPr="00061162" w:rsidRDefault="00E92A51" w:rsidP="00CA454D">
            <w:pPr>
              <w:keepLines/>
              <w:spacing w:beforeLines="40" w:before="96" w:afterLines="40" w:after="96"/>
              <w:jc w:val="center"/>
            </w:pPr>
            <w:r w:rsidRPr="00E95992">
              <w:rPr>
                <w:b/>
                <w:bCs/>
              </w:rPr>
              <w:t>15 %</w:t>
            </w:r>
            <w:r w:rsidRPr="00061162">
              <w:t xml:space="preserve"> des dommages avec un maximum de </w:t>
            </w:r>
            <w:r w:rsidRPr="00E95992">
              <w:rPr>
                <w:b/>
                <w:bCs/>
              </w:rPr>
              <w:t>750 000 €</w:t>
            </w:r>
          </w:p>
        </w:tc>
      </w:tr>
      <w:tr w:rsidR="00E92A51" w:rsidRPr="008C3725" w14:paraId="40105B24" w14:textId="77777777" w:rsidTr="00CA3756">
        <w:trPr>
          <w:trHeight w:val="782"/>
        </w:trPr>
        <w:tc>
          <w:tcPr>
            <w:tcW w:w="5529" w:type="dxa"/>
            <w:vAlign w:val="center"/>
          </w:tcPr>
          <w:p w14:paraId="11197BC5" w14:textId="5B03E593" w:rsidR="00E92A51" w:rsidRPr="00E92A51" w:rsidRDefault="00E92A51" w:rsidP="00CA454D">
            <w:pPr>
              <w:keepLines/>
              <w:spacing w:beforeLines="40" w:before="96" w:afterLines="40" w:after="96"/>
              <w:jc w:val="left"/>
            </w:pPr>
            <w:r w:rsidRPr="00E92A51">
              <w:t>Frais de déplacement, transport, garde meuble</w:t>
            </w:r>
          </w:p>
        </w:tc>
        <w:tc>
          <w:tcPr>
            <w:tcW w:w="3543" w:type="dxa"/>
            <w:vAlign w:val="center"/>
          </w:tcPr>
          <w:p w14:paraId="19ADEAAB" w14:textId="77777777" w:rsidR="00E92A51" w:rsidRPr="00E95992" w:rsidRDefault="00E92A51" w:rsidP="00CA454D">
            <w:pPr>
              <w:keepLines/>
              <w:spacing w:beforeLines="40" w:before="96" w:afterLines="40" w:after="96"/>
              <w:jc w:val="center"/>
              <w:rPr>
                <w:b/>
                <w:bCs/>
              </w:rPr>
            </w:pPr>
            <w:r w:rsidRPr="00E95992">
              <w:rPr>
                <w:b/>
                <w:bCs/>
              </w:rPr>
              <w:t>150 000 €</w:t>
            </w:r>
          </w:p>
        </w:tc>
      </w:tr>
      <w:tr w:rsidR="00E92A51" w:rsidRPr="004162CE" w14:paraId="06889E99" w14:textId="77777777" w:rsidTr="00CA3756">
        <w:trPr>
          <w:trHeight w:val="783"/>
        </w:trPr>
        <w:tc>
          <w:tcPr>
            <w:tcW w:w="5529" w:type="dxa"/>
            <w:vAlign w:val="center"/>
          </w:tcPr>
          <w:p w14:paraId="4E8556AF" w14:textId="762EA667" w:rsidR="00E92A51" w:rsidRPr="00E92A51" w:rsidRDefault="00E92A51" w:rsidP="00CA454D">
            <w:pPr>
              <w:keepLines/>
              <w:spacing w:beforeLines="40" w:before="96" w:afterLines="40" w:after="96"/>
              <w:jc w:val="left"/>
            </w:pPr>
            <w:r w:rsidRPr="00E92A51">
              <w:t>Prime</w:t>
            </w:r>
            <w:r w:rsidR="002D207E">
              <w:t>s</w:t>
            </w:r>
            <w:r w:rsidRPr="00E92A51">
              <w:t xml:space="preserve"> </w:t>
            </w:r>
            <w:r w:rsidR="00BB425B">
              <w:t xml:space="preserve">d’assurance </w:t>
            </w:r>
            <w:r w:rsidR="008F1A8F">
              <w:t>« d</w:t>
            </w:r>
            <w:r w:rsidRPr="00E92A51">
              <w:t xml:space="preserve">ommages </w:t>
            </w:r>
            <w:r w:rsidR="008F1A8F">
              <w:t>o</w:t>
            </w:r>
            <w:r w:rsidRPr="00E92A51">
              <w:t>uvrage</w:t>
            </w:r>
            <w:r w:rsidR="008F1A8F">
              <w:t> »</w:t>
            </w:r>
            <w:r w:rsidRPr="00E92A51">
              <w:t xml:space="preserve"> et </w:t>
            </w:r>
            <w:r w:rsidR="008F1A8F">
              <w:t>« t</w:t>
            </w:r>
            <w:r w:rsidRPr="00E92A51">
              <w:t xml:space="preserve">ous </w:t>
            </w:r>
            <w:r w:rsidR="008F1A8F">
              <w:t>r</w:t>
            </w:r>
            <w:r w:rsidRPr="00E92A51">
              <w:t xml:space="preserve">isques </w:t>
            </w:r>
            <w:r w:rsidR="008F1A8F">
              <w:t>c</w:t>
            </w:r>
            <w:r w:rsidRPr="00E92A51">
              <w:t>hantier</w:t>
            </w:r>
            <w:r w:rsidR="008F1A8F">
              <w:t> »</w:t>
            </w:r>
          </w:p>
        </w:tc>
        <w:tc>
          <w:tcPr>
            <w:tcW w:w="3543" w:type="dxa"/>
            <w:vAlign w:val="center"/>
          </w:tcPr>
          <w:p w14:paraId="6C5B52E9" w14:textId="2D5610C4" w:rsidR="00E92A51" w:rsidRPr="00061162" w:rsidRDefault="00E92A51" w:rsidP="00CA454D">
            <w:pPr>
              <w:keepLines/>
              <w:spacing w:beforeLines="40" w:before="96" w:afterLines="40" w:after="96"/>
              <w:jc w:val="center"/>
            </w:pPr>
            <w:r w:rsidRPr="005127A4">
              <w:rPr>
                <w:b/>
                <w:bCs/>
              </w:rPr>
              <w:t>2,5 %</w:t>
            </w:r>
            <w:r w:rsidRPr="005127A4">
              <w:t xml:space="preserve"> du sinistre bâtiment</w:t>
            </w:r>
            <w:r w:rsidRPr="005127A4">
              <w:br/>
              <w:t xml:space="preserve">avec un minimum de </w:t>
            </w:r>
            <w:r w:rsidRPr="005127A4">
              <w:rPr>
                <w:b/>
                <w:bCs/>
              </w:rPr>
              <w:t>4 500 €</w:t>
            </w:r>
          </w:p>
        </w:tc>
      </w:tr>
      <w:tr w:rsidR="00E92A51" w:rsidRPr="008C3725" w14:paraId="08011367" w14:textId="77777777" w:rsidTr="00CA3756">
        <w:trPr>
          <w:trHeight w:val="647"/>
        </w:trPr>
        <w:tc>
          <w:tcPr>
            <w:tcW w:w="5529" w:type="dxa"/>
            <w:vAlign w:val="center"/>
          </w:tcPr>
          <w:p w14:paraId="42390110" w14:textId="63FFF7E4" w:rsidR="00E92A51" w:rsidRPr="00E92A51" w:rsidRDefault="00E92A51" w:rsidP="00CA454D">
            <w:pPr>
              <w:keepLines/>
              <w:spacing w:beforeLines="40" w:before="96" w:afterLines="40" w:after="96"/>
            </w:pPr>
            <w:r w:rsidRPr="00E92A51">
              <w:t>Frais supplémentaires</w:t>
            </w:r>
            <w:r w:rsidR="003E2FA2">
              <w:t xml:space="preserve"> d’exploitation</w:t>
            </w:r>
            <w:r w:rsidRPr="00E92A51">
              <w:t>, perte d'exploitation et perte de recettes</w:t>
            </w:r>
          </w:p>
        </w:tc>
        <w:tc>
          <w:tcPr>
            <w:tcW w:w="3543" w:type="dxa"/>
            <w:vAlign w:val="center"/>
          </w:tcPr>
          <w:p w14:paraId="7FD9132D" w14:textId="62F72BDB" w:rsidR="003E7926" w:rsidRPr="00867A42" w:rsidRDefault="003E7926" w:rsidP="00257EE0">
            <w:pPr>
              <w:rPr>
                <w:b/>
                <w:bCs/>
                <w:sz w:val="20"/>
                <w:szCs w:val="20"/>
              </w:rPr>
            </w:pPr>
            <w:r w:rsidRPr="00867A42">
              <w:rPr>
                <w:b/>
                <w:bCs/>
                <w:sz w:val="20"/>
                <w:szCs w:val="20"/>
              </w:rPr>
              <w:t xml:space="preserve">Groupe hospitalier de la </w:t>
            </w:r>
            <w:r w:rsidR="00867A42">
              <w:rPr>
                <w:b/>
                <w:bCs/>
                <w:sz w:val="20"/>
                <w:szCs w:val="20"/>
              </w:rPr>
              <w:t>H</w:t>
            </w:r>
            <w:r w:rsidRPr="00867A42">
              <w:rPr>
                <w:b/>
                <w:bCs/>
                <w:sz w:val="20"/>
                <w:szCs w:val="20"/>
              </w:rPr>
              <w:t xml:space="preserve">aute Saône : </w:t>
            </w:r>
            <w:r w:rsidR="00257EE0" w:rsidRPr="00867A42">
              <w:rPr>
                <w:b/>
                <w:bCs/>
                <w:sz w:val="20"/>
                <w:szCs w:val="20"/>
              </w:rPr>
              <w:t xml:space="preserve"> </w:t>
            </w:r>
            <w:r w:rsidRPr="00867A42">
              <w:rPr>
                <w:b/>
                <w:bCs/>
                <w:sz w:val="20"/>
                <w:szCs w:val="20"/>
              </w:rPr>
              <w:t xml:space="preserve">30 000 000 € </w:t>
            </w:r>
          </w:p>
          <w:p w14:paraId="45C1A6C0" w14:textId="77777777" w:rsidR="003E7926" w:rsidRPr="00867A42" w:rsidRDefault="003E7926" w:rsidP="00257EE0">
            <w:pPr>
              <w:jc w:val="left"/>
              <w:rPr>
                <w:b/>
                <w:bCs/>
                <w:sz w:val="20"/>
                <w:szCs w:val="20"/>
              </w:rPr>
            </w:pPr>
          </w:p>
          <w:p w14:paraId="3126E1E7" w14:textId="22A8B21E" w:rsidR="003E7926" w:rsidRPr="00867A42" w:rsidRDefault="003E7926" w:rsidP="00257EE0">
            <w:pPr>
              <w:jc w:val="left"/>
              <w:rPr>
                <w:b/>
                <w:bCs/>
                <w:sz w:val="20"/>
                <w:szCs w:val="20"/>
              </w:rPr>
            </w:pPr>
            <w:r w:rsidRPr="00867A42">
              <w:rPr>
                <w:b/>
                <w:bCs/>
                <w:sz w:val="20"/>
                <w:szCs w:val="20"/>
              </w:rPr>
              <w:t>EHPAD Villa Saint Joseph - Scey-sur-Saône</w:t>
            </w:r>
            <w:r w:rsidR="00257EE0" w:rsidRPr="00867A42">
              <w:rPr>
                <w:b/>
                <w:bCs/>
                <w:sz w:val="20"/>
                <w:szCs w:val="20"/>
              </w:rPr>
              <w:t xml:space="preserve"> : </w:t>
            </w:r>
            <w:r w:rsidR="00E5025E" w:rsidRPr="00867A42">
              <w:rPr>
                <w:b/>
                <w:bCs/>
                <w:sz w:val="20"/>
                <w:szCs w:val="20"/>
              </w:rPr>
              <w:t>2 500</w:t>
            </w:r>
            <w:r w:rsidR="00257EE0" w:rsidRPr="00867A42">
              <w:rPr>
                <w:b/>
                <w:bCs/>
                <w:sz w:val="20"/>
                <w:szCs w:val="20"/>
              </w:rPr>
              <w:t> </w:t>
            </w:r>
            <w:r w:rsidR="00E5025E" w:rsidRPr="00867A42">
              <w:rPr>
                <w:b/>
                <w:bCs/>
                <w:sz w:val="20"/>
                <w:szCs w:val="20"/>
              </w:rPr>
              <w:t>000</w:t>
            </w:r>
            <w:r w:rsidR="00257EE0" w:rsidRPr="00867A42">
              <w:rPr>
                <w:b/>
                <w:bCs/>
                <w:sz w:val="20"/>
                <w:szCs w:val="20"/>
              </w:rPr>
              <w:t xml:space="preserve"> </w:t>
            </w:r>
            <w:r w:rsidR="00E5025E" w:rsidRPr="00867A42">
              <w:rPr>
                <w:b/>
                <w:bCs/>
                <w:sz w:val="20"/>
                <w:szCs w:val="20"/>
              </w:rPr>
              <w:t>€</w:t>
            </w:r>
          </w:p>
          <w:p w14:paraId="3BB51FB4" w14:textId="77777777" w:rsidR="003E7926" w:rsidRPr="00867A42" w:rsidRDefault="003E7926" w:rsidP="00257EE0">
            <w:pPr>
              <w:jc w:val="left"/>
              <w:rPr>
                <w:b/>
                <w:bCs/>
                <w:sz w:val="20"/>
                <w:szCs w:val="20"/>
              </w:rPr>
            </w:pPr>
          </w:p>
          <w:p w14:paraId="2E8E0C7E" w14:textId="23A4ADC0" w:rsidR="003E7926" w:rsidRPr="00867A42" w:rsidRDefault="003E7926" w:rsidP="00257EE0">
            <w:pPr>
              <w:jc w:val="left"/>
              <w:rPr>
                <w:b/>
                <w:bCs/>
                <w:sz w:val="20"/>
                <w:szCs w:val="20"/>
              </w:rPr>
            </w:pPr>
            <w:r w:rsidRPr="00867A42">
              <w:rPr>
                <w:b/>
                <w:bCs/>
                <w:sz w:val="20"/>
                <w:szCs w:val="20"/>
              </w:rPr>
              <w:t>EHPAD Jean Michel-Saulx</w:t>
            </w:r>
            <w:r w:rsidR="00257EE0" w:rsidRPr="00867A42">
              <w:rPr>
                <w:b/>
                <w:bCs/>
                <w:sz w:val="20"/>
                <w:szCs w:val="20"/>
              </w:rPr>
              <w:t xml:space="preserve"> : </w:t>
            </w:r>
            <w:r w:rsidR="00E5025E" w:rsidRPr="00867A42">
              <w:rPr>
                <w:b/>
                <w:bCs/>
                <w:sz w:val="20"/>
                <w:szCs w:val="20"/>
              </w:rPr>
              <w:t>3 000 000 €</w:t>
            </w:r>
          </w:p>
          <w:p w14:paraId="1A81F7EC" w14:textId="77777777" w:rsidR="003E7926" w:rsidRPr="00867A42" w:rsidRDefault="003E7926" w:rsidP="00257EE0">
            <w:pPr>
              <w:jc w:val="left"/>
              <w:rPr>
                <w:b/>
                <w:bCs/>
                <w:sz w:val="20"/>
                <w:szCs w:val="20"/>
              </w:rPr>
            </w:pPr>
          </w:p>
          <w:p w14:paraId="1FEAA678" w14:textId="154BEAB2" w:rsidR="003E7926" w:rsidRPr="00E95992" w:rsidRDefault="003E7926" w:rsidP="00867A42">
            <w:pPr>
              <w:jc w:val="left"/>
              <w:rPr>
                <w:b/>
                <w:bCs/>
              </w:rPr>
            </w:pPr>
            <w:r w:rsidRPr="00867A42">
              <w:rPr>
                <w:b/>
                <w:bCs/>
                <w:sz w:val="20"/>
                <w:szCs w:val="20"/>
              </w:rPr>
              <w:t>EHPAD Alfred Dornier- Dampierre-Sur-Salon</w:t>
            </w:r>
            <w:r w:rsidR="00257EE0" w:rsidRPr="00867A42">
              <w:rPr>
                <w:b/>
                <w:bCs/>
                <w:sz w:val="20"/>
                <w:szCs w:val="20"/>
              </w:rPr>
              <w:t> :</w:t>
            </w:r>
            <w:r w:rsidR="00867A42">
              <w:rPr>
                <w:b/>
                <w:bCs/>
                <w:sz w:val="20"/>
                <w:szCs w:val="20"/>
              </w:rPr>
              <w:t xml:space="preserve"> </w:t>
            </w:r>
            <w:r w:rsidR="00E5025E" w:rsidRPr="00867A42">
              <w:rPr>
                <w:b/>
                <w:bCs/>
                <w:sz w:val="20"/>
                <w:szCs w:val="20"/>
              </w:rPr>
              <w:t>3 </w:t>
            </w:r>
            <w:r w:rsidR="005C1324" w:rsidRPr="00867A42">
              <w:rPr>
                <w:b/>
                <w:bCs/>
                <w:sz w:val="20"/>
                <w:szCs w:val="20"/>
              </w:rPr>
              <w:t>5</w:t>
            </w:r>
            <w:r w:rsidR="00E5025E" w:rsidRPr="00867A42">
              <w:rPr>
                <w:b/>
                <w:bCs/>
                <w:sz w:val="20"/>
                <w:szCs w:val="20"/>
              </w:rPr>
              <w:t>00 000 €</w:t>
            </w:r>
          </w:p>
        </w:tc>
      </w:tr>
      <w:tr w:rsidR="00E92A51" w:rsidRPr="008C3725" w14:paraId="08939961" w14:textId="77777777" w:rsidTr="00CA3756">
        <w:trPr>
          <w:trHeight w:val="559"/>
        </w:trPr>
        <w:tc>
          <w:tcPr>
            <w:tcW w:w="5529" w:type="dxa"/>
            <w:vAlign w:val="center"/>
          </w:tcPr>
          <w:p w14:paraId="2C5206AC" w14:textId="0FEBE5D9" w:rsidR="00E92A51" w:rsidRPr="00E92A51" w:rsidRDefault="00E92A51" w:rsidP="00CA454D">
            <w:pPr>
              <w:keepLines/>
              <w:spacing w:beforeLines="40" w:before="96" w:afterLines="40" w:after="96"/>
            </w:pPr>
            <w:r w:rsidRPr="00E92A51">
              <w:t>Frais de décontamination</w:t>
            </w:r>
          </w:p>
        </w:tc>
        <w:tc>
          <w:tcPr>
            <w:tcW w:w="3543" w:type="dxa"/>
            <w:vAlign w:val="center"/>
          </w:tcPr>
          <w:p w14:paraId="61D6CD6C" w14:textId="7CE56B34" w:rsidR="00E92A51" w:rsidRPr="00E95992" w:rsidRDefault="009B7F62" w:rsidP="00CA454D">
            <w:pPr>
              <w:keepLines/>
              <w:spacing w:beforeLines="40" w:before="96" w:afterLines="40" w:after="96"/>
              <w:jc w:val="center"/>
              <w:rPr>
                <w:b/>
                <w:bCs/>
              </w:rPr>
            </w:pPr>
            <w:r>
              <w:rPr>
                <w:b/>
                <w:bCs/>
              </w:rPr>
              <w:t>5</w:t>
            </w:r>
            <w:r w:rsidR="00E92A51" w:rsidRPr="00E95992">
              <w:rPr>
                <w:b/>
                <w:bCs/>
              </w:rPr>
              <w:t>00 000 €</w:t>
            </w:r>
          </w:p>
        </w:tc>
      </w:tr>
      <w:tr w:rsidR="00E92A51" w:rsidRPr="008C3725" w14:paraId="5A0C0D08" w14:textId="77777777" w:rsidTr="00CA3756">
        <w:trPr>
          <w:trHeight w:val="554"/>
        </w:trPr>
        <w:tc>
          <w:tcPr>
            <w:tcW w:w="5529" w:type="dxa"/>
            <w:vAlign w:val="center"/>
          </w:tcPr>
          <w:p w14:paraId="216FDC5B" w14:textId="5F58C2E9" w:rsidR="00E92A51" w:rsidRPr="00E92A51" w:rsidRDefault="00E92A51" w:rsidP="00CA454D">
            <w:pPr>
              <w:keepLines/>
              <w:spacing w:beforeLines="40" w:before="96" w:afterLines="40" w:after="96"/>
            </w:pPr>
            <w:r w:rsidRPr="00E92A51">
              <w:t>Frais de clôture provisoire</w:t>
            </w:r>
          </w:p>
        </w:tc>
        <w:tc>
          <w:tcPr>
            <w:tcW w:w="3543" w:type="dxa"/>
            <w:vAlign w:val="center"/>
          </w:tcPr>
          <w:p w14:paraId="5B6558C9" w14:textId="53D511DE" w:rsidR="00E92A51" w:rsidRPr="00E95992" w:rsidRDefault="00337A6F" w:rsidP="00CA454D">
            <w:pPr>
              <w:keepLines/>
              <w:spacing w:beforeLines="40" w:before="96" w:afterLines="40" w:after="96"/>
              <w:jc w:val="center"/>
              <w:rPr>
                <w:b/>
                <w:bCs/>
              </w:rPr>
            </w:pPr>
            <w:r w:rsidRPr="00E95992">
              <w:rPr>
                <w:b/>
                <w:bCs/>
              </w:rPr>
              <w:t>5</w:t>
            </w:r>
            <w:r w:rsidR="00E92A51" w:rsidRPr="00E95992">
              <w:rPr>
                <w:b/>
                <w:bCs/>
              </w:rPr>
              <w:t>0 000 €</w:t>
            </w:r>
          </w:p>
        </w:tc>
      </w:tr>
      <w:tr w:rsidR="00E92A51" w:rsidRPr="008C3725" w14:paraId="19FE9C24" w14:textId="77777777" w:rsidTr="00CA3756">
        <w:trPr>
          <w:trHeight w:val="547"/>
        </w:trPr>
        <w:tc>
          <w:tcPr>
            <w:tcW w:w="5529" w:type="dxa"/>
            <w:vAlign w:val="center"/>
          </w:tcPr>
          <w:p w14:paraId="1B5CC8F8" w14:textId="398F3244" w:rsidR="00E92A51" w:rsidRPr="00E92A51" w:rsidRDefault="00E92A51" w:rsidP="00CA454D">
            <w:pPr>
              <w:keepLines/>
              <w:spacing w:beforeLines="40" w:before="96" w:afterLines="40" w:after="96"/>
            </w:pPr>
            <w:r w:rsidRPr="00E92A51">
              <w:t>Frais de reconstitution des clés, de passes ou de serrures</w:t>
            </w:r>
          </w:p>
        </w:tc>
        <w:tc>
          <w:tcPr>
            <w:tcW w:w="3543" w:type="dxa"/>
            <w:vAlign w:val="center"/>
          </w:tcPr>
          <w:p w14:paraId="51969C7F" w14:textId="7A749E29" w:rsidR="00E92A51" w:rsidRPr="00E95992" w:rsidRDefault="00694CBE" w:rsidP="00CA454D">
            <w:pPr>
              <w:keepLines/>
              <w:spacing w:beforeLines="40" w:before="96" w:afterLines="40" w:after="96"/>
              <w:jc w:val="center"/>
              <w:rPr>
                <w:b/>
                <w:bCs/>
              </w:rPr>
            </w:pPr>
            <w:r w:rsidRPr="00E95992">
              <w:rPr>
                <w:b/>
                <w:bCs/>
              </w:rPr>
              <w:t>10</w:t>
            </w:r>
            <w:r w:rsidR="00E92A51" w:rsidRPr="00E95992">
              <w:rPr>
                <w:b/>
                <w:bCs/>
              </w:rPr>
              <w:t> 000 €</w:t>
            </w:r>
          </w:p>
        </w:tc>
      </w:tr>
      <w:tr w:rsidR="00E92A51" w:rsidRPr="008C3725" w14:paraId="238E6916" w14:textId="77777777" w:rsidTr="00CA3756">
        <w:trPr>
          <w:trHeight w:val="712"/>
        </w:trPr>
        <w:tc>
          <w:tcPr>
            <w:tcW w:w="5529" w:type="dxa"/>
            <w:vAlign w:val="center"/>
          </w:tcPr>
          <w:p w14:paraId="5544CE8A" w14:textId="0FD4BB3C" w:rsidR="00E92A51" w:rsidRPr="002D207E" w:rsidRDefault="00E92A51" w:rsidP="00CA454D">
            <w:pPr>
              <w:keepLines/>
              <w:spacing w:beforeLines="40" w:before="96" w:afterLines="40" w:after="96"/>
              <w:rPr>
                <w:spacing w:val="-2"/>
              </w:rPr>
            </w:pPr>
            <w:r w:rsidRPr="002D207E">
              <w:rPr>
                <w:spacing w:val="-2"/>
              </w:rPr>
              <w:t>Frais de reconstitution des programmes, fichiers</w:t>
            </w:r>
            <w:r w:rsidR="003C3A02">
              <w:rPr>
                <w:spacing w:val="-2"/>
              </w:rPr>
              <w:t xml:space="preserve"> et </w:t>
            </w:r>
            <w:r w:rsidR="002D207E" w:rsidRPr="002D207E">
              <w:rPr>
                <w:spacing w:val="-2"/>
              </w:rPr>
              <w:t>médias</w:t>
            </w:r>
          </w:p>
        </w:tc>
        <w:tc>
          <w:tcPr>
            <w:tcW w:w="3543" w:type="dxa"/>
            <w:vAlign w:val="center"/>
          </w:tcPr>
          <w:p w14:paraId="5A26F4E9" w14:textId="2BA7E283" w:rsidR="00E92A51" w:rsidRPr="009B7F62" w:rsidRDefault="009B7F62" w:rsidP="00CA454D">
            <w:pPr>
              <w:keepLines/>
              <w:spacing w:beforeLines="40" w:before="96" w:afterLines="40" w:after="96"/>
              <w:jc w:val="center"/>
              <w:rPr>
                <w:b/>
                <w:bCs/>
              </w:rPr>
            </w:pPr>
            <w:r w:rsidRPr="009B7F62">
              <w:rPr>
                <w:b/>
                <w:bCs/>
              </w:rPr>
              <w:t>3</w:t>
            </w:r>
            <w:r w:rsidR="00E92A51" w:rsidRPr="009B7F62">
              <w:rPr>
                <w:b/>
                <w:bCs/>
              </w:rPr>
              <w:t>50 000 €</w:t>
            </w:r>
          </w:p>
        </w:tc>
      </w:tr>
      <w:tr w:rsidR="00C46363" w:rsidRPr="008C3725" w14:paraId="1C1F88BD" w14:textId="77777777" w:rsidTr="00CA3756">
        <w:trPr>
          <w:trHeight w:val="694"/>
        </w:trPr>
        <w:tc>
          <w:tcPr>
            <w:tcW w:w="5529" w:type="dxa"/>
            <w:vAlign w:val="center"/>
          </w:tcPr>
          <w:p w14:paraId="644B75C9" w14:textId="60C4F874" w:rsidR="00C46363" w:rsidRPr="00E92A51" w:rsidRDefault="00C46363" w:rsidP="00CA454D">
            <w:pPr>
              <w:keepLines/>
              <w:spacing w:beforeLines="40" w:before="96" w:afterLines="40" w:after="96"/>
            </w:pPr>
            <w:r w:rsidRPr="008C3725">
              <w:t>Frais financiers</w:t>
            </w:r>
          </w:p>
        </w:tc>
        <w:tc>
          <w:tcPr>
            <w:tcW w:w="3543" w:type="dxa"/>
            <w:vAlign w:val="center"/>
          </w:tcPr>
          <w:p w14:paraId="3DF28686" w14:textId="1F87F860" w:rsidR="00C46363" w:rsidRPr="009B7F62" w:rsidRDefault="00C46363" w:rsidP="00CA454D">
            <w:pPr>
              <w:keepLines/>
              <w:spacing w:beforeLines="40" w:before="96" w:afterLines="40" w:after="96"/>
              <w:jc w:val="center"/>
              <w:rPr>
                <w:b/>
                <w:bCs/>
              </w:rPr>
            </w:pPr>
            <w:r w:rsidRPr="009B7F62">
              <w:rPr>
                <w:b/>
                <w:bCs/>
              </w:rPr>
              <w:t>50 000 €</w:t>
            </w:r>
          </w:p>
        </w:tc>
      </w:tr>
      <w:tr w:rsidR="00E92A51" w:rsidRPr="008C3725" w14:paraId="522CA7A5" w14:textId="77777777" w:rsidTr="00CA3756">
        <w:trPr>
          <w:trHeight w:val="603"/>
        </w:trPr>
        <w:tc>
          <w:tcPr>
            <w:tcW w:w="5529" w:type="dxa"/>
            <w:vAlign w:val="center"/>
          </w:tcPr>
          <w:p w14:paraId="29622DB0" w14:textId="1B98D6E9" w:rsidR="00E92A51" w:rsidRPr="00E92A51" w:rsidRDefault="00E92A51" w:rsidP="00CA454D">
            <w:pPr>
              <w:keepLines/>
              <w:spacing w:beforeLines="40" w:before="96" w:afterLines="40" w:after="96"/>
            </w:pPr>
            <w:r w:rsidRPr="00E92A51">
              <w:t>Perte financière du locataire ou de l’occupant</w:t>
            </w:r>
          </w:p>
        </w:tc>
        <w:tc>
          <w:tcPr>
            <w:tcW w:w="3543" w:type="dxa"/>
            <w:vAlign w:val="center"/>
          </w:tcPr>
          <w:p w14:paraId="367F715C" w14:textId="507102F7" w:rsidR="00E92A51" w:rsidRPr="00372ADC" w:rsidRDefault="006E0418" w:rsidP="00CA454D">
            <w:pPr>
              <w:keepLines/>
              <w:spacing w:beforeLines="40" w:before="96" w:afterLines="40" w:after="96"/>
              <w:jc w:val="center"/>
              <w:rPr>
                <w:b/>
                <w:bCs/>
              </w:rPr>
            </w:pPr>
            <w:r>
              <w:rPr>
                <w:b/>
                <w:bCs/>
              </w:rPr>
              <w:t>Frais réels</w:t>
            </w:r>
          </w:p>
        </w:tc>
      </w:tr>
      <w:tr w:rsidR="00056C2C" w:rsidRPr="004162CE" w14:paraId="073D8254" w14:textId="77777777" w:rsidTr="00CA3756">
        <w:trPr>
          <w:trHeight w:val="693"/>
        </w:trPr>
        <w:tc>
          <w:tcPr>
            <w:tcW w:w="5529" w:type="dxa"/>
            <w:vAlign w:val="center"/>
          </w:tcPr>
          <w:p w14:paraId="462BFEB7" w14:textId="7F2544A4" w:rsidR="00056C2C" w:rsidRPr="00E92A51" w:rsidRDefault="00056C2C" w:rsidP="00CA454D">
            <w:pPr>
              <w:keepLines/>
              <w:spacing w:beforeLines="40" w:before="96" w:afterLines="40" w:after="96"/>
            </w:pPr>
            <w:r>
              <w:t>Indemnités de résiliation</w:t>
            </w:r>
          </w:p>
        </w:tc>
        <w:tc>
          <w:tcPr>
            <w:tcW w:w="3543" w:type="dxa"/>
            <w:vAlign w:val="center"/>
          </w:tcPr>
          <w:p w14:paraId="20D78607" w14:textId="01A016E0" w:rsidR="00056C2C" w:rsidRPr="00E95992" w:rsidRDefault="006541A9" w:rsidP="00CA454D">
            <w:pPr>
              <w:keepLines/>
              <w:spacing w:beforeLines="40" w:before="96" w:afterLines="40" w:after="96"/>
              <w:jc w:val="center"/>
              <w:rPr>
                <w:b/>
                <w:bCs/>
                <w:highlight w:val="magenta"/>
              </w:rPr>
            </w:pPr>
            <w:r w:rsidRPr="00E95992">
              <w:rPr>
                <w:b/>
                <w:bCs/>
              </w:rPr>
              <w:t>Frais réels</w:t>
            </w:r>
          </w:p>
        </w:tc>
      </w:tr>
      <w:tr w:rsidR="008E4198" w:rsidRPr="004162CE" w14:paraId="0DED6FA1" w14:textId="77777777" w:rsidTr="00CA3756">
        <w:trPr>
          <w:trHeight w:val="693"/>
        </w:trPr>
        <w:tc>
          <w:tcPr>
            <w:tcW w:w="5529" w:type="dxa"/>
            <w:vAlign w:val="center"/>
          </w:tcPr>
          <w:p w14:paraId="5C929C97" w14:textId="7DE0280B" w:rsidR="008E4198" w:rsidRDefault="008E4198" w:rsidP="00CA454D">
            <w:pPr>
              <w:keepLines/>
              <w:spacing w:beforeLines="40" w:before="96" w:afterLines="40" w:after="96"/>
            </w:pPr>
            <w:r>
              <w:t>Intérêts d’emprunt</w:t>
            </w:r>
          </w:p>
        </w:tc>
        <w:tc>
          <w:tcPr>
            <w:tcW w:w="3543" w:type="dxa"/>
            <w:vAlign w:val="center"/>
          </w:tcPr>
          <w:p w14:paraId="7F8E3753" w14:textId="7CE8CCB6" w:rsidR="008E4198" w:rsidRPr="00E95992" w:rsidRDefault="0020082C" w:rsidP="00CA454D">
            <w:pPr>
              <w:keepLines/>
              <w:spacing w:beforeLines="40" w:before="96" w:afterLines="40" w:after="96"/>
              <w:jc w:val="center"/>
              <w:rPr>
                <w:b/>
                <w:bCs/>
                <w:highlight w:val="magenta"/>
              </w:rPr>
            </w:pPr>
            <w:r w:rsidRPr="00E95992">
              <w:rPr>
                <w:b/>
                <w:bCs/>
              </w:rPr>
              <w:t>150 000 €</w:t>
            </w:r>
          </w:p>
        </w:tc>
      </w:tr>
      <w:tr w:rsidR="008D7676" w:rsidRPr="004162CE" w14:paraId="2C85E0B8" w14:textId="77777777" w:rsidTr="00CA3756">
        <w:trPr>
          <w:trHeight w:val="693"/>
        </w:trPr>
        <w:tc>
          <w:tcPr>
            <w:tcW w:w="5529" w:type="dxa"/>
            <w:vAlign w:val="center"/>
          </w:tcPr>
          <w:p w14:paraId="509AD1EC" w14:textId="7C18A024" w:rsidR="008D7676" w:rsidRDefault="008D7676" w:rsidP="00CA454D">
            <w:pPr>
              <w:keepLines/>
              <w:spacing w:beforeLines="40" w:before="96" w:afterLines="40" w:after="96"/>
            </w:pPr>
            <w:r>
              <w:t>Remplacement des moyens de secours</w:t>
            </w:r>
          </w:p>
        </w:tc>
        <w:tc>
          <w:tcPr>
            <w:tcW w:w="3543" w:type="dxa"/>
            <w:vAlign w:val="center"/>
          </w:tcPr>
          <w:p w14:paraId="5E743E46" w14:textId="2C2A1BE3" w:rsidR="008D7676" w:rsidRPr="00E95992" w:rsidRDefault="008D7676" w:rsidP="00CA454D">
            <w:pPr>
              <w:keepLines/>
              <w:spacing w:beforeLines="40" w:before="96" w:afterLines="40" w:after="96"/>
              <w:jc w:val="center"/>
              <w:rPr>
                <w:b/>
                <w:bCs/>
              </w:rPr>
            </w:pPr>
            <w:r w:rsidRPr="00E95992">
              <w:rPr>
                <w:b/>
                <w:bCs/>
              </w:rPr>
              <w:t>Frais réels</w:t>
            </w:r>
          </w:p>
        </w:tc>
      </w:tr>
      <w:tr w:rsidR="008D7676" w:rsidRPr="004162CE" w14:paraId="7CF6A547" w14:textId="77777777" w:rsidTr="00CA3756">
        <w:trPr>
          <w:trHeight w:val="693"/>
        </w:trPr>
        <w:tc>
          <w:tcPr>
            <w:tcW w:w="5529" w:type="dxa"/>
            <w:vAlign w:val="center"/>
          </w:tcPr>
          <w:p w14:paraId="4E1E883A" w14:textId="7ED384A0" w:rsidR="008D7676" w:rsidRDefault="008D7676" w:rsidP="00CA454D">
            <w:pPr>
              <w:keepLines/>
              <w:spacing w:beforeLines="40" w:before="96" w:afterLines="40" w:after="96"/>
            </w:pPr>
            <w:r>
              <w:t>Taxe d’encombrement du domaine public</w:t>
            </w:r>
          </w:p>
        </w:tc>
        <w:tc>
          <w:tcPr>
            <w:tcW w:w="3543" w:type="dxa"/>
            <w:vAlign w:val="center"/>
          </w:tcPr>
          <w:p w14:paraId="045CF383" w14:textId="7D6BE5ED" w:rsidR="008D7676" w:rsidRPr="00E95992" w:rsidRDefault="008D7676" w:rsidP="00CA454D">
            <w:pPr>
              <w:keepLines/>
              <w:spacing w:beforeLines="40" w:before="96" w:afterLines="40" w:after="96"/>
              <w:jc w:val="center"/>
              <w:rPr>
                <w:b/>
                <w:bCs/>
              </w:rPr>
            </w:pPr>
            <w:r w:rsidRPr="00E95992">
              <w:rPr>
                <w:b/>
                <w:bCs/>
              </w:rPr>
              <w:t>Frais réels</w:t>
            </w:r>
          </w:p>
        </w:tc>
      </w:tr>
    </w:tbl>
    <w:p w14:paraId="2DE35D07" w14:textId="5B431A6B" w:rsidR="00E92A51" w:rsidRPr="00511724" w:rsidRDefault="0054581D" w:rsidP="00CA454D">
      <w:pPr>
        <w:pStyle w:val="Titre1"/>
      </w:pPr>
      <w:bookmarkStart w:id="31" w:name="Franchises"/>
      <w:bookmarkStart w:id="32" w:name="_Toc11654498"/>
      <w:bookmarkStart w:id="33" w:name="_Toc11654791"/>
      <w:bookmarkEnd w:id="31"/>
      <w:r>
        <w:lastRenderedPageBreak/>
        <w:t>Franchise</w:t>
      </w:r>
      <w:bookmarkEnd w:id="32"/>
      <w:bookmarkEnd w:id="33"/>
      <w:r w:rsidR="00061162">
        <w:t>s</w:t>
      </w:r>
    </w:p>
    <w:p w14:paraId="755F4D19" w14:textId="6DD8918D" w:rsidR="00E92A51" w:rsidRPr="0047709D" w:rsidRDefault="00BB41F4" w:rsidP="00CA454D">
      <w:pPr>
        <w:keepLines/>
      </w:pPr>
      <w:r>
        <w:t>L</w:t>
      </w:r>
      <w:r w:rsidR="0079308F">
        <w:t>e montant d</w:t>
      </w:r>
      <w:r>
        <w:t xml:space="preserve">es franchises des garanties principales </w:t>
      </w:r>
      <w:r w:rsidR="0079308F">
        <w:t>est</w:t>
      </w:r>
      <w:r>
        <w:t xml:space="preserve"> </w:t>
      </w:r>
      <w:r w:rsidR="0079308F">
        <w:t>fixé</w:t>
      </w:r>
      <w:r>
        <w:t xml:space="preserve"> à l’acte d’engagement.</w:t>
      </w:r>
    </w:p>
    <w:p w14:paraId="37B99791" w14:textId="192FFBEE" w:rsidR="00BB41F4" w:rsidRDefault="00BB41F4" w:rsidP="00CA454D">
      <w:pPr>
        <w:keepNext/>
        <w:keepLines/>
        <w:spacing w:before="120"/>
      </w:pPr>
      <w:r>
        <w:t xml:space="preserve">Il ne sera pas appliqué de franchise dans les cas suivants : </w:t>
      </w:r>
    </w:p>
    <w:p w14:paraId="6313FB9D" w14:textId="599ADB71" w:rsidR="0061034D" w:rsidRPr="0054581D" w:rsidRDefault="00BB41F4" w:rsidP="00CA454D">
      <w:pPr>
        <w:pStyle w:val="Paragraphedeliste"/>
        <w:keepLines/>
        <w:numPr>
          <w:ilvl w:val="0"/>
          <w:numId w:val="2"/>
        </w:numPr>
        <w:tabs>
          <w:tab w:val="left" w:pos="284"/>
        </w:tabs>
        <w:ind w:left="284" w:hanging="284"/>
        <w:contextualSpacing w:val="0"/>
        <w:rPr>
          <w:szCs w:val="24"/>
        </w:rPr>
      </w:pPr>
      <w:bookmarkStart w:id="34" w:name="_Toc250984403"/>
      <w:bookmarkStart w:id="35" w:name="_Toc253559470"/>
      <w:bookmarkStart w:id="36" w:name="_Toc261440670"/>
      <w:r>
        <w:rPr>
          <w:szCs w:val="24"/>
        </w:rPr>
        <w:t>b</w:t>
      </w:r>
      <w:r w:rsidR="0061034D" w:rsidRPr="0054581D">
        <w:rPr>
          <w:szCs w:val="24"/>
        </w:rPr>
        <w:t xml:space="preserve">âtiments occupés par des </w:t>
      </w:r>
      <w:r>
        <w:rPr>
          <w:szCs w:val="24"/>
        </w:rPr>
        <w:t>personnes autres que le souscripteur</w:t>
      </w:r>
      <w:r w:rsidR="0061034D" w:rsidRPr="0054581D">
        <w:rPr>
          <w:szCs w:val="24"/>
        </w:rPr>
        <w:t xml:space="preserve">, pour les dommages subis par ces </w:t>
      </w:r>
      <w:r>
        <w:rPr>
          <w:szCs w:val="24"/>
        </w:rPr>
        <w:t>personnes</w:t>
      </w:r>
      <w:r w:rsidR="0061034D" w:rsidRPr="0054581D">
        <w:rPr>
          <w:szCs w:val="24"/>
        </w:rPr>
        <w:t xml:space="preserve"> (</w:t>
      </w:r>
      <w:r w:rsidR="002C23EA">
        <w:rPr>
          <w:szCs w:val="24"/>
        </w:rPr>
        <w:t>logements</w:t>
      </w:r>
      <w:r w:rsidR="0061034D" w:rsidRPr="0054581D">
        <w:rPr>
          <w:szCs w:val="24"/>
        </w:rPr>
        <w:t xml:space="preserve"> de fonction notamment)</w:t>
      </w:r>
      <w:bookmarkEnd w:id="34"/>
      <w:bookmarkEnd w:id="35"/>
      <w:bookmarkEnd w:id="36"/>
      <w:r>
        <w:rPr>
          <w:szCs w:val="24"/>
        </w:rPr>
        <w:t>,</w:t>
      </w:r>
    </w:p>
    <w:p w14:paraId="2E9E6ACC" w14:textId="23C3E10D" w:rsidR="0061034D" w:rsidRDefault="00BB41F4" w:rsidP="00CA454D">
      <w:pPr>
        <w:pStyle w:val="Paragraphedeliste"/>
        <w:keepLines/>
        <w:numPr>
          <w:ilvl w:val="0"/>
          <w:numId w:val="2"/>
        </w:numPr>
        <w:tabs>
          <w:tab w:val="left" w:pos="284"/>
        </w:tabs>
        <w:ind w:left="284" w:hanging="284"/>
        <w:contextualSpacing w:val="0"/>
      </w:pPr>
      <w:r>
        <w:t>g</w:t>
      </w:r>
      <w:r w:rsidR="0061034D">
        <w:t>arantie</w:t>
      </w:r>
      <w:r>
        <w:t>s</w:t>
      </w:r>
      <w:r w:rsidR="0061034D">
        <w:t xml:space="preserve"> de </w:t>
      </w:r>
      <w:r w:rsidR="0061034D" w:rsidRPr="00F27B64">
        <w:rPr>
          <w:szCs w:val="24"/>
        </w:rPr>
        <w:t>recours</w:t>
      </w:r>
      <w:r>
        <w:t>,</w:t>
      </w:r>
    </w:p>
    <w:p w14:paraId="0E6E4C9F" w14:textId="21BF50F0" w:rsidR="0061034D" w:rsidRPr="001210A3" w:rsidRDefault="001210A3" w:rsidP="00CA454D">
      <w:pPr>
        <w:pStyle w:val="Paragraphedeliste"/>
        <w:keepLines/>
        <w:numPr>
          <w:ilvl w:val="0"/>
          <w:numId w:val="2"/>
        </w:numPr>
        <w:tabs>
          <w:tab w:val="left" w:pos="284"/>
        </w:tabs>
        <w:ind w:left="284" w:hanging="284"/>
        <w:contextualSpacing w:val="0"/>
        <w:rPr>
          <w:szCs w:val="24"/>
        </w:rPr>
      </w:pPr>
      <w:r w:rsidRPr="001210A3">
        <w:rPr>
          <w:szCs w:val="24"/>
        </w:rPr>
        <w:t xml:space="preserve">vol sur espèces et valeurs en tiroir-caisse ou meuble fermé à clé, vol sur espèces et valeurs en chambre forte ou coffre-fort, </w:t>
      </w:r>
      <w:r>
        <w:rPr>
          <w:szCs w:val="24"/>
        </w:rPr>
        <w:t>v</w:t>
      </w:r>
      <w:r w:rsidR="0061034D" w:rsidRPr="001210A3">
        <w:rPr>
          <w:szCs w:val="24"/>
        </w:rPr>
        <w:t xml:space="preserve">ol sur la personne et </w:t>
      </w:r>
      <w:r>
        <w:rPr>
          <w:szCs w:val="24"/>
        </w:rPr>
        <w:t>v</w:t>
      </w:r>
      <w:r w:rsidR="0061034D" w:rsidRPr="001210A3">
        <w:rPr>
          <w:szCs w:val="24"/>
        </w:rPr>
        <w:t>ol au do</w:t>
      </w:r>
      <w:r w:rsidR="00F27B64" w:rsidRPr="001210A3">
        <w:rPr>
          <w:szCs w:val="24"/>
        </w:rPr>
        <w:t>micile des détenteurs de fonds</w:t>
      </w:r>
      <w:r w:rsidR="00BB41F4" w:rsidRPr="001210A3">
        <w:rPr>
          <w:szCs w:val="24"/>
        </w:rPr>
        <w:t>.</w:t>
      </w:r>
    </w:p>
    <w:p w14:paraId="5812643D" w14:textId="77777777" w:rsidR="0054581D" w:rsidRDefault="0054581D" w:rsidP="00CA454D">
      <w:pPr>
        <w:keepNext/>
        <w:keepLines/>
        <w:spacing w:before="120"/>
      </w:pPr>
      <w:r>
        <w:t>Il est convenu que :</w:t>
      </w:r>
    </w:p>
    <w:p w14:paraId="549C628F" w14:textId="5C71DA7A" w:rsidR="00E92A51" w:rsidRPr="0054581D" w:rsidRDefault="0054581D" w:rsidP="00CA454D">
      <w:pPr>
        <w:pStyle w:val="Paragraphedeliste"/>
        <w:keepLines/>
        <w:numPr>
          <w:ilvl w:val="0"/>
          <w:numId w:val="2"/>
        </w:numPr>
        <w:tabs>
          <w:tab w:val="left" w:pos="284"/>
        </w:tabs>
        <w:ind w:left="284" w:hanging="284"/>
        <w:contextualSpacing w:val="0"/>
        <w:rPr>
          <w:szCs w:val="24"/>
        </w:rPr>
      </w:pPr>
      <w:bookmarkStart w:id="37" w:name="_Toc250984402"/>
      <w:bookmarkStart w:id="38" w:name="_Toc253559469"/>
      <w:bookmarkStart w:id="39" w:name="_Toc261440669"/>
      <w:r w:rsidRPr="0054581D">
        <w:rPr>
          <w:szCs w:val="24"/>
        </w:rPr>
        <w:t>l</w:t>
      </w:r>
      <w:r w:rsidR="00E92A51" w:rsidRPr="0054581D">
        <w:rPr>
          <w:szCs w:val="24"/>
        </w:rPr>
        <w:t xml:space="preserve">es franchises s'appliquent par </w:t>
      </w:r>
      <w:r w:rsidR="00836E2B">
        <w:rPr>
          <w:szCs w:val="24"/>
        </w:rPr>
        <w:t>évènement</w:t>
      </w:r>
      <w:r w:rsidR="00E92A51" w:rsidRPr="0054581D">
        <w:rPr>
          <w:szCs w:val="24"/>
        </w:rPr>
        <w:t xml:space="preserve">, quel que soit le nombre de bâtiments affectés par ce même </w:t>
      </w:r>
      <w:r w:rsidR="00836E2B">
        <w:rPr>
          <w:szCs w:val="24"/>
        </w:rPr>
        <w:t>évènement</w:t>
      </w:r>
      <w:bookmarkEnd w:id="37"/>
      <w:bookmarkEnd w:id="38"/>
      <w:bookmarkEnd w:id="39"/>
      <w:r w:rsidR="0021485B">
        <w:rPr>
          <w:szCs w:val="24"/>
        </w:rPr>
        <w:t>,</w:t>
      </w:r>
    </w:p>
    <w:p w14:paraId="0DE458B7" w14:textId="29C2173D" w:rsidR="00254442" w:rsidRDefault="0021485B" w:rsidP="00CA454D">
      <w:pPr>
        <w:pStyle w:val="Paragraphedeliste"/>
        <w:keepLines/>
        <w:numPr>
          <w:ilvl w:val="0"/>
          <w:numId w:val="2"/>
        </w:numPr>
        <w:tabs>
          <w:tab w:val="left" w:pos="284"/>
        </w:tabs>
        <w:ind w:left="284" w:hanging="284"/>
        <w:contextualSpacing w:val="0"/>
        <w:rPr>
          <w:szCs w:val="24"/>
        </w:rPr>
      </w:pPr>
      <w:bookmarkStart w:id="40" w:name="_Toc250984436"/>
      <w:bookmarkStart w:id="41" w:name="_Toc253559503"/>
      <w:bookmarkStart w:id="42" w:name="_Toc261440704"/>
      <w:r>
        <w:rPr>
          <w:szCs w:val="24"/>
        </w:rPr>
        <w:t>aucune</w:t>
      </w:r>
      <w:r w:rsidR="00254442" w:rsidRPr="0054581D">
        <w:rPr>
          <w:szCs w:val="24"/>
        </w:rPr>
        <w:t xml:space="preserve"> franchise relative à la procédure </w:t>
      </w:r>
      <w:r w:rsidR="00170AF7">
        <w:rPr>
          <w:szCs w:val="24"/>
        </w:rPr>
        <w:t>« </w:t>
      </w:r>
      <w:r w:rsidR="00210C2D">
        <w:rPr>
          <w:szCs w:val="24"/>
        </w:rPr>
        <w:t>p</w:t>
      </w:r>
      <w:r w:rsidR="00254442" w:rsidRPr="0054581D">
        <w:rPr>
          <w:szCs w:val="24"/>
        </w:rPr>
        <w:t xml:space="preserve">ermis de </w:t>
      </w:r>
      <w:r w:rsidR="00210C2D">
        <w:rPr>
          <w:szCs w:val="24"/>
        </w:rPr>
        <w:t>f</w:t>
      </w:r>
      <w:r w:rsidR="00254442" w:rsidRPr="0054581D">
        <w:rPr>
          <w:szCs w:val="24"/>
        </w:rPr>
        <w:t>eu</w:t>
      </w:r>
      <w:r w:rsidR="00170AF7">
        <w:rPr>
          <w:szCs w:val="24"/>
        </w:rPr>
        <w:t> »</w:t>
      </w:r>
      <w:r w:rsidR="00254442" w:rsidRPr="0054581D">
        <w:rPr>
          <w:szCs w:val="24"/>
        </w:rPr>
        <w:t xml:space="preserve"> </w:t>
      </w:r>
      <w:bookmarkEnd w:id="40"/>
      <w:bookmarkEnd w:id="41"/>
      <w:bookmarkEnd w:id="42"/>
      <w:r>
        <w:rPr>
          <w:szCs w:val="24"/>
        </w:rPr>
        <w:t>n’est applicable,</w:t>
      </w:r>
    </w:p>
    <w:p w14:paraId="248218E2" w14:textId="6B8694F6" w:rsidR="006410DC" w:rsidRPr="006410DC" w:rsidRDefault="006410DC" w:rsidP="006410DC">
      <w:pPr>
        <w:pStyle w:val="Paragraphedeliste"/>
        <w:keepLines/>
        <w:numPr>
          <w:ilvl w:val="0"/>
          <w:numId w:val="2"/>
        </w:numPr>
        <w:tabs>
          <w:tab w:val="left" w:pos="284"/>
        </w:tabs>
        <w:ind w:left="284" w:hanging="284"/>
        <w:contextualSpacing w:val="0"/>
        <w:rPr>
          <w:szCs w:val="24"/>
        </w:rPr>
      </w:pPr>
      <w:bookmarkStart w:id="43" w:name="_Toc499444375"/>
      <w:bookmarkStart w:id="44" w:name="_Toc11654488"/>
      <w:bookmarkStart w:id="45" w:name="_Toc11654724"/>
      <w:r w:rsidRPr="006410DC">
        <w:rPr>
          <w:szCs w:val="24"/>
        </w:rPr>
        <w:t>lorsque plusieurs biens assurés au titre d’un évènement sont endommagés ou détruits à l'occasion d'un même fait générateur, seule est prise en considération la franchise afférente à celui des biens pour lequel elle est la plus élevée. Si l’assuré renonce à l’indemnisation dudit bien, alors la franchise applicable sera la plus élevée parmi celles des biens pour lesquels il est demandé l’indemnisation.</w:t>
      </w:r>
    </w:p>
    <w:p w14:paraId="04450F5C" w14:textId="225CCC47" w:rsidR="006410DC" w:rsidRPr="006410DC" w:rsidRDefault="006410DC" w:rsidP="006410DC">
      <w:pPr>
        <w:pStyle w:val="Paragraphedeliste"/>
        <w:keepLines/>
        <w:numPr>
          <w:ilvl w:val="0"/>
          <w:numId w:val="2"/>
        </w:numPr>
        <w:tabs>
          <w:tab w:val="left" w:pos="284"/>
        </w:tabs>
        <w:ind w:left="284" w:hanging="284"/>
        <w:contextualSpacing w:val="0"/>
        <w:rPr>
          <w:szCs w:val="24"/>
        </w:rPr>
      </w:pPr>
      <w:r w:rsidRPr="006410DC">
        <w:rPr>
          <w:szCs w:val="24"/>
        </w:rPr>
        <w:t>lorsqu’une série de dommages (notamment incendie, explosion, bris de glace, actes de vandalisme, émeutes et mouvements populaires) résulte d’actes ayant une origine identique, seule sera prise en considération, pour l’ensemble des dommages survenus en tous lieux dans les 72 heures qui suivent le moment où les biens assurés ont subi les premiers dommages, la franchise afférente à celui des évènements pour lequel elle est la plus élevée. Si l’assuré renonce à l’indemnisation dudit événement, alors la franchise applicable sera la plus élevée parmi celles des évènements pour lesquels il est demandé l’indemnisation.</w:t>
      </w:r>
    </w:p>
    <w:p w14:paraId="4B827AAF" w14:textId="77777777" w:rsidR="00D53024" w:rsidRPr="00511724" w:rsidRDefault="00D53024" w:rsidP="00CA454D">
      <w:pPr>
        <w:pStyle w:val="Titre1"/>
      </w:pPr>
      <w:r w:rsidRPr="00511724">
        <w:t>P</w:t>
      </w:r>
      <w:bookmarkEnd w:id="43"/>
      <w:r>
        <w:t>rimes</w:t>
      </w:r>
      <w:bookmarkEnd w:id="44"/>
      <w:bookmarkEnd w:id="45"/>
    </w:p>
    <w:p w14:paraId="69DAD736" w14:textId="5C7A0664" w:rsidR="00D53024" w:rsidRDefault="0021485B" w:rsidP="00CA454D">
      <w:pPr>
        <w:keepLines/>
      </w:pPr>
      <w:r>
        <w:t xml:space="preserve">Le taux de prime HT et la prime annuelle à la souscription sont </w:t>
      </w:r>
      <w:r w:rsidR="0079308F">
        <w:t>indiqués</w:t>
      </w:r>
      <w:r>
        <w:t xml:space="preserve"> à l’acte d’engagement</w:t>
      </w:r>
      <w:r w:rsidR="00BB41F4">
        <w:t xml:space="preserve"> et leurs modalités d’évolution aux conditions générales.</w:t>
      </w:r>
    </w:p>
    <w:p w14:paraId="7F3F9F50" w14:textId="77777777" w:rsidR="006D395C" w:rsidRPr="006D395C" w:rsidRDefault="006D395C" w:rsidP="006D395C">
      <w:pPr>
        <w:keepLines/>
      </w:pPr>
      <w:r w:rsidRPr="005127A4">
        <w:t>Il est formellement convenu que la définition et l'étendue des garanties ne sont pas déterminées par la définition de l'assiette de prime.</w:t>
      </w:r>
    </w:p>
    <w:p w14:paraId="49E1E3BE" w14:textId="7A6E15A2" w:rsidR="007C7B48" w:rsidRPr="00C1592E" w:rsidRDefault="00EE56BF" w:rsidP="00CA454D">
      <w:pPr>
        <w:pStyle w:val="Titre1"/>
      </w:pPr>
      <w:r>
        <w:t>Sinistres et indemnités</w:t>
      </w:r>
    </w:p>
    <w:p w14:paraId="28A40C90" w14:textId="763A96CA" w:rsidR="00F6204E" w:rsidRPr="00254442" w:rsidRDefault="00F6204E" w:rsidP="00CA454D">
      <w:pPr>
        <w:keepLines/>
      </w:pPr>
      <w:bookmarkStart w:id="46" w:name="_Toc250984430"/>
      <w:bookmarkStart w:id="47" w:name="_Toc253559497"/>
      <w:bookmarkStart w:id="48" w:name="_Toc261440698"/>
      <w:r>
        <w:t>L</w:t>
      </w:r>
      <w:r w:rsidRPr="00254442">
        <w:t xml:space="preserve">e remboursement des sinistres se fera TVA comprise, </w:t>
      </w:r>
      <w:bookmarkStart w:id="49" w:name="_Toc259016222"/>
      <w:bookmarkEnd w:id="46"/>
      <w:bookmarkEnd w:id="47"/>
      <w:bookmarkEnd w:id="48"/>
      <w:r w:rsidRPr="00254442">
        <w:t>sauf dans le cas où l'</w:t>
      </w:r>
      <w:r w:rsidR="007E5534">
        <w:t>a</w:t>
      </w:r>
      <w:r w:rsidRPr="00254442">
        <w:t>ssuré ou le service concerné serait soumis à régime de récupération de la TVA.</w:t>
      </w:r>
      <w:bookmarkEnd w:id="49"/>
    </w:p>
    <w:p w14:paraId="36F1ED38" w14:textId="19CE6C58" w:rsidR="00210C2D" w:rsidRDefault="00210C2D" w:rsidP="00CA454D">
      <w:pPr>
        <w:keepLines/>
      </w:pPr>
      <w:bookmarkStart w:id="50" w:name="_Toc250984431"/>
      <w:bookmarkStart w:id="51" w:name="_Toc253559498"/>
      <w:bookmarkStart w:id="52" w:name="_Toc261440699"/>
      <w:r>
        <w:t>L</w:t>
      </w:r>
      <w:r w:rsidRPr="00254442">
        <w:t>orsque les services de l’</w:t>
      </w:r>
      <w:r>
        <w:t>a</w:t>
      </w:r>
      <w:r w:rsidRPr="00254442">
        <w:t>ssuré interviennent en lieu et place d'une entreprise pour réaliser des</w:t>
      </w:r>
      <w:r w:rsidR="002C23EA">
        <w:t xml:space="preserve"> prestations ou</w:t>
      </w:r>
      <w:r w:rsidRPr="00254442">
        <w:t xml:space="preserve"> travaux garantis au titre du présent contrat</w:t>
      </w:r>
      <w:r w:rsidR="00D67F22">
        <w:t xml:space="preserve"> et/ou la coordination de ces travaux</w:t>
      </w:r>
      <w:r w:rsidRPr="00254442">
        <w:t>, le coût de cette intervention sera indemnisé selon une valorisation à dire d'expert.</w:t>
      </w:r>
    </w:p>
    <w:p w14:paraId="4A6B74F4" w14:textId="77777777" w:rsidR="008E50B2" w:rsidRDefault="008E50B2" w:rsidP="00CA454D">
      <w:pPr>
        <w:keepLines/>
      </w:pPr>
    </w:p>
    <w:p w14:paraId="3C8DCECD" w14:textId="77777777" w:rsidR="008E50B2" w:rsidRPr="008E50B2" w:rsidRDefault="008E50B2" w:rsidP="008E50B2">
      <w:pPr>
        <w:keepNext/>
        <w:keepLines/>
        <w:pBdr>
          <w:bottom w:val="single" w:sz="12" w:space="1" w:color="436E91" w:themeColor="accent1"/>
        </w:pBdr>
        <w:spacing w:before="600" w:after="80"/>
        <w:outlineLvl w:val="0"/>
        <w:rPr>
          <w:rFonts w:ascii="Arial Gras" w:hAnsi="Arial Gras"/>
          <w:b/>
          <w:bCs/>
          <w:caps/>
          <w:color w:val="436E91" w:themeColor="accent1"/>
          <w:sz w:val="36"/>
          <w:szCs w:val="36"/>
        </w:rPr>
      </w:pPr>
      <w:r w:rsidRPr="008E50B2">
        <w:rPr>
          <w:rFonts w:ascii="Arial Gras" w:hAnsi="Arial Gras"/>
          <w:b/>
          <w:bCs/>
          <w:caps/>
          <w:color w:val="436E91" w:themeColor="accent1"/>
          <w:sz w:val="36"/>
          <w:szCs w:val="36"/>
        </w:rPr>
        <w:lastRenderedPageBreak/>
        <w:t>Conventions spécifiques</w:t>
      </w:r>
    </w:p>
    <w:p w14:paraId="274350B6" w14:textId="77777777" w:rsidR="008E50B2" w:rsidRDefault="008E50B2" w:rsidP="008E50B2">
      <w:pPr>
        <w:keepLines/>
        <w:rPr>
          <w:rFonts w:cs="Times New Roman"/>
          <w:bCs/>
        </w:rPr>
      </w:pPr>
      <w:r w:rsidRPr="008E50B2">
        <w:rPr>
          <w:rFonts w:cs="Times New Roman"/>
          <w:bCs/>
        </w:rPr>
        <w:t>Il est convenu que l’intermédiaire d’assurance et/ou l’assureur s’engage à établir et à transmettre une quittance distincte à chaque entité assurée.</w:t>
      </w:r>
      <w:bookmarkStart w:id="53" w:name="_Hlk195172682"/>
      <w:r w:rsidRPr="008E50B2">
        <w:rPr>
          <w:rFonts w:cs="Times New Roman"/>
          <w:bCs/>
        </w:rPr>
        <w:t xml:space="preserve"> </w:t>
      </w:r>
      <w:r w:rsidRPr="008E50B2">
        <w:t>L'assureur établira un contrat d'assurance pour chacun des assurés avec un numéro de contrat distinct.</w:t>
      </w:r>
      <w:bookmarkEnd w:id="53"/>
      <w:r w:rsidRPr="008E50B2">
        <w:t xml:space="preserve"> </w:t>
      </w:r>
      <w:r w:rsidRPr="008E50B2">
        <w:rPr>
          <w:rFonts w:cs="Times New Roman"/>
          <w:bCs/>
        </w:rPr>
        <w:t>La gestion des sinistres et du contrat d’assurance sont assurés par chacune des entités assurées, directement auprès de l’intermédiaire d’assurance et/ou de l’assureur.</w:t>
      </w:r>
    </w:p>
    <w:p w14:paraId="20BB4B84" w14:textId="77777777" w:rsidR="00336232" w:rsidRDefault="00336232" w:rsidP="008E50B2">
      <w:pPr>
        <w:keepLines/>
        <w:rPr>
          <w:rFonts w:cs="Times New Roman"/>
          <w:bCs/>
        </w:rPr>
      </w:pPr>
    </w:p>
    <w:p w14:paraId="56DADDC1" w14:textId="650B7F68" w:rsidR="00336232" w:rsidRPr="00493CED" w:rsidRDefault="00336232" w:rsidP="008E50B2">
      <w:pPr>
        <w:keepLines/>
      </w:pPr>
      <w:bookmarkStart w:id="54" w:name="_Hlk200471394"/>
      <w:r w:rsidRPr="00493CED">
        <w:rPr>
          <w:rFonts w:cs="Times New Roman"/>
          <w:bCs/>
        </w:rPr>
        <w:t>D</w:t>
      </w:r>
      <w:r w:rsidRPr="00493CED">
        <w:t xml:space="preserve">es ombrières photovoltaïques vont être installées en 2026 sur le parking du site de Vesoul. </w:t>
      </w:r>
    </w:p>
    <w:p w14:paraId="1FF4F098" w14:textId="0584CB00" w:rsidR="00336232" w:rsidRPr="00493CED" w:rsidRDefault="00336232" w:rsidP="008E50B2">
      <w:pPr>
        <w:keepLines/>
        <w:rPr>
          <w:rFonts w:cs="Times New Roman"/>
          <w:bCs/>
        </w:rPr>
      </w:pPr>
      <w:r w:rsidRPr="00493CED">
        <w:rPr>
          <w:rFonts w:cs="Times New Roman"/>
          <w:bCs/>
        </w:rPr>
        <w:t xml:space="preserve">Il est convenu que les garanties du contrat s’appliqueront à réception </w:t>
      </w:r>
      <w:r w:rsidRPr="00493CED">
        <w:t>des ombrières photovoltaïques qui vont être installées en 2026 sur le parking du site de Vesoul</w:t>
      </w:r>
    </w:p>
    <w:p w14:paraId="674B987C" w14:textId="77777777" w:rsidR="007547B2" w:rsidRPr="009B7F62" w:rsidRDefault="007547B2" w:rsidP="00CA454D">
      <w:pPr>
        <w:pStyle w:val="Titre1"/>
      </w:pPr>
      <w:bookmarkStart w:id="55" w:name="_Hlk93153693"/>
      <w:bookmarkEnd w:id="50"/>
      <w:bookmarkEnd w:id="51"/>
      <w:bookmarkEnd w:id="52"/>
      <w:bookmarkEnd w:id="54"/>
      <w:r w:rsidRPr="00493CED">
        <w:t>Prestations</w:t>
      </w:r>
      <w:r w:rsidRPr="009B7F62">
        <w:t xml:space="preserve"> de gestion obligatoires</w:t>
      </w:r>
    </w:p>
    <w:p w14:paraId="2245D262" w14:textId="77777777" w:rsidR="00B4295B" w:rsidRPr="00B4295B" w:rsidRDefault="00B4295B" w:rsidP="00B4295B">
      <w:pPr>
        <w:keepNext/>
        <w:keepLines/>
        <w:pBdr>
          <w:bottom w:val="single" w:sz="12" w:space="1" w:color="A2C037" w:themeColor="accent6"/>
        </w:pBdr>
        <w:tabs>
          <w:tab w:val="left" w:pos="1560"/>
        </w:tabs>
        <w:spacing w:before="360" w:after="120"/>
        <w:outlineLvl w:val="1"/>
        <w:rPr>
          <w:caps/>
          <w:color w:val="436E91" w:themeColor="accent1"/>
          <w:sz w:val="28"/>
          <w:szCs w:val="28"/>
        </w:rPr>
      </w:pPr>
      <w:bookmarkStart w:id="56" w:name="_Hlk200469587"/>
      <w:r w:rsidRPr="00B4295B">
        <w:rPr>
          <w:caps/>
          <w:color w:val="436E91" w:themeColor="accent1"/>
          <w:sz w:val="28"/>
          <w:szCs w:val="28"/>
        </w:rPr>
        <w:t>rencontre annuelle</w:t>
      </w:r>
    </w:p>
    <w:p w14:paraId="6BA4B7CA" w14:textId="78583ECC" w:rsidR="00B4295B" w:rsidRPr="00B4295B" w:rsidRDefault="00B4295B" w:rsidP="00B4295B">
      <w:pPr>
        <w:keepLines/>
        <w:spacing w:before="120"/>
      </w:pPr>
      <w:r w:rsidRPr="00B4295B">
        <w:t>L</w:t>
      </w:r>
      <w:r>
        <w:t>’assureur devra obligatoirement proposer une rencontre annuelle dans les locaux</w:t>
      </w:r>
      <w:r w:rsidRPr="00B4295B">
        <w:t xml:space="preserve"> </w:t>
      </w:r>
      <w:r>
        <w:t xml:space="preserve">du </w:t>
      </w:r>
      <w:r w:rsidRPr="00B4295B">
        <w:t>Groupe hospitalier de la haute Saône</w:t>
      </w:r>
      <w:r>
        <w:t xml:space="preserve"> et effectuer une analyse de la sinistralité et un plan d’amélioration et de préventions</w:t>
      </w:r>
    </w:p>
    <w:bookmarkEnd w:id="56"/>
    <w:p w14:paraId="5A25B100" w14:textId="0933D38C" w:rsidR="007547B2" w:rsidRPr="009B7F62" w:rsidRDefault="007547B2" w:rsidP="00CA454D">
      <w:pPr>
        <w:pStyle w:val="Titre2"/>
      </w:pPr>
      <w:r w:rsidRPr="009B7F62">
        <w:t>Déclaration de sinistre</w:t>
      </w:r>
    </w:p>
    <w:p w14:paraId="730432AD" w14:textId="77777777" w:rsidR="007547B2" w:rsidRDefault="007547B2" w:rsidP="00CA454D">
      <w:pPr>
        <w:keepLines/>
        <w:spacing w:before="120"/>
      </w:pPr>
      <w:r w:rsidRPr="009B7F62">
        <w:t>La déclaration de sinistre pourra être transmise par téléphone (avec confirmation écrite), par courrier ou par mail.</w:t>
      </w:r>
    </w:p>
    <w:p w14:paraId="03190359" w14:textId="3D5D69D8" w:rsidR="007547B2" w:rsidRDefault="007547B2" w:rsidP="00CA454D">
      <w:pPr>
        <w:keepLines/>
        <w:spacing w:before="120"/>
      </w:pPr>
      <w:r w:rsidRPr="00C97E1C">
        <w:t xml:space="preserve">Toute déclaration de sinistre fera l’objet </w:t>
      </w:r>
      <w:r>
        <w:t xml:space="preserve">sous </w:t>
      </w:r>
      <w:r w:rsidR="00323E15">
        <w:t>72</w:t>
      </w:r>
      <w:r>
        <w:t xml:space="preserve">h ouvrées </w:t>
      </w:r>
      <w:r w:rsidRPr="00C97E1C">
        <w:t xml:space="preserve">d’un accusé de réception </w:t>
      </w:r>
      <w:r w:rsidRPr="00AA2EDC">
        <w:rPr>
          <w:bCs/>
          <w:iCs/>
        </w:rPr>
        <w:t>donnant</w:t>
      </w:r>
      <w:r w:rsidRPr="00C97E1C">
        <w:t xml:space="preserve"> les références du sinistre et les coordonnées de l’interlocuteur chargé du suivi</w:t>
      </w:r>
      <w:r>
        <w:t>.</w:t>
      </w:r>
    </w:p>
    <w:p w14:paraId="71A22168" w14:textId="77777777" w:rsidR="007547B2" w:rsidRPr="00C97E1C" w:rsidRDefault="007547B2" w:rsidP="00CA454D">
      <w:pPr>
        <w:keepLines/>
        <w:spacing w:before="120"/>
      </w:pPr>
      <w:r w:rsidRPr="00C97E1C">
        <w:t xml:space="preserve">Les dossiers </w:t>
      </w:r>
      <w:r>
        <w:t xml:space="preserve">sinistres </w:t>
      </w:r>
      <w:r w:rsidRPr="00C97E1C">
        <w:t>seront tous suivis par le même interlocuteur</w:t>
      </w:r>
      <w:r>
        <w:t>. La gestion du contrat sera également effectuée par un interlocuteur unique. La compagnie ou l</w:t>
      </w:r>
      <w:r w:rsidRPr="00FD31FE">
        <w:t xml:space="preserve">’intermédiaire d’assurance </w:t>
      </w:r>
      <w:r>
        <w:t>s’engage à communiquer à l’assuré les coordonnées des référents en charge de la gestion du contrat et des sinistres et de leurs remplaçants.</w:t>
      </w:r>
    </w:p>
    <w:p w14:paraId="73E875D6" w14:textId="77777777" w:rsidR="007547B2" w:rsidRPr="00CA454D" w:rsidRDefault="007547B2" w:rsidP="00CA454D">
      <w:pPr>
        <w:pStyle w:val="Titre2"/>
      </w:pPr>
      <w:r>
        <w:t>Indemnisation</w:t>
      </w:r>
    </w:p>
    <w:p w14:paraId="37FD889B" w14:textId="77777777" w:rsidR="007547B2" w:rsidRDefault="007547B2" w:rsidP="00CA454D">
      <w:pPr>
        <w:keepLines/>
        <w:spacing w:before="120"/>
      </w:pPr>
      <w:r w:rsidRPr="00C97E1C">
        <w:t xml:space="preserve">A la demande expresse de l’assuré, </w:t>
      </w:r>
      <w:r>
        <w:t>la compagnie ou l</w:t>
      </w:r>
      <w:r w:rsidRPr="00FD31FE">
        <w:t xml:space="preserve">’intermédiaire d’assurance </w:t>
      </w:r>
      <w:r w:rsidRPr="00C97E1C">
        <w:t>réglera directement les prestataires dans le cadre de la mise en place des mesures conservatoires et mesures d’urgence</w:t>
      </w:r>
      <w:r>
        <w:t xml:space="preserve"> (sous réserve de l’approbation des dépenses)</w:t>
      </w:r>
      <w:r w:rsidRPr="00C97E1C">
        <w:t xml:space="preserve"> ainsi que l’expert éventuellement désigné par l’assuré</w:t>
      </w:r>
      <w:r>
        <w:t>.</w:t>
      </w:r>
    </w:p>
    <w:p w14:paraId="146E7183" w14:textId="77777777" w:rsidR="007547B2" w:rsidRDefault="007547B2" w:rsidP="00CA454D">
      <w:pPr>
        <w:pStyle w:val="Titre2"/>
      </w:pPr>
      <w:bookmarkStart w:id="57" w:name="_Hlk114502568"/>
      <w:r>
        <w:t>Bilan de sinistralité</w:t>
      </w:r>
    </w:p>
    <w:p w14:paraId="6C0561D7" w14:textId="77777777" w:rsidR="007547B2" w:rsidRDefault="007547B2" w:rsidP="00CA454D">
      <w:pPr>
        <w:keepLines/>
        <w:spacing w:before="120"/>
      </w:pPr>
      <w:r>
        <w:t>La compagnie ou l</w:t>
      </w:r>
      <w:r w:rsidRPr="00FD31FE">
        <w:t xml:space="preserve">’intermédiaire d’assurance </w:t>
      </w:r>
      <w:r>
        <w:t xml:space="preserve">présentera, à la demande de l’assuré, </w:t>
      </w:r>
      <w:r w:rsidRPr="00C97E1C">
        <w:t xml:space="preserve">un bilan annuel </w:t>
      </w:r>
      <w:r>
        <w:t xml:space="preserve">sous format numérique (fichier tableur) </w:t>
      </w:r>
      <w:r w:rsidRPr="00C97E1C">
        <w:t>avec mise à jour des évaluations et recours</w:t>
      </w:r>
      <w:r>
        <w:t>.</w:t>
      </w:r>
    </w:p>
    <w:p w14:paraId="2587583D" w14:textId="77777777" w:rsidR="007547B2" w:rsidRDefault="007547B2" w:rsidP="00CA454D">
      <w:pPr>
        <w:keepLines/>
      </w:pPr>
      <w:r>
        <w:t>La compagnie ou l</w:t>
      </w:r>
      <w:r w:rsidRPr="00FD31FE">
        <w:t xml:space="preserve">’intermédiaire d’assurance </w:t>
      </w:r>
      <w:r w:rsidRPr="00C97E1C">
        <w:t>propose</w:t>
      </w:r>
      <w:r>
        <w:t>ra</w:t>
      </w:r>
      <w:r w:rsidRPr="00C97E1C">
        <w:t xml:space="preserve"> une rencontre annuelle</w:t>
      </w:r>
      <w:r>
        <w:t>, sur site ou par visioconférence,</w:t>
      </w:r>
      <w:r w:rsidRPr="00C97E1C">
        <w:t xml:space="preserve"> pour faire un bilan de la sinistralité</w:t>
      </w:r>
      <w:r>
        <w:t>.</w:t>
      </w:r>
    </w:p>
    <w:p w14:paraId="5450DBA0" w14:textId="77777777" w:rsidR="007547B2" w:rsidRPr="00C97E1C" w:rsidRDefault="007547B2" w:rsidP="00CA454D">
      <w:pPr>
        <w:keepNext/>
        <w:keepLines/>
        <w:tabs>
          <w:tab w:val="num" w:pos="1419"/>
        </w:tabs>
        <w:spacing w:before="120"/>
      </w:pPr>
      <w:r>
        <w:t>La compagnie ou l</w:t>
      </w:r>
      <w:r w:rsidRPr="00FD31FE">
        <w:t xml:space="preserve">’intermédiaire d’assurance </w:t>
      </w:r>
      <w:r>
        <w:t>fera apparaître</w:t>
      </w:r>
      <w:r w:rsidRPr="00C97E1C">
        <w:t xml:space="preserve"> </w:t>
      </w:r>
      <w:proofErr w:type="gramStart"/>
      <w:r>
        <w:t>a</w:t>
      </w:r>
      <w:proofErr w:type="gramEnd"/>
      <w:r>
        <w:t xml:space="preserve"> minima </w:t>
      </w:r>
      <w:r w:rsidRPr="00C97E1C">
        <w:t>les rubriques suivantes dans son bilan de sinistralité :</w:t>
      </w:r>
    </w:p>
    <w:p w14:paraId="3D065D32" w14:textId="77777777" w:rsidR="007547B2" w:rsidRPr="000052C6" w:rsidRDefault="007547B2" w:rsidP="00CA454D">
      <w:pPr>
        <w:pStyle w:val="Paragraphedeliste"/>
        <w:keepLines/>
        <w:numPr>
          <w:ilvl w:val="0"/>
          <w:numId w:val="7"/>
        </w:numPr>
        <w:ind w:left="714" w:hanging="357"/>
      </w:pPr>
      <w:r>
        <w:t>d</w:t>
      </w:r>
      <w:r w:rsidRPr="00C97E1C">
        <w:t xml:space="preserve">ate d’arrêté du </w:t>
      </w:r>
      <w:proofErr w:type="spellStart"/>
      <w:r w:rsidRPr="00C97E1C">
        <w:t>reporting</w:t>
      </w:r>
      <w:proofErr w:type="spellEnd"/>
      <w:r>
        <w:t>,</w:t>
      </w:r>
    </w:p>
    <w:p w14:paraId="3832195C" w14:textId="77777777" w:rsidR="007547B2" w:rsidRPr="000052C6" w:rsidRDefault="007547B2" w:rsidP="00CA454D">
      <w:pPr>
        <w:pStyle w:val="Paragraphedeliste"/>
        <w:keepLines/>
        <w:numPr>
          <w:ilvl w:val="0"/>
          <w:numId w:val="7"/>
        </w:numPr>
        <w:ind w:left="714" w:hanging="357"/>
      </w:pPr>
      <w:r>
        <w:t>n</w:t>
      </w:r>
      <w:r w:rsidRPr="00C97E1C">
        <w:t xml:space="preserve">° du sinistre chez </w:t>
      </w:r>
      <w:r>
        <w:t xml:space="preserve">la compagnie et/ou l’intermédiaire </w:t>
      </w:r>
      <w:r w:rsidRPr="00C97E1C">
        <w:t>et l’assuré</w:t>
      </w:r>
      <w:r>
        <w:t>,</w:t>
      </w:r>
    </w:p>
    <w:p w14:paraId="7503C239" w14:textId="77777777" w:rsidR="007547B2" w:rsidRPr="000052C6" w:rsidRDefault="007547B2" w:rsidP="00CA454D">
      <w:pPr>
        <w:pStyle w:val="Paragraphedeliste"/>
        <w:keepLines/>
        <w:numPr>
          <w:ilvl w:val="0"/>
          <w:numId w:val="7"/>
        </w:numPr>
        <w:ind w:left="714" w:hanging="357"/>
      </w:pPr>
      <w:r>
        <w:t>descriptif du sinistre,</w:t>
      </w:r>
    </w:p>
    <w:p w14:paraId="2C3F02D0" w14:textId="77777777" w:rsidR="007547B2" w:rsidRPr="000052C6" w:rsidRDefault="007547B2" w:rsidP="00CA454D">
      <w:pPr>
        <w:pStyle w:val="Paragraphedeliste"/>
        <w:keepLines/>
        <w:numPr>
          <w:ilvl w:val="0"/>
          <w:numId w:val="7"/>
        </w:numPr>
        <w:ind w:left="714" w:hanging="357"/>
      </w:pPr>
      <w:r>
        <w:t>d</w:t>
      </w:r>
      <w:r w:rsidRPr="00C97E1C">
        <w:t>ate du sinistre</w:t>
      </w:r>
      <w:r>
        <w:t>,</w:t>
      </w:r>
    </w:p>
    <w:p w14:paraId="085BB404" w14:textId="77777777" w:rsidR="007547B2" w:rsidRPr="000052C6" w:rsidRDefault="007547B2" w:rsidP="00CA454D">
      <w:pPr>
        <w:pStyle w:val="Paragraphedeliste"/>
        <w:keepLines/>
        <w:numPr>
          <w:ilvl w:val="0"/>
          <w:numId w:val="7"/>
        </w:numPr>
        <w:ind w:left="714" w:hanging="357"/>
      </w:pPr>
      <w:r>
        <w:lastRenderedPageBreak/>
        <w:t>m</w:t>
      </w:r>
      <w:r w:rsidRPr="00C97E1C">
        <w:t>ontant du sinistre provisionné</w:t>
      </w:r>
      <w:r>
        <w:t>,</w:t>
      </w:r>
    </w:p>
    <w:p w14:paraId="4115B7BF" w14:textId="77777777" w:rsidR="007547B2" w:rsidRDefault="007547B2" w:rsidP="00CA454D">
      <w:pPr>
        <w:pStyle w:val="Paragraphedeliste"/>
        <w:keepLines/>
        <w:numPr>
          <w:ilvl w:val="0"/>
          <w:numId w:val="7"/>
        </w:numPr>
        <w:ind w:left="714" w:hanging="357"/>
      </w:pPr>
      <w:r>
        <w:t>m</w:t>
      </w:r>
      <w:r w:rsidRPr="00C97E1C">
        <w:t>ontant du sinistre réglé</w:t>
      </w:r>
      <w:r>
        <w:t>,</w:t>
      </w:r>
    </w:p>
    <w:p w14:paraId="0ADDF81B" w14:textId="08A08168" w:rsidR="00457E06" w:rsidRDefault="00457E06" w:rsidP="00CA454D">
      <w:pPr>
        <w:pStyle w:val="Paragraphedeliste"/>
        <w:keepLines/>
        <w:numPr>
          <w:ilvl w:val="0"/>
          <w:numId w:val="7"/>
        </w:numPr>
        <w:ind w:left="714" w:hanging="357"/>
      </w:pPr>
      <w:r>
        <w:t>montant du recours provisionné,</w:t>
      </w:r>
    </w:p>
    <w:p w14:paraId="6A979A59" w14:textId="0EF04F7D" w:rsidR="00457E06" w:rsidRPr="000052C6" w:rsidRDefault="00457E06" w:rsidP="00CA454D">
      <w:pPr>
        <w:pStyle w:val="Paragraphedeliste"/>
        <w:keepLines/>
        <w:numPr>
          <w:ilvl w:val="0"/>
          <w:numId w:val="7"/>
        </w:numPr>
        <w:ind w:left="714" w:hanging="357"/>
      </w:pPr>
      <w:r>
        <w:t>montant du recours encaissé,</w:t>
      </w:r>
    </w:p>
    <w:p w14:paraId="7937005C" w14:textId="77777777" w:rsidR="007547B2" w:rsidRPr="000052C6" w:rsidRDefault="007547B2" w:rsidP="00CA454D">
      <w:pPr>
        <w:pStyle w:val="Paragraphedeliste"/>
        <w:keepLines/>
        <w:numPr>
          <w:ilvl w:val="0"/>
          <w:numId w:val="7"/>
        </w:numPr>
        <w:ind w:left="714" w:hanging="357"/>
      </w:pPr>
      <w:r>
        <w:t>d</w:t>
      </w:r>
      <w:r w:rsidRPr="00C97E1C">
        <w:t>ate de déclaration du sinistre</w:t>
      </w:r>
      <w:r>
        <w:t>,</w:t>
      </w:r>
    </w:p>
    <w:p w14:paraId="4E15D1CA" w14:textId="77777777" w:rsidR="007547B2" w:rsidRPr="000052C6" w:rsidRDefault="007547B2" w:rsidP="00CA454D">
      <w:pPr>
        <w:pStyle w:val="Paragraphedeliste"/>
        <w:keepLines/>
        <w:numPr>
          <w:ilvl w:val="0"/>
          <w:numId w:val="7"/>
        </w:numPr>
        <w:ind w:left="714" w:hanging="357"/>
      </w:pPr>
      <w:r>
        <w:t>é</w:t>
      </w:r>
      <w:r w:rsidRPr="00C97E1C">
        <w:t>tat de la procédure</w:t>
      </w:r>
      <w:r>
        <w:t>,</w:t>
      </w:r>
    </w:p>
    <w:p w14:paraId="361E22B4" w14:textId="77777777" w:rsidR="007547B2" w:rsidRPr="000052C6" w:rsidRDefault="007547B2" w:rsidP="00CA454D">
      <w:pPr>
        <w:pStyle w:val="Paragraphedeliste"/>
        <w:keepLines/>
        <w:numPr>
          <w:ilvl w:val="0"/>
          <w:numId w:val="7"/>
        </w:numPr>
        <w:ind w:left="714" w:hanging="357"/>
      </w:pPr>
      <w:r>
        <w:t>mo</w:t>
      </w:r>
      <w:r w:rsidRPr="00C97E1C">
        <w:t>ntant de la franchise</w:t>
      </w:r>
      <w:r>
        <w:t>,</w:t>
      </w:r>
    </w:p>
    <w:p w14:paraId="3D261195" w14:textId="77777777" w:rsidR="007547B2" w:rsidRPr="000052C6" w:rsidRDefault="007547B2" w:rsidP="00CA454D">
      <w:pPr>
        <w:pStyle w:val="Paragraphedeliste"/>
        <w:keepLines/>
        <w:numPr>
          <w:ilvl w:val="0"/>
          <w:numId w:val="7"/>
        </w:numPr>
        <w:ind w:left="714" w:hanging="357"/>
      </w:pPr>
      <w:r>
        <w:t>d</w:t>
      </w:r>
      <w:r w:rsidRPr="00C97E1C">
        <w:t>ate de règlement de l’indemnisation</w:t>
      </w:r>
      <w:r>
        <w:t>.</w:t>
      </w:r>
    </w:p>
    <w:bookmarkEnd w:id="57"/>
    <w:p w14:paraId="787D51D3" w14:textId="77777777" w:rsidR="007547B2" w:rsidRDefault="007547B2" w:rsidP="00CA454D">
      <w:pPr>
        <w:pStyle w:val="Titre2"/>
      </w:pPr>
      <w:r>
        <w:t>Présentation des quittances</w:t>
      </w:r>
    </w:p>
    <w:p w14:paraId="7AB8FD8A" w14:textId="77777777" w:rsidR="007547B2" w:rsidRDefault="007547B2" w:rsidP="00CA454D">
      <w:pPr>
        <w:keepNext/>
        <w:keepLines/>
        <w:tabs>
          <w:tab w:val="num" w:pos="1419"/>
        </w:tabs>
        <w:spacing w:before="120"/>
      </w:pPr>
      <w:bookmarkStart w:id="58" w:name="_Hlk114469347"/>
      <w:r>
        <w:t xml:space="preserve">La quittance </w:t>
      </w:r>
      <w:r w:rsidRPr="00E34AEA">
        <w:rPr>
          <w:bCs/>
        </w:rPr>
        <w:t>présentée</w:t>
      </w:r>
      <w:r>
        <w:t xml:space="preserve"> à l’échéance par la compagnie ou l</w:t>
      </w:r>
      <w:r w:rsidRPr="00FD31FE">
        <w:t xml:space="preserve">’intermédiaire d’assurance </w:t>
      </w:r>
      <w:r>
        <w:t>devra faire apparaître :</w:t>
      </w:r>
    </w:p>
    <w:p w14:paraId="25E39AEF" w14:textId="77777777" w:rsidR="007547B2" w:rsidRDefault="007547B2" w:rsidP="00CA454D">
      <w:pPr>
        <w:pStyle w:val="Paragraphedeliste"/>
        <w:keepLines/>
        <w:numPr>
          <w:ilvl w:val="0"/>
          <w:numId w:val="7"/>
        </w:numPr>
        <w:ind w:left="714" w:hanging="357"/>
      </w:pPr>
      <w:bookmarkStart w:id="59" w:name="_Hlk116039004"/>
      <w:bookmarkEnd w:id="58"/>
      <w:r>
        <w:t>l’assiette de prime retenue,</w:t>
      </w:r>
    </w:p>
    <w:p w14:paraId="27BB89C8" w14:textId="77777777" w:rsidR="007547B2" w:rsidRPr="0038601D" w:rsidRDefault="007547B2" w:rsidP="00CA454D">
      <w:pPr>
        <w:pStyle w:val="Paragraphedeliste"/>
        <w:keepLines/>
        <w:numPr>
          <w:ilvl w:val="0"/>
          <w:numId w:val="7"/>
        </w:numPr>
        <w:ind w:left="714" w:hanging="357"/>
      </w:pPr>
      <w:r w:rsidRPr="0038601D">
        <w:t>le taux de prime</w:t>
      </w:r>
      <w:r>
        <w:t xml:space="preserve"> HT</w:t>
      </w:r>
      <w:r w:rsidRPr="0038601D">
        <w:t xml:space="preserve"> avant indexation et après indexation,</w:t>
      </w:r>
    </w:p>
    <w:p w14:paraId="60A19805" w14:textId="77777777" w:rsidR="007547B2" w:rsidRDefault="007547B2" w:rsidP="00CA454D">
      <w:pPr>
        <w:pStyle w:val="Paragraphedeliste"/>
        <w:keepLines/>
        <w:numPr>
          <w:ilvl w:val="0"/>
          <w:numId w:val="7"/>
        </w:numPr>
        <w:ind w:left="714" w:hanging="357"/>
      </w:pPr>
      <w:r>
        <w:t>la valeur des indices retenus pour l’indexation du taux de prime,</w:t>
      </w:r>
    </w:p>
    <w:bookmarkEnd w:id="59"/>
    <w:p w14:paraId="3251D3E8" w14:textId="77777777" w:rsidR="007547B2" w:rsidRDefault="007547B2" w:rsidP="00CA454D">
      <w:pPr>
        <w:pStyle w:val="Paragraphedeliste"/>
        <w:keepLines/>
        <w:numPr>
          <w:ilvl w:val="0"/>
          <w:numId w:val="7"/>
        </w:numPr>
        <w:ind w:left="714" w:hanging="357"/>
      </w:pPr>
      <w:r>
        <w:t>la prime HT,</w:t>
      </w:r>
    </w:p>
    <w:p w14:paraId="083B27D4" w14:textId="77777777" w:rsidR="007547B2" w:rsidRDefault="007547B2" w:rsidP="00CA454D">
      <w:pPr>
        <w:pStyle w:val="Paragraphedeliste"/>
        <w:keepLines/>
        <w:numPr>
          <w:ilvl w:val="0"/>
          <w:numId w:val="7"/>
        </w:numPr>
        <w:ind w:left="714" w:hanging="357"/>
      </w:pPr>
      <w:r>
        <w:t>le détail et le montant des taxes,</w:t>
      </w:r>
    </w:p>
    <w:p w14:paraId="60739A80" w14:textId="77777777" w:rsidR="007547B2" w:rsidRPr="00C97E1C" w:rsidRDefault="007547B2" w:rsidP="00CA454D">
      <w:pPr>
        <w:pStyle w:val="Paragraphedeliste"/>
        <w:keepLines/>
        <w:numPr>
          <w:ilvl w:val="0"/>
          <w:numId w:val="7"/>
        </w:numPr>
        <w:ind w:left="714" w:hanging="357"/>
      </w:pPr>
      <w:r>
        <w:t>la prime TTC.</w:t>
      </w:r>
    </w:p>
    <w:p w14:paraId="4DFAF9F7" w14:textId="77777777" w:rsidR="007547B2" w:rsidRDefault="007547B2" w:rsidP="00CA454D">
      <w:pPr>
        <w:keepLines/>
        <w:spacing w:before="120"/>
      </w:pPr>
      <w:r>
        <w:t xml:space="preserve">La quittance présentée le cas échéant pour la régularisation de prime après déclaration du nouveau </w:t>
      </w:r>
      <w:r w:rsidRPr="0009444A">
        <w:t>parc assuré devra rappeler l’ancienne superficie prise en compte ainsi que la prime HT et TTC déjà appelée, et comporter la nouvelle superficie ainsi que la prime de régularisation HT et TTC et le détail et le montant des taxes.</w:t>
      </w:r>
    </w:p>
    <w:p w14:paraId="307F61D5" w14:textId="77777777" w:rsidR="0009444A" w:rsidRPr="0009444A" w:rsidRDefault="0009444A" w:rsidP="00CA454D">
      <w:pPr>
        <w:keepLines/>
        <w:spacing w:before="120"/>
      </w:pPr>
    </w:p>
    <w:p w14:paraId="5A2AD461" w14:textId="2675A632" w:rsidR="00234BF9" w:rsidRPr="0009444A" w:rsidRDefault="00234BF9" w:rsidP="0009444A">
      <w:pPr>
        <w:keepLines/>
        <w:widowControl/>
        <w:rPr>
          <w:rFonts w:ascii="Arial Gras" w:hAnsi="Arial Gras" w:cs="Times New Roman"/>
          <w:b/>
          <w:vanish/>
          <w:sz w:val="32"/>
          <w:szCs w:val="18"/>
        </w:rPr>
      </w:pPr>
      <w:r w:rsidRPr="0009444A">
        <w:rPr>
          <w:rFonts w:ascii="Arial Gras" w:hAnsi="Arial Gras" w:cs="Times New Roman"/>
          <w:b/>
          <w:vanish/>
          <w:sz w:val="32"/>
          <w:szCs w:val="18"/>
          <w:vertAlign w:val="superscript"/>
        </w:rPr>
        <w:footnoteReference w:id="1"/>
      </w:r>
      <w:bookmarkEnd w:id="55"/>
    </w:p>
    <w:sectPr w:rsidR="00234BF9" w:rsidRPr="0009444A" w:rsidSect="00BE4081">
      <w:headerReference w:type="default" r:id="rId9"/>
      <w:footerReference w:type="default" r:id="rId10"/>
      <w:pgSz w:w="11906" w:h="16838"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49E9D" w14:textId="77777777" w:rsidR="006A4233" w:rsidRDefault="006A4233" w:rsidP="006603F5">
      <w:r>
        <w:separator/>
      </w:r>
    </w:p>
  </w:endnote>
  <w:endnote w:type="continuationSeparator" w:id="0">
    <w:p w14:paraId="44B3FB10" w14:textId="77777777" w:rsidR="006A4233" w:rsidRDefault="006A4233"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D7A92" w14:textId="77777777" w:rsidR="00254052" w:rsidRDefault="00254052">
    <w:pPr>
      <w:pStyle w:val="Pieddepage"/>
      <w:framePr w:w="576" w:wrap="auto" w:vAnchor="page" w:hAnchor="page" w:x="1" w:y="16161"/>
      <w:jc w:val="right"/>
      <w:rPr>
        <w:rStyle w:val="Numrodepage"/>
      </w:rPr>
    </w:pPr>
  </w:p>
  <w:p w14:paraId="2944077C" w14:textId="77777777" w:rsidR="00254052" w:rsidRDefault="00254052" w:rsidP="00487DE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E660F" w14:textId="4AB3D323" w:rsidR="00254052" w:rsidRDefault="00254052" w:rsidP="00C6634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w:t>
    </w:r>
    <w:r w:rsidRPr="00D85423">
      <w:rPr>
        <w:sz w:val="22"/>
        <w:szCs w:val="22"/>
      </w:rPr>
      <w:br/>
      <w:t xml:space="preserve">Conditions particulières - page </w:t>
    </w:r>
    <w:r w:rsidRPr="00D85423">
      <w:rPr>
        <w:sz w:val="22"/>
        <w:szCs w:val="22"/>
      </w:rPr>
      <w:fldChar w:fldCharType="begin"/>
    </w:r>
    <w:r w:rsidRPr="00D85423">
      <w:rPr>
        <w:sz w:val="22"/>
        <w:szCs w:val="22"/>
      </w:rPr>
      <w:instrText xml:space="preserve"> PAGE </w:instrText>
    </w:r>
    <w:r w:rsidRPr="00D85423">
      <w:rPr>
        <w:sz w:val="22"/>
        <w:szCs w:val="22"/>
      </w:rPr>
      <w:fldChar w:fldCharType="separate"/>
    </w:r>
    <w:r w:rsidRPr="00D85423">
      <w:rPr>
        <w:sz w:val="22"/>
        <w:szCs w:val="22"/>
      </w:rPr>
      <w:t>8</w:t>
    </w:r>
    <w:r w:rsidRPr="00D85423">
      <w:rPr>
        <w:sz w:val="22"/>
        <w:szCs w:val="22"/>
      </w:rPr>
      <w:fldChar w:fldCharType="end"/>
    </w:r>
    <w:r w:rsidRPr="00D85423">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BF1398">
      <w:rPr>
        <w:noProof/>
        <w:sz w:val="22"/>
        <w:szCs w:val="22"/>
      </w:rPr>
      <w:t>10</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307A8" w14:textId="77777777" w:rsidR="006A4233" w:rsidRDefault="006A4233" w:rsidP="006603F5">
      <w:r>
        <w:separator/>
      </w:r>
    </w:p>
  </w:footnote>
  <w:footnote w:type="continuationSeparator" w:id="0">
    <w:p w14:paraId="30873570" w14:textId="77777777" w:rsidR="006A4233" w:rsidRDefault="006A4233" w:rsidP="006603F5">
      <w:r>
        <w:continuationSeparator/>
      </w:r>
    </w:p>
  </w:footnote>
  <w:footnote w:id="1">
    <w:p w14:paraId="1EB32F95" w14:textId="77777777" w:rsidR="00234BF9" w:rsidRPr="00A72758" w:rsidRDefault="00234BF9" w:rsidP="00234BF9">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4174" w14:textId="28879BD2" w:rsidR="00254052" w:rsidRPr="00413DD6" w:rsidRDefault="00254052" w:rsidP="00413D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3A2743"/>
    <w:multiLevelType w:val="hybridMultilevel"/>
    <w:tmpl w:val="D28CE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10E29A6"/>
    <w:multiLevelType w:val="hybridMultilevel"/>
    <w:tmpl w:val="EC74DB98"/>
    <w:lvl w:ilvl="0" w:tplc="30D23998">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A72201"/>
    <w:multiLevelType w:val="hybridMultilevel"/>
    <w:tmpl w:val="73B0C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4"/>
  </w:num>
  <w:num w:numId="5">
    <w:abstractNumId w:val="3"/>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num>
  <w:num w:numId="9">
    <w:abstractNumId w:val="11"/>
  </w:num>
  <w:num w:numId="10">
    <w:abstractNumId w:val="12"/>
  </w:num>
  <w:num w:numId="11">
    <w:abstractNumId w:val="7"/>
  </w:num>
  <w:num w:numId="12">
    <w:abstractNumId w:val="10"/>
  </w:num>
  <w:num w:numId="13">
    <w:abstractNumId w:val="10"/>
  </w:num>
  <w:num w:numId="14">
    <w:abstractNumId w:val="10"/>
  </w:num>
  <w:num w:numId="15">
    <w:abstractNumId w:val="9"/>
  </w:num>
  <w:num w:numId="16">
    <w:abstractNumId w:val="6"/>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BE0"/>
    <w:rsid w:val="00006E64"/>
    <w:rsid w:val="000070EF"/>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27A"/>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AED"/>
    <w:rsid w:val="00036D83"/>
    <w:rsid w:val="00036DBB"/>
    <w:rsid w:val="00037B41"/>
    <w:rsid w:val="00040282"/>
    <w:rsid w:val="00040392"/>
    <w:rsid w:val="000403CC"/>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A86"/>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94C"/>
    <w:rsid w:val="000832C8"/>
    <w:rsid w:val="00083354"/>
    <w:rsid w:val="000836AF"/>
    <w:rsid w:val="00083D3C"/>
    <w:rsid w:val="00083EE6"/>
    <w:rsid w:val="0008470E"/>
    <w:rsid w:val="000847D7"/>
    <w:rsid w:val="000851A9"/>
    <w:rsid w:val="00085383"/>
    <w:rsid w:val="000864A7"/>
    <w:rsid w:val="0008679C"/>
    <w:rsid w:val="00086AF8"/>
    <w:rsid w:val="00086B13"/>
    <w:rsid w:val="00086C43"/>
    <w:rsid w:val="00087762"/>
    <w:rsid w:val="00090111"/>
    <w:rsid w:val="0009012F"/>
    <w:rsid w:val="000902F4"/>
    <w:rsid w:val="00090B18"/>
    <w:rsid w:val="00091982"/>
    <w:rsid w:val="00091A89"/>
    <w:rsid w:val="00091C16"/>
    <w:rsid w:val="0009264E"/>
    <w:rsid w:val="00092ACF"/>
    <w:rsid w:val="00092E15"/>
    <w:rsid w:val="00093AD5"/>
    <w:rsid w:val="00093BD2"/>
    <w:rsid w:val="0009412C"/>
    <w:rsid w:val="00094403"/>
    <w:rsid w:val="0009444A"/>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806"/>
    <w:rsid w:val="000A6FCD"/>
    <w:rsid w:val="000A7102"/>
    <w:rsid w:val="000A7359"/>
    <w:rsid w:val="000A7401"/>
    <w:rsid w:val="000A7704"/>
    <w:rsid w:val="000A7985"/>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60"/>
    <w:rsid w:val="000B5BA7"/>
    <w:rsid w:val="000B5BF9"/>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2D5"/>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33B"/>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30F5D"/>
    <w:rsid w:val="001310F0"/>
    <w:rsid w:val="0013113F"/>
    <w:rsid w:val="0013127D"/>
    <w:rsid w:val="001312FD"/>
    <w:rsid w:val="00131DDC"/>
    <w:rsid w:val="00131E89"/>
    <w:rsid w:val="00132171"/>
    <w:rsid w:val="00132231"/>
    <w:rsid w:val="00132606"/>
    <w:rsid w:val="00132A6A"/>
    <w:rsid w:val="00132D45"/>
    <w:rsid w:val="0013331F"/>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5A2"/>
    <w:rsid w:val="00141690"/>
    <w:rsid w:val="00141799"/>
    <w:rsid w:val="001417B7"/>
    <w:rsid w:val="00141AC4"/>
    <w:rsid w:val="00142089"/>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5AE"/>
    <w:rsid w:val="001B3629"/>
    <w:rsid w:val="001B404B"/>
    <w:rsid w:val="001B415F"/>
    <w:rsid w:val="001B43B1"/>
    <w:rsid w:val="001B45D9"/>
    <w:rsid w:val="001B4D86"/>
    <w:rsid w:val="001B52CE"/>
    <w:rsid w:val="001B5D9B"/>
    <w:rsid w:val="001B5E33"/>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9BB"/>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4FB"/>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3C9B"/>
    <w:rsid w:val="00214717"/>
    <w:rsid w:val="0021485B"/>
    <w:rsid w:val="00214A55"/>
    <w:rsid w:val="0021519A"/>
    <w:rsid w:val="00215778"/>
    <w:rsid w:val="002158C0"/>
    <w:rsid w:val="00215A79"/>
    <w:rsid w:val="00215D24"/>
    <w:rsid w:val="00216AE2"/>
    <w:rsid w:val="00216B8F"/>
    <w:rsid w:val="00216EDF"/>
    <w:rsid w:val="00217017"/>
    <w:rsid w:val="0021716E"/>
    <w:rsid w:val="002175D7"/>
    <w:rsid w:val="002175DA"/>
    <w:rsid w:val="0021762A"/>
    <w:rsid w:val="00217AEE"/>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4BF9"/>
    <w:rsid w:val="002350DF"/>
    <w:rsid w:val="002350E0"/>
    <w:rsid w:val="002359AB"/>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052"/>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EE0"/>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70FB5"/>
    <w:rsid w:val="00271703"/>
    <w:rsid w:val="00271892"/>
    <w:rsid w:val="00271F8F"/>
    <w:rsid w:val="00272EF2"/>
    <w:rsid w:val="00272F3A"/>
    <w:rsid w:val="0027364B"/>
    <w:rsid w:val="002736F1"/>
    <w:rsid w:val="00273FC2"/>
    <w:rsid w:val="002741EA"/>
    <w:rsid w:val="00274885"/>
    <w:rsid w:val="00274C97"/>
    <w:rsid w:val="00274E6A"/>
    <w:rsid w:val="00275183"/>
    <w:rsid w:val="00275953"/>
    <w:rsid w:val="002765EC"/>
    <w:rsid w:val="00276964"/>
    <w:rsid w:val="00276FF8"/>
    <w:rsid w:val="0027781F"/>
    <w:rsid w:val="002778E3"/>
    <w:rsid w:val="00277ED7"/>
    <w:rsid w:val="00277ED9"/>
    <w:rsid w:val="00280387"/>
    <w:rsid w:val="002803D6"/>
    <w:rsid w:val="002807CE"/>
    <w:rsid w:val="002808ED"/>
    <w:rsid w:val="00280F77"/>
    <w:rsid w:val="00280FC6"/>
    <w:rsid w:val="0028131D"/>
    <w:rsid w:val="00281416"/>
    <w:rsid w:val="0028149A"/>
    <w:rsid w:val="00281706"/>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E9"/>
    <w:rsid w:val="002A197C"/>
    <w:rsid w:val="002A1A7E"/>
    <w:rsid w:val="002A1B10"/>
    <w:rsid w:val="002A2555"/>
    <w:rsid w:val="002A27F1"/>
    <w:rsid w:val="002A2A3B"/>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4D86"/>
    <w:rsid w:val="002C50AB"/>
    <w:rsid w:val="002C5315"/>
    <w:rsid w:val="002C56F7"/>
    <w:rsid w:val="002C57BB"/>
    <w:rsid w:val="002C57C4"/>
    <w:rsid w:val="002C5A21"/>
    <w:rsid w:val="002C6942"/>
    <w:rsid w:val="002C6FEA"/>
    <w:rsid w:val="002C72D4"/>
    <w:rsid w:val="002C73DB"/>
    <w:rsid w:val="002C7C4A"/>
    <w:rsid w:val="002D093E"/>
    <w:rsid w:val="002D094F"/>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E15"/>
    <w:rsid w:val="00323FA7"/>
    <w:rsid w:val="00324278"/>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4D1"/>
    <w:rsid w:val="00332997"/>
    <w:rsid w:val="00333234"/>
    <w:rsid w:val="0033350F"/>
    <w:rsid w:val="0033383E"/>
    <w:rsid w:val="003344BE"/>
    <w:rsid w:val="00334ADA"/>
    <w:rsid w:val="003352AC"/>
    <w:rsid w:val="0033585F"/>
    <w:rsid w:val="00335BF6"/>
    <w:rsid w:val="00335E66"/>
    <w:rsid w:val="00335ED9"/>
    <w:rsid w:val="00336232"/>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771"/>
    <w:rsid w:val="00346815"/>
    <w:rsid w:val="00346ADD"/>
    <w:rsid w:val="00346B2A"/>
    <w:rsid w:val="00346F46"/>
    <w:rsid w:val="00347291"/>
    <w:rsid w:val="0034737C"/>
    <w:rsid w:val="00347BB2"/>
    <w:rsid w:val="00347D35"/>
    <w:rsid w:val="00347D5D"/>
    <w:rsid w:val="00347F53"/>
    <w:rsid w:val="00350194"/>
    <w:rsid w:val="00350CD0"/>
    <w:rsid w:val="00351049"/>
    <w:rsid w:val="00351171"/>
    <w:rsid w:val="0035135C"/>
    <w:rsid w:val="003517A6"/>
    <w:rsid w:val="00352BC0"/>
    <w:rsid w:val="00352F58"/>
    <w:rsid w:val="003533F3"/>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3BC9"/>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ADC"/>
    <w:rsid w:val="00372B8B"/>
    <w:rsid w:val="00372CD3"/>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165"/>
    <w:rsid w:val="003A2B2C"/>
    <w:rsid w:val="003A2C56"/>
    <w:rsid w:val="003A31CA"/>
    <w:rsid w:val="003A3602"/>
    <w:rsid w:val="003A37B7"/>
    <w:rsid w:val="003A3B36"/>
    <w:rsid w:val="003A3B68"/>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EE"/>
    <w:rsid w:val="003B6B54"/>
    <w:rsid w:val="003B77BD"/>
    <w:rsid w:val="003C09BF"/>
    <w:rsid w:val="003C0C46"/>
    <w:rsid w:val="003C1105"/>
    <w:rsid w:val="003C11D3"/>
    <w:rsid w:val="003C1348"/>
    <w:rsid w:val="003C188C"/>
    <w:rsid w:val="003C2417"/>
    <w:rsid w:val="003C278B"/>
    <w:rsid w:val="003C2A79"/>
    <w:rsid w:val="003C2CE3"/>
    <w:rsid w:val="003C2FC9"/>
    <w:rsid w:val="003C3159"/>
    <w:rsid w:val="003C386D"/>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26"/>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CFC"/>
    <w:rsid w:val="00412EF3"/>
    <w:rsid w:val="004132D9"/>
    <w:rsid w:val="004133F8"/>
    <w:rsid w:val="00413A8E"/>
    <w:rsid w:val="00413C05"/>
    <w:rsid w:val="00413DD6"/>
    <w:rsid w:val="00413E1E"/>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37"/>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B74"/>
    <w:rsid w:val="00443CD6"/>
    <w:rsid w:val="00443E02"/>
    <w:rsid w:val="0044442C"/>
    <w:rsid w:val="004449D9"/>
    <w:rsid w:val="00444C97"/>
    <w:rsid w:val="00444D39"/>
    <w:rsid w:val="00444F5A"/>
    <w:rsid w:val="0044501B"/>
    <w:rsid w:val="004451ED"/>
    <w:rsid w:val="0044533E"/>
    <w:rsid w:val="00445628"/>
    <w:rsid w:val="0044564E"/>
    <w:rsid w:val="0044568A"/>
    <w:rsid w:val="0044582D"/>
    <w:rsid w:val="004460F7"/>
    <w:rsid w:val="004465FD"/>
    <w:rsid w:val="00446694"/>
    <w:rsid w:val="004467D4"/>
    <w:rsid w:val="00446977"/>
    <w:rsid w:val="00446BA8"/>
    <w:rsid w:val="00446DD4"/>
    <w:rsid w:val="00446FD4"/>
    <w:rsid w:val="00447803"/>
    <w:rsid w:val="00447DCC"/>
    <w:rsid w:val="00450017"/>
    <w:rsid w:val="004501F3"/>
    <w:rsid w:val="0045042D"/>
    <w:rsid w:val="0045055C"/>
    <w:rsid w:val="00450D7D"/>
    <w:rsid w:val="004515BB"/>
    <w:rsid w:val="0045170E"/>
    <w:rsid w:val="004517AA"/>
    <w:rsid w:val="004517EE"/>
    <w:rsid w:val="00451B9F"/>
    <w:rsid w:val="00451C33"/>
    <w:rsid w:val="00452253"/>
    <w:rsid w:val="0045291B"/>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57E06"/>
    <w:rsid w:val="004604A8"/>
    <w:rsid w:val="004606A7"/>
    <w:rsid w:val="004608C1"/>
    <w:rsid w:val="0046093A"/>
    <w:rsid w:val="00460D00"/>
    <w:rsid w:val="004611A3"/>
    <w:rsid w:val="00461228"/>
    <w:rsid w:val="0046189E"/>
    <w:rsid w:val="00461C83"/>
    <w:rsid w:val="0046290F"/>
    <w:rsid w:val="00462B3F"/>
    <w:rsid w:val="00462DC9"/>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786"/>
    <w:rsid w:val="00481D1D"/>
    <w:rsid w:val="00481D51"/>
    <w:rsid w:val="00481D6E"/>
    <w:rsid w:val="00481E18"/>
    <w:rsid w:val="004823D3"/>
    <w:rsid w:val="00482511"/>
    <w:rsid w:val="0048275E"/>
    <w:rsid w:val="004827C9"/>
    <w:rsid w:val="00482A75"/>
    <w:rsid w:val="00482B87"/>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CED"/>
    <w:rsid w:val="00493F0B"/>
    <w:rsid w:val="00493F46"/>
    <w:rsid w:val="0049439E"/>
    <w:rsid w:val="00494740"/>
    <w:rsid w:val="004947D4"/>
    <w:rsid w:val="0049538C"/>
    <w:rsid w:val="00495DD6"/>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D7E6F"/>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0DE7"/>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102B0"/>
    <w:rsid w:val="00511015"/>
    <w:rsid w:val="005113F8"/>
    <w:rsid w:val="0051162F"/>
    <w:rsid w:val="00511927"/>
    <w:rsid w:val="00511A09"/>
    <w:rsid w:val="005127A4"/>
    <w:rsid w:val="005129DD"/>
    <w:rsid w:val="00512A38"/>
    <w:rsid w:val="00512F60"/>
    <w:rsid w:val="00513070"/>
    <w:rsid w:val="0051425B"/>
    <w:rsid w:val="0051474C"/>
    <w:rsid w:val="005147D3"/>
    <w:rsid w:val="00514931"/>
    <w:rsid w:val="00514F29"/>
    <w:rsid w:val="00515287"/>
    <w:rsid w:val="00515B27"/>
    <w:rsid w:val="00515B6F"/>
    <w:rsid w:val="00515E30"/>
    <w:rsid w:val="00516C76"/>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30C"/>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469"/>
    <w:rsid w:val="00582B71"/>
    <w:rsid w:val="00583DD5"/>
    <w:rsid w:val="00584221"/>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2E8F"/>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E27"/>
    <w:rsid w:val="0059704F"/>
    <w:rsid w:val="005974F4"/>
    <w:rsid w:val="00597EA4"/>
    <w:rsid w:val="005A02DC"/>
    <w:rsid w:val="005A0420"/>
    <w:rsid w:val="005A0895"/>
    <w:rsid w:val="005A08D3"/>
    <w:rsid w:val="005A0C3F"/>
    <w:rsid w:val="005A0CA3"/>
    <w:rsid w:val="005A154E"/>
    <w:rsid w:val="005A2597"/>
    <w:rsid w:val="005A29A4"/>
    <w:rsid w:val="005A2BD5"/>
    <w:rsid w:val="005A2CBE"/>
    <w:rsid w:val="005A3887"/>
    <w:rsid w:val="005A3A5E"/>
    <w:rsid w:val="005A3C62"/>
    <w:rsid w:val="005A3C82"/>
    <w:rsid w:val="005A41C3"/>
    <w:rsid w:val="005A41FB"/>
    <w:rsid w:val="005A48EF"/>
    <w:rsid w:val="005A4B9B"/>
    <w:rsid w:val="005A4EBA"/>
    <w:rsid w:val="005A50B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324"/>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C7FFE"/>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3A8"/>
    <w:rsid w:val="00623F32"/>
    <w:rsid w:val="00624371"/>
    <w:rsid w:val="00624403"/>
    <w:rsid w:val="0062495F"/>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63F"/>
    <w:rsid w:val="0063666E"/>
    <w:rsid w:val="00636A7C"/>
    <w:rsid w:val="00636B3D"/>
    <w:rsid w:val="00636B6D"/>
    <w:rsid w:val="006373CF"/>
    <w:rsid w:val="00637822"/>
    <w:rsid w:val="00637989"/>
    <w:rsid w:val="00637A0A"/>
    <w:rsid w:val="00637C00"/>
    <w:rsid w:val="00637F97"/>
    <w:rsid w:val="00637FF5"/>
    <w:rsid w:val="006401C0"/>
    <w:rsid w:val="00640273"/>
    <w:rsid w:val="00640343"/>
    <w:rsid w:val="0064098D"/>
    <w:rsid w:val="00640B52"/>
    <w:rsid w:val="00640D42"/>
    <w:rsid w:val="00640F7D"/>
    <w:rsid w:val="00641010"/>
    <w:rsid w:val="006410DC"/>
    <w:rsid w:val="0064135E"/>
    <w:rsid w:val="00641654"/>
    <w:rsid w:val="00641819"/>
    <w:rsid w:val="006418DD"/>
    <w:rsid w:val="00641D83"/>
    <w:rsid w:val="00642175"/>
    <w:rsid w:val="006425C4"/>
    <w:rsid w:val="00642A66"/>
    <w:rsid w:val="00642A8D"/>
    <w:rsid w:val="00642F05"/>
    <w:rsid w:val="00643F6A"/>
    <w:rsid w:val="0064410B"/>
    <w:rsid w:val="0064562F"/>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505"/>
    <w:rsid w:val="00651514"/>
    <w:rsid w:val="0065168D"/>
    <w:rsid w:val="00651747"/>
    <w:rsid w:val="00651947"/>
    <w:rsid w:val="006519FA"/>
    <w:rsid w:val="00652D64"/>
    <w:rsid w:val="00652DF2"/>
    <w:rsid w:val="006533C1"/>
    <w:rsid w:val="00653482"/>
    <w:rsid w:val="00653A50"/>
    <w:rsid w:val="00653B28"/>
    <w:rsid w:val="00653D2C"/>
    <w:rsid w:val="00653D4E"/>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EF"/>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233"/>
    <w:rsid w:val="006A4490"/>
    <w:rsid w:val="006A47D9"/>
    <w:rsid w:val="006A4A68"/>
    <w:rsid w:val="006A50C1"/>
    <w:rsid w:val="006A56EF"/>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85F"/>
    <w:rsid w:val="006C0B85"/>
    <w:rsid w:val="006C0DB1"/>
    <w:rsid w:val="006C115B"/>
    <w:rsid w:val="006C1287"/>
    <w:rsid w:val="006C222F"/>
    <w:rsid w:val="006C36A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95C"/>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195"/>
    <w:rsid w:val="006E0418"/>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5BB"/>
    <w:rsid w:val="006F2626"/>
    <w:rsid w:val="006F2A2E"/>
    <w:rsid w:val="006F2EFF"/>
    <w:rsid w:val="006F303F"/>
    <w:rsid w:val="006F3D12"/>
    <w:rsid w:val="006F4CDB"/>
    <w:rsid w:val="006F4D7C"/>
    <w:rsid w:val="006F535D"/>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749"/>
    <w:rsid w:val="00726A29"/>
    <w:rsid w:val="00726EE7"/>
    <w:rsid w:val="00726FE4"/>
    <w:rsid w:val="00727054"/>
    <w:rsid w:val="00727166"/>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A84"/>
    <w:rsid w:val="00741CAA"/>
    <w:rsid w:val="00742306"/>
    <w:rsid w:val="0074239B"/>
    <w:rsid w:val="0074251E"/>
    <w:rsid w:val="00742607"/>
    <w:rsid w:val="00742B85"/>
    <w:rsid w:val="00742C64"/>
    <w:rsid w:val="007438C3"/>
    <w:rsid w:val="00743C2E"/>
    <w:rsid w:val="00743F78"/>
    <w:rsid w:val="00744FC2"/>
    <w:rsid w:val="007451D3"/>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7B2"/>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A7"/>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35D"/>
    <w:rsid w:val="00786C01"/>
    <w:rsid w:val="00786EED"/>
    <w:rsid w:val="007876ED"/>
    <w:rsid w:val="0078787A"/>
    <w:rsid w:val="007902D9"/>
    <w:rsid w:val="0079047B"/>
    <w:rsid w:val="00790488"/>
    <w:rsid w:val="007905B6"/>
    <w:rsid w:val="00790601"/>
    <w:rsid w:val="007906F7"/>
    <w:rsid w:val="0079081C"/>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989"/>
    <w:rsid w:val="00795A48"/>
    <w:rsid w:val="00795DEA"/>
    <w:rsid w:val="00796182"/>
    <w:rsid w:val="0079694C"/>
    <w:rsid w:val="0079729A"/>
    <w:rsid w:val="0079743B"/>
    <w:rsid w:val="007977FE"/>
    <w:rsid w:val="00797B64"/>
    <w:rsid w:val="007A007C"/>
    <w:rsid w:val="007A01BF"/>
    <w:rsid w:val="007A0C63"/>
    <w:rsid w:val="007A0F9A"/>
    <w:rsid w:val="007A0F9C"/>
    <w:rsid w:val="007A122D"/>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AE9"/>
    <w:rsid w:val="007D2AF8"/>
    <w:rsid w:val="007D2D38"/>
    <w:rsid w:val="007D32BE"/>
    <w:rsid w:val="007D3710"/>
    <w:rsid w:val="007D3F54"/>
    <w:rsid w:val="007D4315"/>
    <w:rsid w:val="007D4396"/>
    <w:rsid w:val="007D440F"/>
    <w:rsid w:val="007D4533"/>
    <w:rsid w:val="007D4B9B"/>
    <w:rsid w:val="007D4CFC"/>
    <w:rsid w:val="007D4F86"/>
    <w:rsid w:val="007D57F5"/>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699"/>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80B"/>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E79"/>
    <w:rsid w:val="00850FCF"/>
    <w:rsid w:val="008516FB"/>
    <w:rsid w:val="0085179F"/>
    <w:rsid w:val="008518E2"/>
    <w:rsid w:val="00851AAA"/>
    <w:rsid w:val="00851C21"/>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A4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77C"/>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D18"/>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09EB"/>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4F6"/>
    <w:rsid w:val="008C077B"/>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5E"/>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84C"/>
    <w:rsid w:val="008D2AAB"/>
    <w:rsid w:val="008D2C08"/>
    <w:rsid w:val="008D2F54"/>
    <w:rsid w:val="008D31C7"/>
    <w:rsid w:val="008D355C"/>
    <w:rsid w:val="008D3FF9"/>
    <w:rsid w:val="008D401C"/>
    <w:rsid w:val="008D4039"/>
    <w:rsid w:val="008D464F"/>
    <w:rsid w:val="008D4BA8"/>
    <w:rsid w:val="008D4C31"/>
    <w:rsid w:val="008D4D57"/>
    <w:rsid w:val="008D4D9C"/>
    <w:rsid w:val="008D5301"/>
    <w:rsid w:val="008D5420"/>
    <w:rsid w:val="008D58D5"/>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0B2"/>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86C"/>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1FB"/>
    <w:rsid w:val="009234C9"/>
    <w:rsid w:val="00923ABB"/>
    <w:rsid w:val="00923C2E"/>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44E"/>
    <w:rsid w:val="00963976"/>
    <w:rsid w:val="00963B69"/>
    <w:rsid w:val="00963BFD"/>
    <w:rsid w:val="00963DD2"/>
    <w:rsid w:val="00964660"/>
    <w:rsid w:val="0096515E"/>
    <w:rsid w:val="00965187"/>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5C6"/>
    <w:rsid w:val="00970CF2"/>
    <w:rsid w:val="0097121D"/>
    <w:rsid w:val="009713C3"/>
    <w:rsid w:val="009715AF"/>
    <w:rsid w:val="00972033"/>
    <w:rsid w:val="0097213A"/>
    <w:rsid w:val="0097284B"/>
    <w:rsid w:val="0097294A"/>
    <w:rsid w:val="00972A33"/>
    <w:rsid w:val="009734A3"/>
    <w:rsid w:val="00973D30"/>
    <w:rsid w:val="0097417E"/>
    <w:rsid w:val="00974398"/>
    <w:rsid w:val="009745B8"/>
    <w:rsid w:val="0097487F"/>
    <w:rsid w:val="00974A89"/>
    <w:rsid w:val="00974FB7"/>
    <w:rsid w:val="00975697"/>
    <w:rsid w:val="00975B7F"/>
    <w:rsid w:val="00975CF1"/>
    <w:rsid w:val="00976163"/>
    <w:rsid w:val="00976286"/>
    <w:rsid w:val="0097637A"/>
    <w:rsid w:val="009764C9"/>
    <w:rsid w:val="00976B8C"/>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6B61"/>
    <w:rsid w:val="00997284"/>
    <w:rsid w:val="0099759C"/>
    <w:rsid w:val="009978B6"/>
    <w:rsid w:val="009A0249"/>
    <w:rsid w:val="009A0523"/>
    <w:rsid w:val="009A09CF"/>
    <w:rsid w:val="009A0A4F"/>
    <w:rsid w:val="009A1314"/>
    <w:rsid w:val="009A2197"/>
    <w:rsid w:val="009A298A"/>
    <w:rsid w:val="009A2F11"/>
    <w:rsid w:val="009A2F1B"/>
    <w:rsid w:val="009A2FBF"/>
    <w:rsid w:val="009A3072"/>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F1"/>
    <w:rsid w:val="009B6AEC"/>
    <w:rsid w:val="009B73DF"/>
    <w:rsid w:val="009B7A10"/>
    <w:rsid w:val="009B7C47"/>
    <w:rsid w:val="009B7E90"/>
    <w:rsid w:val="009B7F62"/>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69C"/>
    <w:rsid w:val="009D5C2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69B"/>
    <w:rsid w:val="009F138C"/>
    <w:rsid w:val="009F1576"/>
    <w:rsid w:val="009F1599"/>
    <w:rsid w:val="009F1AAC"/>
    <w:rsid w:val="009F1D48"/>
    <w:rsid w:val="009F201C"/>
    <w:rsid w:val="009F2139"/>
    <w:rsid w:val="009F2AE3"/>
    <w:rsid w:val="009F2C35"/>
    <w:rsid w:val="009F2CFB"/>
    <w:rsid w:val="009F2D8D"/>
    <w:rsid w:val="009F4237"/>
    <w:rsid w:val="009F4AA2"/>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4D54"/>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760"/>
    <w:rsid w:val="00A11AFE"/>
    <w:rsid w:val="00A11C83"/>
    <w:rsid w:val="00A120DD"/>
    <w:rsid w:val="00A12241"/>
    <w:rsid w:val="00A1239B"/>
    <w:rsid w:val="00A1264B"/>
    <w:rsid w:val="00A128AD"/>
    <w:rsid w:val="00A13051"/>
    <w:rsid w:val="00A13171"/>
    <w:rsid w:val="00A131FA"/>
    <w:rsid w:val="00A1325E"/>
    <w:rsid w:val="00A13363"/>
    <w:rsid w:val="00A1374F"/>
    <w:rsid w:val="00A13865"/>
    <w:rsid w:val="00A13E9C"/>
    <w:rsid w:val="00A14960"/>
    <w:rsid w:val="00A14A4E"/>
    <w:rsid w:val="00A15CB1"/>
    <w:rsid w:val="00A15F67"/>
    <w:rsid w:val="00A161C9"/>
    <w:rsid w:val="00A165D6"/>
    <w:rsid w:val="00A16A8C"/>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84B"/>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CA7"/>
    <w:rsid w:val="00A56155"/>
    <w:rsid w:val="00A56285"/>
    <w:rsid w:val="00A56419"/>
    <w:rsid w:val="00A5652A"/>
    <w:rsid w:val="00A567A6"/>
    <w:rsid w:val="00A567DE"/>
    <w:rsid w:val="00A56FA8"/>
    <w:rsid w:val="00A5750A"/>
    <w:rsid w:val="00A57656"/>
    <w:rsid w:val="00A577B0"/>
    <w:rsid w:val="00A57E2F"/>
    <w:rsid w:val="00A60503"/>
    <w:rsid w:val="00A60640"/>
    <w:rsid w:val="00A60DFC"/>
    <w:rsid w:val="00A60F52"/>
    <w:rsid w:val="00A628CA"/>
    <w:rsid w:val="00A62C4C"/>
    <w:rsid w:val="00A62CEB"/>
    <w:rsid w:val="00A62D27"/>
    <w:rsid w:val="00A63073"/>
    <w:rsid w:val="00A63E03"/>
    <w:rsid w:val="00A6404B"/>
    <w:rsid w:val="00A640A5"/>
    <w:rsid w:val="00A644F3"/>
    <w:rsid w:val="00A6457B"/>
    <w:rsid w:val="00A6462C"/>
    <w:rsid w:val="00A64734"/>
    <w:rsid w:val="00A64B3A"/>
    <w:rsid w:val="00A650EB"/>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2EBF"/>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1D"/>
    <w:rsid w:val="00A84330"/>
    <w:rsid w:val="00A84749"/>
    <w:rsid w:val="00A84EE8"/>
    <w:rsid w:val="00A85213"/>
    <w:rsid w:val="00A855C7"/>
    <w:rsid w:val="00A8587A"/>
    <w:rsid w:val="00A85BD8"/>
    <w:rsid w:val="00A86098"/>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EA0"/>
    <w:rsid w:val="00AB4070"/>
    <w:rsid w:val="00AB4325"/>
    <w:rsid w:val="00AB4A49"/>
    <w:rsid w:val="00AB4B8B"/>
    <w:rsid w:val="00AB4BC1"/>
    <w:rsid w:val="00AB4D01"/>
    <w:rsid w:val="00AB60A6"/>
    <w:rsid w:val="00AB65A3"/>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540"/>
    <w:rsid w:val="00AE269C"/>
    <w:rsid w:val="00AE26F4"/>
    <w:rsid w:val="00AE27C5"/>
    <w:rsid w:val="00AE3044"/>
    <w:rsid w:val="00AE335F"/>
    <w:rsid w:val="00AE3E56"/>
    <w:rsid w:val="00AE444E"/>
    <w:rsid w:val="00AE493E"/>
    <w:rsid w:val="00AE4966"/>
    <w:rsid w:val="00AE4C13"/>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A4B"/>
    <w:rsid w:val="00AF0B57"/>
    <w:rsid w:val="00AF0C1C"/>
    <w:rsid w:val="00AF0E8A"/>
    <w:rsid w:val="00AF12F5"/>
    <w:rsid w:val="00AF1F68"/>
    <w:rsid w:val="00AF23A8"/>
    <w:rsid w:val="00AF252A"/>
    <w:rsid w:val="00AF2836"/>
    <w:rsid w:val="00AF3D46"/>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4FD8"/>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95B"/>
    <w:rsid w:val="00B42A07"/>
    <w:rsid w:val="00B42BDB"/>
    <w:rsid w:val="00B42C7C"/>
    <w:rsid w:val="00B42DCF"/>
    <w:rsid w:val="00B4323E"/>
    <w:rsid w:val="00B432BF"/>
    <w:rsid w:val="00B432CE"/>
    <w:rsid w:val="00B4374F"/>
    <w:rsid w:val="00B437CF"/>
    <w:rsid w:val="00B43910"/>
    <w:rsid w:val="00B44185"/>
    <w:rsid w:val="00B44E53"/>
    <w:rsid w:val="00B44FC3"/>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857"/>
    <w:rsid w:val="00B55922"/>
    <w:rsid w:val="00B55981"/>
    <w:rsid w:val="00B55F76"/>
    <w:rsid w:val="00B563B2"/>
    <w:rsid w:val="00B56494"/>
    <w:rsid w:val="00B56591"/>
    <w:rsid w:val="00B567D1"/>
    <w:rsid w:val="00B56C0A"/>
    <w:rsid w:val="00B56C5B"/>
    <w:rsid w:val="00B56CCD"/>
    <w:rsid w:val="00B56E0B"/>
    <w:rsid w:val="00B573DD"/>
    <w:rsid w:val="00B57EC9"/>
    <w:rsid w:val="00B60014"/>
    <w:rsid w:val="00B60229"/>
    <w:rsid w:val="00B60665"/>
    <w:rsid w:val="00B60CE3"/>
    <w:rsid w:val="00B60DE7"/>
    <w:rsid w:val="00B61195"/>
    <w:rsid w:val="00B611D1"/>
    <w:rsid w:val="00B6166F"/>
    <w:rsid w:val="00B6225B"/>
    <w:rsid w:val="00B62793"/>
    <w:rsid w:val="00B6323E"/>
    <w:rsid w:val="00B6333F"/>
    <w:rsid w:val="00B63519"/>
    <w:rsid w:val="00B64668"/>
    <w:rsid w:val="00B6482B"/>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62A"/>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5DAA"/>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28F"/>
    <w:rsid w:val="00BC28BC"/>
    <w:rsid w:val="00BC2C69"/>
    <w:rsid w:val="00BC33A9"/>
    <w:rsid w:val="00BC3509"/>
    <w:rsid w:val="00BC35F8"/>
    <w:rsid w:val="00BC3B1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02F"/>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081"/>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398"/>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EBC"/>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B6"/>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D49"/>
    <w:rsid w:val="00C32E94"/>
    <w:rsid w:val="00C33206"/>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D1E"/>
    <w:rsid w:val="00CA3113"/>
    <w:rsid w:val="00CA3411"/>
    <w:rsid w:val="00CA3756"/>
    <w:rsid w:val="00CA450A"/>
    <w:rsid w:val="00CA454D"/>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A44"/>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E87"/>
    <w:rsid w:val="00CD5FA4"/>
    <w:rsid w:val="00CD6643"/>
    <w:rsid w:val="00CD66D0"/>
    <w:rsid w:val="00CD6956"/>
    <w:rsid w:val="00CD6EE3"/>
    <w:rsid w:val="00CD778D"/>
    <w:rsid w:val="00CD780C"/>
    <w:rsid w:val="00CD7C0B"/>
    <w:rsid w:val="00CE0031"/>
    <w:rsid w:val="00CE0374"/>
    <w:rsid w:val="00CE0423"/>
    <w:rsid w:val="00CE0D28"/>
    <w:rsid w:val="00CE0D8A"/>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544"/>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47F"/>
    <w:rsid w:val="00D066B1"/>
    <w:rsid w:val="00D06B84"/>
    <w:rsid w:val="00D06FB3"/>
    <w:rsid w:val="00D07465"/>
    <w:rsid w:val="00D10063"/>
    <w:rsid w:val="00D100A1"/>
    <w:rsid w:val="00D10176"/>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37F37"/>
    <w:rsid w:val="00D4036C"/>
    <w:rsid w:val="00D41672"/>
    <w:rsid w:val="00D41775"/>
    <w:rsid w:val="00D41783"/>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D0"/>
    <w:rsid w:val="00D64781"/>
    <w:rsid w:val="00D64ACC"/>
    <w:rsid w:val="00D651AD"/>
    <w:rsid w:val="00D6525C"/>
    <w:rsid w:val="00D6595C"/>
    <w:rsid w:val="00D65E93"/>
    <w:rsid w:val="00D65FD5"/>
    <w:rsid w:val="00D668F7"/>
    <w:rsid w:val="00D66DB1"/>
    <w:rsid w:val="00D66F1C"/>
    <w:rsid w:val="00D6776C"/>
    <w:rsid w:val="00D67DDF"/>
    <w:rsid w:val="00D67F22"/>
    <w:rsid w:val="00D701C9"/>
    <w:rsid w:val="00D7048A"/>
    <w:rsid w:val="00D7049B"/>
    <w:rsid w:val="00D706B3"/>
    <w:rsid w:val="00D70D17"/>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96B"/>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11E"/>
    <w:rsid w:val="00D813D4"/>
    <w:rsid w:val="00D81ADA"/>
    <w:rsid w:val="00D81F6B"/>
    <w:rsid w:val="00D822A1"/>
    <w:rsid w:val="00D82A41"/>
    <w:rsid w:val="00D82E3E"/>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BEC"/>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65C"/>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0F9"/>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DDE"/>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623"/>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55A"/>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25E"/>
    <w:rsid w:val="00E507CD"/>
    <w:rsid w:val="00E50945"/>
    <w:rsid w:val="00E509B9"/>
    <w:rsid w:val="00E50F9F"/>
    <w:rsid w:val="00E50FBE"/>
    <w:rsid w:val="00E51451"/>
    <w:rsid w:val="00E52092"/>
    <w:rsid w:val="00E522E1"/>
    <w:rsid w:val="00E52331"/>
    <w:rsid w:val="00E52F17"/>
    <w:rsid w:val="00E534B0"/>
    <w:rsid w:val="00E53862"/>
    <w:rsid w:val="00E53F16"/>
    <w:rsid w:val="00E543BB"/>
    <w:rsid w:val="00E5451F"/>
    <w:rsid w:val="00E54AEE"/>
    <w:rsid w:val="00E54F01"/>
    <w:rsid w:val="00E552F0"/>
    <w:rsid w:val="00E55952"/>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E77"/>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D0"/>
    <w:rsid w:val="00EB395D"/>
    <w:rsid w:val="00EB406D"/>
    <w:rsid w:val="00EB484A"/>
    <w:rsid w:val="00EB49E8"/>
    <w:rsid w:val="00EB4C8A"/>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847"/>
    <w:rsid w:val="00ED5B0B"/>
    <w:rsid w:val="00ED5C23"/>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A7D"/>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428"/>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62EF"/>
    <w:rsid w:val="00F1641C"/>
    <w:rsid w:val="00F166C4"/>
    <w:rsid w:val="00F16A81"/>
    <w:rsid w:val="00F1706C"/>
    <w:rsid w:val="00F17199"/>
    <w:rsid w:val="00F178FA"/>
    <w:rsid w:val="00F20A6E"/>
    <w:rsid w:val="00F216C4"/>
    <w:rsid w:val="00F21FC4"/>
    <w:rsid w:val="00F22041"/>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99D"/>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1BF"/>
    <w:rsid w:val="00FE050B"/>
    <w:rsid w:val="00FE0AB5"/>
    <w:rsid w:val="00FE0C5C"/>
    <w:rsid w:val="00FE0FB3"/>
    <w:rsid w:val="00FE1006"/>
    <w:rsid w:val="00FE1781"/>
    <w:rsid w:val="00FE19AC"/>
    <w:rsid w:val="00FE19FB"/>
    <w:rsid w:val="00FE1B0D"/>
    <w:rsid w:val="00FE26DE"/>
    <w:rsid w:val="00FE2908"/>
    <w:rsid w:val="00FE2984"/>
    <w:rsid w:val="00FE2B24"/>
    <w:rsid w:val="00FE2EFF"/>
    <w:rsid w:val="00FE2F04"/>
    <w:rsid w:val="00FE3107"/>
    <w:rsid w:val="00FE317A"/>
    <w:rsid w:val="00FE3854"/>
    <w:rsid w:val="00FE3B1B"/>
    <w:rsid w:val="00FE3CCA"/>
    <w:rsid w:val="00FE4652"/>
    <w:rsid w:val="00FE5048"/>
    <w:rsid w:val="00FE521E"/>
    <w:rsid w:val="00FE52C6"/>
    <w:rsid w:val="00FE532E"/>
    <w:rsid w:val="00FE562F"/>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34443C"/>
    <w:pPr>
      <w:keepNext/>
      <w:keepLines/>
      <w:pBdr>
        <w:bottom w:val="single" w:sz="12" w:space="1" w:color="436E91" w:themeColor="accent1"/>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A454D"/>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4443C"/>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4443C"/>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A454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4443C"/>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itreAECPDTSIN">
    <w:name w:val="04 Titre AE / CP / DT / SIN"/>
    <w:basedOn w:val="Normal"/>
    <w:qFormat/>
    <w:rsid w:val="0064562F"/>
    <w:pPr>
      <w:shd w:val="clear" w:color="auto" w:fill="436E91"/>
      <w:spacing w:before="240" w:after="480"/>
      <w:jc w:val="center"/>
    </w:pPr>
    <w:rPr>
      <w:rFonts w:cs="Times New Roman"/>
      <w:color w:val="FFFFFF"/>
      <w:sz w:val="40"/>
      <w:szCs w:val="40"/>
    </w:rPr>
  </w:style>
  <w:style w:type="paragraph" w:customStyle="1" w:styleId="03Numlot">
    <w:name w:val="03 Num lot"/>
    <w:basedOn w:val="Normal"/>
    <w:qFormat/>
    <w:rsid w:val="0064562F"/>
    <w:pPr>
      <w:spacing w:before="360" w:after="360"/>
      <w:ind w:right="-312"/>
      <w:jc w:val="center"/>
    </w:pPr>
    <w:rPr>
      <w:rFonts w:cs="Times New Roman"/>
      <w:bCs/>
      <w:color w:val="00000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035091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24637113">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37394202">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668895201">
      <w:bodyDiv w:val="1"/>
      <w:marLeft w:val="0"/>
      <w:marRight w:val="0"/>
      <w:marTop w:val="0"/>
      <w:marBottom w:val="0"/>
      <w:divBdr>
        <w:top w:val="none" w:sz="0" w:space="0" w:color="auto"/>
        <w:left w:val="none" w:sz="0" w:space="0" w:color="auto"/>
        <w:bottom w:val="none" w:sz="0" w:space="0" w:color="auto"/>
        <w:right w:val="none" w:sz="0" w:space="0" w:color="auto"/>
      </w:divBdr>
    </w:div>
    <w:div w:id="1751611150">
      <w:bodyDiv w:val="1"/>
      <w:marLeft w:val="0"/>
      <w:marRight w:val="0"/>
      <w:marTop w:val="0"/>
      <w:marBottom w:val="0"/>
      <w:divBdr>
        <w:top w:val="none" w:sz="0" w:space="0" w:color="auto"/>
        <w:left w:val="none" w:sz="0" w:space="0" w:color="auto"/>
        <w:bottom w:val="none" w:sz="0" w:space="0" w:color="auto"/>
        <w:right w:val="none" w:sz="0" w:space="0" w:color="auto"/>
      </w:divBdr>
    </w:div>
    <w:div w:id="1800294907">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196060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C2809-3EA2-48A8-9489-7CA18707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3173</Words>
  <Characters>17453</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Aurore ZOELLER</cp:lastModifiedBy>
  <cp:revision>3</cp:revision>
  <dcterms:created xsi:type="dcterms:W3CDTF">2025-07-11T06:52:00Z</dcterms:created>
  <dcterms:modified xsi:type="dcterms:W3CDTF">2025-07-11T07:12:00Z</dcterms:modified>
</cp:coreProperties>
</file>