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CFE58" w14:textId="77777777" w:rsidR="00BC5AFF" w:rsidRDefault="001C2BDB">
      <w:pPr>
        <w:spacing w:after="0"/>
        <w:ind w:left="84"/>
        <w:jc w:val="center"/>
      </w:pPr>
      <w:r>
        <w:rPr>
          <w:rFonts w:ascii="Arial" w:eastAsia="Arial" w:hAnsi="Arial" w:cs="Arial"/>
          <w:b/>
          <w:color w:val="0000FF"/>
          <w:sz w:val="32"/>
        </w:rPr>
        <w:t xml:space="preserve"> </w:t>
      </w:r>
    </w:p>
    <w:p w14:paraId="236656EE" w14:textId="77777777" w:rsidR="00BC5AFF" w:rsidRDefault="00C175E9" w:rsidP="00C175E9">
      <w:pPr>
        <w:tabs>
          <w:tab w:val="left" w:pos="3708"/>
        </w:tabs>
        <w:spacing w:after="0"/>
        <w:ind w:left="2"/>
        <w:jc w:val="center"/>
      </w:pPr>
      <w:r>
        <w:rPr>
          <w:rFonts w:ascii="Arial" w:eastAsia="Arial" w:hAnsi="Arial" w:cs="Arial"/>
          <w:b/>
          <w:noProof/>
          <w:color w:val="0000FF"/>
          <w:sz w:val="32"/>
        </w:rPr>
        <w:drawing>
          <wp:inline distT="0" distB="0" distL="0" distR="0" wp14:anchorId="60089189" wp14:editId="43C41C19">
            <wp:extent cx="2300649" cy="11049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3974" cy="1111300"/>
                    </a:xfrm>
                    <a:prstGeom prst="rect">
                      <a:avLst/>
                    </a:prstGeom>
                    <a:noFill/>
                  </pic:spPr>
                </pic:pic>
              </a:graphicData>
            </a:graphic>
          </wp:inline>
        </w:drawing>
      </w:r>
    </w:p>
    <w:p w14:paraId="28219D96" w14:textId="77777777" w:rsidR="00BC5AFF" w:rsidRDefault="001C2BDB">
      <w:pPr>
        <w:spacing w:after="0"/>
        <w:ind w:left="2"/>
      </w:pPr>
      <w:r>
        <w:rPr>
          <w:rFonts w:ascii="Arial" w:eastAsia="Arial" w:hAnsi="Arial" w:cs="Arial"/>
          <w:b/>
          <w:color w:val="0000FF"/>
          <w:sz w:val="32"/>
        </w:rPr>
        <w:t xml:space="preserve"> </w:t>
      </w:r>
    </w:p>
    <w:p w14:paraId="2CA75504" w14:textId="77777777" w:rsidR="00BC5AFF" w:rsidRDefault="001C2BDB">
      <w:pPr>
        <w:pBdr>
          <w:top w:val="single" w:sz="4" w:space="0" w:color="000000"/>
          <w:left w:val="single" w:sz="4" w:space="0" w:color="000000"/>
          <w:bottom w:val="single" w:sz="4" w:space="0" w:color="000000"/>
          <w:right w:val="single" w:sz="4" w:space="0" w:color="000000"/>
        </w:pBdr>
        <w:spacing w:after="0"/>
        <w:ind w:left="78"/>
        <w:jc w:val="center"/>
      </w:pPr>
      <w:r>
        <w:rPr>
          <w:rFonts w:ascii="Arial" w:eastAsia="Arial" w:hAnsi="Arial" w:cs="Arial"/>
          <w:b/>
          <w:sz w:val="28"/>
        </w:rPr>
        <w:t xml:space="preserve"> </w:t>
      </w:r>
    </w:p>
    <w:p w14:paraId="2A7545E8" w14:textId="77777777" w:rsidR="00BC5AFF" w:rsidRDefault="001C2BDB">
      <w:pPr>
        <w:pBdr>
          <w:top w:val="single" w:sz="4" w:space="0" w:color="000000"/>
          <w:left w:val="single" w:sz="4" w:space="0" w:color="000000"/>
          <w:bottom w:val="single" w:sz="4" w:space="0" w:color="000000"/>
          <w:right w:val="single" w:sz="4" w:space="0" w:color="000000"/>
        </w:pBdr>
        <w:spacing w:after="0"/>
        <w:ind w:left="88" w:hanging="10"/>
        <w:jc w:val="center"/>
      </w:pPr>
      <w:r>
        <w:rPr>
          <w:rFonts w:ascii="Arial" w:eastAsia="Arial" w:hAnsi="Arial" w:cs="Arial"/>
          <w:b/>
          <w:sz w:val="28"/>
        </w:rPr>
        <w:t xml:space="preserve">ANNEXE AU REGLEMENT DE LA CONSULTATION </w:t>
      </w:r>
    </w:p>
    <w:p w14:paraId="3D49A607" w14:textId="08F60E5A" w:rsidR="00BC5AFF" w:rsidRDefault="001C2BDB" w:rsidP="009D75A3">
      <w:pPr>
        <w:pBdr>
          <w:top w:val="single" w:sz="4" w:space="0" w:color="000000"/>
          <w:left w:val="single" w:sz="4" w:space="0" w:color="000000"/>
          <w:bottom w:val="single" w:sz="4" w:space="0" w:color="000000"/>
          <w:right w:val="single" w:sz="4" w:space="0" w:color="000000"/>
        </w:pBdr>
        <w:spacing w:after="0"/>
        <w:ind w:left="78"/>
        <w:jc w:val="center"/>
      </w:pPr>
      <w:r>
        <w:rPr>
          <w:rFonts w:ascii="Arial" w:eastAsia="Arial" w:hAnsi="Arial" w:cs="Arial"/>
          <w:b/>
          <w:sz w:val="28"/>
        </w:rPr>
        <w:t xml:space="preserve"> </w:t>
      </w:r>
    </w:p>
    <w:p w14:paraId="5DE1F292" w14:textId="77777777" w:rsidR="007C336C" w:rsidRDefault="007C336C" w:rsidP="009D75A3"/>
    <w:p w14:paraId="10912EE8" w14:textId="08707845" w:rsidR="007C336C" w:rsidRDefault="009D75A3" w:rsidP="007C336C">
      <w:pPr>
        <w:pStyle w:val="Paragraphedeliste"/>
        <w:numPr>
          <w:ilvl w:val="0"/>
          <w:numId w:val="1"/>
        </w:numPr>
        <w:pBdr>
          <w:top w:val="single" w:sz="4" w:space="0" w:color="000000"/>
          <w:left w:val="single" w:sz="4" w:space="0" w:color="000000"/>
          <w:bottom w:val="single" w:sz="4" w:space="0" w:color="000000"/>
          <w:right w:val="single" w:sz="4" w:space="0" w:color="000000"/>
        </w:pBdr>
        <w:spacing w:after="0"/>
        <w:jc w:val="center"/>
      </w:pPr>
      <w:r w:rsidRPr="007C336C">
        <w:rPr>
          <w:rFonts w:ascii="Arial" w:eastAsia="Arial" w:hAnsi="Arial" w:cs="Arial"/>
          <w:b/>
          <w:sz w:val="28"/>
        </w:rPr>
        <w:t xml:space="preserve">DEMATERIALISATION DES PROCEDURES </w:t>
      </w:r>
    </w:p>
    <w:p w14:paraId="62D358BF" w14:textId="77777777" w:rsidR="009D75A3" w:rsidRDefault="009D75A3" w:rsidP="009D75A3">
      <w:pPr>
        <w:pStyle w:val="Titre1"/>
        <w:jc w:val="center"/>
        <w:rPr>
          <w:rFonts w:asciiTheme="majorHAnsi" w:eastAsia="Arial" w:hAnsiTheme="majorHAnsi" w:cstheme="majorHAnsi"/>
          <w:color w:val="7F7F7F" w:themeColor="text1" w:themeTint="80"/>
          <w:sz w:val="24"/>
          <w:szCs w:val="24"/>
          <w:u w:val="none"/>
        </w:rPr>
      </w:pPr>
    </w:p>
    <w:p w14:paraId="21A21FE9" w14:textId="4846E531" w:rsidR="009D75A3" w:rsidRPr="00392DEA" w:rsidRDefault="009D75A3" w:rsidP="009D75A3">
      <w:pPr>
        <w:pStyle w:val="Titre1"/>
        <w:jc w:val="center"/>
        <w:rPr>
          <w:rFonts w:asciiTheme="majorHAnsi" w:eastAsia="Arial" w:hAnsiTheme="majorHAnsi" w:cstheme="majorHAnsi"/>
          <w:color w:val="A6A6A6" w:themeColor="background1" w:themeShade="A6"/>
          <w:sz w:val="24"/>
          <w:szCs w:val="24"/>
          <w:u w:val="none" w:color="000000"/>
        </w:rPr>
      </w:pPr>
      <w:r w:rsidRPr="00392DEA">
        <w:rPr>
          <w:rFonts w:asciiTheme="majorHAnsi" w:eastAsia="Arial" w:hAnsiTheme="majorHAnsi" w:cstheme="majorHAnsi"/>
          <w:color w:val="7F7F7F" w:themeColor="text1" w:themeTint="80"/>
          <w:sz w:val="24"/>
          <w:szCs w:val="24"/>
          <w:u w:val="none"/>
        </w:rPr>
        <w:t>Profil acheteur</w:t>
      </w:r>
      <w:r w:rsidRPr="00392DEA">
        <w:rPr>
          <w:rFonts w:asciiTheme="majorHAnsi" w:eastAsia="Arial" w:hAnsiTheme="majorHAnsi" w:cstheme="majorHAnsi"/>
          <w:color w:val="7F7F7F" w:themeColor="text1" w:themeTint="80"/>
          <w:sz w:val="24"/>
          <w:szCs w:val="24"/>
          <w:u w:val="none" w:color="000000"/>
        </w:rPr>
        <w:t> </w:t>
      </w:r>
      <w:r w:rsidRPr="00392DEA">
        <w:rPr>
          <w:rFonts w:asciiTheme="majorHAnsi" w:eastAsia="Arial" w:hAnsiTheme="majorHAnsi" w:cstheme="majorHAnsi"/>
          <w:color w:val="A6A6A6" w:themeColor="background1" w:themeShade="A6"/>
          <w:sz w:val="24"/>
          <w:szCs w:val="24"/>
          <w:u w:val="none" w:color="000000"/>
        </w:rPr>
        <w:t>:</w:t>
      </w:r>
    </w:p>
    <w:p w14:paraId="0D61D0B0" w14:textId="6DAD7A12" w:rsidR="00C175E9" w:rsidRPr="009D75A3" w:rsidRDefault="00B70817" w:rsidP="009D75A3">
      <w:pPr>
        <w:pStyle w:val="Titre1"/>
        <w:jc w:val="center"/>
        <w:rPr>
          <w:rFonts w:asciiTheme="majorHAnsi" w:hAnsiTheme="majorHAnsi" w:cstheme="majorHAnsi"/>
          <w:b w:val="0"/>
          <w:color w:val="0563C1" w:themeColor="hyperlink"/>
          <w:sz w:val="24"/>
          <w:szCs w:val="24"/>
        </w:rPr>
      </w:pPr>
      <w:hyperlink r:id="rId9" w:history="1">
        <w:r w:rsidR="009D75A3" w:rsidRPr="00392DEA">
          <w:rPr>
            <w:rStyle w:val="Lienhypertexte"/>
            <w:rFonts w:asciiTheme="majorHAnsi" w:hAnsiTheme="majorHAnsi" w:cstheme="majorHAnsi"/>
            <w:b w:val="0"/>
            <w:sz w:val="24"/>
            <w:szCs w:val="24"/>
          </w:rPr>
          <w:t>https://www.marches-publics.gouv.fr</w:t>
        </w:r>
      </w:hyperlink>
    </w:p>
    <w:p w14:paraId="7C8FAD27"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1. Mise à disposition du Dossier de consultation des Entreprises (DCE) par voie électronique </w:t>
      </w:r>
    </w:p>
    <w:p w14:paraId="2EF29A5E" w14:textId="77777777" w:rsidR="00BC5AFF" w:rsidRPr="00BA75CB" w:rsidRDefault="001C2BDB">
      <w:pPr>
        <w:spacing w:after="0"/>
        <w:ind w:left="2"/>
        <w:rPr>
          <w:rFonts w:asciiTheme="majorHAnsi" w:hAnsiTheme="majorHAnsi" w:cstheme="majorHAnsi"/>
        </w:rPr>
      </w:pPr>
      <w:r w:rsidRPr="00BA75CB">
        <w:rPr>
          <w:rFonts w:asciiTheme="majorHAnsi" w:eastAsia="Arial" w:hAnsiTheme="majorHAnsi" w:cstheme="majorHAnsi"/>
          <w:b/>
          <w:color w:val="FF6500"/>
          <w:sz w:val="24"/>
        </w:rPr>
        <w:t xml:space="preserve"> </w:t>
      </w:r>
    </w:p>
    <w:p w14:paraId="2C18E2E3"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Conformément aux articles R. 2132-1 à R. 2132-6 du Code de la commande publique, l’établissement support met le DCE à disposition par voie électronique à l'adresse suivante : </w:t>
      </w:r>
      <w:hyperlink r:id="rId10" w:history="1">
        <w:r w:rsidR="00175EE1" w:rsidRPr="00711D3C">
          <w:rPr>
            <w:rStyle w:val="Lienhypertexte"/>
            <w:rFonts w:asciiTheme="majorHAnsi" w:hAnsiTheme="majorHAnsi" w:cstheme="majorHAnsi"/>
          </w:rPr>
          <w:t>https://www.marchespublics.gouv.fr</w:t>
        </w:r>
      </w:hyperlink>
      <w:r w:rsidR="00175EE1">
        <w:rPr>
          <w:rFonts w:asciiTheme="majorHAnsi" w:hAnsiTheme="majorHAnsi" w:cstheme="majorHAnsi"/>
        </w:rPr>
        <w:t xml:space="preserve">. </w:t>
      </w:r>
    </w:p>
    <w:p w14:paraId="51C4F708"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0C45BC36" w14:textId="77777777" w:rsidR="00BC5AFF" w:rsidRPr="00BA75CB" w:rsidRDefault="001C2BDB" w:rsidP="00BA75C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Il est remis gratuitement à chaque candidat.  </w:t>
      </w:r>
    </w:p>
    <w:p w14:paraId="6A520FF9" w14:textId="77777777" w:rsidR="00BC5AFF" w:rsidRPr="00BA75CB" w:rsidRDefault="001C2BDB" w:rsidP="00BA75CB">
      <w:pPr>
        <w:tabs>
          <w:tab w:val="center" w:pos="9074"/>
        </w:tabs>
        <w:spacing w:after="0" w:line="248" w:lineRule="auto"/>
        <w:ind w:left="-13"/>
        <w:jc w:val="both"/>
        <w:rPr>
          <w:rFonts w:asciiTheme="majorHAnsi" w:hAnsiTheme="majorHAnsi" w:cstheme="majorHAnsi"/>
        </w:rPr>
      </w:pPr>
      <w:r w:rsidRPr="00BA75CB">
        <w:rPr>
          <w:rFonts w:asciiTheme="majorHAnsi" w:hAnsiTheme="majorHAnsi" w:cstheme="majorHAnsi"/>
        </w:rPr>
        <w:t xml:space="preserve">Aucune demande d'envoi du DCE sur support physique électronique n'est autorisée.  </w:t>
      </w:r>
      <w:r w:rsidRPr="00BA75CB">
        <w:rPr>
          <w:rFonts w:asciiTheme="majorHAnsi" w:hAnsiTheme="majorHAnsi" w:cstheme="majorHAnsi"/>
        </w:rPr>
        <w:tab/>
        <w:t xml:space="preserve"> </w:t>
      </w:r>
    </w:p>
    <w:p w14:paraId="693BB1AD"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321C1B1B"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Le candidat ne supporte aucun autre frais que ceux liés à l’accès au réseau et à l’obtention de la signature électronique. Il doit cependant disposer d’un navigateur Internet et d’un environnement informatique mis à jour en matière de sécurités et d’antivirus. </w:t>
      </w:r>
    </w:p>
    <w:p w14:paraId="7B48ABCE"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2DF3E53D"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Lors du téléchargement du dossier de consultation, le candidat est invité à renseigner le nom de l’organisme soumissionnaire, le nom de la personne physique téléchargeant les documents et une </w:t>
      </w:r>
      <w:r w:rsidRPr="00BA75CB">
        <w:rPr>
          <w:rFonts w:asciiTheme="majorHAnsi" w:hAnsiTheme="majorHAnsi" w:cstheme="majorHAnsi"/>
          <w:b/>
        </w:rPr>
        <w:t>adresse électronique</w:t>
      </w:r>
      <w:r w:rsidRPr="00BA75CB">
        <w:rPr>
          <w:rFonts w:asciiTheme="majorHAnsi" w:hAnsiTheme="majorHAnsi" w:cstheme="majorHAnsi"/>
        </w:rPr>
        <w:t xml:space="preserve"> permettant de façon certaine une correspondance électronique, afin qu'il puisse bénéficier de toutes les informations complémentaires diffusées lors du déroulement de la présente consultation, en particulier les éventuelles précisions ou report de délais.  </w:t>
      </w:r>
    </w:p>
    <w:p w14:paraId="00AE221E"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335F7AEB" w14:textId="77777777" w:rsidR="00BC5AFF" w:rsidRPr="00BA75CB" w:rsidRDefault="001C2BDB" w:rsidP="00BA75CB">
      <w:pPr>
        <w:spacing w:after="1" w:line="239" w:lineRule="auto"/>
        <w:ind w:left="-3" w:hanging="10"/>
        <w:jc w:val="both"/>
        <w:rPr>
          <w:rFonts w:asciiTheme="majorHAnsi" w:hAnsiTheme="majorHAnsi" w:cstheme="majorHAnsi"/>
        </w:rPr>
      </w:pPr>
      <w:r w:rsidRPr="00BA75CB">
        <w:rPr>
          <w:rFonts w:asciiTheme="majorHAnsi" w:hAnsiTheme="majorHAnsi" w:cstheme="majorHAnsi"/>
        </w:rPr>
        <w:t xml:space="preserve">Le candidat ne peut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non identification de la personne lors du téléchargement, en cas de non indication de </w:t>
      </w:r>
      <w:r w:rsidR="00D03198" w:rsidRPr="00BA75CB">
        <w:rPr>
          <w:rFonts w:asciiTheme="majorHAnsi" w:hAnsiTheme="majorHAnsi" w:cstheme="majorHAnsi"/>
        </w:rPr>
        <w:t>ladite</w:t>
      </w:r>
      <w:r w:rsidRPr="00BA75CB">
        <w:rPr>
          <w:rFonts w:asciiTheme="majorHAnsi" w:hAnsiTheme="majorHAnsi" w:cstheme="majorHAnsi"/>
        </w:rPr>
        <w:t xml:space="preserve"> adresse électronique, ou en cas de suppression de </w:t>
      </w:r>
      <w:r w:rsidR="00D90ADD" w:rsidRPr="00BA75CB">
        <w:rPr>
          <w:rFonts w:asciiTheme="majorHAnsi" w:hAnsiTheme="majorHAnsi" w:cstheme="majorHAnsi"/>
        </w:rPr>
        <w:t>ladite</w:t>
      </w:r>
      <w:r w:rsidRPr="00BA75CB">
        <w:rPr>
          <w:rFonts w:asciiTheme="majorHAnsi" w:hAnsiTheme="majorHAnsi" w:cstheme="majorHAnsi"/>
        </w:rPr>
        <w:t xml:space="preserve"> adresse électronique.  </w:t>
      </w:r>
    </w:p>
    <w:p w14:paraId="70FB4EAE" w14:textId="77777777" w:rsidR="00BC5AFF" w:rsidRPr="00BA75CB" w:rsidRDefault="001C2BDB" w:rsidP="00BA75CB">
      <w:pPr>
        <w:spacing w:after="0"/>
        <w:ind w:left="2"/>
        <w:jc w:val="both"/>
        <w:rPr>
          <w:rFonts w:asciiTheme="majorHAnsi" w:hAnsiTheme="majorHAnsi" w:cstheme="majorHAnsi"/>
        </w:rPr>
      </w:pPr>
      <w:r w:rsidRPr="00BA75CB">
        <w:rPr>
          <w:rFonts w:asciiTheme="majorHAnsi" w:hAnsiTheme="majorHAnsi" w:cstheme="majorHAnsi"/>
        </w:rPr>
        <w:t xml:space="preserve"> </w:t>
      </w:r>
    </w:p>
    <w:p w14:paraId="74064F39" w14:textId="77777777" w:rsidR="00BC5AFF" w:rsidRPr="00BA75CB" w:rsidRDefault="001C2BDB" w:rsidP="00BA75CB">
      <w:pPr>
        <w:spacing w:after="0" w:line="239" w:lineRule="auto"/>
        <w:ind w:left="2"/>
        <w:jc w:val="both"/>
        <w:rPr>
          <w:rFonts w:asciiTheme="majorHAnsi" w:hAnsiTheme="majorHAnsi" w:cstheme="majorHAnsi"/>
        </w:rPr>
      </w:pPr>
      <w:r w:rsidRPr="00BA75CB">
        <w:rPr>
          <w:rFonts w:asciiTheme="majorHAnsi" w:hAnsiTheme="majorHAnsi" w:cstheme="majorHAnsi"/>
          <w:b/>
        </w:rPr>
        <w:t>Il est recommandé à tout candidat de consulter régulièrement la plateforme afin de s'assurer qu'il bénéficie bien des dernières modifications éventuelles. Tout candidat s'assure également que les messages envoyés par la plateforme des achats de l'Etat (PLACE) notamment nepasrepondre@marches-publics.gouv.fr, ne sont pas traités comme courriels indésirables.</w:t>
      </w:r>
      <w:r w:rsidRPr="00BA75CB">
        <w:rPr>
          <w:rFonts w:asciiTheme="majorHAnsi" w:hAnsiTheme="majorHAnsi" w:cstheme="majorHAnsi"/>
          <w:sz w:val="20"/>
        </w:rPr>
        <w:t xml:space="preserve"> </w:t>
      </w:r>
    </w:p>
    <w:p w14:paraId="311A366B" w14:textId="77777777" w:rsidR="00C175E9" w:rsidRDefault="001C2BDB" w:rsidP="00C175E9">
      <w:pPr>
        <w:spacing w:after="0"/>
        <w:ind w:left="2"/>
        <w:rPr>
          <w:rFonts w:asciiTheme="majorHAnsi" w:hAnsiTheme="majorHAnsi" w:cstheme="majorHAnsi"/>
        </w:rPr>
      </w:pPr>
      <w:r w:rsidRPr="00BA75CB">
        <w:rPr>
          <w:rFonts w:asciiTheme="majorHAnsi" w:hAnsiTheme="majorHAnsi" w:cstheme="majorHAnsi"/>
          <w:sz w:val="20"/>
        </w:rPr>
        <w:t xml:space="preserve"> </w:t>
      </w:r>
      <w:r w:rsidRPr="00BA75CB">
        <w:rPr>
          <w:rFonts w:asciiTheme="majorHAnsi" w:hAnsiTheme="majorHAnsi" w:cstheme="majorHAnsi"/>
          <w:sz w:val="20"/>
        </w:rPr>
        <w:tab/>
        <w:t xml:space="preserve"> </w:t>
      </w:r>
    </w:p>
    <w:p w14:paraId="55A67253" w14:textId="77777777" w:rsidR="00C175E9" w:rsidRDefault="00C175E9" w:rsidP="00C175E9">
      <w:pPr>
        <w:spacing w:after="0"/>
        <w:ind w:left="2"/>
        <w:rPr>
          <w:rFonts w:asciiTheme="majorHAnsi" w:hAnsiTheme="majorHAnsi" w:cstheme="majorHAnsi"/>
        </w:rPr>
      </w:pPr>
    </w:p>
    <w:p w14:paraId="6D7CB09E" w14:textId="77777777" w:rsidR="00C175E9" w:rsidRDefault="00C175E9" w:rsidP="00C175E9">
      <w:pPr>
        <w:spacing w:after="0"/>
        <w:ind w:left="2"/>
        <w:rPr>
          <w:rFonts w:asciiTheme="majorHAnsi" w:hAnsiTheme="majorHAnsi" w:cstheme="majorHAnsi"/>
        </w:rPr>
      </w:pPr>
    </w:p>
    <w:p w14:paraId="63908EC3" w14:textId="77777777" w:rsidR="00C175E9" w:rsidRDefault="00C175E9" w:rsidP="00C175E9">
      <w:pPr>
        <w:spacing w:after="0"/>
        <w:ind w:left="2"/>
        <w:rPr>
          <w:rFonts w:asciiTheme="majorHAnsi" w:hAnsiTheme="majorHAnsi" w:cstheme="majorHAnsi"/>
        </w:rPr>
      </w:pPr>
    </w:p>
    <w:p w14:paraId="3BC1C84D" w14:textId="77777777" w:rsidR="00C175E9" w:rsidRDefault="00C175E9" w:rsidP="00C175E9">
      <w:pPr>
        <w:spacing w:after="0"/>
        <w:ind w:left="2"/>
        <w:rPr>
          <w:rFonts w:asciiTheme="majorHAnsi" w:hAnsiTheme="majorHAnsi" w:cstheme="majorHAnsi"/>
        </w:rPr>
      </w:pPr>
      <w:bookmarkStart w:id="0" w:name="_GoBack"/>
      <w:bookmarkEnd w:id="0"/>
    </w:p>
    <w:p w14:paraId="142DF64F" w14:textId="77777777" w:rsidR="00C175E9" w:rsidRDefault="00C175E9" w:rsidP="00C175E9">
      <w:pPr>
        <w:spacing w:after="0"/>
        <w:ind w:left="2"/>
        <w:rPr>
          <w:rFonts w:asciiTheme="majorHAnsi" w:hAnsiTheme="majorHAnsi" w:cstheme="majorHAnsi"/>
        </w:rPr>
      </w:pPr>
    </w:p>
    <w:p w14:paraId="424F015A" w14:textId="77777777" w:rsidR="00DC28F5" w:rsidRDefault="00DC28F5" w:rsidP="00C175E9">
      <w:pPr>
        <w:spacing w:after="0"/>
        <w:ind w:left="2"/>
        <w:rPr>
          <w:rFonts w:asciiTheme="majorHAnsi" w:hAnsiTheme="majorHAnsi" w:cstheme="majorHAnsi"/>
        </w:rPr>
      </w:pPr>
    </w:p>
    <w:p w14:paraId="6BF3AC90" w14:textId="77777777" w:rsidR="00DC28F5" w:rsidRPr="00C175E9" w:rsidRDefault="00DC28F5" w:rsidP="00C175E9">
      <w:pPr>
        <w:spacing w:after="0"/>
        <w:ind w:left="2"/>
        <w:rPr>
          <w:rFonts w:asciiTheme="majorHAnsi" w:hAnsiTheme="majorHAnsi" w:cstheme="majorHAnsi"/>
        </w:rPr>
      </w:pPr>
    </w:p>
    <w:p w14:paraId="7E300C77"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2. Questions au pouvoir adjudicateur </w:t>
      </w:r>
    </w:p>
    <w:p w14:paraId="145B30B0" w14:textId="77777777" w:rsidR="00BC5AFF" w:rsidRPr="00BA75CB" w:rsidRDefault="001C2BDB">
      <w:pPr>
        <w:spacing w:after="0"/>
        <w:rPr>
          <w:rFonts w:asciiTheme="majorHAnsi" w:hAnsiTheme="majorHAnsi" w:cstheme="majorHAnsi"/>
        </w:rPr>
      </w:pPr>
      <w:r w:rsidRPr="00BA75CB">
        <w:rPr>
          <w:rFonts w:asciiTheme="majorHAnsi" w:eastAsia="Arial" w:hAnsiTheme="majorHAnsi" w:cstheme="majorHAnsi"/>
          <w:b/>
          <w:color w:val="FF6500"/>
          <w:sz w:val="24"/>
        </w:rPr>
        <w:t xml:space="preserve"> </w:t>
      </w:r>
    </w:p>
    <w:p w14:paraId="0967825E"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 candidat peut poser des questions sur la consultation via son compte sur le site </w:t>
      </w:r>
      <w:r w:rsidRPr="004D720D">
        <w:rPr>
          <w:rFonts w:asciiTheme="majorHAnsi" w:hAnsiTheme="majorHAnsi" w:cstheme="majorHAnsi"/>
          <w:color w:val="0000FF"/>
          <w:u w:val="single" w:color="0000FF"/>
        </w:rPr>
        <w:t>https://www.marchespublics.gouv.fr</w:t>
      </w:r>
      <w:r w:rsidRPr="004D720D">
        <w:rPr>
          <w:rFonts w:asciiTheme="majorHAnsi" w:hAnsiTheme="majorHAnsi" w:cstheme="majorHAnsi"/>
        </w:rPr>
        <w:t xml:space="preserve"> </w:t>
      </w:r>
    </w:p>
    <w:p w14:paraId="63010CFD" w14:textId="77777777" w:rsidR="00BC5AFF" w:rsidRPr="004D720D" w:rsidRDefault="001C2BDB" w:rsidP="00BA75CB">
      <w:pPr>
        <w:spacing w:after="0"/>
        <w:jc w:val="both"/>
        <w:rPr>
          <w:rFonts w:asciiTheme="majorHAnsi" w:hAnsiTheme="majorHAnsi" w:cstheme="majorHAnsi"/>
        </w:rPr>
      </w:pPr>
      <w:r w:rsidRPr="004D720D">
        <w:rPr>
          <w:rFonts w:asciiTheme="majorHAnsi" w:hAnsiTheme="majorHAnsi" w:cstheme="majorHAnsi"/>
          <w:color w:val="0000FF"/>
        </w:rPr>
        <w:t xml:space="preserve"> </w:t>
      </w:r>
    </w:p>
    <w:p w14:paraId="3A5C32A2" w14:textId="77777777" w:rsidR="00BC5AFF" w:rsidRPr="004D720D" w:rsidRDefault="001C2BDB" w:rsidP="00BA75C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L’ensemble des questions posées et des réponses apportées sont répertoriées et une alerte sera envoyée sur l’adresse mail du soumissionnaire. </w:t>
      </w:r>
    </w:p>
    <w:p w14:paraId="7E0F39D4" w14:textId="77777777" w:rsidR="00BC5AFF" w:rsidRPr="004D720D" w:rsidRDefault="001C2BDB" w:rsidP="00BA75CB">
      <w:pPr>
        <w:spacing w:after="0"/>
        <w:jc w:val="both"/>
        <w:rPr>
          <w:rFonts w:asciiTheme="majorHAnsi" w:hAnsiTheme="majorHAnsi" w:cstheme="majorHAnsi"/>
        </w:rPr>
      </w:pPr>
      <w:r w:rsidRPr="004D720D">
        <w:rPr>
          <w:rFonts w:asciiTheme="majorHAnsi" w:hAnsiTheme="majorHAnsi" w:cstheme="majorHAnsi"/>
        </w:rPr>
        <w:t xml:space="preserve"> </w:t>
      </w:r>
    </w:p>
    <w:p w14:paraId="292A7713" w14:textId="77777777" w:rsidR="00BC5AFF" w:rsidRPr="004D720D" w:rsidRDefault="001C2BDB" w:rsidP="00BA75CB">
      <w:pPr>
        <w:spacing w:after="1" w:line="240" w:lineRule="auto"/>
        <w:jc w:val="both"/>
        <w:rPr>
          <w:rFonts w:asciiTheme="majorHAnsi" w:hAnsiTheme="majorHAnsi" w:cstheme="majorHAnsi"/>
        </w:rPr>
      </w:pPr>
      <w:r w:rsidRPr="004D720D">
        <w:rPr>
          <w:rFonts w:asciiTheme="majorHAnsi" w:hAnsiTheme="majorHAnsi" w:cstheme="majorHAnsi"/>
        </w:rPr>
        <w:t xml:space="preserve">L’attention des candidats est attirée sur le fait que leurs questions ne doivent pas révéler leur identité, ni leur positionnement technique ou compétitif, en effet la réglementation impose de conserver le texte de la question au moment de la réponse, et d’adresser cette réponse à tous les candidats. </w:t>
      </w:r>
    </w:p>
    <w:p w14:paraId="34A75B4E" w14:textId="417F94DA" w:rsidR="00BC5AFF" w:rsidRPr="00BA75CB" w:rsidRDefault="001C2BDB" w:rsidP="001C2BDB">
      <w:pPr>
        <w:spacing w:after="9"/>
        <w:rPr>
          <w:rFonts w:asciiTheme="majorHAnsi" w:hAnsiTheme="majorHAnsi" w:cstheme="majorHAnsi"/>
        </w:rPr>
      </w:pPr>
      <w:r w:rsidRPr="00BA75CB">
        <w:rPr>
          <w:rFonts w:asciiTheme="majorHAnsi" w:hAnsiTheme="majorHAnsi" w:cstheme="majorHAnsi"/>
          <w:sz w:val="20"/>
        </w:rPr>
        <w:t xml:space="preserve"> </w:t>
      </w:r>
    </w:p>
    <w:p w14:paraId="1366A012"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3. Modalité de dépôt d’un pli, offre ou candidature, par voie électronique </w:t>
      </w:r>
    </w:p>
    <w:p w14:paraId="6317991F" w14:textId="77777777" w:rsidR="00BC5AFF" w:rsidRPr="00BA75CB" w:rsidRDefault="001C2BDB">
      <w:pPr>
        <w:spacing w:after="0"/>
        <w:rPr>
          <w:rFonts w:asciiTheme="majorHAnsi" w:hAnsiTheme="majorHAnsi" w:cstheme="majorHAnsi"/>
        </w:rPr>
      </w:pPr>
      <w:r w:rsidRPr="00BA75CB">
        <w:rPr>
          <w:rFonts w:asciiTheme="majorHAnsi" w:eastAsia="Arial" w:hAnsiTheme="majorHAnsi" w:cstheme="majorHAnsi"/>
          <w:b/>
          <w:color w:val="FF6500"/>
          <w:sz w:val="24"/>
        </w:rPr>
        <w:t xml:space="preserve"> </w:t>
      </w:r>
    </w:p>
    <w:p w14:paraId="1B5A1826"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Conformément aux dispositions de l'article R. 2132-7 du Code de la commande publique, les plis des candidats doivent être transmis par voie électronique à l'adresse suivante : </w:t>
      </w:r>
    </w:p>
    <w:p w14:paraId="6A5D3422" w14:textId="77777777" w:rsidR="005C5BFE" w:rsidRPr="004D720D" w:rsidRDefault="005C5BFE">
      <w:pPr>
        <w:spacing w:after="0"/>
        <w:ind w:right="11"/>
        <w:jc w:val="center"/>
        <w:rPr>
          <w:rFonts w:asciiTheme="majorHAnsi" w:hAnsiTheme="majorHAnsi" w:cstheme="majorHAnsi"/>
          <w:color w:val="0000FF"/>
          <w:u w:val="single" w:color="0000FF"/>
        </w:rPr>
      </w:pPr>
    </w:p>
    <w:p w14:paraId="14A5DD63" w14:textId="77777777" w:rsidR="00BC5AFF" w:rsidRPr="004D720D" w:rsidRDefault="001C2BDB">
      <w:pPr>
        <w:spacing w:after="0"/>
        <w:ind w:right="11"/>
        <w:jc w:val="center"/>
        <w:rPr>
          <w:rFonts w:asciiTheme="majorHAnsi" w:hAnsiTheme="majorHAnsi" w:cstheme="majorHAnsi"/>
        </w:rPr>
      </w:pPr>
      <w:r w:rsidRPr="004D720D">
        <w:rPr>
          <w:rFonts w:asciiTheme="majorHAnsi" w:hAnsiTheme="majorHAnsi" w:cstheme="majorHAnsi"/>
          <w:color w:val="0000FF"/>
          <w:u w:val="single" w:color="0000FF"/>
        </w:rPr>
        <w:t>https://www.marches-publics.gouv.fr</w:t>
      </w:r>
      <w:r w:rsidRPr="004D720D">
        <w:rPr>
          <w:rFonts w:asciiTheme="majorHAnsi" w:hAnsiTheme="majorHAnsi" w:cstheme="majorHAnsi"/>
        </w:rPr>
        <w:t xml:space="preserve"> </w:t>
      </w:r>
    </w:p>
    <w:p w14:paraId="3A2ADB0F" w14:textId="77777777" w:rsidR="00BC5AFF" w:rsidRPr="004D720D" w:rsidRDefault="001C2BDB">
      <w:pPr>
        <w:spacing w:after="0"/>
        <w:ind w:left="40"/>
        <w:jc w:val="center"/>
        <w:rPr>
          <w:rFonts w:asciiTheme="majorHAnsi" w:hAnsiTheme="majorHAnsi" w:cstheme="majorHAnsi"/>
        </w:rPr>
      </w:pPr>
      <w:r w:rsidRPr="004D720D">
        <w:rPr>
          <w:rFonts w:asciiTheme="majorHAnsi" w:hAnsiTheme="majorHAnsi" w:cstheme="majorHAnsi"/>
        </w:rPr>
        <w:t xml:space="preserve"> </w:t>
      </w:r>
    </w:p>
    <w:p w14:paraId="19229BDA" w14:textId="77777777" w:rsidR="00BC5AFF" w:rsidRPr="004D720D" w:rsidRDefault="001C2BDB">
      <w:pPr>
        <w:spacing w:after="0"/>
        <w:rPr>
          <w:rFonts w:asciiTheme="majorHAnsi" w:hAnsiTheme="majorHAnsi" w:cstheme="majorHAnsi"/>
        </w:rPr>
      </w:pPr>
      <w:r w:rsidRPr="004D720D">
        <w:rPr>
          <w:rFonts w:asciiTheme="majorHAnsi" w:hAnsiTheme="majorHAnsi" w:cstheme="majorHAnsi"/>
        </w:rPr>
        <w:t xml:space="preserve"> </w:t>
      </w:r>
    </w:p>
    <w:p w14:paraId="5FC1C605"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Cette adresse correspond à la plateforme de dématérialisation PLACE (Plateforme des Achats de l'Etat) utilisée par l’établissement support du GHT </w:t>
      </w:r>
      <w:r w:rsidR="005C5BFE" w:rsidRPr="004D720D">
        <w:rPr>
          <w:rFonts w:asciiTheme="majorHAnsi" w:hAnsiTheme="majorHAnsi" w:cstheme="majorHAnsi"/>
        </w:rPr>
        <w:t>de la Haute-Saône</w:t>
      </w:r>
      <w:r w:rsidRPr="004D720D">
        <w:rPr>
          <w:rFonts w:asciiTheme="majorHAnsi" w:hAnsiTheme="majorHAnsi" w:cstheme="majorHAnsi"/>
        </w:rPr>
        <w:t xml:space="preserve">. </w:t>
      </w:r>
    </w:p>
    <w:p w14:paraId="27D6A721"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plis doivent parvenir à destination avant la date et l'heure limites de réception des plis indiquées des documents de consultation. Tout pli transmis au-delà de la date et de l'heure limite de dépôt sera considéré comme hors délai, l’horodatage du profil acheteur faisant foi. </w:t>
      </w:r>
    </w:p>
    <w:p w14:paraId="70D65362" w14:textId="77777777" w:rsidR="00BC5AFF" w:rsidRPr="00BA75CB" w:rsidRDefault="001C2BDB">
      <w:pPr>
        <w:spacing w:after="0"/>
        <w:rPr>
          <w:rFonts w:asciiTheme="majorHAnsi" w:hAnsiTheme="majorHAnsi" w:cstheme="majorHAnsi"/>
        </w:rPr>
      </w:pPr>
      <w:r w:rsidRPr="00BA75CB">
        <w:rPr>
          <w:rFonts w:asciiTheme="majorHAnsi" w:hAnsiTheme="majorHAnsi" w:cstheme="majorHAnsi"/>
          <w:sz w:val="20"/>
        </w:rPr>
        <w:t xml:space="preserve"> </w:t>
      </w:r>
    </w:p>
    <w:p w14:paraId="6949D1DB" w14:textId="77777777" w:rsidR="00BC5AFF" w:rsidRPr="005C5BFE" w:rsidRDefault="001C2BDB" w:rsidP="005C5BFE">
      <w:pPr>
        <w:spacing w:after="4" w:line="249" w:lineRule="auto"/>
        <w:ind w:left="-5" w:hanging="10"/>
        <w:jc w:val="center"/>
        <w:rPr>
          <w:rFonts w:asciiTheme="majorHAnsi" w:hAnsiTheme="majorHAnsi" w:cstheme="majorHAnsi"/>
          <w:b/>
        </w:rPr>
      </w:pPr>
      <w:r w:rsidRPr="005C5BFE">
        <w:rPr>
          <w:rFonts w:asciiTheme="majorHAnsi" w:hAnsiTheme="majorHAnsi" w:cstheme="majorHAnsi"/>
          <w:b/>
          <w:sz w:val="20"/>
        </w:rPr>
        <w:t>Toute transmission par voie électronique en dehors de la plate-forme est refusée.</w:t>
      </w:r>
    </w:p>
    <w:p w14:paraId="5004B71E" w14:textId="77777777" w:rsidR="00BC5AFF" w:rsidRPr="00BA75CB" w:rsidRDefault="001C2BDB">
      <w:pPr>
        <w:spacing w:after="0"/>
        <w:rPr>
          <w:rFonts w:asciiTheme="majorHAnsi" w:hAnsiTheme="majorHAnsi" w:cstheme="majorHAnsi"/>
        </w:rPr>
      </w:pPr>
      <w:r w:rsidRPr="00BA75CB">
        <w:rPr>
          <w:rFonts w:asciiTheme="majorHAnsi" w:hAnsiTheme="majorHAnsi" w:cstheme="majorHAnsi"/>
          <w:sz w:val="20"/>
        </w:rPr>
        <w:t xml:space="preserve"> </w:t>
      </w:r>
    </w:p>
    <w:p w14:paraId="5FF1DDB4"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opérateurs économiques peuvent signer électroniquement </w:t>
      </w:r>
      <w:r w:rsidR="00E22DCC" w:rsidRPr="004D720D">
        <w:rPr>
          <w:rFonts w:asciiTheme="majorHAnsi" w:hAnsiTheme="majorHAnsi" w:cstheme="majorHAnsi"/>
        </w:rPr>
        <w:t xml:space="preserve">les </w:t>
      </w:r>
      <w:r w:rsidRPr="004D720D">
        <w:rPr>
          <w:rFonts w:asciiTheme="majorHAnsi" w:hAnsiTheme="majorHAnsi" w:cstheme="majorHAnsi"/>
        </w:rPr>
        <w:t xml:space="preserve">pièces demandées en présentant un certificat de signature électronique. Ce certificat doit être délivré par une autorité de certification accréditée et permettre de faire le lien entre une personne physique et le document signé électroniquement. </w:t>
      </w:r>
    </w:p>
    <w:p w14:paraId="5CD31A21" w14:textId="77777777" w:rsidR="00BC5AFF" w:rsidRPr="004D720D" w:rsidRDefault="001C2BDB">
      <w:pPr>
        <w:spacing w:after="0"/>
        <w:rPr>
          <w:rFonts w:asciiTheme="majorHAnsi" w:hAnsiTheme="majorHAnsi" w:cstheme="majorHAnsi"/>
        </w:rPr>
      </w:pPr>
      <w:r w:rsidRPr="004D720D">
        <w:rPr>
          <w:rFonts w:asciiTheme="majorHAnsi" w:hAnsiTheme="majorHAnsi" w:cstheme="majorHAnsi"/>
        </w:rPr>
        <w:t xml:space="preserve"> </w:t>
      </w:r>
    </w:p>
    <w:p w14:paraId="299E58BA"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catégories de certificats de signature reconnues par la plateforme sont ceux définies dans l’Arrêté du 22 mars 2019 relatif à la signature électronique des contrats de la commande publique. </w:t>
      </w:r>
    </w:p>
    <w:p w14:paraId="3ABEB143"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Les formats de signature sont </w:t>
      </w:r>
      <w:proofErr w:type="spellStart"/>
      <w:r w:rsidRPr="004D720D">
        <w:rPr>
          <w:rFonts w:asciiTheme="majorHAnsi" w:hAnsiTheme="majorHAnsi" w:cstheme="majorHAnsi"/>
        </w:rPr>
        <w:t>XAdES</w:t>
      </w:r>
      <w:proofErr w:type="spellEnd"/>
      <w:r w:rsidRPr="004D720D">
        <w:rPr>
          <w:rFonts w:asciiTheme="majorHAnsi" w:hAnsiTheme="majorHAnsi" w:cstheme="majorHAnsi"/>
        </w:rPr>
        <w:t xml:space="preserve">, </w:t>
      </w:r>
      <w:proofErr w:type="spellStart"/>
      <w:r w:rsidRPr="004D720D">
        <w:rPr>
          <w:rFonts w:asciiTheme="majorHAnsi" w:hAnsiTheme="majorHAnsi" w:cstheme="majorHAnsi"/>
        </w:rPr>
        <w:t>CAdES</w:t>
      </w:r>
      <w:proofErr w:type="spellEnd"/>
      <w:r w:rsidRPr="004D720D">
        <w:rPr>
          <w:rFonts w:asciiTheme="majorHAnsi" w:hAnsiTheme="majorHAnsi" w:cstheme="majorHAnsi"/>
        </w:rPr>
        <w:t xml:space="preserve"> ou </w:t>
      </w:r>
      <w:proofErr w:type="spellStart"/>
      <w:r w:rsidRPr="004D720D">
        <w:rPr>
          <w:rFonts w:asciiTheme="majorHAnsi" w:hAnsiTheme="majorHAnsi" w:cstheme="majorHAnsi"/>
        </w:rPr>
        <w:t>PAdES</w:t>
      </w:r>
      <w:proofErr w:type="spellEnd"/>
      <w:r w:rsidRPr="004D720D">
        <w:rPr>
          <w:rFonts w:asciiTheme="majorHAnsi" w:hAnsiTheme="majorHAnsi" w:cstheme="majorHAnsi"/>
        </w:rPr>
        <w:t xml:space="preserve"> tels que mentionnés aux articles 1 et 2 de la décision d’exécution (UE) n° 2015/1506 de la Commission du 8 septembre 2015 susvisée.  </w:t>
      </w:r>
    </w:p>
    <w:p w14:paraId="40A31B13"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Pour chaque document sur lesquels une signature électronique est apposée, la signature doit émanée d’une personne habilitée à engager le candidat. Cette personne est soit le représentant légale du candidat, soit toute autre personne bénéficiant d’une délégation de pouvoir ou de signature établie par le représentant légal. </w:t>
      </w:r>
    </w:p>
    <w:p w14:paraId="4C528989" w14:textId="77777777" w:rsidR="00BC5AFF" w:rsidRPr="004D720D" w:rsidRDefault="001C2BDB">
      <w:pPr>
        <w:spacing w:after="12"/>
        <w:rPr>
          <w:rFonts w:asciiTheme="majorHAnsi" w:hAnsiTheme="majorHAnsi" w:cstheme="majorHAnsi"/>
        </w:rPr>
      </w:pPr>
      <w:r w:rsidRPr="004D720D">
        <w:rPr>
          <w:rFonts w:asciiTheme="majorHAnsi" w:hAnsiTheme="majorHAnsi" w:cstheme="majorHAnsi"/>
        </w:rPr>
        <w:t xml:space="preserve"> </w:t>
      </w:r>
    </w:p>
    <w:p w14:paraId="15731A40"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u w:val="single" w:color="000000"/>
        </w:rPr>
        <w:t>AVERTISSEMENT :</w:t>
      </w:r>
      <w:r w:rsidRPr="004D720D">
        <w:rPr>
          <w:rFonts w:asciiTheme="majorHAnsi" w:hAnsiTheme="majorHAnsi" w:cstheme="majorHAnsi"/>
        </w:rPr>
        <w:t xml:space="preserve"> La durée de téléchargement de l’offre et donc de la réception par la plateforme de dématérialisation est fonction du débit de l’accès Internet du candidat et de la taille des fichiers transmis. Ainsi, il est demandé au candidat de ne transmettre que les documents nécessaires à l’appréciation de leurs candidatures et offres. </w:t>
      </w:r>
    </w:p>
    <w:p w14:paraId="7BC2B5AE" w14:textId="77777777" w:rsidR="00BC5AFF" w:rsidRPr="004D720D" w:rsidRDefault="001C2BDB">
      <w:pPr>
        <w:spacing w:after="4" w:line="249" w:lineRule="auto"/>
        <w:ind w:left="-5" w:hanging="10"/>
        <w:jc w:val="both"/>
        <w:rPr>
          <w:rFonts w:asciiTheme="majorHAnsi" w:hAnsiTheme="majorHAnsi" w:cstheme="majorHAnsi"/>
        </w:rPr>
      </w:pPr>
      <w:r w:rsidRPr="004D720D">
        <w:rPr>
          <w:rFonts w:asciiTheme="majorHAnsi" w:hAnsiTheme="majorHAnsi" w:cstheme="majorHAnsi"/>
        </w:rPr>
        <w:t xml:space="preserve">RAPPEL : Seule la date et heure de réception de l’offre par la plateforme est prise en compte et en aucun cas la date d’envoi par le candidat. Il est donc recommandé au candidat de prévoir ce délai de réception afin de respecter les date et heure limites de remise des offres indiquées dans les documents de consultation. </w:t>
      </w:r>
    </w:p>
    <w:p w14:paraId="13961AEA" w14:textId="567E358D" w:rsidR="00DC28F5" w:rsidRPr="001C2BDB" w:rsidRDefault="001C2BDB" w:rsidP="001C2BDB">
      <w:pPr>
        <w:spacing w:after="0"/>
        <w:rPr>
          <w:rFonts w:asciiTheme="majorHAnsi" w:hAnsiTheme="majorHAnsi" w:cstheme="majorHAnsi"/>
        </w:rPr>
      </w:pPr>
      <w:r w:rsidRPr="004D720D">
        <w:rPr>
          <w:rFonts w:asciiTheme="majorHAnsi" w:hAnsiTheme="majorHAnsi" w:cstheme="majorHAnsi"/>
        </w:rPr>
        <w:t xml:space="preserve"> Le fuseau horaire de référence est celui de (GMT+01:00) Paris, Bruxelles, Copenhague, Madrid. </w:t>
      </w:r>
    </w:p>
    <w:p w14:paraId="0093519D" w14:textId="77777777" w:rsidR="00DC28F5" w:rsidRDefault="00DC28F5">
      <w:pPr>
        <w:spacing w:after="0"/>
        <w:ind w:left="-5" w:hanging="10"/>
        <w:rPr>
          <w:rFonts w:asciiTheme="majorHAnsi" w:hAnsiTheme="majorHAnsi" w:cstheme="majorHAnsi"/>
          <w:u w:val="single" w:color="000000"/>
        </w:rPr>
      </w:pPr>
    </w:p>
    <w:p w14:paraId="2EAE95E7" w14:textId="77777777" w:rsidR="00BC5AFF" w:rsidRPr="00BA75CB" w:rsidRDefault="001C2BDB">
      <w:pPr>
        <w:spacing w:after="0"/>
        <w:ind w:left="-5" w:hanging="10"/>
        <w:rPr>
          <w:rFonts w:asciiTheme="majorHAnsi" w:hAnsiTheme="majorHAnsi" w:cstheme="majorHAnsi"/>
        </w:rPr>
      </w:pPr>
      <w:r w:rsidRPr="00BA75CB">
        <w:rPr>
          <w:rFonts w:asciiTheme="majorHAnsi" w:hAnsiTheme="majorHAnsi" w:cstheme="majorHAnsi"/>
          <w:u w:val="single" w:color="000000"/>
        </w:rPr>
        <w:lastRenderedPageBreak/>
        <w:t>Taille et format des documents :</w:t>
      </w:r>
      <w:r w:rsidRPr="00BA75CB">
        <w:rPr>
          <w:rFonts w:asciiTheme="majorHAnsi" w:hAnsiTheme="majorHAnsi" w:cstheme="majorHAnsi"/>
        </w:rPr>
        <w:t xml:space="preserve"> </w:t>
      </w:r>
    </w:p>
    <w:p w14:paraId="7AB99CA7"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DBBA0ED" w14:textId="7A1031BE"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Les fichiers des candidats devront, sous peine d’irrecevabilité, être transmis dans des formats largement disponibles (.</w:t>
      </w:r>
      <w:proofErr w:type="gramStart"/>
      <w:r w:rsidRPr="00BA75CB">
        <w:rPr>
          <w:rFonts w:asciiTheme="majorHAnsi" w:hAnsiTheme="majorHAnsi" w:cstheme="majorHAnsi"/>
        </w:rPr>
        <w:t>zip;</w:t>
      </w:r>
      <w:proofErr w:type="gramEnd"/>
      <w:r w:rsidRPr="00BA75CB">
        <w:rPr>
          <w:rFonts w:asciiTheme="majorHAnsi" w:hAnsiTheme="majorHAnsi" w:cstheme="majorHAnsi"/>
        </w:rPr>
        <w:t xml:space="preserve"> Excel, PowerPoint, Access (Pack Microsoft), PDF Acrobat…).Par ailleurs, il est précisé qu’il </w:t>
      </w:r>
      <w:r w:rsidR="00447987">
        <w:rPr>
          <w:rFonts w:asciiTheme="majorHAnsi" w:hAnsiTheme="majorHAnsi" w:cstheme="majorHAnsi"/>
        </w:rPr>
        <w:t xml:space="preserve">est interdit </w:t>
      </w:r>
      <w:r w:rsidRPr="00BA75CB">
        <w:rPr>
          <w:rFonts w:asciiTheme="majorHAnsi" w:hAnsiTheme="majorHAnsi" w:cstheme="majorHAnsi"/>
        </w:rPr>
        <w:t xml:space="preserve">aux candidats d’utiliser des fichiers au format « .exe ». </w:t>
      </w:r>
    </w:p>
    <w:p w14:paraId="621975B1"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05C50017"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Le nom des fichiers ne doit pas comporter plus de 35 caractères sous peine d'impossibilité d'ouverture. </w:t>
      </w:r>
    </w:p>
    <w:p w14:paraId="71A11E56"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4D15BAFC"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Détection d'un virus informatique dans un fichier : Tout document contenant un virus informatique fera l'objet d'un archivage de sécurité et sera réputé n'avoir jamais été reçu. Le candidat concerné en sera informé. Dans ces conditions, il est conseillé aux candidats de soumettre leurs documents à un anti-virus avant envoi. </w:t>
      </w:r>
    </w:p>
    <w:p w14:paraId="55B32532"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54A6CC39" w14:textId="77777777" w:rsidR="00BC5AFF" w:rsidRPr="00BA75CB" w:rsidRDefault="001C2BDB">
      <w:pPr>
        <w:spacing w:after="0"/>
        <w:ind w:left="-5" w:hanging="10"/>
        <w:rPr>
          <w:rFonts w:asciiTheme="majorHAnsi" w:hAnsiTheme="majorHAnsi" w:cstheme="majorHAnsi"/>
        </w:rPr>
      </w:pPr>
      <w:r w:rsidRPr="00BA75CB">
        <w:rPr>
          <w:rFonts w:asciiTheme="majorHAnsi" w:hAnsiTheme="majorHAnsi" w:cstheme="majorHAnsi"/>
          <w:u w:val="single" w:color="000000"/>
        </w:rPr>
        <w:t>Outils requis pour répondre par voie dématérialisée :</w:t>
      </w:r>
      <w:r w:rsidRPr="00BA75CB">
        <w:rPr>
          <w:rFonts w:asciiTheme="majorHAnsi" w:hAnsiTheme="majorHAnsi" w:cstheme="majorHAnsi"/>
        </w:rPr>
        <w:t xml:space="preserve"> </w:t>
      </w:r>
    </w:p>
    <w:p w14:paraId="1DF5977A"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71C0E4F4"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Le candidat doit s'assurer de disposer sur son poste de travail des outils listés figurant dans la Rubrique « Aide » Outils Informatiques » à l’adresse : </w:t>
      </w:r>
      <w:r w:rsidRPr="00BA75CB">
        <w:rPr>
          <w:rFonts w:asciiTheme="majorHAnsi" w:hAnsiTheme="majorHAnsi" w:cstheme="majorHAnsi"/>
          <w:color w:val="0000FF"/>
          <w:u w:val="single" w:color="0000FF"/>
        </w:rPr>
        <w:t>https://www.marches-publics.gouv.fr</w:t>
      </w:r>
      <w:r w:rsidRPr="00BA75CB">
        <w:rPr>
          <w:rFonts w:asciiTheme="majorHAnsi" w:hAnsiTheme="majorHAnsi" w:cstheme="majorHAnsi"/>
        </w:rPr>
        <w:t xml:space="preserve"> </w:t>
      </w:r>
    </w:p>
    <w:p w14:paraId="101C6958"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2D01FC75"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Test de la configuration du poste : 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403EE3C7"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47B529E0"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Il est conseillé à chaque candidat de vérifier les prérequis pour la remise électronique d'une réponse dans la rubrique « Se préparer à répondre » à l’adresse : </w:t>
      </w:r>
      <w:r w:rsidRPr="00BA75CB">
        <w:rPr>
          <w:rFonts w:asciiTheme="majorHAnsi" w:hAnsiTheme="majorHAnsi" w:cstheme="majorHAnsi"/>
          <w:color w:val="0000FF"/>
          <w:u w:val="single" w:color="0000FF"/>
        </w:rPr>
        <w:t>https://www.marches-publics.gouv.fr</w:t>
      </w:r>
      <w:r w:rsidRPr="00BA75CB">
        <w:rPr>
          <w:rFonts w:asciiTheme="majorHAnsi" w:hAnsiTheme="majorHAnsi" w:cstheme="majorHAnsi"/>
          <w:color w:val="0000FF"/>
        </w:rPr>
        <w:t xml:space="preserve"> </w:t>
      </w:r>
    </w:p>
    <w:p w14:paraId="0C145563" w14:textId="77777777" w:rsidR="00BC5AFF" w:rsidRPr="00BA75CB" w:rsidRDefault="001C2BDB">
      <w:pPr>
        <w:spacing w:after="0"/>
        <w:rPr>
          <w:rFonts w:asciiTheme="majorHAnsi" w:hAnsiTheme="majorHAnsi" w:cstheme="majorHAnsi"/>
        </w:rPr>
      </w:pPr>
      <w:r w:rsidRPr="00BA75CB">
        <w:rPr>
          <w:rFonts w:asciiTheme="majorHAnsi" w:hAnsiTheme="majorHAnsi" w:cstheme="majorHAnsi"/>
          <w:color w:val="0000FF"/>
        </w:rPr>
        <w:t xml:space="preserve"> </w:t>
      </w:r>
    </w:p>
    <w:p w14:paraId="031C76BC"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Il est également possible de s'entraîner sur la plate-forme avec les consultations de test disponibles dans la rubrique « Se préparer à répondre ». </w:t>
      </w:r>
    </w:p>
    <w:p w14:paraId="7603AD83" w14:textId="77777777" w:rsidR="00BC5AFF" w:rsidRPr="00BA75CB" w:rsidRDefault="001C2BDB" w:rsidP="00DC28F5">
      <w:pPr>
        <w:spacing w:after="0" w:line="248" w:lineRule="auto"/>
        <w:ind w:left="-3" w:hanging="10"/>
        <w:jc w:val="both"/>
        <w:rPr>
          <w:rFonts w:asciiTheme="majorHAnsi" w:hAnsiTheme="majorHAnsi" w:cstheme="majorHAnsi"/>
        </w:rPr>
      </w:pPr>
      <w:r w:rsidRPr="00BA75CB">
        <w:rPr>
          <w:rFonts w:asciiTheme="majorHAnsi" w:hAnsiTheme="majorHAnsi" w:cstheme="majorHAnsi"/>
        </w:rPr>
        <w:t>Avertissement : Chaque candidat doit s’assurer que les messages envoyés par la Plate-forme des Achats de l’Etat (PLACE), notamment nepasrepondre@marches-publics.gouv.fr, ne sont pas traités comme des courriels indésirables</w:t>
      </w:r>
      <w:r w:rsidR="00DC28F5">
        <w:rPr>
          <w:rFonts w:asciiTheme="majorHAnsi" w:hAnsiTheme="majorHAnsi" w:cstheme="majorHAnsi"/>
        </w:rPr>
        <w:t>.</w:t>
      </w:r>
    </w:p>
    <w:p w14:paraId="062462AC"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CEA1010"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4. Notification électronique </w:t>
      </w:r>
    </w:p>
    <w:p w14:paraId="7A771CC3"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469754B5"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Le GHT </w:t>
      </w:r>
      <w:r w:rsidR="00DC28F5">
        <w:rPr>
          <w:rFonts w:asciiTheme="majorHAnsi" w:hAnsiTheme="majorHAnsi" w:cstheme="majorHAnsi"/>
        </w:rPr>
        <w:t xml:space="preserve">de la Haute-Saône </w:t>
      </w:r>
      <w:r w:rsidRPr="00BA75CB">
        <w:rPr>
          <w:rFonts w:asciiTheme="majorHAnsi" w:hAnsiTheme="majorHAnsi" w:cstheme="majorHAnsi"/>
        </w:rPr>
        <w:t xml:space="preserve">notifie ses marchés publics par voie électronique uniquement. L’attributaire sera invité par mail à retirer le marché sur la plateforme d’échanges électroniques PLACE. La date de notification correspondra à la date de retrait. </w:t>
      </w:r>
    </w:p>
    <w:p w14:paraId="369984F0"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A8DB538" w14:textId="77777777" w:rsidR="00BC5AFF" w:rsidRPr="00BA75CB"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L’utilisation de la plateforme ne nécessite aucun enregistrement préalable et n’occasionne aucune dépense supplémentaire pour l’attributaire d’un marché. Seul un accès internet est nécessaire. </w:t>
      </w:r>
    </w:p>
    <w:p w14:paraId="696DEA80"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38CA2371" w14:textId="77777777" w:rsidR="00BC5AFF" w:rsidRPr="00BA75CB" w:rsidRDefault="001C2BDB">
      <w:pPr>
        <w:pStyle w:val="Titre2"/>
        <w:ind w:left="-3"/>
        <w:rPr>
          <w:rFonts w:asciiTheme="majorHAnsi" w:hAnsiTheme="majorHAnsi" w:cstheme="majorHAnsi"/>
        </w:rPr>
      </w:pPr>
      <w:r w:rsidRPr="00BA75CB">
        <w:rPr>
          <w:rFonts w:asciiTheme="majorHAnsi" w:hAnsiTheme="majorHAnsi" w:cstheme="majorHAnsi"/>
        </w:rPr>
        <w:t xml:space="preserve">5. Assistance  </w:t>
      </w:r>
    </w:p>
    <w:p w14:paraId="3DBE71F4"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24DFDE99" w14:textId="77777777" w:rsidR="00603D40" w:rsidRPr="00913885" w:rsidRDefault="001C2BDB">
      <w:pPr>
        <w:spacing w:after="4" w:line="249" w:lineRule="auto"/>
        <w:ind w:left="-5" w:hanging="10"/>
        <w:jc w:val="both"/>
        <w:rPr>
          <w:rFonts w:asciiTheme="majorHAnsi" w:hAnsiTheme="majorHAnsi" w:cstheme="majorHAnsi"/>
        </w:rPr>
      </w:pPr>
      <w:r w:rsidRPr="00913885">
        <w:rPr>
          <w:rFonts w:asciiTheme="majorHAnsi" w:hAnsiTheme="majorHAnsi" w:cstheme="majorHAnsi"/>
        </w:rPr>
        <w:t xml:space="preserve">Le « guide utilisateur général entreprise » est disponible, dans la rubrique « aide » à l’adresse suivante : </w:t>
      </w:r>
    </w:p>
    <w:p w14:paraId="21B133FC" w14:textId="79F17FED" w:rsidR="00913885" w:rsidRPr="004D720D" w:rsidRDefault="00B70817">
      <w:pPr>
        <w:spacing w:after="4" w:line="249" w:lineRule="auto"/>
        <w:ind w:left="-5" w:hanging="10"/>
        <w:jc w:val="both"/>
        <w:rPr>
          <w:rFonts w:asciiTheme="majorHAnsi" w:hAnsiTheme="majorHAnsi" w:cstheme="majorHAnsi"/>
          <w:color w:val="0000FF"/>
          <w:u w:val="single" w:color="0000FF"/>
        </w:rPr>
      </w:pPr>
      <w:hyperlink r:id="rId11" w:history="1">
        <w:r w:rsidR="00913885" w:rsidRPr="004D720D">
          <w:rPr>
            <w:rFonts w:asciiTheme="majorHAnsi" w:hAnsiTheme="majorHAnsi" w:cstheme="majorHAnsi"/>
            <w:color w:val="0000FF"/>
            <w:u w:val="single" w:color="0000FF"/>
          </w:rPr>
          <w:t>https://www.marches-publics.gouv.fr/?page=entreprise.EntrepriseGuide</w:t>
        </w:r>
      </w:hyperlink>
      <w:r w:rsidR="004D720D" w:rsidRPr="004D720D">
        <w:rPr>
          <w:rFonts w:asciiTheme="majorHAnsi" w:hAnsiTheme="majorHAnsi" w:cstheme="majorHAnsi"/>
          <w:color w:val="0000FF"/>
          <w:u w:val="single" w:color="0000FF"/>
        </w:rPr>
        <w:t xml:space="preserve"> </w:t>
      </w:r>
    </w:p>
    <w:p w14:paraId="5238EB49" w14:textId="77777777" w:rsidR="00913885" w:rsidRPr="00913885" w:rsidRDefault="00913885">
      <w:pPr>
        <w:spacing w:after="4" w:line="249" w:lineRule="auto"/>
        <w:ind w:left="-5" w:hanging="10"/>
        <w:jc w:val="both"/>
        <w:rPr>
          <w:rFonts w:asciiTheme="majorHAnsi" w:hAnsiTheme="majorHAnsi" w:cstheme="majorHAnsi"/>
        </w:rPr>
      </w:pPr>
    </w:p>
    <w:p w14:paraId="4E26778E" w14:textId="26241B52" w:rsidR="00BC5AFF" w:rsidRPr="00BA75CB" w:rsidRDefault="001C2BDB">
      <w:pPr>
        <w:spacing w:after="4" w:line="249" w:lineRule="auto"/>
        <w:ind w:left="-5" w:hanging="10"/>
        <w:jc w:val="both"/>
        <w:rPr>
          <w:rFonts w:asciiTheme="majorHAnsi" w:hAnsiTheme="majorHAnsi" w:cstheme="majorHAnsi"/>
        </w:rPr>
      </w:pPr>
      <w:r w:rsidRPr="00913885">
        <w:rPr>
          <w:rFonts w:asciiTheme="majorHAnsi" w:hAnsiTheme="majorHAnsi" w:cstheme="majorHAnsi"/>
        </w:rPr>
        <w:t xml:space="preserve">Il décrit toutes les étapes à suivre afin de procéder au dépôt d’une réponse électronique. </w:t>
      </w:r>
    </w:p>
    <w:p w14:paraId="34C55B3A" w14:textId="77777777" w:rsidR="00BC5AFF" w:rsidRPr="00BA75CB" w:rsidRDefault="001C2BDB">
      <w:pPr>
        <w:spacing w:after="0"/>
        <w:rPr>
          <w:rFonts w:asciiTheme="majorHAnsi" w:hAnsiTheme="majorHAnsi" w:cstheme="majorHAnsi"/>
        </w:rPr>
      </w:pPr>
      <w:r w:rsidRPr="00BA75CB">
        <w:rPr>
          <w:rFonts w:asciiTheme="majorHAnsi" w:hAnsiTheme="majorHAnsi" w:cstheme="majorHAnsi"/>
        </w:rPr>
        <w:t xml:space="preserve"> </w:t>
      </w:r>
    </w:p>
    <w:p w14:paraId="12499558" w14:textId="25F1349E" w:rsidR="00BC5AFF" w:rsidRDefault="001C2BDB">
      <w:pPr>
        <w:spacing w:after="0" w:line="248" w:lineRule="auto"/>
        <w:ind w:left="-3" w:hanging="10"/>
        <w:jc w:val="both"/>
        <w:rPr>
          <w:rFonts w:asciiTheme="majorHAnsi" w:hAnsiTheme="majorHAnsi" w:cstheme="majorHAnsi"/>
        </w:rPr>
      </w:pPr>
      <w:r w:rsidRPr="00BA75CB">
        <w:rPr>
          <w:rFonts w:asciiTheme="majorHAnsi" w:hAnsiTheme="majorHAnsi" w:cstheme="majorHAnsi"/>
        </w:rPr>
        <w:t xml:space="preserve">Afin d’accompagner les entreprises dans l’installation et l’utilisation de la plateforme dématérialisée PLACE, une assistance est à leur disposition. </w:t>
      </w:r>
    </w:p>
    <w:p w14:paraId="317C57E8" w14:textId="0A453634" w:rsidR="007C336C" w:rsidRDefault="007C336C">
      <w:pPr>
        <w:spacing w:after="0" w:line="248" w:lineRule="auto"/>
        <w:ind w:left="-3" w:hanging="10"/>
        <w:jc w:val="both"/>
        <w:rPr>
          <w:rFonts w:asciiTheme="majorHAnsi" w:hAnsiTheme="majorHAnsi" w:cstheme="majorHAnsi"/>
        </w:rPr>
      </w:pPr>
    </w:p>
    <w:p w14:paraId="1C3D10FB" w14:textId="6DC1277A" w:rsidR="007C336C" w:rsidRDefault="007C336C">
      <w:pPr>
        <w:spacing w:after="0" w:line="248" w:lineRule="auto"/>
        <w:ind w:left="-3" w:hanging="10"/>
        <w:jc w:val="both"/>
        <w:rPr>
          <w:rFonts w:asciiTheme="majorHAnsi" w:hAnsiTheme="majorHAnsi" w:cstheme="majorHAnsi"/>
        </w:rPr>
      </w:pPr>
    </w:p>
    <w:p w14:paraId="2614594D" w14:textId="75B29AB0" w:rsidR="007C336C" w:rsidRDefault="007C336C">
      <w:pPr>
        <w:spacing w:after="0" w:line="248" w:lineRule="auto"/>
        <w:ind w:left="-3" w:hanging="10"/>
        <w:jc w:val="both"/>
        <w:rPr>
          <w:rFonts w:asciiTheme="majorHAnsi" w:hAnsiTheme="majorHAnsi" w:cstheme="majorHAnsi"/>
        </w:rPr>
      </w:pPr>
    </w:p>
    <w:p w14:paraId="61B79168" w14:textId="5A5221B7" w:rsidR="008E4897" w:rsidRDefault="008E4897">
      <w:pPr>
        <w:spacing w:after="0" w:line="248" w:lineRule="auto"/>
        <w:ind w:left="-3" w:hanging="10"/>
        <w:jc w:val="both"/>
        <w:rPr>
          <w:rFonts w:asciiTheme="majorHAnsi" w:hAnsiTheme="majorHAnsi" w:cstheme="majorHAnsi"/>
        </w:rPr>
      </w:pPr>
    </w:p>
    <w:p w14:paraId="1BE448A4" w14:textId="77777777" w:rsidR="008E4897" w:rsidRDefault="008E4897">
      <w:pPr>
        <w:spacing w:after="0" w:line="248" w:lineRule="auto"/>
        <w:ind w:left="-3" w:hanging="10"/>
        <w:jc w:val="both"/>
        <w:rPr>
          <w:rFonts w:asciiTheme="majorHAnsi" w:hAnsiTheme="majorHAnsi" w:cstheme="majorHAnsi"/>
        </w:rPr>
      </w:pPr>
    </w:p>
    <w:p w14:paraId="42213852" w14:textId="77777777" w:rsidR="008E4897" w:rsidRDefault="008E4897">
      <w:pPr>
        <w:spacing w:after="0" w:line="248" w:lineRule="auto"/>
        <w:ind w:left="-3" w:hanging="10"/>
        <w:jc w:val="both"/>
        <w:rPr>
          <w:rFonts w:asciiTheme="majorHAnsi" w:hAnsiTheme="majorHAnsi" w:cstheme="majorHAnsi"/>
        </w:rPr>
      </w:pPr>
    </w:p>
    <w:p w14:paraId="3906AE53" w14:textId="6649A2DF" w:rsidR="007C336C" w:rsidRDefault="007C336C" w:rsidP="007C336C">
      <w:pPr>
        <w:pStyle w:val="Paragraphedeliste"/>
        <w:numPr>
          <w:ilvl w:val="0"/>
          <w:numId w:val="1"/>
        </w:numPr>
        <w:pBdr>
          <w:top w:val="single" w:sz="4" w:space="0" w:color="000000"/>
          <w:left w:val="single" w:sz="4" w:space="0" w:color="000000"/>
          <w:bottom w:val="single" w:sz="4" w:space="0" w:color="000000"/>
          <w:right w:val="single" w:sz="4" w:space="0" w:color="000000"/>
        </w:pBdr>
        <w:spacing w:after="0"/>
        <w:jc w:val="center"/>
      </w:pPr>
      <w:r>
        <w:rPr>
          <w:rFonts w:ascii="Arial" w:eastAsia="Arial" w:hAnsi="Arial" w:cs="Arial"/>
          <w:b/>
          <w:sz w:val="28"/>
        </w:rPr>
        <w:t>Protection des données à caractère personnel</w:t>
      </w:r>
      <w:r w:rsidRPr="007C336C">
        <w:rPr>
          <w:rFonts w:ascii="Arial" w:eastAsia="Arial" w:hAnsi="Arial" w:cs="Arial"/>
          <w:b/>
          <w:sz w:val="28"/>
        </w:rPr>
        <w:t xml:space="preserve"> </w:t>
      </w:r>
    </w:p>
    <w:p w14:paraId="28A76627" w14:textId="77777777" w:rsidR="007C336C" w:rsidRPr="00BA75CB" w:rsidRDefault="007C336C">
      <w:pPr>
        <w:spacing w:after="0" w:line="248" w:lineRule="auto"/>
        <w:ind w:left="-3" w:hanging="10"/>
        <w:jc w:val="both"/>
        <w:rPr>
          <w:rFonts w:asciiTheme="majorHAnsi" w:hAnsiTheme="majorHAnsi" w:cstheme="majorHAnsi"/>
        </w:rPr>
      </w:pPr>
    </w:p>
    <w:p w14:paraId="66A29A33" w14:textId="17ACCC5B" w:rsidR="007C336C" w:rsidRPr="007C336C" w:rsidRDefault="007C336C" w:rsidP="007C336C">
      <w:pPr>
        <w:pStyle w:val="Titre2"/>
        <w:numPr>
          <w:ilvl w:val="0"/>
          <w:numId w:val="5"/>
        </w:numPr>
        <w:rPr>
          <w:rFonts w:asciiTheme="majorHAnsi" w:hAnsiTheme="majorHAnsi" w:cstheme="majorHAnsi"/>
        </w:rPr>
      </w:pPr>
      <w:bookmarkStart w:id="1" w:name="_Hlk190329685"/>
      <w:r w:rsidRPr="007C336C">
        <w:rPr>
          <w:rFonts w:asciiTheme="majorHAnsi" w:hAnsiTheme="majorHAnsi" w:cstheme="majorHAnsi"/>
        </w:rPr>
        <w:t>Description du traitement</w:t>
      </w:r>
    </w:p>
    <w:bookmarkEnd w:id="1"/>
    <w:p w14:paraId="0702740B" w14:textId="42F997EF" w:rsidR="007C336C" w:rsidRPr="00D915EE" w:rsidRDefault="007C336C" w:rsidP="007C336C">
      <w:pPr>
        <w:spacing w:before="120"/>
        <w:ind w:left="851"/>
      </w:pPr>
      <w:r w:rsidRPr="00D915EE">
        <w:t>Dans le cadre de leurs relations contractuelles, les parties s’engagent à respecter la règlementation en vigueur applicable au traitement de données à caractère personnel et, en particulier, le règlement (UE)</w:t>
      </w:r>
      <w:r w:rsidR="005449E9">
        <w:t>.</w:t>
      </w:r>
    </w:p>
    <w:p w14:paraId="042A717D" w14:textId="77777777" w:rsidR="007C336C" w:rsidRPr="00D915EE" w:rsidRDefault="007C336C" w:rsidP="007C336C">
      <w:pPr>
        <w:spacing w:before="120"/>
        <w:ind w:left="851"/>
      </w:pPr>
      <w:r w:rsidRPr="00D915EE">
        <w:t>2016/679 du Parlement européen et du Conseil du 27 avril 2016 applicable à compter du 25 mai 2018 ainsi que la loi n°78-17 du 6 janvier 1978 relative à l’informatique, aux fichiers et aux libertés, modifiée.</w:t>
      </w:r>
    </w:p>
    <w:p w14:paraId="6B507152" w14:textId="77777777" w:rsidR="007C336C" w:rsidRPr="00D915EE" w:rsidRDefault="007C336C" w:rsidP="007C336C">
      <w:pPr>
        <w:spacing w:before="120"/>
        <w:ind w:left="851"/>
      </w:pPr>
      <w:r w:rsidRPr="00D915EE">
        <w:t>Le sous-traitant (cette notion s’entendant dans le présent article exclusivement au sens de sa définition dans le RGPD) est autorisé à traiter les données à caractère personnel nécessaires pour fournir le service définis dans le présent contrat.</w:t>
      </w:r>
    </w:p>
    <w:p w14:paraId="08183760" w14:textId="77777777" w:rsidR="007C336C" w:rsidRPr="00D915EE" w:rsidRDefault="007C336C" w:rsidP="007C336C">
      <w:pPr>
        <w:spacing w:before="120"/>
        <w:ind w:left="851"/>
      </w:pPr>
      <w:r w:rsidRPr="00D915EE">
        <w:t>L’expression « sous-traitant », pour l’application du présent article, désigne le titulaire du marché.</w:t>
      </w:r>
    </w:p>
    <w:p w14:paraId="24111699" w14:textId="77777777" w:rsidR="007C336C" w:rsidRPr="00D915EE" w:rsidRDefault="007C336C" w:rsidP="007C336C">
      <w:pPr>
        <w:spacing w:before="120"/>
        <w:ind w:left="851"/>
      </w:pPr>
      <w:r w:rsidRPr="00D915EE">
        <w:t>L’expression « le responsable du traitement » est le pouvoir adjudicateur.</w:t>
      </w:r>
    </w:p>
    <w:p w14:paraId="3E9CB251" w14:textId="77777777" w:rsidR="007C336C" w:rsidRPr="00D915EE" w:rsidRDefault="007C336C" w:rsidP="007C336C">
      <w:pPr>
        <w:spacing w:before="120"/>
        <w:ind w:left="851"/>
      </w:pPr>
      <w:r w:rsidRPr="00D915EE">
        <w:t>Les données à caractère personnel traitées sont les données relatives aux établissements qui comportent des données sur les noms, prénoms, coordonnées des interlocuteurs susceptibles d’intervenir en cours d’exécution du marché.</w:t>
      </w:r>
    </w:p>
    <w:p w14:paraId="1C7192E3" w14:textId="77777777" w:rsidR="007C336C" w:rsidRPr="00D915EE" w:rsidRDefault="007C336C" w:rsidP="007C336C">
      <w:pPr>
        <w:spacing w:before="120"/>
        <w:ind w:left="851"/>
      </w:pPr>
      <w:r w:rsidRPr="00D915EE">
        <w:t>Les opérations qui pourront être réalisées sur ces données sont lecture, écriture, transmission, suppression, interrogation, élaboration de statistiques. Enfin les finalités de ce traitement sont les formalités nécessaires au présent marché.</w:t>
      </w:r>
    </w:p>
    <w:p w14:paraId="08799302" w14:textId="5F1198F8" w:rsidR="007C336C" w:rsidRPr="007C336C" w:rsidRDefault="007C336C" w:rsidP="007C336C">
      <w:pPr>
        <w:pStyle w:val="Titre2"/>
        <w:numPr>
          <w:ilvl w:val="0"/>
          <w:numId w:val="5"/>
        </w:numPr>
        <w:rPr>
          <w:rFonts w:asciiTheme="majorHAnsi" w:hAnsiTheme="majorHAnsi" w:cstheme="majorHAnsi"/>
        </w:rPr>
      </w:pPr>
      <w:r w:rsidRPr="007C336C">
        <w:rPr>
          <w:rFonts w:asciiTheme="majorHAnsi" w:hAnsiTheme="majorHAnsi" w:cstheme="majorHAnsi"/>
        </w:rPr>
        <w:t>Obligation du sous-traitant</w:t>
      </w:r>
    </w:p>
    <w:p w14:paraId="3B0968C7" w14:textId="77777777" w:rsidR="007C336C" w:rsidRPr="00D915EE" w:rsidRDefault="007C336C" w:rsidP="007C336C">
      <w:pPr>
        <w:spacing w:before="120"/>
        <w:ind w:left="851"/>
      </w:pPr>
      <w:r w:rsidRPr="00D915EE">
        <w:t>Conformément au RGPD le sous-traitant s’engage à :</w:t>
      </w:r>
    </w:p>
    <w:p w14:paraId="730564D8" w14:textId="77777777" w:rsidR="007C336C" w:rsidRPr="00D915EE" w:rsidRDefault="007C336C" w:rsidP="007C336C">
      <w:pPr>
        <w:numPr>
          <w:ilvl w:val="0"/>
          <w:numId w:val="3"/>
        </w:numPr>
        <w:spacing w:before="120" w:after="0" w:line="240" w:lineRule="auto"/>
        <w:ind w:left="1560"/>
        <w:jc w:val="both"/>
      </w:pPr>
      <w:r w:rsidRPr="00D915EE">
        <w:t>Traiter les données pour les seules finalités qui font l’objet de la sous-traitance ;</w:t>
      </w:r>
    </w:p>
    <w:p w14:paraId="30FAA868" w14:textId="77777777" w:rsidR="007C336C" w:rsidRPr="00D915EE" w:rsidRDefault="007C336C" w:rsidP="007C336C">
      <w:pPr>
        <w:numPr>
          <w:ilvl w:val="0"/>
          <w:numId w:val="3"/>
        </w:numPr>
        <w:spacing w:before="120" w:after="0" w:line="240" w:lineRule="auto"/>
        <w:ind w:left="1560"/>
        <w:jc w:val="both"/>
      </w:pPr>
      <w:r w:rsidRPr="00D915EE">
        <w:t>Traiter les données uniquement pour la durée du marché ;</w:t>
      </w:r>
    </w:p>
    <w:p w14:paraId="1B1B7407" w14:textId="77777777" w:rsidR="007C336C" w:rsidRPr="00D915EE" w:rsidRDefault="007C336C" w:rsidP="007C336C">
      <w:pPr>
        <w:numPr>
          <w:ilvl w:val="0"/>
          <w:numId w:val="3"/>
        </w:numPr>
        <w:spacing w:before="120" w:after="0" w:line="240" w:lineRule="auto"/>
        <w:ind w:left="1560"/>
        <w:jc w:val="both"/>
      </w:pPr>
      <w:r w:rsidRPr="00D915EE">
        <w:t>Traiter les données conformément aux instructions du présent contrat ;</w:t>
      </w:r>
    </w:p>
    <w:p w14:paraId="073EE6A5" w14:textId="77777777" w:rsidR="007C336C" w:rsidRPr="00D915EE" w:rsidRDefault="007C336C" w:rsidP="007C336C">
      <w:pPr>
        <w:numPr>
          <w:ilvl w:val="0"/>
          <w:numId w:val="3"/>
        </w:numPr>
        <w:spacing w:before="120" w:after="0" w:line="240" w:lineRule="auto"/>
        <w:ind w:left="1560"/>
        <w:jc w:val="both"/>
      </w:pPr>
      <w:r w:rsidRPr="00D915EE">
        <w:t>Garantir la confidentialité des données à caractère personnel traitées dans le cadre du présent contrat ;</w:t>
      </w:r>
    </w:p>
    <w:p w14:paraId="132300F7" w14:textId="77777777" w:rsidR="007C336C" w:rsidRPr="00D915EE" w:rsidRDefault="007C336C" w:rsidP="007C336C">
      <w:pPr>
        <w:numPr>
          <w:ilvl w:val="0"/>
          <w:numId w:val="3"/>
        </w:numPr>
        <w:spacing w:before="120" w:after="0" w:line="240" w:lineRule="auto"/>
        <w:ind w:left="1560"/>
        <w:jc w:val="both"/>
      </w:pPr>
      <w:r w:rsidRPr="00D915EE">
        <w:t>Veiller à ce que les personnes autorisées à traiter les données à caractère personnel respectent la confidentialité et la sécurité et reçoivent la formation nécessaire en matière de protection des données à caractère personnel ;</w:t>
      </w:r>
    </w:p>
    <w:p w14:paraId="40E8BFF9" w14:textId="77777777" w:rsidR="007C336C" w:rsidRPr="00D915EE" w:rsidRDefault="007C336C" w:rsidP="007C336C">
      <w:pPr>
        <w:numPr>
          <w:ilvl w:val="0"/>
          <w:numId w:val="3"/>
        </w:numPr>
        <w:spacing w:before="120" w:after="0" w:line="240" w:lineRule="auto"/>
        <w:ind w:left="1560"/>
        <w:jc w:val="both"/>
      </w:pPr>
      <w:r w:rsidRPr="00D915EE">
        <w:t>Signaler immédiatement toute fuite de données.</w:t>
      </w:r>
    </w:p>
    <w:p w14:paraId="2BF2F935" w14:textId="77777777" w:rsidR="00BC5AFF" w:rsidRDefault="00BC5AFF">
      <w:pPr>
        <w:spacing w:after="0"/>
      </w:pPr>
    </w:p>
    <w:sectPr w:rsidR="00BC5AFF">
      <w:footerReference w:type="even" r:id="rId12"/>
      <w:footerReference w:type="default" r:id="rId13"/>
      <w:footerReference w:type="first" r:id="rId14"/>
      <w:pgSz w:w="11900" w:h="16840"/>
      <w:pgMar w:top="281" w:right="1407" w:bottom="1463" w:left="1416" w:header="720"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9991A" w14:textId="77777777" w:rsidR="0065513F" w:rsidRDefault="001C2BDB">
      <w:pPr>
        <w:spacing w:after="0" w:line="240" w:lineRule="auto"/>
      </w:pPr>
      <w:r>
        <w:separator/>
      </w:r>
    </w:p>
  </w:endnote>
  <w:endnote w:type="continuationSeparator" w:id="0">
    <w:p w14:paraId="62EB50A6" w14:textId="77777777" w:rsidR="0065513F" w:rsidRDefault="001C2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B9CF9" w14:textId="77777777" w:rsidR="00BC5AFF" w:rsidRDefault="001C2BDB">
    <w:pPr>
      <w:spacing w:after="0"/>
      <w:ind w:right="1"/>
      <w:jc w:val="right"/>
    </w:pPr>
    <w:r>
      <w:fldChar w:fldCharType="begin"/>
    </w:r>
    <w:r>
      <w:instrText xml:space="preserve"> PAGE   \* MERGEFORMAT </w:instrText>
    </w:r>
    <w:r>
      <w:fldChar w:fldCharType="separate"/>
    </w:r>
    <w:r>
      <w:t>1</w:t>
    </w:r>
    <w:r>
      <w:fldChar w:fldCharType="end"/>
    </w:r>
    <w:r>
      <w:t xml:space="preserve"> </w:t>
    </w:r>
  </w:p>
  <w:p w14:paraId="0931C837" w14:textId="77777777" w:rsidR="00BC5AFF" w:rsidRDefault="001C2BDB">
    <w:pPr>
      <w:spacing w:after="0"/>
      <w:ind w:left="2"/>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54540853"/>
      <w:docPartObj>
        <w:docPartGallery w:val="Page Numbers (Bottom of Page)"/>
        <w:docPartUnique/>
      </w:docPartObj>
    </w:sdtPr>
    <w:sdtEndPr>
      <w:rPr>
        <w:color w:val="A6A6A6" w:themeColor="background1" w:themeShade="A6"/>
      </w:rPr>
    </w:sdtEndPr>
    <w:sdtContent>
      <w:p w14:paraId="3C2A271A" w14:textId="3D568B31" w:rsidR="00BC5AFF" w:rsidRPr="00DC28F5" w:rsidRDefault="00DC28F5">
        <w:pPr>
          <w:spacing w:after="0"/>
          <w:ind w:left="2"/>
          <w:rPr>
            <w:color w:val="A6A6A6" w:themeColor="background1" w:themeShade="A6"/>
            <w:sz w:val="18"/>
            <w:szCs w:val="18"/>
          </w:rPr>
        </w:pPr>
        <w:r w:rsidRPr="00DC28F5">
          <w:rPr>
            <w:noProof/>
            <w:color w:val="A6A6A6" w:themeColor="background1" w:themeShade="A6"/>
            <w:sz w:val="18"/>
            <w:szCs w:val="18"/>
          </w:rPr>
          <mc:AlternateContent>
            <mc:Choice Requires="wps">
              <w:drawing>
                <wp:anchor distT="0" distB="0" distL="114300" distR="114300" simplePos="0" relativeHeight="251659264" behindDoc="0" locked="0" layoutInCell="0" allowOverlap="1" wp14:anchorId="1365E83B" wp14:editId="478AEE68">
                  <wp:simplePos x="0" y="0"/>
                  <wp:positionH relativeFrom="rightMargin">
                    <wp:align>left</wp:align>
                  </wp:positionH>
                  <mc:AlternateContent>
                    <mc:Choice Requires="wp14">
                      <wp:positionV relativeFrom="bottomMargin">
                        <wp14:pctPosVOffset>7000</wp14:pctPosVOffset>
                      </wp:positionV>
                    </mc:Choice>
                    <mc:Fallback>
                      <wp:positionV relativeFrom="page">
                        <wp:posOffset>9829165</wp:posOffset>
                      </wp:positionV>
                    </mc:Fallback>
                  </mc:AlternateContent>
                  <wp:extent cx="368300" cy="274320"/>
                  <wp:effectExtent l="9525" t="9525" r="12700" b="11430"/>
                  <wp:wrapNone/>
                  <wp:docPr id="2" name="Rectangle : 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37E8F6DB" w14:textId="77777777" w:rsidR="00DC28F5" w:rsidRDefault="00DC28F5">
                              <w:pPr>
                                <w:jc w:val="center"/>
                              </w:pPr>
                              <w:r>
                                <w:fldChar w:fldCharType="begin"/>
                              </w:r>
                              <w:r>
                                <w:instrText>PAGE    \* MERGEFORMAT</w:instrText>
                              </w:r>
                              <w:r>
                                <w:fldChar w:fldCharType="separate"/>
                              </w:r>
                              <w:r>
                                <w:rPr>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5E83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2" o:spid="_x0000_s1026" type="#_x0000_t65" style="position:absolute;left:0;text-align:left;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" o:allowincell="f" adj="14135" strokecolor="gray" strokeweight=".25pt">
                  <v:textbox>
                    <w:txbxContent>
                      <w:p w14:paraId="37E8F6DB" w14:textId="77777777" w:rsidR="00DC28F5" w:rsidRDefault="00DC28F5">
                        <w:pPr>
                          <w:jc w:val="center"/>
                        </w:pPr>
                        <w:r>
                          <w:fldChar w:fldCharType="begin"/>
                        </w:r>
                        <w:r>
                          <w:instrText>PAGE    \* MERGEFORMAT</w:instrText>
                        </w:r>
                        <w:r>
                          <w:fldChar w:fldCharType="separate"/>
                        </w:r>
                        <w:r>
                          <w:rPr>
                            <w:sz w:val="16"/>
                            <w:szCs w:val="16"/>
                          </w:rPr>
                          <w:t>2</w:t>
                        </w:r>
                        <w:r>
                          <w:rPr>
                            <w:sz w:val="16"/>
                            <w:szCs w:val="16"/>
                          </w:rPr>
                          <w:fldChar w:fldCharType="end"/>
                        </w:r>
                      </w:p>
                    </w:txbxContent>
                  </v:textbox>
                  <w10:wrap anchorx="margin" anchory="margin"/>
                </v:shape>
              </w:pict>
            </mc:Fallback>
          </mc:AlternateContent>
        </w:r>
        <w:r w:rsidRPr="00DC28F5">
          <w:rPr>
            <w:color w:val="A6A6A6" w:themeColor="background1" w:themeShade="A6"/>
            <w:sz w:val="18"/>
            <w:szCs w:val="18"/>
          </w:rPr>
          <w:t xml:space="preserve">Annexe RC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EAD5F" w14:textId="77777777" w:rsidR="00BC5AFF" w:rsidRDefault="001C2BDB">
    <w:pPr>
      <w:spacing w:after="0"/>
      <w:ind w:right="1"/>
      <w:jc w:val="right"/>
    </w:pPr>
    <w:r>
      <w:fldChar w:fldCharType="begin"/>
    </w:r>
    <w:r>
      <w:instrText xml:space="preserve"> PAGE   \* MERGEFORMAT </w:instrText>
    </w:r>
    <w:r>
      <w:fldChar w:fldCharType="separate"/>
    </w:r>
    <w:r>
      <w:t>1</w:t>
    </w:r>
    <w:r>
      <w:fldChar w:fldCharType="end"/>
    </w:r>
    <w:r>
      <w:t xml:space="preserve"> </w:t>
    </w:r>
  </w:p>
  <w:p w14:paraId="426E06F4" w14:textId="77777777" w:rsidR="00BC5AFF" w:rsidRDefault="001C2BDB">
    <w:pPr>
      <w:spacing w:after="0"/>
      <w:ind w:left="2"/>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23634" w14:textId="77777777" w:rsidR="0065513F" w:rsidRDefault="001C2BDB">
      <w:pPr>
        <w:spacing w:after="0" w:line="240" w:lineRule="auto"/>
      </w:pPr>
      <w:r>
        <w:separator/>
      </w:r>
    </w:p>
  </w:footnote>
  <w:footnote w:type="continuationSeparator" w:id="0">
    <w:p w14:paraId="4CC1AB36" w14:textId="77777777" w:rsidR="0065513F" w:rsidRDefault="001C2B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4833C3"/>
    <w:multiLevelType w:val="hybridMultilevel"/>
    <w:tmpl w:val="07AE0E66"/>
    <w:lvl w:ilvl="0" w:tplc="040C000F">
      <w:start w:val="1"/>
      <w:numFmt w:val="decimal"/>
      <w:lvlText w:val="%1."/>
      <w:lvlJc w:val="left"/>
      <w:pPr>
        <w:ind w:left="720" w:hanging="360"/>
      </w:pPr>
      <w:rPr>
        <w:rFonts w:hint="default"/>
        <w:b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8F044CD"/>
    <w:multiLevelType w:val="hybridMultilevel"/>
    <w:tmpl w:val="68B2E2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B273CA3"/>
    <w:multiLevelType w:val="multilevel"/>
    <w:tmpl w:val="5764FC90"/>
    <w:lvl w:ilvl="0">
      <w:start w:val="1"/>
      <w:numFmt w:val="decimal"/>
      <w:lvlText w:val="%1."/>
      <w:lvlJc w:val="left"/>
      <w:pPr>
        <w:ind w:left="347"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33" w:hanging="720"/>
      </w:pPr>
      <w:rPr>
        <w:rFonts w:hint="default"/>
      </w:rPr>
    </w:lvl>
    <w:lvl w:ilvl="3">
      <w:start w:val="1"/>
      <w:numFmt w:val="decimal"/>
      <w:isLgl/>
      <w:lvlText w:val="%1.%2.%3.%4"/>
      <w:lvlJc w:val="left"/>
      <w:pPr>
        <w:ind w:left="746" w:hanging="720"/>
      </w:pPr>
      <w:rPr>
        <w:rFonts w:hint="default"/>
      </w:rPr>
    </w:lvl>
    <w:lvl w:ilvl="4">
      <w:start w:val="1"/>
      <w:numFmt w:val="decimal"/>
      <w:isLgl/>
      <w:lvlText w:val="%1.%2.%3.%4.%5"/>
      <w:lvlJc w:val="left"/>
      <w:pPr>
        <w:ind w:left="1119" w:hanging="1080"/>
      </w:pPr>
      <w:rPr>
        <w:rFonts w:hint="default"/>
      </w:rPr>
    </w:lvl>
    <w:lvl w:ilvl="5">
      <w:start w:val="1"/>
      <w:numFmt w:val="decimal"/>
      <w:isLgl/>
      <w:lvlText w:val="%1.%2.%3.%4.%5.%6"/>
      <w:lvlJc w:val="left"/>
      <w:pPr>
        <w:ind w:left="1132" w:hanging="1080"/>
      </w:pPr>
      <w:rPr>
        <w:rFonts w:hint="default"/>
      </w:rPr>
    </w:lvl>
    <w:lvl w:ilvl="6">
      <w:start w:val="1"/>
      <w:numFmt w:val="decimal"/>
      <w:isLgl/>
      <w:lvlText w:val="%1.%2.%3.%4.%5.%6.%7"/>
      <w:lvlJc w:val="left"/>
      <w:pPr>
        <w:ind w:left="1505" w:hanging="1440"/>
      </w:pPr>
      <w:rPr>
        <w:rFonts w:hint="default"/>
      </w:rPr>
    </w:lvl>
    <w:lvl w:ilvl="7">
      <w:start w:val="1"/>
      <w:numFmt w:val="decimal"/>
      <w:isLgl/>
      <w:lvlText w:val="%1.%2.%3.%4.%5.%6.%7.%8"/>
      <w:lvlJc w:val="left"/>
      <w:pPr>
        <w:ind w:left="1518" w:hanging="1440"/>
      </w:pPr>
      <w:rPr>
        <w:rFonts w:hint="default"/>
      </w:rPr>
    </w:lvl>
    <w:lvl w:ilvl="8">
      <w:start w:val="1"/>
      <w:numFmt w:val="decimal"/>
      <w:isLgl/>
      <w:lvlText w:val="%1.%2.%3.%4.%5.%6.%7.%8.%9"/>
      <w:lvlJc w:val="left"/>
      <w:pPr>
        <w:ind w:left="1891" w:hanging="1800"/>
      </w:pPr>
      <w:rPr>
        <w:rFonts w:hint="default"/>
      </w:rPr>
    </w:lvl>
  </w:abstractNum>
  <w:abstractNum w:abstractNumId="3" w15:restartNumberingAfterBreak="0">
    <w:nsid w:val="62B21B66"/>
    <w:multiLevelType w:val="hybridMultilevel"/>
    <w:tmpl w:val="2746EAAE"/>
    <w:lvl w:ilvl="0" w:tplc="67F0038A">
      <w:start w:val="1"/>
      <w:numFmt w:val="upperRoman"/>
      <w:lvlText w:val="%1."/>
      <w:lvlJc w:val="left"/>
      <w:pPr>
        <w:ind w:left="798" w:hanging="720"/>
      </w:pPr>
      <w:rPr>
        <w:rFonts w:ascii="Arial" w:eastAsia="Arial" w:hAnsi="Arial" w:cs="Arial" w:hint="default"/>
        <w:b/>
        <w:sz w:val="28"/>
      </w:rPr>
    </w:lvl>
    <w:lvl w:ilvl="1" w:tplc="040C0019" w:tentative="1">
      <w:start w:val="1"/>
      <w:numFmt w:val="lowerLetter"/>
      <w:lvlText w:val="%2."/>
      <w:lvlJc w:val="left"/>
      <w:pPr>
        <w:ind w:left="1158" w:hanging="360"/>
      </w:pPr>
    </w:lvl>
    <w:lvl w:ilvl="2" w:tplc="040C001B" w:tentative="1">
      <w:start w:val="1"/>
      <w:numFmt w:val="lowerRoman"/>
      <w:lvlText w:val="%3."/>
      <w:lvlJc w:val="right"/>
      <w:pPr>
        <w:ind w:left="1878" w:hanging="180"/>
      </w:pPr>
    </w:lvl>
    <w:lvl w:ilvl="3" w:tplc="040C000F" w:tentative="1">
      <w:start w:val="1"/>
      <w:numFmt w:val="decimal"/>
      <w:lvlText w:val="%4."/>
      <w:lvlJc w:val="left"/>
      <w:pPr>
        <w:ind w:left="2598" w:hanging="360"/>
      </w:pPr>
    </w:lvl>
    <w:lvl w:ilvl="4" w:tplc="040C0019" w:tentative="1">
      <w:start w:val="1"/>
      <w:numFmt w:val="lowerLetter"/>
      <w:lvlText w:val="%5."/>
      <w:lvlJc w:val="left"/>
      <w:pPr>
        <w:ind w:left="3318" w:hanging="360"/>
      </w:pPr>
    </w:lvl>
    <w:lvl w:ilvl="5" w:tplc="040C001B" w:tentative="1">
      <w:start w:val="1"/>
      <w:numFmt w:val="lowerRoman"/>
      <w:lvlText w:val="%6."/>
      <w:lvlJc w:val="right"/>
      <w:pPr>
        <w:ind w:left="4038" w:hanging="180"/>
      </w:pPr>
    </w:lvl>
    <w:lvl w:ilvl="6" w:tplc="040C000F" w:tentative="1">
      <w:start w:val="1"/>
      <w:numFmt w:val="decimal"/>
      <w:lvlText w:val="%7."/>
      <w:lvlJc w:val="left"/>
      <w:pPr>
        <w:ind w:left="4758" w:hanging="360"/>
      </w:pPr>
    </w:lvl>
    <w:lvl w:ilvl="7" w:tplc="040C0019" w:tentative="1">
      <w:start w:val="1"/>
      <w:numFmt w:val="lowerLetter"/>
      <w:lvlText w:val="%8."/>
      <w:lvlJc w:val="left"/>
      <w:pPr>
        <w:ind w:left="5478" w:hanging="360"/>
      </w:pPr>
    </w:lvl>
    <w:lvl w:ilvl="8" w:tplc="040C001B" w:tentative="1">
      <w:start w:val="1"/>
      <w:numFmt w:val="lowerRoman"/>
      <w:lvlText w:val="%9."/>
      <w:lvlJc w:val="right"/>
      <w:pPr>
        <w:ind w:left="6198" w:hanging="180"/>
      </w:pPr>
    </w:lvl>
  </w:abstractNum>
  <w:abstractNum w:abstractNumId="4" w15:restartNumberingAfterBreak="0">
    <w:nsid w:val="796D1B0A"/>
    <w:multiLevelType w:val="multilevel"/>
    <w:tmpl w:val="BB8686B4"/>
    <w:lvl w:ilvl="0">
      <w:start w:val="1"/>
      <w:numFmt w:val="decimal"/>
      <w:pStyle w:val="Article"/>
      <w:lvlText w:val="Article %1."/>
      <w:lvlJc w:val="left"/>
      <w:pPr>
        <w:tabs>
          <w:tab w:val="num" w:pos="2127"/>
        </w:tabs>
        <w:ind w:left="2127" w:hanging="1418"/>
      </w:pPr>
      <w:rPr>
        <w:rFonts w:ascii="Calibri" w:hAnsi="Calibri" w:hint="default"/>
        <w:b/>
        <w:bCs w:val="0"/>
        <w:i w:val="0"/>
        <w:iCs w:val="0"/>
        <w:sz w:val="28"/>
        <w:szCs w:val="20"/>
      </w:rPr>
    </w:lvl>
    <w:lvl w:ilvl="1">
      <w:start w:val="1"/>
      <w:numFmt w:val="decimal"/>
      <w:pStyle w:val="Sous-article"/>
      <w:lvlText w:val="%1.%2. "/>
      <w:lvlJc w:val="left"/>
      <w:pPr>
        <w:tabs>
          <w:tab w:val="num" w:pos="-283"/>
        </w:tabs>
        <w:ind w:left="-283" w:hanging="567"/>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Sous-sous-article"/>
      <w:lvlText w:val="%1.%2.%3"/>
      <w:lvlJc w:val="left"/>
      <w:pPr>
        <w:tabs>
          <w:tab w:val="num" w:pos="425"/>
        </w:tabs>
        <w:ind w:left="425" w:hanging="708"/>
      </w:pPr>
      <w:rPr>
        <w:rFonts w:hint="default"/>
      </w:rPr>
    </w:lvl>
    <w:lvl w:ilvl="3">
      <w:start w:val="1"/>
      <w:numFmt w:val="decimal"/>
      <w:lvlText w:val="%4 -"/>
      <w:lvlJc w:val="left"/>
      <w:pPr>
        <w:tabs>
          <w:tab w:val="num" w:pos="284"/>
        </w:tabs>
        <w:ind w:left="284" w:hanging="284"/>
      </w:pPr>
      <w:rPr>
        <w:rFonts w:hint="default"/>
        <w:b/>
        <w:i w:val="0"/>
        <w:sz w:val="20"/>
      </w:rPr>
    </w:lvl>
    <w:lvl w:ilvl="4">
      <w:start w:val="1"/>
      <w:numFmt w:val="decimal"/>
      <w:lvlText w:val="%5"/>
      <w:lvlJc w:val="left"/>
      <w:pPr>
        <w:tabs>
          <w:tab w:val="num" w:pos="284"/>
        </w:tabs>
        <w:ind w:left="284" w:hanging="284"/>
      </w:pPr>
      <w:rPr>
        <w:rFonts w:hint="default"/>
      </w:rPr>
    </w:lvl>
    <w:lvl w:ilvl="5">
      <w:start w:val="1"/>
      <w:numFmt w:val="lowerRoman"/>
      <w:lvlText w:val="(%6)"/>
      <w:lvlJc w:val="left"/>
      <w:pPr>
        <w:tabs>
          <w:tab w:val="num" w:pos="1026"/>
        </w:tabs>
        <w:ind w:left="1026" w:hanging="360"/>
      </w:pPr>
      <w:rPr>
        <w:rFonts w:hint="default"/>
      </w:rPr>
    </w:lvl>
    <w:lvl w:ilvl="6">
      <w:start w:val="1"/>
      <w:numFmt w:val="decimal"/>
      <w:lvlText w:val="%7."/>
      <w:lvlJc w:val="left"/>
      <w:pPr>
        <w:tabs>
          <w:tab w:val="num" w:pos="1386"/>
        </w:tabs>
        <w:ind w:left="1386" w:hanging="360"/>
      </w:pPr>
      <w:rPr>
        <w:rFonts w:hint="default"/>
      </w:rPr>
    </w:lvl>
    <w:lvl w:ilvl="7">
      <w:start w:val="1"/>
      <w:numFmt w:val="lowerLetter"/>
      <w:lvlText w:val="%8."/>
      <w:lvlJc w:val="left"/>
      <w:pPr>
        <w:tabs>
          <w:tab w:val="num" w:pos="1746"/>
        </w:tabs>
        <w:ind w:left="1746" w:hanging="360"/>
      </w:pPr>
      <w:rPr>
        <w:rFonts w:hint="default"/>
      </w:rPr>
    </w:lvl>
    <w:lvl w:ilvl="8">
      <w:start w:val="1"/>
      <w:numFmt w:val="lowerRoman"/>
      <w:lvlText w:val="%9."/>
      <w:lvlJc w:val="left"/>
      <w:pPr>
        <w:tabs>
          <w:tab w:val="num" w:pos="2106"/>
        </w:tabs>
        <w:ind w:left="2106" w:hanging="36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AFF"/>
    <w:rsid w:val="00175EE1"/>
    <w:rsid w:val="001C2BDB"/>
    <w:rsid w:val="003312ED"/>
    <w:rsid w:val="00392DEA"/>
    <w:rsid w:val="00447987"/>
    <w:rsid w:val="004D720D"/>
    <w:rsid w:val="005449E9"/>
    <w:rsid w:val="005C5BFE"/>
    <w:rsid w:val="005D4F23"/>
    <w:rsid w:val="00603D40"/>
    <w:rsid w:val="0065513F"/>
    <w:rsid w:val="007C336C"/>
    <w:rsid w:val="008253CE"/>
    <w:rsid w:val="008E4897"/>
    <w:rsid w:val="00913885"/>
    <w:rsid w:val="009D75A3"/>
    <w:rsid w:val="00B70817"/>
    <w:rsid w:val="00BA75CB"/>
    <w:rsid w:val="00BC5AFF"/>
    <w:rsid w:val="00C175E9"/>
    <w:rsid w:val="00D03198"/>
    <w:rsid w:val="00D90ADD"/>
    <w:rsid w:val="00DC28F5"/>
    <w:rsid w:val="00E22D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F1EEB9"/>
  <w15:docId w15:val="{0097F72E-E040-4553-B511-90796CDAB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qFormat/>
    <w:pPr>
      <w:keepNext/>
      <w:keepLines/>
      <w:spacing w:after="10" w:line="231" w:lineRule="auto"/>
      <w:ind w:left="2013" w:right="2015" w:hanging="2011"/>
      <w:outlineLvl w:val="0"/>
    </w:pPr>
    <w:rPr>
      <w:rFonts w:ascii="Calibri" w:eastAsia="Calibri" w:hAnsi="Calibri" w:cs="Calibri"/>
      <w:b/>
      <w:color w:val="0070C0"/>
      <w:sz w:val="32"/>
      <w:u w:val="single" w:color="0070C0"/>
    </w:rPr>
  </w:style>
  <w:style w:type="paragraph" w:styleId="Titre2">
    <w:name w:val="heading 2"/>
    <w:next w:val="Normal"/>
    <w:link w:val="Titre2Car"/>
    <w:uiPriority w:val="9"/>
    <w:unhideWhenUsed/>
    <w:qFormat/>
    <w:pPr>
      <w:keepNext/>
      <w:keepLines/>
      <w:spacing w:after="5" w:line="250" w:lineRule="auto"/>
      <w:ind w:left="12" w:hanging="10"/>
      <w:outlineLvl w:val="1"/>
    </w:pPr>
    <w:rPr>
      <w:rFonts w:ascii="Arial" w:eastAsia="Arial" w:hAnsi="Arial" w:cs="Arial"/>
      <w:b/>
      <w:color w:val="FF65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FF6500"/>
      <w:sz w:val="24"/>
    </w:rPr>
  </w:style>
  <w:style w:type="character" w:customStyle="1" w:styleId="Titre1Car">
    <w:name w:val="Titre 1 Car"/>
    <w:link w:val="Titre1"/>
    <w:rPr>
      <w:rFonts w:ascii="Calibri" w:eastAsia="Calibri" w:hAnsi="Calibri" w:cs="Calibri"/>
      <w:b/>
      <w:color w:val="0070C0"/>
      <w:sz w:val="32"/>
      <w:u w:val="single" w:color="0070C0"/>
    </w:rPr>
  </w:style>
  <w:style w:type="character" w:styleId="Lienhypertexte">
    <w:name w:val="Hyperlink"/>
    <w:basedOn w:val="Policepardfaut"/>
    <w:uiPriority w:val="99"/>
    <w:unhideWhenUsed/>
    <w:rsid w:val="00175EE1"/>
    <w:rPr>
      <w:color w:val="0563C1" w:themeColor="hyperlink"/>
      <w:u w:val="single"/>
    </w:rPr>
  </w:style>
  <w:style w:type="character" w:styleId="Mentionnonrsolue">
    <w:name w:val="Unresolved Mention"/>
    <w:basedOn w:val="Policepardfaut"/>
    <w:uiPriority w:val="99"/>
    <w:semiHidden/>
    <w:unhideWhenUsed/>
    <w:rsid w:val="00175EE1"/>
    <w:rPr>
      <w:color w:val="605E5C"/>
      <w:shd w:val="clear" w:color="auto" w:fill="E1DFDD"/>
    </w:rPr>
  </w:style>
  <w:style w:type="paragraph" w:styleId="En-tte">
    <w:name w:val="header"/>
    <w:basedOn w:val="Normal"/>
    <w:link w:val="En-tteCar"/>
    <w:uiPriority w:val="99"/>
    <w:unhideWhenUsed/>
    <w:rsid w:val="00DC28F5"/>
    <w:pPr>
      <w:tabs>
        <w:tab w:val="center" w:pos="4536"/>
        <w:tab w:val="right" w:pos="9072"/>
      </w:tabs>
      <w:spacing w:after="0" w:line="240" w:lineRule="auto"/>
    </w:pPr>
  </w:style>
  <w:style w:type="character" w:customStyle="1" w:styleId="En-tteCar">
    <w:name w:val="En-tête Car"/>
    <w:basedOn w:val="Policepardfaut"/>
    <w:link w:val="En-tte"/>
    <w:uiPriority w:val="99"/>
    <w:rsid w:val="00DC28F5"/>
    <w:rPr>
      <w:rFonts w:ascii="Calibri" w:eastAsia="Calibri" w:hAnsi="Calibri" w:cs="Calibri"/>
      <w:color w:val="000000"/>
    </w:rPr>
  </w:style>
  <w:style w:type="paragraph" w:styleId="Paragraphedeliste">
    <w:name w:val="List Paragraph"/>
    <w:basedOn w:val="Normal"/>
    <w:uiPriority w:val="34"/>
    <w:qFormat/>
    <w:rsid w:val="007C336C"/>
    <w:pPr>
      <w:ind w:left="720"/>
      <w:contextualSpacing/>
    </w:pPr>
  </w:style>
  <w:style w:type="paragraph" w:customStyle="1" w:styleId="Article">
    <w:name w:val="Article"/>
    <w:basedOn w:val="Normal"/>
    <w:qFormat/>
    <w:rsid w:val="007C336C"/>
    <w:pPr>
      <w:numPr>
        <w:numId w:val="2"/>
      </w:numPr>
      <w:spacing w:before="240" w:after="240" w:line="240" w:lineRule="auto"/>
      <w:jc w:val="both"/>
    </w:pPr>
    <w:rPr>
      <w:rFonts w:ascii="Calibri Light" w:eastAsia="Times New Roman" w:hAnsi="Calibri Light" w:cs="Times New Roman"/>
      <w:b/>
      <w:color w:val="7B7B7B" w:themeColor="accent3" w:themeShade="BF"/>
      <w:sz w:val="28"/>
      <w:szCs w:val="28"/>
    </w:rPr>
  </w:style>
  <w:style w:type="paragraph" w:customStyle="1" w:styleId="Sous-article">
    <w:name w:val="Sous-article"/>
    <w:basedOn w:val="Normal"/>
    <w:qFormat/>
    <w:rsid w:val="007C336C"/>
    <w:pPr>
      <w:numPr>
        <w:ilvl w:val="1"/>
        <w:numId w:val="2"/>
      </w:numPr>
      <w:spacing w:before="240" w:after="120" w:line="240" w:lineRule="auto"/>
      <w:jc w:val="both"/>
      <w:outlineLvl w:val="2"/>
    </w:pPr>
    <w:rPr>
      <w:rFonts w:asciiTheme="minorHAnsi" w:eastAsia="Times New Roman" w:hAnsiTheme="minorHAnsi" w:cs="Times New Roman"/>
      <w:b/>
      <w:color w:val="auto"/>
      <w:szCs w:val="24"/>
    </w:rPr>
  </w:style>
  <w:style w:type="paragraph" w:customStyle="1" w:styleId="Sous-sous-article">
    <w:name w:val="Sous-sous-article"/>
    <w:basedOn w:val="Sous-article"/>
    <w:rsid w:val="007C336C"/>
    <w:pPr>
      <w:numPr>
        <w:ilvl w:val="2"/>
      </w:numPr>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EntrepriseGui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D8E54-57DA-47BA-B384-E8CB0A05C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1615</Words>
  <Characters>8883</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Annexe RC V2020</vt:lpstr>
    </vt:vector>
  </TitlesOfParts>
  <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RC V2020</dc:title>
  <dc:subject/>
  <dc:creator>ljeanguenin</dc:creator>
  <cp:keywords/>
  <cp:lastModifiedBy>Valentine Tailhardat</cp:lastModifiedBy>
  <cp:revision>21</cp:revision>
  <cp:lastPrinted>2025-04-08T08:09:00Z</cp:lastPrinted>
  <dcterms:created xsi:type="dcterms:W3CDTF">2025-04-08T07:58:00Z</dcterms:created>
  <dcterms:modified xsi:type="dcterms:W3CDTF">2025-05-13T07:25:00Z</dcterms:modified>
</cp:coreProperties>
</file>