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F44505">
        <w:tc>
          <w:tcPr>
            <w:tcW w:w="3085" w:type="dxa"/>
            <w:tcBorders>
              <w:top w:val="nil"/>
              <w:left w:val="nil"/>
              <w:bottom w:val="nil"/>
              <w:right w:val="nil"/>
            </w:tcBorders>
            <w:shd w:val="clear" w:color="auto" w:fill="FFFFFF"/>
          </w:tcPr>
          <w:p w:rsidR="00F44505" w:rsidRDefault="005A4789">
            <w:pPr>
              <w:widowControl w:val="0"/>
              <w:tabs>
                <w:tab w:val="left" w:pos="392"/>
              </w:tabs>
              <w:autoSpaceDE w:val="0"/>
              <w:autoSpaceDN w:val="0"/>
              <w:adjustRightInd w:val="0"/>
              <w:spacing w:after="0" w:line="240" w:lineRule="auto"/>
              <w:ind w:left="108" w:right="103"/>
              <w:rPr>
                <w:rFonts w:ascii="Arial" w:hAnsi="Arial" w:cs="Arial"/>
                <w:sz w:val="24"/>
                <w:szCs w:val="24"/>
              </w:rPr>
            </w:pPr>
            <w:r>
              <w:rPr>
                <w:rFonts w:ascii="Arial" w:hAnsi="Arial" w:cs="Arial"/>
                <w:noProof/>
                <w:sz w:val="24"/>
                <w:szCs w:val="24"/>
              </w:rPr>
              <w:drawing>
                <wp:inline distT="0" distB="0" distL="0" distR="0">
                  <wp:extent cx="2770505" cy="7131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70505" cy="71310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rsidR="00F44505" w:rsidRDefault="00F44505">
            <w:pPr>
              <w:widowControl w:val="0"/>
              <w:autoSpaceDE w:val="0"/>
              <w:autoSpaceDN w:val="0"/>
              <w:adjustRightInd w:val="0"/>
              <w:spacing w:after="0" w:line="240" w:lineRule="auto"/>
              <w:rPr>
                <w:rFonts w:ascii="Arial" w:hAnsi="Arial" w:cs="Arial"/>
                <w:sz w:val="24"/>
                <w:szCs w:val="24"/>
              </w:rPr>
            </w:pPr>
          </w:p>
        </w:tc>
        <w:tc>
          <w:tcPr>
            <w:tcW w:w="2976" w:type="dxa"/>
            <w:tcBorders>
              <w:top w:val="nil"/>
              <w:left w:val="nil"/>
              <w:bottom w:val="nil"/>
              <w:right w:val="nil"/>
            </w:tcBorders>
            <w:shd w:val="clear" w:color="auto" w:fill="FFFFFF"/>
          </w:tcPr>
          <w:p w:rsidR="00F44505" w:rsidRDefault="005A4789">
            <w:pPr>
              <w:widowControl w:val="0"/>
              <w:tabs>
                <w:tab w:val="left" w:pos="392"/>
              </w:tabs>
              <w:autoSpaceDE w:val="0"/>
              <w:autoSpaceDN w:val="0"/>
              <w:adjustRightInd w:val="0"/>
              <w:spacing w:after="0" w:line="240" w:lineRule="auto"/>
              <w:ind w:left="112" w:right="88"/>
              <w:jc w:val="right"/>
              <w:rPr>
                <w:rFonts w:ascii="Arial" w:hAnsi="Arial" w:cs="Arial"/>
                <w:sz w:val="24"/>
                <w:szCs w:val="24"/>
              </w:rPr>
            </w:pPr>
            <w:r>
              <w:rPr>
                <w:rFonts w:ascii="Arial" w:hAnsi="Arial" w:cs="Arial"/>
                <w:noProof/>
                <w:sz w:val="24"/>
                <w:szCs w:val="24"/>
              </w:rPr>
              <w:drawing>
                <wp:inline distT="0" distB="0" distL="0" distR="0">
                  <wp:extent cx="1866900" cy="92519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925195"/>
                          </a:xfrm>
                          <a:prstGeom prst="rect">
                            <a:avLst/>
                          </a:prstGeom>
                          <a:noFill/>
                          <a:ln>
                            <a:noFill/>
                          </a:ln>
                        </pic:spPr>
                      </pic:pic>
                    </a:graphicData>
                  </a:graphic>
                </wp:inline>
              </w:drawing>
            </w:r>
          </w:p>
        </w:tc>
      </w:tr>
    </w:tbl>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F44505">
        <w:tc>
          <w:tcPr>
            <w:tcW w:w="4644" w:type="dxa"/>
            <w:tcBorders>
              <w:top w:val="nil"/>
              <w:left w:val="nil"/>
              <w:bottom w:val="nil"/>
              <w:right w:val="nil"/>
            </w:tcBorders>
            <w:shd w:val="clear" w:color="auto" w:fill="595959"/>
            <w:vAlign w:val="center"/>
          </w:tcPr>
          <w:p w:rsidR="00F44505" w:rsidRDefault="00F44505">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Service Achats Marchés</w:t>
            </w:r>
          </w:p>
        </w:tc>
        <w:tc>
          <w:tcPr>
            <w:tcW w:w="4577" w:type="dxa"/>
            <w:tcBorders>
              <w:top w:val="nil"/>
              <w:left w:val="nil"/>
              <w:bottom w:val="nil"/>
              <w:right w:val="nil"/>
            </w:tcBorders>
            <w:shd w:val="clear" w:color="auto" w:fill="DADADA"/>
            <w:vAlign w:val="center"/>
          </w:tcPr>
          <w:p w:rsidR="00F44505" w:rsidRDefault="00F44505">
            <w:pPr>
              <w:widowControl w:val="0"/>
              <w:autoSpaceDE w:val="0"/>
              <w:autoSpaceDN w:val="0"/>
              <w:adjustRightInd w:val="0"/>
              <w:spacing w:after="0" w:line="240" w:lineRule="auto"/>
              <w:ind w:left="112" w:right="87"/>
              <w:jc w:val="right"/>
              <w:rPr>
                <w:rFonts w:ascii="Arial" w:hAnsi="Arial" w:cs="Arial"/>
                <w:color w:val="000000"/>
                <w:sz w:val="28"/>
                <w:szCs w:val="28"/>
              </w:rPr>
            </w:pPr>
          </w:p>
          <w:p w:rsidR="00F44505" w:rsidRDefault="00F44505">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rsidR="00F44505" w:rsidRDefault="00F44505">
            <w:pPr>
              <w:widowControl w:val="0"/>
              <w:autoSpaceDE w:val="0"/>
              <w:autoSpaceDN w:val="0"/>
              <w:adjustRightInd w:val="0"/>
              <w:spacing w:after="0" w:line="240" w:lineRule="auto"/>
              <w:ind w:left="112" w:right="87"/>
              <w:jc w:val="right"/>
              <w:rPr>
                <w:rFonts w:ascii="Arial" w:hAnsi="Arial" w:cs="Arial"/>
                <w:color w:val="000000"/>
              </w:rPr>
            </w:pPr>
            <w:r>
              <w:rPr>
                <w:rFonts w:ascii="Arial" w:hAnsi="Arial" w:cs="Arial"/>
                <w:color w:val="000000"/>
              </w:rPr>
              <w:t>MARCHÉ DE TRAVAUX</w:t>
            </w:r>
          </w:p>
          <w:p w:rsidR="00F44505" w:rsidRDefault="00F44505">
            <w:pPr>
              <w:widowControl w:val="0"/>
              <w:autoSpaceDE w:val="0"/>
              <w:autoSpaceDN w:val="0"/>
              <w:adjustRightInd w:val="0"/>
              <w:spacing w:after="0" w:line="240" w:lineRule="auto"/>
              <w:ind w:left="112" w:right="87"/>
              <w:jc w:val="right"/>
              <w:rPr>
                <w:rFonts w:ascii="Arial" w:hAnsi="Arial" w:cs="Arial"/>
                <w:sz w:val="24"/>
                <w:szCs w:val="24"/>
              </w:rPr>
            </w:pPr>
          </w:p>
        </w:tc>
      </w:tr>
    </w:tbl>
    <w:p w:rsidR="00F44505" w:rsidRDefault="00F44505">
      <w:pPr>
        <w:widowControl w:val="0"/>
        <w:autoSpaceDE w:val="0"/>
        <w:autoSpaceDN w:val="0"/>
        <w:adjustRightInd w:val="0"/>
        <w:spacing w:after="0" w:line="240" w:lineRule="auto"/>
        <w:ind w:left="117" w:right="111"/>
        <w:rPr>
          <w:rFonts w:ascii="Arial" w:hAnsi="Arial" w:cs="Arial"/>
          <w:color w:val="000000"/>
          <w:sz w:val="20"/>
          <w:szCs w:val="20"/>
        </w:rPr>
      </w:pPr>
    </w:p>
    <w:p w:rsidR="00F44505" w:rsidRDefault="00F44505">
      <w:pPr>
        <w:widowControl w:val="0"/>
        <w:autoSpaceDE w:val="0"/>
        <w:autoSpaceDN w:val="0"/>
        <w:adjustRightInd w:val="0"/>
        <w:spacing w:after="0" w:line="240" w:lineRule="auto"/>
        <w:ind w:left="117" w:right="111"/>
        <w:rPr>
          <w:rFonts w:ascii="Arial" w:hAnsi="Arial" w:cs="Arial"/>
          <w:color w:val="000000"/>
          <w:sz w:val="20"/>
          <w:szCs w:val="20"/>
        </w:rPr>
      </w:pPr>
    </w:p>
    <w:p w:rsidR="00F44505" w:rsidRDefault="00F44505">
      <w:pPr>
        <w:widowControl w:val="0"/>
        <w:autoSpaceDE w:val="0"/>
        <w:autoSpaceDN w:val="0"/>
        <w:adjustRightInd w:val="0"/>
        <w:spacing w:after="0" w:line="240" w:lineRule="auto"/>
        <w:ind w:left="117" w:right="111"/>
        <w:rPr>
          <w:rFonts w:ascii="Arial" w:hAnsi="Arial" w:cs="Arial"/>
          <w:color w:val="000000"/>
          <w:sz w:val="20"/>
          <w:szCs w:val="20"/>
        </w:rPr>
      </w:pPr>
    </w:p>
    <w:p w:rsidR="00F44505" w:rsidRDefault="00F44505">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F44505">
        <w:tc>
          <w:tcPr>
            <w:tcW w:w="2093" w:type="dxa"/>
            <w:tcBorders>
              <w:top w:val="nil"/>
              <w:left w:val="nil"/>
              <w:bottom w:val="nil"/>
              <w:right w:val="single" w:sz="12" w:space="0" w:color="FF9900"/>
            </w:tcBorders>
            <w:shd w:val="clear" w:color="auto" w:fill="FFFFFF"/>
          </w:tcPr>
          <w:p w:rsidR="00F44505" w:rsidRDefault="00F44505">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rsidR="00F44505" w:rsidRDefault="00F44505">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rsidR="00F44505" w:rsidRDefault="00F44505">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60"/>
                <w:szCs w:val="60"/>
              </w:rPr>
              <w:t>Travaux de réaménagement du bâtiment de Bussy Saint George</w:t>
            </w:r>
          </w:p>
        </w:tc>
      </w:tr>
    </w:tbl>
    <w:p w:rsidR="00F44505" w:rsidRDefault="00F44505">
      <w:pPr>
        <w:widowControl w:val="0"/>
        <w:autoSpaceDE w:val="0"/>
        <w:autoSpaceDN w:val="0"/>
        <w:adjustRightInd w:val="0"/>
        <w:spacing w:after="0" w:line="240" w:lineRule="auto"/>
        <w:ind w:left="117" w:right="111"/>
        <w:rPr>
          <w:rFonts w:ascii="Arial" w:hAnsi="Arial" w:cs="Arial"/>
          <w:color w:val="000000"/>
          <w:sz w:val="20"/>
          <w:szCs w:val="20"/>
        </w:rPr>
      </w:pPr>
    </w:p>
    <w:p w:rsidR="00F44505" w:rsidRDefault="00F44505">
      <w:pPr>
        <w:widowControl w:val="0"/>
        <w:autoSpaceDE w:val="0"/>
        <w:autoSpaceDN w:val="0"/>
        <w:adjustRightInd w:val="0"/>
        <w:spacing w:after="0" w:line="240" w:lineRule="auto"/>
        <w:ind w:left="117" w:right="111"/>
        <w:rPr>
          <w:rFonts w:ascii="Arial" w:hAnsi="Arial" w:cs="Arial"/>
          <w:color w:val="000000"/>
          <w:sz w:val="20"/>
          <w:szCs w:val="20"/>
        </w:rPr>
      </w:pPr>
    </w:p>
    <w:p w:rsidR="00F44505" w:rsidRDefault="00F44505">
      <w:pPr>
        <w:widowControl w:val="0"/>
        <w:autoSpaceDE w:val="0"/>
        <w:autoSpaceDN w:val="0"/>
        <w:adjustRightInd w:val="0"/>
        <w:spacing w:after="0" w:line="240" w:lineRule="auto"/>
        <w:ind w:left="117" w:right="111"/>
        <w:rPr>
          <w:rFonts w:ascii="Arial" w:hAnsi="Arial" w:cs="Arial"/>
          <w:color w:val="000000"/>
          <w:sz w:val="20"/>
          <w:szCs w:val="20"/>
        </w:rPr>
      </w:pPr>
    </w:p>
    <w:p w:rsidR="00F44505" w:rsidRDefault="00F44505">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F44505">
        <w:tc>
          <w:tcPr>
            <w:tcW w:w="9212" w:type="dxa"/>
            <w:tcBorders>
              <w:top w:val="nil"/>
              <w:left w:val="nil"/>
              <w:bottom w:val="nil"/>
              <w:right w:val="nil"/>
            </w:tcBorders>
            <w:shd w:val="clear" w:color="auto" w:fill="595959"/>
          </w:tcPr>
          <w:p w:rsidR="00F44505" w:rsidRDefault="00F44505">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Règlement de la consultation (RC)</w:t>
            </w:r>
          </w:p>
        </w:tc>
      </w:tr>
    </w:tbl>
    <w:p w:rsidR="00F44505" w:rsidRDefault="00F44505">
      <w:pPr>
        <w:widowControl w:val="0"/>
        <w:autoSpaceDE w:val="0"/>
        <w:autoSpaceDN w:val="0"/>
        <w:adjustRightInd w:val="0"/>
        <w:spacing w:after="0" w:line="240" w:lineRule="auto"/>
        <w:ind w:left="117" w:right="111"/>
        <w:rPr>
          <w:rFonts w:ascii="Arial" w:hAnsi="Arial" w:cs="Arial"/>
          <w:color w:val="000000"/>
          <w:sz w:val="20"/>
          <w:szCs w:val="20"/>
        </w:rPr>
      </w:pPr>
    </w:p>
    <w:p w:rsidR="00F44505" w:rsidRDefault="00F44505">
      <w:pPr>
        <w:widowControl w:val="0"/>
        <w:autoSpaceDE w:val="0"/>
        <w:autoSpaceDN w:val="0"/>
        <w:adjustRightInd w:val="0"/>
        <w:spacing w:after="0" w:line="240" w:lineRule="auto"/>
        <w:ind w:left="117" w:right="111"/>
        <w:rPr>
          <w:rFonts w:ascii="Arial" w:hAnsi="Arial" w:cs="Arial"/>
          <w:color w:val="000000"/>
          <w:sz w:val="20"/>
          <w:szCs w:val="20"/>
        </w:rPr>
      </w:pPr>
    </w:p>
    <w:p w:rsidR="00F44505" w:rsidRDefault="00F44505">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679"/>
        <w:gridCol w:w="3686"/>
        <w:gridCol w:w="4804"/>
      </w:tblGrid>
      <w:tr w:rsidR="00F44505">
        <w:tc>
          <w:tcPr>
            <w:tcW w:w="679" w:type="dxa"/>
            <w:tcBorders>
              <w:top w:val="nil"/>
              <w:left w:val="nil"/>
              <w:bottom w:val="nil"/>
              <w:right w:val="nil"/>
            </w:tcBorders>
            <w:shd w:val="clear" w:color="auto" w:fill="FFFFFF"/>
            <w:vAlign w:val="center"/>
          </w:tcPr>
          <w:p w:rsidR="00F44505" w:rsidRDefault="00F44505">
            <w:pPr>
              <w:widowControl w:val="0"/>
              <w:autoSpaceDE w:val="0"/>
              <w:autoSpaceDN w:val="0"/>
              <w:adjustRightInd w:val="0"/>
              <w:spacing w:after="0" w:line="240" w:lineRule="auto"/>
              <w:ind w:left="117" w:right="111"/>
              <w:rPr>
                <w:rFonts w:ascii="Arial" w:hAnsi="Arial" w:cs="Arial"/>
                <w:sz w:val="24"/>
                <w:szCs w:val="24"/>
              </w:rPr>
            </w:pPr>
          </w:p>
        </w:tc>
        <w:tc>
          <w:tcPr>
            <w:tcW w:w="3686" w:type="dxa"/>
            <w:tcBorders>
              <w:top w:val="nil"/>
              <w:left w:val="nil"/>
              <w:bottom w:val="nil"/>
              <w:right w:val="nil"/>
            </w:tcBorders>
            <w:shd w:val="clear" w:color="auto" w:fill="595959"/>
            <w:vAlign w:val="center"/>
          </w:tcPr>
          <w:p w:rsidR="00F44505" w:rsidRDefault="00F44505">
            <w:pPr>
              <w:widowControl w:val="0"/>
              <w:autoSpaceDE w:val="0"/>
              <w:autoSpaceDN w:val="0"/>
              <w:adjustRightInd w:val="0"/>
              <w:spacing w:after="0" w:line="240" w:lineRule="auto"/>
              <w:ind w:left="127" w:right="83"/>
              <w:jc w:val="right"/>
              <w:rPr>
                <w:rFonts w:ascii="Arial" w:hAnsi="Arial" w:cs="Arial"/>
                <w:sz w:val="24"/>
                <w:szCs w:val="24"/>
              </w:rPr>
            </w:pPr>
            <w:r>
              <w:rPr>
                <w:rFonts w:ascii="Arial" w:hAnsi="Arial" w:cs="Arial"/>
                <w:color w:val="FFFFFF"/>
                <w:sz w:val="28"/>
                <w:szCs w:val="28"/>
              </w:rPr>
              <w:t>Consultation n°</w:t>
            </w:r>
          </w:p>
        </w:tc>
        <w:tc>
          <w:tcPr>
            <w:tcW w:w="4804" w:type="dxa"/>
            <w:tcBorders>
              <w:top w:val="nil"/>
              <w:left w:val="nil"/>
              <w:bottom w:val="nil"/>
              <w:right w:val="nil"/>
            </w:tcBorders>
            <w:shd w:val="clear" w:color="auto" w:fill="DADADA"/>
            <w:vAlign w:val="center"/>
          </w:tcPr>
          <w:p w:rsidR="00F44505" w:rsidRDefault="00F44505">
            <w:pPr>
              <w:widowControl w:val="0"/>
              <w:autoSpaceDE w:val="0"/>
              <w:autoSpaceDN w:val="0"/>
              <w:adjustRightInd w:val="0"/>
              <w:spacing w:before="60" w:after="60" w:line="240" w:lineRule="auto"/>
              <w:ind w:left="289" w:right="99"/>
              <w:rPr>
                <w:rFonts w:ascii="Arial" w:hAnsi="Arial" w:cs="Arial"/>
                <w:sz w:val="24"/>
                <w:szCs w:val="24"/>
              </w:rPr>
            </w:pPr>
            <w:r>
              <w:rPr>
                <w:rFonts w:ascii="Arial" w:hAnsi="Arial" w:cs="Arial"/>
                <w:color w:val="000000"/>
                <w:sz w:val="28"/>
                <w:szCs w:val="28"/>
              </w:rPr>
              <w:t>2025PA007</w:t>
            </w:r>
          </w:p>
        </w:tc>
      </w:tr>
      <w:tr w:rsidR="00F44505">
        <w:tc>
          <w:tcPr>
            <w:tcW w:w="679" w:type="dxa"/>
            <w:tcBorders>
              <w:top w:val="nil"/>
              <w:left w:val="nil"/>
              <w:bottom w:val="nil"/>
              <w:right w:val="nil"/>
            </w:tcBorders>
            <w:shd w:val="clear" w:color="auto" w:fill="FFFFFF"/>
            <w:vAlign w:val="center"/>
          </w:tcPr>
          <w:p w:rsidR="00F44505" w:rsidRDefault="00F44505">
            <w:pPr>
              <w:widowControl w:val="0"/>
              <w:autoSpaceDE w:val="0"/>
              <w:autoSpaceDN w:val="0"/>
              <w:adjustRightInd w:val="0"/>
              <w:spacing w:before="60" w:after="60" w:line="240" w:lineRule="auto"/>
              <w:ind w:left="289" w:right="99"/>
              <w:rPr>
                <w:rFonts w:ascii="Arial" w:hAnsi="Arial" w:cs="Arial"/>
                <w:sz w:val="24"/>
                <w:szCs w:val="24"/>
              </w:rPr>
            </w:pPr>
          </w:p>
        </w:tc>
        <w:tc>
          <w:tcPr>
            <w:tcW w:w="3686" w:type="dxa"/>
            <w:tcBorders>
              <w:top w:val="nil"/>
              <w:left w:val="nil"/>
              <w:bottom w:val="nil"/>
              <w:right w:val="nil"/>
            </w:tcBorders>
            <w:shd w:val="clear" w:color="auto" w:fill="595959"/>
            <w:vAlign w:val="center"/>
          </w:tcPr>
          <w:p w:rsidR="00F44505" w:rsidRDefault="00F44505">
            <w:pPr>
              <w:widowControl w:val="0"/>
              <w:autoSpaceDE w:val="0"/>
              <w:autoSpaceDN w:val="0"/>
              <w:adjustRightInd w:val="0"/>
              <w:spacing w:before="60" w:after="60" w:line="240" w:lineRule="auto"/>
              <w:ind w:left="289" w:right="99"/>
              <w:rPr>
                <w:rFonts w:ascii="Arial" w:hAnsi="Arial" w:cs="Arial"/>
                <w:sz w:val="24"/>
                <w:szCs w:val="24"/>
              </w:rPr>
            </w:pPr>
          </w:p>
        </w:tc>
        <w:tc>
          <w:tcPr>
            <w:tcW w:w="4804" w:type="dxa"/>
            <w:tcBorders>
              <w:top w:val="nil"/>
              <w:left w:val="nil"/>
              <w:bottom w:val="nil"/>
              <w:right w:val="nil"/>
            </w:tcBorders>
            <w:shd w:val="clear" w:color="auto" w:fill="DADADA"/>
            <w:vAlign w:val="center"/>
          </w:tcPr>
          <w:p w:rsidR="00F44505" w:rsidRDefault="00F44505" w:rsidP="00F44505">
            <w:pPr>
              <w:widowControl w:val="0"/>
              <w:autoSpaceDE w:val="0"/>
              <w:autoSpaceDN w:val="0"/>
              <w:adjustRightInd w:val="0"/>
              <w:spacing w:before="60" w:after="60" w:line="240" w:lineRule="auto"/>
              <w:ind w:right="99"/>
              <w:rPr>
                <w:rFonts w:ascii="Arial" w:hAnsi="Arial" w:cs="Arial"/>
                <w:sz w:val="24"/>
                <w:szCs w:val="24"/>
              </w:rPr>
            </w:pPr>
          </w:p>
        </w:tc>
      </w:tr>
      <w:tr w:rsidR="00F44505">
        <w:tc>
          <w:tcPr>
            <w:tcW w:w="679" w:type="dxa"/>
            <w:tcBorders>
              <w:top w:val="nil"/>
              <w:left w:val="nil"/>
              <w:bottom w:val="nil"/>
              <w:right w:val="nil"/>
            </w:tcBorders>
            <w:shd w:val="clear" w:color="auto" w:fill="FFFFFF"/>
            <w:vAlign w:val="center"/>
          </w:tcPr>
          <w:p w:rsidR="00F44505" w:rsidRDefault="00F44505">
            <w:pPr>
              <w:widowControl w:val="0"/>
              <w:autoSpaceDE w:val="0"/>
              <w:autoSpaceDN w:val="0"/>
              <w:adjustRightInd w:val="0"/>
              <w:spacing w:before="60" w:after="60" w:line="240" w:lineRule="auto"/>
              <w:ind w:left="289" w:right="99"/>
              <w:rPr>
                <w:rFonts w:ascii="Arial" w:hAnsi="Arial" w:cs="Arial"/>
                <w:sz w:val="24"/>
                <w:szCs w:val="24"/>
              </w:rPr>
            </w:pPr>
          </w:p>
        </w:tc>
        <w:tc>
          <w:tcPr>
            <w:tcW w:w="3686" w:type="dxa"/>
            <w:tcBorders>
              <w:top w:val="nil"/>
              <w:left w:val="nil"/>
              <w:bottom w:val="nil"/>
              <w:right w:val="nil"/>
            </w:tcBorders>
            <w:shd w:val="clear" w:color="auto" w:fill="595959"/>
            <w:vAlign w:val="center"/>
          </w:tcPr>
          <w:p w:rsidR="00F44505" w:rsidRDefault="00F44505">
            <w:pPr>
              <w:widowControl w:val="0"/>
              <w:autoSpaceDE w:val="0"/>
              <w:autoSpaceDN w:val="0"/>
              <w:adjustRightInd w:val="0"/>
              <w:spacing w:after="0" w:line="240" w:lineRule="auto"/>
              <w:ind w:left="127" w:right="83"/>
              <w:jc w:val="right"/>
              <w:rPr>
                <w:rFonts w:ascii="Arial" w:hAnsi="Arial" w:cs="Arial"/>
                <w:sz w:val="24"/>
                <w:szCs w:val="24"/>
              </w:rPr>
            </w:pPr>
            <w:r>
              <w:rPr>
                <w:rFonts w:ascii="Arial" w:hAnsi="Arial" w:cs="Arial"/>
                <w:color w:val="FFFFFF"/>
                <w:sz w:val="24"/>
                <w:szCs w:val="24"/>
              </w:rPr>
              <w:t>Date limite de remise des plis</w:t>
            </w:r>
          </w:p>
        </w:tc>
        <w:tc>
          <w:tcPr>
            <w:tcW w:w="4804" w:type="dxa"/>
            <w:tcBorders>
              <w:top w:val="nil"/>
              <w:left w:val="nil"/>
              <w:bottom w:val="nil"/>
              <w:right w:val="nil"/>
            </w:tcBorders>
            <w:shd w:val="clear" w:color="auto" w:fill="DADADA"/>
            <w:vAlign w:val="center"/>
          </w:tcPr>
          <w:p w:rsidR="00F44505" w:rsidRDefault="00F44505">
            <w:pPr>
              <w:widowControl w:val="0"/>
              <w:autoSpaceDE w:val="0"/>
              <w:autoSpaceDN w:val="0"/>
              <w:adjustRightInd w:val="0"/>
              <w:spacing w:before="60" w:after="60" w:line="240" w:lineRule="auto"/>
              <w:ind w:left="289" w:right="99"/>
              <w:rPr>
                <w:rFonts w:ascii="Arial" w:hAnsi="Arial" w:cs="Arial"/>
                <w:sz w:val="24"/>
                <w:szCs w:val="24"/>
              </w:rPr>
            </w:pPr>
            <w:r>
              <w:rPr>
                <w:rFonts w:ascii="Arial" w:hAnsi="Arial" w:cs="Arial"/>
                <w:b/>
                <w:bCs/>
                <w:i/>
                <w:iCs/>
                <w:color w:val="000000"/>
                <w:sz w:val="24"/>
                <w:szCs w:val="24"/>
              </w:rPr>
              <w:t>18/09/2025</w:t>
            </w:r>
            <w:r>
              <w:rPr>
                <w:rFonts w:ascii="Arial" w:hAnsi="Arial" w:cs="Arial"/>
                <w:color w:val="000000"/>
                <w:sz w:val="24"/>
                <w:szCs w:val="24"/>
              </w:rPr>
              <w:t xml:space="preserve"> à </w:t>
            </w:r>
            <w:r>
              <w:rPr>
                <w:rFonts w:ascii="Arial" w:hAnsi="Arial" w:cs="Arial"/>
                <w:b/>
                <w:bCs/>
                <w:i/>
                <w:iCs/>
                <w:color w:val="000000"/>
                <w:sz w:val="24"/>
                <w:szCs w:val="24"/>
              </w:rPr>
              <w:t>16:00</w:t>
            </w:r>
          </w:p>
        </w:tc>
      </w:tr>
      <w:tr w:rsidR="00F44505">
        <w:tc>
          <w:tcPr>
            <w:tcW w:w="679" w:type="dxa"/>
            <w:tcBorders>
              <w:top w:val="nil"/>
              <w:left w:val="nil"/>
              <w:bottom w:val="nil"/>
              <w:right w:val="nil"/>
            </w:tcBorders>
            <w:shd w:val="clear" w:color="auto" w:fill="FFFFFF"/>
            <w:vAlign w:val="center"/>
          </w:tcPr>
          <w:p w:rsidR="00F44505" w:rsidRDefault="00F44505">
            <w:pPr>
              <w:widowControl w:val="0"/>
              <w:autoSpaceDE w:val="0"/>
              <w:autoSpaceDN w:val="0"/>
              <w:adjustRightInd w:val="0"/>
              <w:spacing w:before="60" w:after="60" w:line="240" w:lineRule="auto"/>
              <w:ind w:left="289" w:right="99"/>
              <w:rPr>
                <w:rFonts w:ascii="Arial" w:hAnsi="Arial" w:cs="Arial"/>
                <w:sz w:val="24"/>
                <w:szCs w:val="24"/>
              </w:rPr>
            </w:pPr>
          </w:p>
        </w:tc>
        <w:tc>
          <w:tcPr>
            <w:tcW w:w="3686" w:type="dxa"/>
            <w:tcBorders>
              <w:top w:val="nil"/>
              <w:left w:val="nil"/>
              <w:bottom w:val="nil"/>
              <w:right w:val="nil"/>
            </w:tcBorders>
            <w:shd w:val="clear" w:color="auto" w:fill="595959"/>
          </w:tcPr>
          <w:p w:rsidR="00F44505" w:rsidRDefault="00F44505">
            <w:pPr>
              <w:widowControl w:val="0"/>
              <w:autoSpaceDE w:val="0"/>
              <w:autoSpaceDN w:val="0"/>
              <w:adjustRightInd w:val="0"/>
              <w:spacing w:before="60" w:after="60" w:line="240" w:lineRule="auto"/>
              <w:ind w:left="127" w:right="83"/>
              <w:jc w:val="right"/>
              <w:rPr>
                <w:rFonts w:ascii="Arial" w:hAnsi="Arial" w:cs="Arial"/>
                <w:sz w:val="24"/>
                <w:szCs w:val="24"/>
              </w:rPr>
            </w:pPr>
            <w:r>
              <w:rPr>
                <w:rFonts w:ascii="Arial" w:hAnsi="Arial" w:cs="Arial"/>
                <w:color w:val="FFFFFF"/>
                <w:sz w:val="24"/>
                <w:szCs w:val="24"/>
              </w:rPr>
              <w:t>Procédure de passation</w:t>
            </w:r>
          </w:p>
        </w:tc>
        <w:tc>
          <w:tcPr>
            <w:tcW w:w="4804" w:type="dxa"/>
            <w:tcBorders>
              <w:top w:val="nil"/>
              <w:left w:val="nil"/>
              <w:bottom w:val="nil"/>
              <w:right w:val="nil"/>
            </w:tcBorders>
            <w:shd w:val="clear" w:color="auto" w:fill="DADADA"/>
          </w:tcPr>
          <w:p w:rsidR="00F44505" w:rsidRDefault="00F44505">
            <w:pPr>
              <w:widowControl w:val="0"/>
              <w:autoSpaceDE w:val="0"/>
              <w:autoSpaceDN w:val="0"/>
              <w:adjustRightInd w:val="0"/>
              <w:spacing w:before="60" w:after="0" w:line="240" w:lineRule="auto"/>
              <w:ind w:left="289" w:right="99"/>
              <w:rPr>
                <w:rFonts w:ascii="Arial" w:hAnsi="Arial" w:cs="Arial"/>
                <w:color w:val="000000"/>
                <w:sz w:val="24"/>
                <w:szCs w:val="24"/>
              </w:rPr>
            </w:pPr>
            <w:r>
              <w:rPr>
                <w:rFonts w:ascii="Arial" w:hAnsi="Arial" w:cs="Arial"/>
                <w:color w:val="000000"/>
                <w:sz w:val="24"/>
                <w:szCs w:val="24"/>
              </w:rPr>
              <w:t>Procédure adaptée ouverte</w:t>
            </w:r>
          </w:p>
          <w:p w:rsidR="00F44505" w:rsidRDefault="00F44505">
            <w:pPr>
              <w:widowControl w:val="0"/>
              <w:autoSpaceDE w:val="0"/>
              <w:autoSpaceDN w:val="0"/>
              <w:adjustRightInd w:val="0"/>
              <w:spacing w:after="60" w:line="240" w:lineRule="auto"/>
              <w:ind w:left="289" w:right="99"/>
              <w:rPr>
                <w:rFonts w:ascii="Arial" w:hAnsi="Arial" w:cs="Arial"/>
                <w:sz w:val="24"/>
                <w:szCs w:val="24"/>
              </w:rPr>
            </w:pPr>
            <w:r>
              <w:rPr>
                <w:rFonts w:ascii="Arial" w:hAnsi="Arial" w:cs="Arial"/>
                <w:color w:val="000000"/>
                <w:sz w:val="16"/>
                <w:szCs w:val="16"/>
              </w:rPr>
              <w:t>(Article R2123-1 1° - Inférieure au seuil des procédures formalisées - Code de la commande publique)</w:t>
            </w:r>
          </w:p>
        </w:tc>
      </w:tr>
    </w:tbl>
    <w:p w:rsidR="00F44505" w:rsidRDefault="00F44505">
      <w:pPr>
        <w:widowControl w:val="0"/>
        <w:autoSpaceDE w:val="0"/>
        <w:autoSpaceDN w:val="0"/>
        <w:adjustRightInd w:val="0"/>
        <w:ind w:left="117" w:right="111"/>
        <w:rPr>
          <w:rFonts w:ascii="Arial" w:hAnsi="Arial" w:cs="Arial"/>
          <w:color w:val="000000"/>
        </w:rPr>
      </w:pPr>
    </w:p>
    <w:p w:rsidR="00F44505" w:rsidRDefault="00F44505">
      <w:pPr>
        <w:widowControl w:val="0"/>
        <w:autoSpaceDE w:val="0"/>
        <w:autoSpaceDN w:val="0"/>
        <w:adjustRightInd w:val="0"/>
        <w:ind w:left="117" w:right="111"/>
        <w:rPr>
          <w:rFonts w:ascii="Arial" w:hAnsi="Arial" w:cs="Arial"/>
          <w:color w:val="000000"/>
        </w:rPr>
      </w:pPr>
      <w:r>
        <w:rPr>
          <w:rFonts w:ascii="Arial" w:hAnsi="Arial" w:cs="Arial"/>
          <w:sz w:val="24"/>
          <w:szCs w:val="24"/>
        </w:rPr>
        <w:br w:type="page"/>
      </w:r>
    </w:p>
    <w:p w:rsidR="00F44505" w:rsidRDefault="00F44505">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lastRenderedPageBreak/>
        <w:t>ACHETEUR ET OBJET DU CONTRAT</w:t>
      </w:r>
    </w:p>
    <w:p w:rsidR="00F44505" w:rsidRDefault="00F4450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Acheteur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Pr="003934FE" w:rsidRDefault="00F44505" w:rsidP="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934FE">
        <w:rPr>
          <w:rFonts w:ascii="Arial" w:hAnsi="Arial" w:cs="Arial"/>
          <w:b/>
          <w:bCs/>
          <w:color w:val="000000"/>
          <w:sz w:val="20"/>
          <w:szCs w:val="20"/>
        </w:rPr>
        <w:t>CPAM de Seine et Marne</w:t>
      </w:r>
    </w:p>
    <w:p w:rsidR="00F44505" w:rsidRPr="003934FE" w:rsidRDefault="00F44505" w:rsidP="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934FE">
        <w:rPr>
          <w:rFonts w:ascii="Arial" w:hAnsi="Arial" w:cs="Arial"/>
          <w:color w:val="000000"/>
          <w:sz w:val="20"/>
          <w:szCs w:val="20"/>
        </w:rPr>
        <w:t>Représentant : Philippe BOUQUET - Directeur Général</w:t>
      </w:r>
    </w:p>
    <w:p w:rsidR="00F44505" w:rsidRPr="003934FE" w:rsidRDefault="00F44505" w:rsidP="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934FE">
        <w:rPr>
          <w:rFonts w:ascii="Arial" w:hAnsi="Arial" w:cs="Arial"/>
          <w:color w:val="000000"/>
          <w:sz w:val="20"/>
          <w:szCs w:val="20"/>
        </w:rPr>
        <w:t>Adresse : Rue des Meuniers</w:t>
      </w:r>
    </w:p>
    <w:p w:rsidR="00F44505" w:rsidRDefault="00F44505" w:rsidP="00F4450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3934FE">
        <w:rPr>
          <w:rFonts w:ascii="Arial" w:hAnsi="Arial" w:cs="Arial"/>
          <w:color w:val="000000"/>
          <w:sz w:val="20"/>
          <w:szCs w:val="20"/>
        </w:rPr>
        <w:t>77950</w:t>
      </w:r>
      <w:r>
        <w:rPr>
          <w:rFonts w:ascii="Arial" w:hAnsi="Arial" w:cs="Arial"/>
          <w:color w:val="000000"/>
          <w:sz w:val="20"/>
          <w:szCs w:val="20"/>
        </w:rPr>
        <w:t xml:space="preserve"> </w:t>
      </w:r>
      <w:r w:rsidRPr="003934FE">
        <w:rPr>
          <w:rFonts w:ascii="Arial" w:hAnsi="Arial" w:cs="Arial"/>
          <w:color w:val="000000"/>
          <w:sz w:val="20"/>
          <w:szCs w:val="20"/>
        </w:rPr>
        <w:t xml:space="preserve">RUBELLES </w:t>
      </w:r>
    </w:p>
    <w:p w:rsidR="00F44505" w:rsidRPr="003934FE" w:rsidRDefault="00F44505" w:rsidP="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934FE">
        <w:rPr>
          <w:rFonts w:ascii="Arial" w:hAnsi="Arial" w:cs="Arial"/>
          <w:color w:val="000000"/>
          <w:sz w:val="20"/>
          <w:szCs w:val="20"/>
        </w:rPr>
        <w:t>SIRET : 78497130100022</w:t>
      </w:r>
    </w:p>
    <w:p w:rsidR="00F44505" w:rsidRDefault="00F44505" w:rsidP="00F4450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Pr="00F44505" w:rsidRDefault="00F44505" w:rsidP="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personne en charge du dossier est : Brice COULON</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Description de la prestation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contrat porte sur les prestations suivantes : </w:t>
      </w:r>
      <w:r>
        <w:rPr>
          <w:rFonts w:ascii="Arial" w:hAnsi="Arial" w:cs="Arial"/>
          <w:b/>
          <w:bCs/>
          <w:color w:val="000000"/>
          <w:sz w:val="20"/>
          <w:szCs w:val="20"/>
        </w:rPr>
        <w:t>Travaux de réaménagement du bâtiment de Bussy Saint Georges</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i/>
          <w:iCs/>
          <w:color w:val="000000"/>
          <w:sz w:val="20"/>
          <w:szCs w:val="20"/>
        </w:rPr>
      </w:pPr>
      <w:r>
        <w:rPr>
          <w:rFonts w:ascii="Arial" w:hAnsi="Arial" w:cs="Arial"/>
          <w:i/>
          <w:iCs/>
          <w:color w:val="000000"/>
          <w:sz w:val="20"/>
          <w:szCs w:val="20"/>
        </w:rPr>
        <w:t>Les locaux faisant l’objet du marché se situent à l’entresol, 1er et 2nd étage du bâtiment en propriété.</w:t>
      </w:r>
      <w:r>
        <w:rPr>
          <w:rFonts w:ascii="Arial" w:hAnsi="Arial" w:cs="Arial"/>
          <w:sz w:val="24"/>
          <w:szCs w:val="24"/>
        </w:rPr>
        <w:br/>
      </w:r>
      <w:r>
        <w:rPr>
          <w:rFonts w:ascii="Arial" w:hAnsi="Arial" w:cs="Arial"/>
          <w:i/>
          <w:iCs/>
          <w:color w:val="000000"/>
          <w:sz w:val="20"/>
          <w:szCs w:val="20"/>
        </w:rPr>
        <w:t xml:space="preserve">Les travaux s’exécuteront en milieu occupé et se feront par phase : </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sz w:val="24"/>
          <w:szCs w:val="24"/>
        </w:rPr>
        <w:br/>
      </w:r>
      <w:r>
        <w:rPr>
          <w:rFonts w:ascii="Arial" w:hAnsi="Arial" w:cs="Arial"/>
          <w:i/>
          <w:iCs/>
          <w:color w:val="000000"/>
          <w:sz w:val="20"/>
          <w:szCs w:val="20"/>
        </w:rPr>
        <w:t>- Phase 1 : travaux au 2eme étage</w:t>
      </w:r>
      <w:r>
        <w:rPr>
          <w:rFonts w:ascii="Arial" w:hAnsi="Arial" w:cs="Arial"/>
          <w:sz w:val="24"/>
          <w:szCs w:val="24"/>
        </w:rPr>
        <w:br/>
      </w:r>
      <w:r>
        <w:rPr>
          <w:rFonts w:ascii="Arial" w:hAnsi="Arial" w:cs="Arial"/>
          <w:i/>
          <w:iCs/>
          <w:color w:val="000000"/>
          <w:sz w:val="20"/>
          <w:szCs w:val="20"/>
        </w:rPr>
        <w:t>- Phase 2 : travaux à l’entresol</w:t>
      </w:r>
      <w:r>
        <w:rPr>
          <w:rFonts w:ascii="Arial" w:hAnsi="Arial" w:cs="Arial"/>
          <w:sz w:val="24"/>
          <w:szCs w:val="24"/>
        </w:rPr>
        <w:br/>
      </w:r>
      <w:r>
        <w:rPr>
          <w:rFonts w:ascii="Arial" w:hAnsi="Arial" w:cs="Arial"/>
          <w:i/>
          <w:iCs/>
          <w:color w:val="000000"/>
          <w:sz w:val="20"/>
          <w:szCs w:val="20"/>
        </w:rPr>
        <w:t>- Phase 3 : travaux au 1er étage</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2660"/>
        <w:gridCol w:w="6520"/>
      </w:tblGrid>
      <w:tr w:rsidR="00F44505">
        <w:trPr>
          <w:cantSplit/>
          <w:tblHeader/>
        </w:trPr>
        <w:tc>
          <w:tcPr>
            <w:tcW w:w="2660" w:type="dxa"/>
            <w:tcBorders>
              <w:top w:val="nil"/>
              <w:left w:val="nil"/>
              <w:bottom w:val="single" w:sz="4" w:space="0" w:color="D9D9D9"/>
              <w:right w:val="nil"/>
            </w:tcBorders>
            <w:shd w:val="clear" w:color="auto" w:fill="595959"/>
            <w:vAlign w:val="center"/>
          </w:tcPr>
          <w:p w:rsidR="00F44505" w:rsidRDefault="00F44505">
            <w:pPr>
              <w:keepLines/>
              <w:widowControl w:val="0"/>
              <w:autoSpaceDE w:val="0"/>
              <w:autoSpaceDN w:val="0"/>
              <w:adjustRightInd w:val="0"/>
              <w:spacing w:before="60" w:after="60" w:line="240" w:lineRule="auto"/>
              <w:ind w:left="108" w:right="108"/>
              <w:jc w:val="center"/>
              <w:rPr>
                <w:rFonts w:ascii="Arial" w:hAnsi="Arial" w:cs="Arial"/>
                <w:sz w:val="24"/>
                <w:szCs w:val="24"/>
              </w:rPr>
            </w:pPr>
            <w:r>
              <w:rPr>
                <w:rFonts w:ascii="Arial" w:hAnsi="Arial" w:cs="Arial"/>
                <w:color w:val="FFFFFF"/>
                <w:sz w:val="20"/>
                <w:szCs w:val="20"/>
              </w:rPr>
              <w:t>Code CPV</w:t>
            </w:r>
          </w:p>
        </w:tc>
        <w:tc>
          <w:tcPr>
            <w:tcW w:w="6520" w:type="dxa"/>
            <w:tcBorders>
              <w:top w:val="nil"/>
              <w:left w:val="nil"/>
              <w:bottom w:val="single" w:sz="4" w:space="0" w:color="D9D9D9"/>
              <w:right w:val="nil"/>
            </w:tcBorders>
            <w:shd w:val="clear" w:color="auto" w:fill="595959"/>
          </w:tcPr>
          <w:p w:rsidR="00F44505" w:rsidRDefault="00F44505">
            <w:pPr>
              <w:keepLines/>
              <w:widowControl w:val="0"/>
              <w:autoSpaceDE w:val="0"/>
              <w:autoSpaceDN w:val="0"/>
              <w:adjustRightInd w:val="0"/>
              <w:spacing w:before="60" w:after="60" w:line="240" w:lineRule="auto"/>
              <w:ind w:left="108" w:right="108"/>
              <w:jc w:val="center"/>
              <w:rPr>
                <w:rFonts w:ascii="Arial" w:hAnsi="Arial" w:cs="Arial"/>
                <w:sz w:val="24"/>
                <w:szCs w:val="24"/>
              </w:rPr>
            </w:pPr>
            <w:r>
              <w:rPr>
                <w:rFonts w:ascii="Arial" w:hAnsi="Arial" w:cs="Arial"/>
                <w:color w:val="FFFFFF"/>
                <w:sz w:val="20"/>
                <w:szCs w:val="20"/>
              </w:rPr>
              <w:t>Libellé CPV</w:t>
            </w:r>
          </w:p>
        </w:tc>
      </w:tr>
      <w:tr w:rsidR="00F44505">
        <w:tc>
          <w:tcPr>
            <w:tcW w:w="266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44220000-8</w:t>
            </w:r>
          </w:p>
        </w:tc>
        <w:tc>
          <w:tcPr>
            <w:tcW w:w="652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Menuiserie pour la construction</w:t>
            </w:r>
          </w:p>
        </w:tc>
      </w:tr>
      <w:tr w:rsidR="00F44505">
        <w:tc>
          <w:tcPr>
            <w:tcW w:w="266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45111100-9</w:t>
            </w:r>
          </w:p>
        </w:tc>
        <w:tc>
          <w:tcPr>
            <w:tcW w:w="652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Travaux de démolition</w:t>
            </w:r>
          </w:p>
        </w:tc>
      </w:tr>
      <w:tr w:rsidR="00F44505">
        <w:tc>
          <w:tcPr>
            <w:tcW w:w="266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45421152-4</w:t>
            </w:r>
          </w:p>
        </w:tc>
        <w:tc>
          <w:tcPr>
            <w:tcW w:w="652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Installation de cloisons</w:t>
            </w:r>
          </w:p>
        </w:tc>
      </w:tr>
      <w:tr w:rsidR="00F44505">
        <w:tc>
          <w:tcPr>
            <w:tcW w:w="266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45442100-8</w:t>
            </w:r>
          </w:p>
        </w:tc>
        <w:tc>
          <w:tcPr>
            <w:tcW w:w="652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Travaux de peinture</w:t>
            </w:r>
          </w:p>
        </w:tc>
      </w:tr>
      <w:tr w:rsidR="00F44505">
        <w:tc>
          <w:tcPr>
            <w:tcW w:w="266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45430000-0</w:t>
            </w:r>
          </w:p>
        </w:tc>
        <w:tc>
          <w:tcPr>
            <w:tcW w:w="652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Revêtement de sols et de murs</w:t>
            </w:r>
          </w:p>
        </w:tc>
      </w:tr>
      <w:tr w:rsidR="00F44505">
        <w:tc>
          <w:tcPr>
            <w:tcW w:w="266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45330000-9</w:t>
            </w:r>
          </w:p>
        </w:tc>
        <w:tc>
          <w:tcPr>
            <w:tcW w:w="652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Travaux de plomberie</w:t>
            </w:r>
          </w:p>
        </w:tc>
      </w:tr>
      <w:tr w:rsidR="00F44505">
        <w:tc>
          <w:tcPr>
            <w:tcW w:w="266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45311100-1</w:t>
            </w:r>
          </w:p>
        </w:tc>
        <w:tc>
          <w:tcPr>
            <w:tcW w:w="652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Travaux de câblage électrique</w:t>
            </w:r>
          </w:p>
        </w:tc>
      </w:tr>
    </w:tbl>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Caractéristiques principales du contrat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6349"/>
      </w:tblGrid>
      <w:tr w:rsidR="00F44505">
        <w:tc>
          <w:tcPr>
            <w:tcW w:w="594" w:type="dxa"/>
            <w:tcBorders>
              <w:top w:val="nil"/>
              <w:left w:val="nil"/>
              <w:bottom w:val="nil"/>
              <w:right w:val="nil"/>
            </w:tcBorders>
            <w:shd w:val="clear" w:color="auto" w:fill="595959"/>
          </w:tcPr>
          <w:p w:rsidR="00F44505" w:rsidRDefault="005A478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215" cy="19621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215" cy="19621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F44505" w:rsidRDefault="00F4450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Objet du contrat</w:t>
            </w:r>
          </w:p>
        </w:tc>
        <w:tc>
          <w:tcPr>
            <w:tcW w:w="6349" w:type="dxa"/>
            <w:tcBorders>
              <w:top w:val="nil"/>
              <w:left w:val="nil"/>
              <w:bottom w:val="nil"/>
              <w:right w:val="nil"/>
            </w:tcBorders>
            <w:shd w:val="clear" w:color="auto" w:fill="DADADA"/>
          </w:tcPr>
          <w:p w:rsidR="00F44505" w:rsidRDefault="00F4450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Travaux de réaménagement du bâtiment de Bussy Saint George</w:t>
            </w:r>
          </w:p>
        </w:tc>
      </w:tr>
      <w:tr w:rsidR="00F44505">
        <w:tc>
          <w:tcPr>
            <w:tcW w:w="594" w:type="dxa"/>
            <w:tcBorders>
              <w:top w:val="nil"/>
              <w:left w:val="nil"/>
              <w:bottom w:val="nil"/>
              <w:right w:val="nil"/>
            </w:tcBorders>
            <w:shd w:val="clear" w:color="auto" w:fill="595959"/>
          </w:tcPr>
          <w:p w:rsidR="00F44505" w:rsidRDefault="005A478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215" cy="19621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215" cy="19621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F44505" w:rsidRDefault="00F4450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Acheteur</w:t>
            </w:r>
          </w:p>
        </w:tc>
        <w:tc>
          <w:tcPr>
            <w:tcW w:w="6349" w:type="dxa"/>
            <w:tcBorders>
              <w:top w:val="nil"/>
              <w:left w:val="nil"/>
              <w:bottom w:val="nil"/>
              <w:right w:val="nil"/>
            </w:tcBorders>
            <w:shd w:val="clear" w:color="auto" w:fill="DADADA"/>
          </w:tcPr>
          <w:p w:rsidR="00F44505" w:rsidRDefault="00F44505">
            <w:pPr>
              <w:widowControl w:val="0"/>
              <w:autoSpaceDE w:val="0"/>
              <w:autoSpaceDN w:val="0"/>
              <w:adjustRightInd w:val="0"/>
              <w:spacing w:before="40" w:after="40" w:line="240" w:lineRule="auto"/>
              <w:ind w:left="266" w:right="256"/>
              <w:rPr>
                <w:rFonts w:ascii="Arial" w:hAnsi="Arial" w:cs="Arial"/>
                <w:color w:val="000000"/>
                <w:sz w:val="18"/>
                <w:szCs w:val="18"/>
              </w:rPr>
            </w:pPr>
          </w:p>
        </w:tc>
      </w:tr>
      <w:tr w:rsidR="00F44505">
        <w:tc>
          <w:tcPr>
            <w:tcW w:w="594" w:type="dxa"/>
            <w:tcBorders>
              <w:top w:val="nil"/>
              <w:left w:val="nil"/>
              <w:bottom w:val="nil"/>
              <w:right w:val="nil"/>
            </w:tcBorders>
            <w:shd w:val="clear" w:color="auto" w:fill="595959"/>
          </w:tcPr>
          <w:p w:rsidR="00F44505" w:rsidRDefault="005A478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215" cy="19621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215" cy="19621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F44505" w:rsidRDefault="00F4450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Type de contrat</w:t>
            </w:r>
          </w:p>
        </w:tc>
        <w:tc>
          <w:tcPr>
            <w:tcW w:w="6349" w:type="dxa"/>
            <w:tcBorders>
              <w:top w:val="nil"/>
              <w:left w:val="nil"/>
              <w:bottom w:val="nil"/>
              <w:right w:val="nil"/>
            </w:tcBorders>
            <w:shd w:val="clear" w:color="auto" w:fill="DADADA"/>
          </w:tcPr>
          <w:p w:rsidR="00F44505" w:rsidRDefault="00F4450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Marché ordinaire de travaux</w:t>
            </w:r>
          </w:p>
        </w:tc>
      </w:tr>
      <w:tr w:rsidR="00F44505">
        <w:tc>
          <w:tcPr>
            <w:tcW w:w="594" w:type="dxa"/>
            <w:tcBorders>
              <w:top w:val="nil"/>
              <w:left w:val="nil"/>
              <w:bottom w:val="nil"/>
              <w:right w:val="nil"/>
            </w:tcBorders>
            <w:shd w:val="clear" w:color="auto" w:fill="595959"/>
          </w:tcPr>
          <w:p w:rsidR="00F44505" w:rsidRDefault="005A478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215" cy="19621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215" cy="19621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F44505" w:rsidRDefault="00F4450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Structure</w:t>
            </w:r>
          </w:p>
        </w:tc>
        <w:tc>
          <w:tcPr>
            <w:tcW w:w="6349" w:type="dxa"/>
            <w:tcBorders>
              <w:top w:val="nil"/>
              <w:left w:val="nil"/>
              <w:bottom w:val="nil"/>
              <w:right w:val="nil"/>
            </w:tcBorders>
            <w:shd w:val="clear" w:color="auto" w:fill="DADADA"/>
          </w:tcPr>
          <w:p w:rsidR="00F44505" w:rsidRDefault="00F4450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4 lots</w:t>
            </w:r>
          </w:p>
        </w:tc>
      </w:tr>
      <w:tr w:rsidR="00F44505">
        <w:tc>
          <w:tcPr>
            <w:tcW w:w="594" w:type="dxa"/>
            <w:tcBorders>
              <w:top w:val="nil"/>
              <w:left w:val="nil"/>
              <w:bottom w:val="nil"/>
              <w:right w:val="nil"/>
            </w:tcBorders>
            <w:shd w:val="clear" w:color="auto" w:fill="595959"/>
          </w:tcPr>
          <w:p w:rsidR="00F44505" w:rsidRDefault="005A478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215" cy="19621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215" cy="19621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F44505" w:rsidRDefault="00F4450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Lieu d’exécution</w:t>
            </w:r>
          </w:p>
        </w:tc>
        <w:tc>
          <w:tcPr>
            <w:tcW w:w="6349" w:type="dxa"/>
            <w:tcBorders>
              <w:top w:val="nil"/>
              <w:left w:val="nil"/>
              <w:bottom w:val="nil"/>
              <w:right w:val="nil"/>
            </w:tcBorders>
            <w:shd w:val="clear" w:color="auto" w:fill="DADADA"/>
          </w:tcPr>
          <w:p w:rsidR="00F44505" w:rsidRDefault="00F4450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2 rue Raoul FOLLEREAU - 77600 BUSSY-SAINT-GEORGES</w:t>
            </w:r>
          </w:p>
        </w:tc>
      </w:tr>
      <w:tr w:rsidR="00F44505">
        <w:tc>
          <w:tcPr>
            <w:tcW w:w="594" w:type="dxa"/>
            <w:tcBorders>
              <w:top w:val="nil"/>
              <w:left w:val="nil"/>
              <w:bottom w:val="nil"/>
              <w:right w:val="nil"/>
            </w:tcBorders>
            <w:shd w:val="clear" w:color="auto" w:fill="595959"/>
          </w:tcPr>
          <w:p w:rsidR="00F44505" w:rsidRDefault="005A478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215" cy="19621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215" cy="19621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F44505" w:rsidRDefault="00F4450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Délai</w:t>
            </w:r>
          </w:p>
        </w:tc>
        <w:tc>
          <w:tcPr>
            <w:tcW w:w="6349" w:type="dxa"/>
            <w:tcBorders>
              <w:top w:val="nil"/>
              <w:left w:val="nil"/>
              <w:bottom w:val="nil"/>
              <w:right w:val="nil"/>
            </w:tcBorders>
            <w:shd w:val="clear" w:color="auto" w:fill="DADADA"/>
          </w:tcPr>
          <w:p w:rsidR="00F44505" w:rsidRDefault="00F4450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1 an - Marché sans mise en concurrence ultérieure avec le même titulaire possible</w:t>
            </w:r>
          </w:p>
        </w:tc>
      </w:tr>
      <w:tr w:rsidR="00F44505">
        <w:tc>
          <w:tcPr>
            <w:tcW w:w="594" w:type="dxa"/>
            <w:tcBorders>
              <w:top w:val="nil"/>
              <w:left w:val="nil"/>
              <w:bottom w:val="nil"/>
              <w:right w:val="nil"/>
            </w:tcBorders>
            <w:shd w:val="clear" w:color="auto" w:fill="595959"/>
          </w:tcPr>
          <w:p w:rsidR="00F44505" w:rsidRDefault="005A478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215" cy="19621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6215" cy="19621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F44505" w:rsidRDefault="00F4450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Développement durable</w:t>
            </w:r>
          </w:p>
        </w:tc>
        <w:tc>
          <w:tcPr>
            <w:tcW w:w="6349" w:type="dxa"/>
            <w:tcBorders>
              <w:top w:val="nil"/>
              <w:left w:val="nil"/>
              <w:bottom w:val="nil"/>
              <w:right w:val="nil"/>
            </w:tcBorders>
            <w:shd w:val="clear" w:color="auto" w:fill="DADADA"/>
          </w:tcPr>
          <w:p w:rsidR="00F44505" w:rsidRDefault="00F4450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Clause environnementale - Critère environnemental</w:t>
            </w:r>
          </w:p>
        </w:tc>
      </w:tr>
      <w:tr w:rsidR="00F44505">
        <w:tc>
          <w:tcPr>
            <w:tcW w:w="594" w:type="dxa"/>
            <w:tcBorders>
              <w:top w:val="nil"/>
              <w:left w:val="nil"/>
              <w:bottom w:val="nil"/>
              <w:right w:val="nil"/>
            </w:tcBorders>
            <w:shd w:val="clear" w:color="auto" w:fill="595959"/>
          </w:tcPr>
          <w:p w:rsidR="00F44505" w:rsidRDefault="005A478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215" cy="19621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215" cy="19621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F44505" w:rsidRDefault="00F4450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Pénalités de retard</w:t>
            </w:r>
          </w:p>
        </w:tc>
        <w:tc>
          <w:tcPr>
            <w:tcW w:w="6349" w:type="dxa"/>
            <w:tcBorders>
              <w:top w:val="nil"/>
              <w:left w:val="nil"/>
              <w:bottom w:val="nil"/>
              <w:right w:val="nil"/>
            </w:tcBorders>
            <w:shd w:val="clear" w:color="auto" w:fill="DADADA"/>
          </w:tcPr>
          <w:p w:rsidR="00F44505" w:rsidRDefault="00F4450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P = V x R / 500</w:t>
            </w:r>
          </w:p>
        </w:tc>
      </w:tr>
      <w:tr w:rsidR="00F44505">
        <w:tc>
          <w:tcPr>
            <w:tcW w:w="594" w:type="dxa"/>
            <w:tcBorders>
              <w:top w:val="nil"/>
              <w:left w:val="nil"/>
              <w:bottom w:val="nil"/>
              <w:right w:val="nil"/>
            </w:tcBorders>
            <w:shd w:val="clear" w:color="auto" w:fill="595959"/>
          </w:tcPr>
          <w:p w:rsidR="00F44505" w:rsidRDefault="005A478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215" cy="19621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6215" cy="19621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F44505" w:rsidRDefault="00F4450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Variation des prix</w:t>
            </w:r>
          </w:p>
        </w:tc>
        <w:tc>
          <w:tcPr>
            <w:tcW w:w="6349" w:type="dxa"/>
            <w:tcBorders>
              <w:top w:val="nil"/>
              <w:left w:val="nil"/>
              <w:bottom w:val="nil"/>
              <w:right w:val="nil"/>
            </w:tcBorders>
            <w:shd w:val="clear" w:color="auto" w:fill="DADADA"/>
          </w:tcPr>
          <w:p w:rsidR="00F44505" w:rsidRDefault="00F4450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Fermes actualisables</w:t>
            </w:r>
          </w:p>
        </w:tc>
      </w:tr>
      <w:tr w:rsidR="00F44505">
        <w:tc>
          <w:tcPr>
            <w:tcW w:w="594" w:type="dxa"/>
            <w:tcBorders>
              <w:top w:val="nil"/>
              <w:left w:val="nil"/>
              <w:bottom w:val="nil"/>
              <w:right w:val="nil"/>
            </w:tcBorders>
            <w:shd w:val="clear" w:color="auto" w:fill="595959"/>
          </w:tcPr>
          <w:p w:rsidR="00F44505" w:rsidRDefault="005A478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215" cy="19621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6215" cy="19621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rsidR="00F44505" w:rsidRDefault="00F4450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Nature des prix</w:t>
            </w:r>
          </w:p>
        </w:tc>
        <w:tc>
          <w:tcPr>
            <w:tcW w:w="6349" w:type="dxa"/>
            <w:tcBorders>
              <w:top w:val="nil"/>
              <w:left w:val="nil"/>
              <w:bottom w:val="nil"/>
              <w:right w:val="nil"/>
            </w:tcBorders>
            <w:shd w:val="clear" w:color="auto" w:fill="DADADA"/>
          </w:tcPr>
          <w:p w:rsidR="00F44505" w:rsidRDefault="00F44505">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Prix forfaitaires</w:t>
            </w:r>
          </w:p>
        </w:tc>
      </w:tr>
    </w:tbl>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Allotissement et structure de la consultation :</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La consultation est décomposée en 4 lots :</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1951"/>
        <w:gridCol w:w="7788"/>
        <w:gridCol w:w="8"/>
      </w:tblGrid>
      <w:tr w:rsidR="00F44505" w:rsidTr="00F44505">
        <w:trPr>
          <w:cantSplit/>
          <w:tblHeader/>
        </w:trPr>
        <w:tc>
          <w:tcPr>
            <w:tcW w:w="1951" w:type="dxa"/>
            <w:tcBorders>
              <w:top w:val="nil"/>
              <w:left w:val="nil"/>
              <w:bottom w:val="nil"/>
              <w:right w:val="nil"/>
            </w:tcBorders>
            <w:shd w:val="clear" w:color="auto" w:fill="595959"/>
            <w:vAlign w:val="center"/>
          </w:tcPr>
          <w:p w:rsidR="00F44505" w:rsidRDefault="00F44505" w:rsidP="00F44505">
            <w:pPr>
              <w:keepLines/>
              <w:widowControl w:val="0"/>
              <w:autoSpaceDE w:val="0"/>
              <w:autoSpaceDN w:val="0"/>
              <w:adjustRightInd w:val="0"/>
              <w:spacing w:before="60" w:after="60" w:line="240" w:lineRule="auto"/>
              <w:ind w:left="108" w:right="97"/>
              <w:jc w:val="center"/>
              <w:rPr>
                <w:rFonts w:ascii="Arial" w:hAnsi="Arial" w:cs="Arial"/>
                <w:sz w:val="24"/>
                <w:szCs w:val="24"/>
              </w:rPr>
            </w:pPr>
            <w:r>
              <w:rPr>
                <w:rFonts w:ascii="Arial" w:hAnsi="Arial" w:cs="Arial"/>
                <w:color w:val="FFFFFF"/>
                <w:sz w:val="20"/>
                <w:szCs w:val="20"/>
              </w:rPr>
              <w:lastRenderedPageBreak/>
              <w:t>Type</w:t>
            </w:r>
          </w:p>
        </w:tc>
        <w:tc>
          <w:tcPr>
            <w:tcW w:w="7796" w:type="dxa"/>
            <w:gridSpan w:val="2"/>
            <w:tcBorders>
              <w:top w:val="nil"/>
              <w:left w:val="nil"/>
              <w:bottom w:val="nil"/>
              <w:right w:val="nil"/>
            </w:tcBorders>
            <w:shd w:val="clear" w:color="auto" w:fill="595959"/>
          </w:tcPr>
          <w:p w:rsidR="00F44505" w:rsidRDefault="00F44505" w:rsidP="00F44505">
            <w:pPr>
              <w:keepLines/>
              <w:widowControl w:val="0"/>
              <w:autoSpaceDE w:val="0"/>
              <w:autoSpaceDN w:val="0"/>
              <w:adjustRightInd w:val="0"/>
              <w:spacing w:before="60" w:after="60" w:line="240" w:lineRule="auto"/>
              <w:ind w:left="119" w:right="81"/>
              <w:jc w:val="center"/>
              <w:rPr>
                <w:rFonts w:ascii="Arial" w:hAnsi="Arial" w:cs="Arial"/>
                <w:sz w:val="24"/>
                <w:szCs w:val="24"/>
              </w:rPr>
            </w:pPr>
            <w:r>
              <w:rPr>
                <w:rFonts w:ascii="Arial" w:hAnsi="Arial" w:cs="Arial"/>
                <w:color w:val="FFFFFF"/>
                <w:sz w:val="20"/>
                <w:szCs w:val="20"/>
              </w:rPr>
              <w:t>Objet, délai</w:t>
            </w:r>
          </w:p>
        </w:tc>
      </w:tr>
      <w:tr w:rsidR="00F44505" w:rsidTr="00F44505">
        <w:trPr>
          <w:gridAfter w:val="1"/>
          <w:wAfter w:w="8" w:type="dxa"/>
        </w:trPr>
        <w:tc>
          <w:tcPr>
            <w:tcW w:w="1951"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rsidP="00F44505">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Lot n°1</w:t>
            </w:r>
          </w:p>
        </w:tc>
        <w:tc>
          <w:tcPr>
            <w:tcW w:w="7788"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rsidP="00F44505">
            <w:pPr>
              <w:widowControl w:val="0"/>
              <w:autoSpaceDE w:val="0"/>
              <w:autoSpaceDN w:val="0"/>
              <w:adjustRightInd w:val="0"/>
              <w:spacing w:before="60" w:after="60" w:line="240" w:lineRule="auto"/>
              <w:ind w:left="119" w:right="89"/>
              <w:rPr>
                <w:rFonts w:ascii="Arial" w:hAnsi="Arial" w:cs="Arial"/>
                <w:color w:val="000000"/>
                <w:sz w:val="18"/>
                <w:szCs w:val="18"/>
              </w:rPr>
            </w:pPr>
            <w:r>
              <w:rPr>
                <w:rFonts w:ascii="Arial" w:hAnsi="Arial" w:cs="Arial"/>
                <w:color w:val="000000"/>
                <w:sz w:val="18"/>
                <w:szCs w:val="18"/>
              </w:rPr>
              <w:t>Démolition / Cloisons / Faux-plafond / Menuiserie, 1 an à compter de l’OS de démarrage</w:t>
            </w:r>
          </w:p>
          <w:p w:rsidR="00F44505" w:rsidRDefault="00F44505" w:rsidP="00F44505">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color w:val="000000"/>
                <w:sz w:val="14"/>
                <w:szCs w:val="14"/>
              </w:rPr>
              <w:t xml:space="preserve"> (CPV 45111100-9 : Travaux de démolition - 45421146-9 : Mise en place de plafonds suspendus - 45421150-0 : Travaux d'installation de menuiseries non métalliques - 45421152-4 : Installation de cloisons)</w:t>
            </w:r>
          </w:p>
        </w:tc>
      </w:tr>
      <w:tr w:rsidR="00F44505" w:rsidTr="00F44505">
        <w:trPr>
          <w:gridAfter w:val="1"/>
          <w:wAfter w:w="8" w:type="dxa"/>
        </w:trPr>
        <w:tc>
          <w:tcPr>
            <w:tcW w:w="1951"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rsidP="00F44505">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Lot n°2</w:t>
            </w:r>
          </w:p>
        </w:tc>
        <w:tc>
          <w:tcPr>
            <w:tcW w:w="7788"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rsidP="00F44505">
            <w:pPr>
              <w:widowControl w:val="0"/>
              <w:autoSpaceDE w:val="0"/>
              <w:autoSpaceDN w:val="0"/>
              <w:adjustRightInd w:val="0"/>
              <w:spacing w:before="60" w:after="60" w:line="240" w:lineRule="auto"/>
              <w:ind w:left="119" w:right="89"/>
              <w:rPr>
                <w:rFonts w:ascii="Arial" w:hAnsi="Arial" w:cs="Arial"/>
                <w:color w:val="000000"/>
                <w:sz w:val="18"/>
                <w:szCs w:val="18"/>
              </w:rPr>
            </w:pPr>
            <w:r>
              <w:rPr>
                <w:rFonts w:ascii="Arial" w:hAnsi="Arial" w:cs="Arial"/>
                <w:color w:val="000000"/>
                <w:sz w:val="18"/>
                <w:szCs w:val="18"/>
              </w:rPr>
              <w:t>Peinture et revêtement de sols, 1 an à compter de l’OS de démarrage</w:t>
            </w:r>
          </w:p>
          <w:p w:rsidR="00F44505" w:rsidRDefault="00F44505" w:rsidP="00F44505">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color w:val="000000"/>
                <w:sz w:val="14"/>
                <w:szCs w:val="14"/>
              </w:rPr>
              <w:t xml:space="preserve"> (CPV 45442100-8 : Travaux de peinture - 45432100-5 : Travaux de pose de revêtements de sols)</w:t>
            </w:r>
          </w:p>
        </w:tc>
      </w:tr>
      <w:tr w:rsidR="00F44505" w:rsidTr="00F44505">
        <w:trPr>
          <w:gridAfter w:val="1"/>
          <w:wAfter w:w="8" w:type="dxa"/>
        </w:trPr>
        <w:tc>
          <w:tcPr>
            <w:tcW w:w="1951"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rsidP="00F44505">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Lot n°3</w:t>
            </w:r>
          </w:p>
        </w:tc>
        <w:tc>
          <w:tcPr>
            <w:tcW w:w="7788"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rsidP="00F44505">
            <w:pPr>
              <w:widowControl w:val="0"/>
              <w:autoSpaceDE w:val="0"/>
              <w:autoSpaceDN w:val="0"/>
              <w:adjustRightInd w:val="0"/>
              <w:spacing w:before="60" w:after="60" w:line="240" w:lineRule="auto"/>
              <w:ind w:left="119" w:right="89"/>
              <w:rPr>
                <w:rFonts w:ascii="Arial" w:hAnsi="Arial" w:cs="Arial"/>
                <w:color w:val="000000"/>
                <w:sz w:val="18"/>
                <w:szCs w:val="18"/>
              </w:rPr>
            </w:pPr>
            <w:r>
              <w:rPr>
                <w:rFonts w:ascii="Arial" w:hAnsi="Arial" w:cs="Arial"/>
                <w:color w:val="000000"/>
                <w:sz w:val="18"/>
                <w:szCs w:val="18"/>
              </w:rPr>
              <w:t>Plomberie et VMC, 1 an à compter de l’OS de démarrage</w:t>
            </w:r>
          </w:p>
          <w:p w:rsidR="00F44505" w:rsidRDefault="00F44505" w:rsidP="00F44505">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color w:val="000000"/>
                <w:sz w:val="14"/>
                <w:szCs w:val="14"/>
              </w:rPr>
              <w:t xml:space="preserve"> (CPV 45332000-3 : Travaux de plomberie et de pose de conduits d'évacuation)</w:t>
            </w:r>
          </w:p>
        </w:tc>
      </w:tr>
      <w:tr w:rsidR="00F44505" w:rsidTr="00F44505">
        <w:trPr>
          <w:gridAfter w:val="1"/>
          <w:wAfter w:w="8" w:type="dxa"/>
        </w:trPr>
        <w:tc>
          <w:tcPr>
            <w:tcW w:w="1951"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rsidP="00F44505">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Lot n°4</w:t>
            </w:r>
          </w:p>
        </w:tc>
        <w:tc>
          <w:tcPr>
            <w:tcW w:w="7788"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rsidP="00F44505">
            <w:pPr>
              <w:widowControl w:val="0"/>
              <w:autoSpaceDE w:val="0"/>
              <w:autoSpaceDN w:val="0"/>
              <w:adjustRightInd w:val="0"/>
              <w:spacing w:before="60" w:after="60" w:line="240" w:lineRule="auto"/>
              <w:ind w:left="119" w:right="89"/>
              <w:rPr>
                <w:rFonts w:ascii="Arial" w:hAnsi="Arial" w:cs="Arial"/>
                <w:color w:val="000000"/>
                <w:sz w:val="18"/>
                <w:szCs w:val="18"/>
              </w:rPr>
            </w:pPr>
            <w:r>
              <w:rPr>
                <w:rFonts w:ascii="Arial" w:hAnsi="Arial" w:cs="Arial"/>
                <w:color w:val="000000"/>
                <w:sz w:val="18"/>
                <w:szCs w:val="18"/>
              </w:rPr>
              <w:t>Electricité courant fort et faible, 1 an à compter de l’OS de démarrage</w:t>
            </w:r>
          </w:p>
          <w:p w:rsidR="00F44505" w:rsidRDefault="00F44505" w:rsidP="00F44505">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color w:val="000000"/>
                <w:sz w:val="14"/>
                <w:szCs w:val="14"/>
              </w:rPr>
              <w:t xml:space="preserve"> (CPV 45311100-1 : Travaux de câblage électrique)</w:t>
            </w:r>
          </w:p>
        </w:tc>
      </w:tr>
    </w:tbl>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CARACTÉRISTIQUES DE LA PROCEDURE</w:t>
      </w:r>
    </w:p>
    <w:p w:rsidR="00F44505" w:rsidRDefault="00F4450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Procédure de passation :</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Procédure adaptée ouverte (Article R2123-1 1° - Inférieure au seuil des procédures formalisées - Code de la commande publique).</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Planning prévisionnel de la consultation* :</w:t>
      </w:r>
    </w:p>
    <w:p w:rsidR="00F44505" w:rsidRDefault="00F44505">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14" w:type="dxa"/>
        <w:tblLayout w:type="fixed"/>
        <w:tblCellMar>
          <w:left w:w="0" w:type="dxa"/>
          <w:right w:w="0" w:type="dxa"/>
        </w:tblCellMar>
        <w:tblLook w:val="0000" w:firstRow="0" w:lastRow="0" w:firstColumn="0" w:lastColumn="0" w:noHBand="0" w:noVBand="0"/>
      </w:tblPr>
      <w:tblGrid>
        <w:gridCol w:w="816"/>
        <w:gridCol w:w="7089"/>
        <w:gridCol w:w="1446"/>
      </w:tblGrid>
      <w:tr w:rsidR="00F44505">
        <w:trPr>
          <w:cantSplit/>
        </w:trPr>
        <w:tc>
          <w:tcPr>
            <w:tcW w:w="816" w:type="dxa"/>
            <w:tcBorders>
              <w:top w:val="single" w:sz="4" w:space="0" w:color="FF9900"/>
              <w:left w:val="single" w:sz="4" w:space="0" w:color="FF9900"/>
              <w:bottom w:val="nil"/>
              <w:right w:val="nil"/>
            </w:tcBorders>
            <w:shd w:val="clear" w:color="auto" w:fill="FFFFFF"/>
            <w:vAlign w:val="center"/>
          </w:tcPr>
          <w:p w:rsidR="00F44505" w:rsidRDefault="005A4789">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45110" cy="21780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5110" cy="217805"/>
                          </a:xfrm>
                          <a:prstGeom prst="rect">
                            <a:avLst/>
                          </a:prstGeom>
                          <a:noFill/>
                          <a:ln>
                            <a:noFill/>
                          </a:ln>
                        </pic:spPr>
                      </pic:pic>
                    </a:graphicData>
                  </a:graphic>
                </wp:inline>
              </w:drawing>
            </w:r>
          </w:p>
        </w:tc>
        <w:tc>
          <w:tcPr>
            <w:tcW w:w="7089" w:type="dxa"/>
            <w:tcBorders>
              <w:top w:val="single" w:sz="4" w:space="0" w:color="FF9900"/>
              <w:left w:val="nil"/>
              <w:bottom w:val="nil"/>
              <w:right w:val="nil"/>
            </w:tcBorders>
            <w:shd w:val="clear" w:color="auto" w:fill="FFFFFF"/>
            <w:vAlign w:val="center"/>
          </w:tcPr>
          <w:p w:rsidR="00F44505" w:rsidRDefault="00F44505">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Publication de la consultation</w:t>
            </w:r>
          </w:p>
        </w:tc>
        <w:tc>
          <w:tcPr>
            <w:tcW w:w="1446" w:type="dxa"/>
            <w:tcBorders>
              <w:top w:val="single" w:sz="4" w:space="0" w:color="FF9900"/>
              <w:left w:val="nil"/>
              <w:bottom w:val="nil"/>
              <w:right w:val="single" w:sz="4" w:space="0" w:color="FF9900"/>
            </w:tcBorders>
            <w:shd w:val="clear" w:color="auto" w:fill="FF9900"/>
            <w:vAlign w:val="center"/>
          </w:tcPr>
          <w:p w:rsidR="00F44505" w:rsidRDefault="00F44505">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août 2025</w:t>
            </w:r>
          </w:p>
        </w:tc>
      </w:tr>
      <w:tr w:rsidR="00F44505">
        <w:trPr>
          <w:cantSplit/>
        </w:trPr>
        <w:tc>
          <w:tcPr>
            <w:tcW w:w="816" w:type="dxa"/>
            <w:tcBorders>
              <w:top w:val="nil"/>
              <w:left w:val="single" w:sz="4" w:space="0" w:color="FF9900"/>
              <w:bottom w:val="nil"/>
              <w:right w:val="nil"/>
            </w:tcBorders>
            <w:shd w:val="clear" w:color="auto" w:fill="FFFFFF"/>
            <w:vAlign w:val="center"/>
          </w:tcPr>
          <w:p w:rsidR="00F44505" w:rsidRDefault="005A4789">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332105" cy="21780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2105" cy="217805"/>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F44505" w:rsidRDefault="00F44505">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Retrait du dossier de consultation, élaboration et remise de l’offre par le candidat</w:t>
            </w:r>
          </w:p>
        </w:tc>
        <w:tc>
          <w:tcPr>
            <w:tcW w:w="1446" w:type="dxa"/>
            <w:tcBorders>
              <w:top w:val="nil"/>
              <w:left w:val="nil"/>
              <w:bottom w:val="nil"/>
              <w:right w:val="single" w:sz="4" w:space="0" w:color="FF9900"/>
            </w:tcBorders>
            <w:shd w:val="clear" w:color="auto" w:fill="FF9900"/>
            <w:vAlign w:val="center"/>
          </w:tcPr>
          <w:p w:rsidR="00F44505" w:rsidRDefault="00F44505">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septembre 2025</w:t>
            </w:r>
          </w:p>
        </w:tc>
      </w:tr>
      <w:tr w:rsidR="00F44505">
        <w:trPr>
          <w:cantSplit/>
        </w:trPr>
        <w:tc>
          <w:tcPr>
            <w:tcW w:w="816" w:type="dxa"/>
            <w:tcBorders>
              <w:top w:val="nil"/>
              <w:left w:val="single" w:sz="4" w:space="0" w:color="FF9900"/>
              <w:bottom w:val="nil"/>
              <w:right w:val="nil"/>
            </w:tcBorders>
            <w:shd w:val="clear" w:color="auto" w:fill="FFFFFF"/>
            <w:vAlign w:val="center"/>
          </w:tcPr>
          <w:p w:rsidR="00F44505" w:rsidRDefault="005A4789">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34315" cy="23939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4315" cy="239395"/>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F44505" w:rsidRDefault="00F44505">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Ouverture des plis, examen des candidatures et des justificatifs</w:t>
            </w:r>
          </w:p>
        </w:tc>
        <w:tc>
          <w:tcPr>
            <w:tcW w:w="1446" w:type="dxa"/>
            <w:tcBorders>
              <w:top w:val="nil"/>
              <w:left w:val="nil"/>
              <w:bottom w:val="nil"/>
              <w:right w:val="single" w:sz="4" w:space="0" w:color="FF9900"/>
            </w:tcBorders>
            <w:shd w:val="clear" w:color="auto" w:fill="FF9900"/>
            <w:vAlign w:val="center"/>
          </w:tcPr>
          <w:p w:rsidR="00F44505" w:rsidRDefault="00F44505">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septembre 2025</w:t>
            </w:r>
          </w:p>
        </w:tc>
      </w:tr>
      <w:tr w:rsidR="00F44505">
        <w:trPr>
          <w:cantSplit/>
        </w:trPr>
        <w:tc>
          <w:tcPr>
            <w:tcW w:w="816" w:type="dxa"/>
            <w:tcBorders>
              <w:top w:val="nil"/>
              <w:left w:val="single" w:sz="4" w:space="0" w:color="FF9900"/>
              <w:bottom w:val="nil"/>
              <w:right w:val="nil"/>
            </w:tcBorders>
            <w:shd w:val="clear" w:color="auto" w:fill="FFFFFF"/>
            <w:vAlign w:val="center"/>
          </w:tcPr>
          <w:p w:rsidR="00F44505" w:rsidRDefault="005A4789">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304800" cy="31559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 cy="315595"/>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F44505" w:rsidRDefault="00F44505">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Analyse des offres, négociation, demandes de précisions éventuelles</w:t>
            </w:r>
          </w:p>
        </w:tc>
        <w:tc>
          <w:tcPr>
            <w:tcW w:w="1446" w:type="dxa"/>
            <w:tcBorders>
              <w:top w:val="nil"/>
              <w:left w:val="nil"/>
              <w:bottom w:val="nil"/>
              <w:right w:val="single" w:sz="4" w:space="0" w:color="FF9900"/>
            </w:tcBorders>
            <w:shd w:val="clear" w:color="auto" w:fill="FF9900"/>
            <w:vAlign w:val="center"/>
          </w:tcPr>
          <w:p w:rsidR="00F44505" w:rsidRDefault="00F44505">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septembre 2025</w:t>
            </w:r>
          </w:p>
        </w:tc>
      </w:tr>
      <w:tr w:rsidR="00F44505">
        <w:trPr>
          <w:cantSplit/>
        </w:trPr>
        <w:tc>
          <w:tcPr>
            <w:tcW w:w="816" w:type="dxa"/>
            <w:tcBorders>
              <w:top w:val="nil"/>
              <w:left w:val="single" w:sz="4" w:space="0" w:color="FF9900"/>
              <w:bottom w:val="nil"/>
              <w:right w:val="nil"/>
            </w:tcBorders>
            <w:shd w:val="clear" w:color="auto" w:fill="FFFFFF"/>
            <w:vAlign w:val="center"/>
          </w:tcPr>
          <w:p w:rsidR="00F44505" w:rsidRDefault="005A4789">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321310" cy="23939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1310" cy="239395"/>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F44505" w:rsidRDefault="00F44505">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Classement des offres et attribution du contrat</w:t>
            </w:r>
          </w:p>
        </w:tc>
        <w:tc>
          <w:tcPr>
            <w:tcW w:w="1446" w:type="dxa"/>
            <w:tcBorders>
              <w:top w:val="nil"/>
              <w:left w:val="nil"/>
              <w:bottom w:val="nil"/>
              <w:right w:val="single" w:sz="4" w:space="0" w:color="FF9900"/>
            </w:tcBorders>
            <w:shd w:val="clear" w:color="auto" w:fill="FF9900"/>
            <w:vAlign w:val="center"/>
          </w:tcPr>
          <w:p w:rsidR="00F44505" w:rsidRDefault="00F44505">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octobre 2025</w:t>
            </w:r>
          </w:p>
        </w:tc>
      </w:tr>
      <w:tr w:rsidR="00F44505">
        <w:trPr>
          <w:cantSplit/>
        </w:trPr>
        <w:tc>
          <w:tcPr>
            <w:tcW w:w="816" w:type="dxa"/>
            <w:tcBorders>
              <w:top w:val="nil"/>
              <w:left w:val="single" w:sz="4" w:space="0" w:color="FF9900"/>
              <w:bottom w:val="nil"/>
              <w:right w:val="nil"/>
            </w:tcBorders>
            <w:shd w:val="clear" w:color="auto" w:fill="FFFFFF"/>
            <w:vAlign w:val="center"/>
          </w:tcPr>
          <w:p w:rsidR="00F44505" w:rsidRDefault="005A4789">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39395" cy="21780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9395" cy="217805"/>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F44505" w:rsidRDefault="00F44505">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Information des candidats non retenus</w:t>
            </w:r>
          </w:p>
        </w:tc>
        <w:tc>
          <w:tcPr>
            <w:tcW w:w="1446" w:type="dxa"/>
            <w:tcBorders>
              <w:top w:val="nil"/>
              <w:left w:val="nil"/>
              <w:bottom w:val="nil"/>
              <w:right w:val="single" w:sz="4" w:space="0" w:color="FF9900"/>
            </w:tcBorders>
            <w:shd w:val="clear" w:color="auto" w:fill="FF9900"/>
            <w:vAlign w:val="center"/>
          </w:tcPr>
          <w:p w:rsidR="00F44505" w:rsidRDefault="00F44505">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octobre 2025</w:t>
            </w:r>
          </w:p>
        </w:tc>
      </w:tr>
      <w:tr w:rsidR="00F44505">
        <w:trPr>
          <w:cantSplit/>
        </w:trPr>
        <w:tc>
          <w:tcPr>
            <w:tcW w:w="816" w:type="dxa"/>
            <w:tcBorders>
              <w:top w:val="nil"/>
              <w:left w:val="single" w:sz="4" w:space="0" w:color="FF9900"/>
              <w:bottom w:val="nil"/>
              <w:right w:val="nil"/>
            </w:tcBorders>
            <w:shd w:val="clear" w:color="auto" w:fill="FFFFFF"/>
            <w:vAlign w:val="center"/>
          </w:tcPr>
          <w:p w:rsidR="00F44505" w:rsidRDefault="005A4789">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375285" cy="23939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5285" cy="239395"/>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F44505" w:rsidRDefault="00F44505">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Signature et notification du contrat</w:t>
            </w:r>
          </w:p>
        </w:tc>
        <w:tc>
          <w:tcPr>
            <w:tcW w:w="1446" w:type="dxa"/>
            <w:tcBorders>
              <w:top w:val="nil"/>
              <w:left w:val="nil"/>
              <w:bottom w:val="nil"/>
              <w:right w:val="single" w:sz="4" w:space="0" w:color="FF9900"/>
            </w:tcBorders>
            <w:shd w:val="clear" w:color="auto" w:fill="FF9900"/>
            <w:vAlign w:val="center"/>
          </w:tcPr>
          <w:p w:rsidR="00F44505" w:rsidRDefault="00F44505">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octobre 2025</w:t>
            </w:r>
          </w:p>
        </w:tc>
      </w:tr>
      <w:tr w:rsidR="00F44505">
        <w:trPr>
          <w:cantSplit/>
        </w:trPr>
        <w:tc>
          <w:tcPr>
            <w:tcW w:w="816" w:type="dxa"/>
            <w:tcBorders>
              <w:top w:val="nil"/>
              <w:left w:val="single" w:sz="4" w:space="0" w:color="FF9900"/>
              <w:bottom w:val="single" w:sz="4" w:space="0" w:color="FF9900"/>
              <w:right w:val="nil"/>
            </w:tcBorders>
            <w:shd w:val="clear" w:color="auto" w:fill="FFFFFF"/>
            <w:vAlign w:val="center"/>
          </w:tcPr>
          <w:p w:rsidR="00F44505" w:rsidRDefault="005A4789">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39395" cy="34861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9395" cy="348615"/>
                          </a:xfrm>
                          <a:prstGeom prst="rect">
                            <a:avLst/>
                          </a:prstGeom>
                          <a:noFill/>
                          <a:ln>
                            <a:noFill/>
                          </a:ln>
                        </pic:spPr>
                      </pic:pic>
                    </a:graphicData>
                  </a:graphic>
                </wp:inline>
              </w:drawing>
            </w:r>
          </w:p>
        </w:tc>
        <w:tc>
          <w:tcPr>
            <w:tcW w:w="7089" w:type="dxa"/>
            <w:tcBorders>
              <w:top w:val="nil"/>
              <w:left w:val="nil"/>
              <w:bottom w:val="single" w:sz="4" w:space="0" w:color="FF9900"/>
              <w:right w:val="nil"/>
            </w:tcBorders>
            <w:shd w:val="clear" w:color="auto" w:fill="FFFFFF"/>
            <w:vAlign w:val="center"/>
          </w:tcPr>
          <w:p w:rsidR="00F44505" w:rsidRDefault="00F44505">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Démarrage des prestations</w:t>
            </w:r>
          </w:p>
        </w:tc>
        <w:tc>
          <w:tcPr>
            <w:tcW w:w="1446" w:type="dxa"/>
            <w:tcBorders>
              <w:top w:val="nil"/>
              <w:left w:val="nil"/>
              <w:bottom w:val="single" w:sz="4" w:space="0" w:color="FF9900"/>
              <w:right w:val="single" w:sz="4" w:space="0" w:color="FF9900"/>
            </w:tcBorders>
            <w:shd w:val="clear" w:color="auto" w:fill="FF9900"/>
            <w:vAlign w:val="center"/>
          </w:tcPr>
          <w:p w:rsidR="00F44505" w:rsidRDefault="00F44505">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octobre 2025</w:t>
            </w:r>
          </w:p>
        </w:tc>
      </w:tr>
    </w:tbl>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i/>
          <w:iCs/>
          <w:color w:val="000000"/>
          <w:sz w:val="16"/>
          <w:szCs w:val="16"/>
        </w:rPr>
        <w:t xml:space="preserve">*Ce planning est prévisionnel et ne saurait engager la responsabilité de l'acheteur en cas de décalage dans le </w:t>
      </w:r>
      <w:proofErr w:type="gramStart"/>
      <w:r>
        <w:rPr>
          <w:rFonts w:ascii="Arial" w:hAnsi="Arial" w:cs="Arial"/>
          <w:i/>
          <w:iCs/>
          <w:color w:val="000000"/>
          <w:sz w:val="16"/>
          <w:szCs w:val="16"/>
        </w:rPr>
        <w:t>temps  L'acheteur</w:t>
      </w:r>
      <w:proofErr w:type="gramEnd"/>
      <w:r>
        <w:rPr>
          <w:rFonts w:ascii="Arial" w:hAnsi="Arial" w:cs="Arial"/>
          <w:i/>
          <w:iCs/>
          <w:color w:val="000000"/>
          <w:sz w:val="16"/>
          <w:szCs w:val="16"/>
        </w:rPr>
        <w:t xml:space="preserve"> se laisse la possibilité de le modifier ou de l'ajuster si besoin.</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retrait du dossier de consultation :</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dossier de consultation est disponible de manière électronique sur le profil d’acheteur : </w:t>
      </w:r>
      <w:r>
        <w:rPr>
          <w:rFonts w:ascii="Arial" w:hAnsi="Arial" w:cs="Arial"/>
          <w:color w:val="2F5496"/>
          <w:sz w:val="20"/>
          <w:szCs w:val="20"/>
          <w:u w:val="single"/>
        </w:rPr>
        <w:t>https://www.marches-publics.gouv.fr/</w:t>
      </w:r>
      <w:r>
        <w:rPr>
          <w:rFonts w:ascii="Arial" w:hAnsi="Arial" w:cs="Arial"/>
          <w:color w:val="000000"/>
          <w:sz w:val="20"/>
          <w:szCs w:val="20"/>
        </w:rPr>
        <w:t>.</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Dossier de consultation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dossier de consultation contient les documents suivants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Acte d'engagement : un acte d'engagement par lot</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DPGF : Une DPGF par lot</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CCAP</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CCTP</w:t>
      </w:r>
    </w:p>
    <w:p w:rsidR="00F44505" w:rsidRDefault="00F44505" w:rsidP="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RC</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Cadre de réponse</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Plans</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Planning prévisionnel de l’opération</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lastRenderedPageBreak/>
        <w:t>Rapport de repérage amiante avant travaux.</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L’acheteur se réserve le droit d'envoyer au plus tard 6 jours avant la date limite de remise des offres (initiale ou modifiée) des modifications de détail sur le dossier de consultation. Les candidats devront alors répondre sur la base du dossier de consultation modifié.</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Visite des lieux :</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Les candidats doivent obligatoirement effectuer une visite du site de BUSSY-SAINT-GEORGES dans les conditions suivantes : </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Personne à contacter : Cédric LEMAGNEN - Conducteur de Travaux (07.63.88.66.27)</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Ou Laurent HUBER - Conducteur de travaux (06.30.00.10.28)</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Ou Emmanuelle HERMANN - Correspondante Immobilier du site de BUSSY (07.61.84.05.18)</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La prise de rendez-vous est obligatoirement pour l'organisation des visites durant la période de publication de la procédure.</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Une seule visite est réalisable par candidat. L'attestation de visite fournie dans le DCE devra être présentée au représentant de la CPAM 77 pour signature lors de la visite. Cette attestation de visite devra être jointe dans l'offre sous peine de voir l'offre rejetée.</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Les visites à l'improviste ne sont pas autorisées. </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photos sont autorisées, étant spécifié que l’usage de ces dernières en dehors du cadre de cette consultation est proscrit (usage commercial, communication à des tiers …).</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candidat prend connaissance du lieu et de toutes les mesures nécessaires à l’établissement de sa proposition financière. Après notification du marché, il ne peut arguer d’aucune difficulté liée à la configuration du lieu ou aux conditions d’accès au site pour justifier de « l’impossibilité d’exécution, d’un retard ou d’une plus-value ». </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Il est tenu lors de sa visite, de signaler au Pouvoir Adjudicateur, tout manquement, incohérence, et problème relatif au travaux décrit au présent marché.</w:t>
      </w:r>
    </w:p>
    <w:p w:rsidR="00F44505" w:rsidRPr="00F44505" w:rsidRDefault="00F44505" w:rsidP="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 de validité des offres :</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délai de validité des offres est de 120 jours à compter de la date limite de réception des offres.</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Communication et échanges d’informations par voie électronique :</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communications et échanges s'effectueront pendant toute la consultation par voie électronique par le biais du profil acheteur à l'adresse suivante : </w:t>
      </w:r>
      <w:r>
        <w:rPr>
          <w:rFonts w:ascii="Arial" w:hAnsi="Arial" w:cs="Arial"/>
          <w:color w:val="2F5496"/>
          <w:sz w:val="20"/>
          <w:szCs w:val="20"/>
          <w:u w:val="single"/>
        </w:rPr>
        <w:t>https://www.marches-publics.gouv.fr/</w:t>
      </w:r>
      <w:r>
        <w:rPr>
          <w:rFonts w:ascii="Arial" w:hAnsi="Arial" w:cs="Arial"/>
          <w:color w:val="000000"/>
          <w:sz w:val="20"/>
          <w:szCs w:val="20"/>
        </w:rPr>
        <w:t>.</w:t>
      </w:r>
    </w:p>
    <w:p w:rsidR="00F44505" w:rsidRDefault="00F44505">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PRÉSENTATION DES PROPOSITIONS</w:t>
      </w:r>
    </w:p>
    <w:p w:rsidR="00F44505" w:rsidRDefault="00F4450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Réponse et groupement :</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Aucune forme particulière de groupement n’est imposée après attribution.</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Variantes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w:t>
      </w:r>
      <w:r>
        <w:rPr>
          <w:rFonts w:ascii="Arial" w:hAnsi="Arial" w:cs="Arial"/>
          <w:b/>
          <w:bCs/>
          <w:color w:val="000000"/>
          <w:sz w:val="20"/>
          <w:szCs w:val="20"/>
        </w:rPr>
        <w:t>variantes à l’initiative des candidats</w:t>
      </w:r>
      <w:r>
        <w:rPr>
          <w:rFonts w:ascii="Arial" w:hAnsi="Arial" w:cs="Arial"/>
          <w:color w:val="000000"/>
          <w:sz w:val="20"/>
          <w:szCs w:val="20"/>
        </w:rPr>
        <w:t xml:space="preserve"> ne sont pas autorisées.</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Contenu des plis et conditions de participation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 l’appui de leur candidature, les candidats doivent fournir les documents suivants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6662"/>
      </w:tblGrid>
      <w:tr w:rsidR="00F44505">
        <w:trPr>
          <w:cantSplit/>
          <w:tblHeader/>
        </w:trPr>
        <w:tc>
          <w:tcPr>
            <w:tcW w:w="3085" w:type="dxa"/>
            <w:tcBorders>
              <w:top w:val="nil"/>
              <w:left w:val="nil"/>
              <w:bottom w:val="single" w:sz="4" w:space="0" w:color="D9D9D9"/>
              <w:right w:val="nil"/>
            </w:tcBorders>
            <w:shd w:val="clear" w:color="auto" w:fill="595959"/>
            <w:vAlign w:val="center"/>
          </w:tcPr>
          <w:p w:rsidR="00F44505" w:rsidRDefault="00F44505">
            <w:pPr>
              <w:keepLines/>
              <w:widowControl w:val="0"/>
              <w:autoSpaceDE w:val="0"/>
              <w:autoSpaceDN w:val="0"/>
              <w:adjustRightInd w:val="0"/>
              <w:spacing w:before="60" w:after="60" w:line="240" w:lineRule="auto"/>
              <w:ind w:left="108" w:right="103"/>
              <w:jc w:val="center"/>
              <w:rPr>
                <w:rFonts w:ascii="Arial" w:hAnsi="Arial" w:cs="Arial"/>
                <w:sz w:val="24"/>
                <w:szCs w:val="24"/>
              </w:rPr>
            </w:pPr>
            <w:r>
              <w:rPr>
                <w:rFonts w:ascii="Arial" w:hAnsi="Arial" w:cs="Arial"/>
                <w:color w:val="FFFFFF"/>
                <w:sz w:val="20"/>
                <w:szCs w:val="20"/>
              </w:rPr>
              <w:t>Document</w:t>
            </w:r>
          </w:p>
        </w:tc>
        <w:tc>
          <w:tcPr>
            <w:tcW w:w="6662" w:type="dxa"/>
            <w:tcBorders>
              <w:top w:val="nil"/>
              <w:left w:val="nil"/>
              <w:bottom w:val="single" w:sz="4" w:space="0" w:color="D9D9D9"/>
              <w:right w:val="nil"/>
            </w:tcBorders>
            <w:shd w:val="clear" w:color="auto" w:fill="595959"/>
          </w:tcPr>
          <w:p w:rsidR="00F44505" w:rsidRDefault="00F44505">
            <w:pPr>
              <w:keepLines/>
              <w:widowControl w:val="0"/>
              <w:autoSpaceDE w:val="0"/>
              <w:autoSpaceDN w:val="0"/>
              <w:adjustRightInd w:val="0"/>
              <w:spacing w:before="60" w:after="60" w:line="240" w:lineRule="auto"/>
              <w:ind w:left="113" w:right="101"/>
              <w:jc w:val="center"/>
              <w:rPr>
                <w:rFonts w:ascii="Arial" w:hAnsi="Arial" w:cs="Arial"/>
                <w:sz w:val="24"/>
                <w:szCs w:val="24"/>
              </w:rPr>
            </w:pPr>
            <w:r>
              <w:rPr>
                <w:rFonts w:ascii="Arial" w:hAnsi="Arial" w:cs="Arial"/>
                <w:color w:val="FFFFFF"/>
                <w:sz w:val="20"/>
                <w:szCs w:val="20"/>
              </w:rPr>
              <w:t>Descriptif</w:t>
            </w:r>
          </w:p>
        </w:tc>
      </w:tr>
      <w:tr w:rsidR="00F44505">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rsidR="00F44505" w:rsidRDefault="00F44505">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Situation juridique</w:t>
            </w:r>
          </w:p>
        </w:tc>
      </w:tr>
      <w:tr w:rsidR="00F44505">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Déclaration du candidat (DC2)</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Déclaration individuelle du candidat ou du membre du groupement (DC2 disponible sur le site du ministère de l'Economie et des Finances)</w:t>
            </w:r>
          </w:p>
        </w:tc>
      </w:tr>
      <w:tr w:rsidR="00F44505">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Formulaire DUME</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Document unique de marché européen au format .</w:t>
            </w:r>
            <w:proofErr w:type="spellStart"/>
            <w:r>
              <w:rPr>
                <w:rFonts w:ascii="Arial" w:hAnsi="Arial" w:cs="Arial"/>
                <w:i/>
                <w:iCs/>
                <w:color w:val="000000"/>
                <w:sz w:val="18"/>
                <w:szCs w:val="18"/>
              </w:rPr>
              <w:t>xml</w:t>
            </w:r>
            <w:proofErr w:type="spellEnd"/>
            <w:r>
              <w:rPr>
                <w:rFonts w:ascii="Arial" w:hAnsi="Arial" w:cs="Arial"/>
                <w:i/>
                <w:iCs/>
                <w:color w:val="000000"/>
                <w:sz w:val="18"/>
                <w:szCs w:val="18"/>
              </w:rPr>
              <w:t xml:space="preserve"> remis de manière dématérialisée lors du dépôt de pli sur le profil acheteur</w:t>
            </w:r>
          </w:p>
        </w:tc>
      </w:tr>
      <w:tr w:rsidR="00F44505">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Lettre de candidature (DC1)</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Lettre de candidature Habilitation du mandataire par ses cotraitants (DC1 disponible sur le site du ministère de l'Economie et des Finances)</w:t>
            </w:r>
          </w:p>
        </w:tc>
      </w:tr>
      <w:tr w:rsidR="00F44505">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rsidR="00F44505" w:rsidRDefault="00F44505">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Capacité économique et financière</w:t>
            </w:r>
          </w:p>
        </w:tc>
      </w:tr>
      <w:tr w:rsidR="00F44505">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Chiffre d'affaires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Déclaration concernant le chiffre d'affaires global et le chiffre d'affaires concernant les fournitures, services ou travaux objet du marché, réalisés au cours des trois derniers exercices disponibles</w:t>
            </w:r>
          </w:p>
        </w:tc>
      </w:tr>
      <w:tr w:rsidR="00F44505">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Risques professionnels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Déclaration appropriée de banques ou preuve d'une assurance pour les risques professionnels</w:t>
            </w:r>
          </w:p>
        </w:tc>
      </w:tr>
      <w:tr w:rsidR="00F44505">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rsidR="00F44505" w:rsidRDefault="00F44505">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Capacité technique et professionnelle : minima exigés</w:t>
            </w:r>
          </w:p>
        </w:tc>
      </w:tr>
      <w:tr w:rsidR="00F44505">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Moyens humains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Déclaration indiquant les effectifs moyens annuels du candidat et l'importance du personnel d'encadrement pour chacune des trois dernières années</w:t>
            </w:r>
          </w:p>
        </w:tc>
      </w:tr>
      <w:tr w:rsidR="00F44505">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Moyens techniques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Déclaration indiquant l'outillage, le matériel et l'équipement technique dont le candidat dispose pour la réalisation de marchés de même nature</w:t>
            </w:r>
          </w:p>
        </w:tc>
      </w:tr>
      <w:tr w:rsidR="00F44505">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Références travaux</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Liste des travaux exécutés (3 dernières années) avec attestations de bonne exécution pour les travaux les plus importants, montant, époque, lieu d'exécution et précisions s'ils ont été faits selon les règles de l'art et menés régulièrement à bonne fin</w:t>
            </w:r>
          </w:p>
        </w:tc>
      </w:tr>
      <w:tr w:rsidR="00F44505">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Certificats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Des certificats établis par des instituts ou services officiels chargés du contrôle de la qualité et habilités à attester la conformité des fournitures par des références à certaines spécifications techniques</w:t>
            </w:r>
          </w:p>
        </w:tc>
      </w:tr>
      <w:tr w:rsidR="00F44505">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Certificats de qualité</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Des certificats de qualité attestant que l'opérateur économique se conforme à certaines normes d'assurance de qualité, y compris en ce qui concerne l'accessibilité pour les personnes handicapées</w:t>
            </w:r>
          </w:p>
        </w:tc>
      </w:tr>
      <w:tr w:rsidR="00F44505">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Qualifications professionnelles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sz w:val="24"/>
                <w:szCs w:val="24"/>
              </w:rPr>
            </w:pPr>
            <w:bookmarkStart w:id="0" w:name="_GoBack"/>
            <w:r>
              <w:rPr>
                <w:rFonts w:ascii="Arial" w:hAnsi="Arial" w:cs="Arial"/>
                <w:i/>
                <w:iCs/>
                <w:color w:val="000000"/>
                <w:sz w:val="18"/>
                <w:szCs w:val="18"/>
              </w:rPr>
              <w:t>Certificats de qualifications professionnelles de type QUALIBAT. La preuve de la capacité du candidat peut être apportée par tout moyen (certificats d'identité professionnelle, références de travaux attestant de la compétence de l'opérateur à réaliser la prestation)</w:t>
            </w:r>
            <w:bookmarkEnd w:id="0"/>
          </w:p>
        </w:tc>
      </w:tr>
      <w:tr w:rsidR="00F44505">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rsidR="00F44505" w:rsidRDefault="00F44505">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Autres justificatifs</w:t>
            </w:r>
          </w:p>
        </w:tc>
      </w:tr>
      <w:tr w:rsidR="00F44505">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Cadre de mémoire technique</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i/>
                <w:iCs/>
                <w:color w:val="000000"/>
                <w:sz w:val="18"/>
                <w:szCs w:val="18"/>
              </w:rPr>
            </w:pPr>
            <w:r>
              <w:rPr>
                <w:rFonts w:ascii="Arial" w:hAnsi="Arial" w:cs="Arial"/>
                <w:i/>
                <w:iCs/>
                <w:color w:val="000000"/>
                <w:sz w:val="18"/>
                <w:szCs w:val="18"/>
              </w:rPr>
              <w:t>Le Cadre de mémoire technique est une pièce constitutive de l’offre</w:t>
            </w:r>
          </w:p>
        </w:tc>
      </w:tr>
    </w:tbl>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Présentation des documents :</w:t>
      </w:r>
      <w:r>
        <w:rPr>
          <w:rFonts w:ascii="Arial" w:hAnsi="Arial" w:cs="Arial"/>
          <w:color w:val="000000"/>
          <w:sz w:val="20"/>
          <w:szCs w:val="20"/>
        </w:rPr>
        <w:t xml:space="preserve"> le candidat devra présenter ces documents soit dans des fichiers distincts (exemple : DC1.pdf, DC2.pdf), soit dans un même document (exemple : candidature.pdf) avec un sommaire et les numéros de page détaillant le contenu du document.</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candidat peut remettre un document unique de marché européen (DUME)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outre, pour chaque sous-traitant mentionné dans l'offre, le candidat devra joindre :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les capacités professionnelles et financières du sous-traitant ;</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une déclaration du sous-traitant indiquant qu'il ne tombe pas sous le coup d'une interdiction d'accéder </w:t>
      </w:r>
      <w:r>
        <w:rPr>
          <w:rFonts w:ascii="Arial" w:hAnsi="Arial" w:cs="Arial"/>
          <w:color w:val="000000"/>
          <w:sz w:val="20"/>
          <w:szCs w:val="20"/>
        </w:rPr>
        <w:lastRenderedPageBreak/>
        <w:t>aux marchés publics.</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L’offre des candidats est composée des documents suivants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3076"/>
        <w:gridCol w:w="9"/>
        <w:gridCol w:w="6662"/>
      </w:tblGrid>
      <w:tr w:rsidR="00F44505">
        <w:trPr>
          <w:cantSplit/>
          <w:tblHeader/>
        </w:trPr>
        <w:tc>
          <w:tcPr>
            <w:tcW w:w="3076" w:type="dxa"/>
            <w:tcBorders>
              <w:top w:val="nil"/>
              <w:left w:val="nil"/>
              <w:bottom w:val="single" w:sz="4" w:space="0" w:color="D9D9D9"/>
              <w:right w:val="nil"/>
            </w:tcBorders>
            <w:shd w:val="clear" w:color="auto" w:fill="595959"/>
            <w:vAlign w:val="center"/>
          </w:tcPr>
          <w:p w:rsidR="00F44505" w:rsidRDefault="00F44505">
            <w:pPr>
              <w:keepLines/>
              <w:widowControl w:val="0"/>
              <w:autoSpaceDE w:val="0"/>
              <w:autoSpaceDN w:val="0"/>
              <w:adjustRightInd w:val="0"/>
              <w:spacing w:before="60" w:after="60" w:line="240" w:lineRule="auto"/>
              <w:ind w:left="108" w:right="92"/>
              <w:jc w:val="center"/>
              <w:rPr>
                <w:rFonts w:ascii="Arial" w:hAnsi="Arial" w:cs="Arial"/>
                <w:sz w:val="24"/>
                <w:szCs w:val="24"/>
              </w:rPr>
            </w:pPr>
            <w:r>
              <w:rPr>
                <w:rFonts w:ascii="Arial" w:hAnsi="Arial" w:cs="Arial"/>
                <w:color w:val="FFFFFF"/>
                <w:sz w:val="20"/>
                <w:szCs w:val="20"/>
              </w:rPr>
              <w:t>Document</w:t>
            </w:r>
          </w:p>
        </w:tc>
        <w:tc>
          <w:tcPr>
            <w:tcW w:w="6671" w:type="dxa"/>
            <w:gridSpan w:val="2"/>
            <w:tcBorders>
              <w:top w:val="nil"/>
              <w:left w:val="nil"/>
              <w:bottom w:val="single" w:sz="4" w:space="0" w:color="D9D9D9"/>
              <w:right w:val="nil"/>
            </w:tcBorders>
            <w:shd w:val="clear" w:color="auto" w:fill="595959"/>
          </w:tcPr>
          <w:p w:rsidR="00F44505" w:rsidRDefault="00F44505">
            <w:pPr>
              <w:keepLines/>
              <w:widowControl w:val="0"/>
              <w:autoSpaceDE w:val="0"/>
              <w:autoSpaceDN w:val="0"/>
              <w:adjustRightInd w:val="0"/>
              <w:spacing w:before="60" w:after="60" w:line="240" w:lineRule="auto"/>
              <w:ind w:left="124" w:right="81"/>
              <w:jc w:val="center"/>
              <w:rPr>
                <w:rFonts w:ascii="Arial" w:hAnsi="Arial" w:cs="Arial"/>
                <w:sz w:val="24"/>
                <w:szCs w:val="24"/>
              </w:rPr>
            </w:pPr>
            <w:r>
              <w:rPr>
                <w:rFonts w:ascii="Arial" w:hAnsi="Arial" w:cs="Arial"/>
                <w:color w:val="FFFFFF"/>
                <w:sz w:val="20"/>
                <w:szCs w:val="20"/>
              </w:rPr>
              <w:t>Descriptif</w:t>
            </w:r>
          </w:p>
        </w:tc>
      </w:tr>
      <w:tr w:rsidR="00F44505">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Acte d'engagement</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i/>
                <w:iCs/>
                <w:color w:val="000000"/>
                <w:sz w:val="18"/>
                <w:szCs w:val="18"/>
              </w:rPr>
            </w:pPr>
          </w:p>
        </w:tc>
      </w:tr>
      <w:tr w:rsidR="00F44505">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DPGF</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Décomposition du prix global et forfaitaire</w:t>
            </w:r>
          </w:p>
        </w:tc>
      </w:tr>
      <w:tr w:rsidR="00F44505">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Mémoire technique</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i/>
                <w:iCs/>
                <w:color w:val="000000"/>
                <w:sz w:val="18"/>
                <w:szCs w:val="18"/>
              </w:rPr>
            </w:pPr>
            <w:r>
              <w:rPr>
                <w:rFonts w:ascii="Arial" w:hAnsi="Arial" w:cs="Arial"/>
                <w:i/>
                <w:iCs/>
                <w:color w:val="000000"/>
                <w:sz w:val="18"/>
                <w:szCs w:val="18"/>
              </w:rPr>
              <w:t>Cadre de mémoire technique</w:t>
            </w:r>
          </w:p>
        </w:tc>
      </w:tr>
      <w:tr w:rsidR="00F44505">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color w:val="000000"/>
                <w:sz w:val="18"/>
                <w:szCs w:val="18"/>
              </w:rPr>
            </w:pPr>
            <w:r>
              <w:rPr>
                <w:rFonts w:ascii="Arial" w:hAnsi="Arial" w:cs="Arial"/>
                <w:color w:val="000000"/>
                <w:sz w:val="18"/>
                <w:szCs w:val="18"/>
              </w:rPr>
              <w:t>Attestation de visite</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i/>
                <w:iCs/>
                <w:color w:val="000000"/>
                <w:sz w:val="18"/>
                <w:szCs w:val="18"/>
              </w:rPr>
            </w:pPr>
            <w:r>
              <w:rPr>
                <w:rFonts w:ascii="Arial" w:hAnsi="Arial" w:cs="Arial"/>
                <w:i/>
                <w:iCs/>
                <w:color w:val="000000"/>
                <w:sz w:val="18"/>
                <w:szCs w:val="18"/>
              </w:rPr>
              <w:t>Datée et signée par le représentant du pouvoir adjudicateur</w:t>
            </w:r>
          </w:p>
        </w:tc>
      </w:tr>
      <w:tr w:rsidR="00F44505">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3"/>
              <w:rPr>
                <w:rFonts w:ascii="Arial" w:hAnsi="Arial" w:cs="Arial"/>
                <w:color w:val="000000"/>
                <w:sz w:val="18"/>
                <w:szCs w:val="18"/>
              </w:rPr>
            </w:pP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3" w:right="101"/>
              <w:rPr>
                <w:rFonts w:ascii="Arial" w:hAnsi="Arial" w:cs="Arial"/>
                <w:i/>
                <w:iCs/>
                <w:color w:val="000000"/>
                <w:sz w:val="18"/>
                <w:szCs w:val="18"/>
              </w:rPr>
            </w:pPr>
          </w:p>
        </w:tc>
      </w:tr>
    </w:tbl>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remise des offres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offres doivent être déposées avant les dates et heures limites indiquées en page de garde, de </w:t>
      </w:r>
      <w:r>
        <w:rPr>
          <w:rFonts w:ascii="Arial" w:hAnsi="Arial" w:cs="Arial"/>
          <w:b/>
          <w:bCs/>
          <w:color w:val="000000"/>
          <w:sz w:val="20"/>
          <w:szCs w:val="20"/>
        </w:rPr>
        <w:t>manière électronique</w:t>
      </w:r>
      <w:r>
        <w:rPr>
          <w:rFonts w:ascii="Arial" w:hAnsi="Arial" w:cs="Arial"/>
          <w:color w:val="000000"/>
          <w:sz w:val="20"/>
          <w:szCs w:val="20"/>
        </w:rPr>
        <w:t xml:space="preserve"> sur le profil d’acheteur : </w:t>
      </w:r>
      <w:r>
        <w:rPr>
          <w:rFonts w:ascii="Arial" w:hAnsi="Arial" w:cs="Arial"/>
          <w:color w:val="2F5496"/>
          <w:sz w:val="20"/>
          <w:szCs w:val="20"/>
          <w:u w:val="single"/>
        </w:rPr>
        <w:t>https://www.marches-publics.gouv.fr/</w:t>
      </w:r>
      <w:r>
        <w:rPr>
          <w:rFonts w:ascii="Arial" w:hAnsi="Arial" w:cs="Arial"/>
          <w:color w:val="000000"/>
          <w:sz w:val="20"/>
          <w:szCs w:val="20"/>
        </w:rPr>
        <w:t>.</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Les copies de sauvegarde et les éléments de la proposition qui ne peuvent être transmis par voie électronique doivent être adressés à :</w:t>
      </w:r>
    </w:p>
    <w:p w:rsidR="005A4789" w:rsidRDefault="005A478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A4789" w:rsidRPr="005A4789" w:rsidRDefault="005A4789" w:rsidP="005A4789">
      <w:pPr>
        <w:pBdr>
          <w:top w:val="single" w:sz="4" w:space="1" w:color="auto" w:shadow="1"/>
          <w:left w:val="single" w:sz="4" w:space="4" w:color="auto" w:shadow="1"/>
          <w:bottom w:val="single" w:sz="4" w:space="1" w:color="auto" w:shadow="1"/>
          <w:right w:val="single" w:sz="4" w:space="4" w:color="auto" w:shadow="1"/>
        </w:pBdr>
        <w:spacing w:before="240" w:after="0" w:line="240" w:lineRule="auto"/>
        <w:jc w:val="center"/>
        <w:rPr>
          <w:rFonts w:ascii="Arial" w:eastAsia="Times New Roman" w:hAnsi="Arial" w:cs="Arial"/>
          <w:sz w:val="20"/>
          <w:szCs w:val="20"/>
        </w:rPr>
      </w:pPr>
      <w:r w:rsidRPr="005A4789">
        <w:rPr>
          <w:rFonts w:ascii="Arial" w:eastAsia="Times New Roman" w:hAnsi="Arial" w:cs="Arial"/>
          <w:sz w:val="20"/>
          <w:szCs w:val="20"/>
        </w:rPr>
        <w:t>Caisse primaire d’Assurance Maladie de Seine et Marne</w:t>
      </w:r>
    </w:p>
    <w:p w:rsidR="005A4789" w:rsidRPr="005A4789" w:rsidRDefault="005A4789" w:rsidP="005A478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ascii="Arial" w:eastAsia="Times New Roman" w:hAnsi="Arial" w:cs="Arial"/>
          <w:sz w:val="20"/>
          <w:szCs w:val="20"/>
        </w:rPr>
      </w:pPr>
      <w:r w:rsidRPr="005A4789">
        <w:rPr>
          <w:rFonts w:ascii="Arial" w:eastAsia="Times New Roman" w:hAnsi="Arial" w:cs="Arial"/>
          <w:sz w:val="20"/>
          <w:szCs w:val="20"/>
        </w:rPr>
        <w:t>A l’attention du Responsable du Département Budget, Achats Marchés</w:t>
      </w:r>
    </w:p>
    <w:p w:rsidR="005A4789" w:rsidRPr="005A4789" w:rsidRDefault="005A4789" w:rsidP="005A478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ascii="Arial" w:eastAsia="Times New Roman" w:hAnsi="Arial" w:cs="Arial"/>
          <w:sz w:val="20"/>
          <w:szCs w:val="20"/>
        </w:rPr>
      </w:pPr>
      <w:r w:rsidRPr="005A4789">
        <w:rPr>
          <w:rFonts w:ascii="Arial" w:eastAsia="Times New Roman" w:hAnsi="Arial" w:cs="Arial"/>
          <w:sz w:val="20"/>
          <w:szCs w:val="20"/>
        </w:rPr>
        <w:t>77605 MARNE LA VALLEE CEDEX 03</w:t>
      </w:r>
    </w:p>
    <w:p w:rsidR="005A4789" w:rsidRPr="005A4789" w:rsidRDefault="005A4789" w:rsidP="005A478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ascii="Arial" w:eastAsia="Times New Roman" w:hAnsi="Arial" w:cs="Arial"/>
          <w:sz w:val="20"/>
          <w:szCs w:val="20"/>
        </w:rPr>
      </w:pPr>
      <w:r w:rsidRPr="005A4789">
        <w:rPr>
          <w:rFonts w:ascii="Arial" w:eastAsia="Times New Roman" w:hAnsi="Arial" w:cs="Arial"/>
          <w:sz w:val="20"/>
          <w:szCs w:val="20"/>
        </w:rPr>
        <w:t>« NE PAS OUVRIR PAR LE COURRIER GENERAL »</w:t>
      </w:r>
    </w:p>
    <w:p w:rsidR="005A4789" w:rsidRPr="005A4789" w:rsidRDefault="005A4789" w:rsidP="005A4789">
      <w:pPr>
        <w:pBdr>
          <w:top w:val="single" w:sz="4" w:space="1" w:color="auto" w:shadow="1"/>
          <w:left w:val="single" w:sz="4" w:space="4" w:color="auto" w:shadow="1"/>
          <w:bottom w:val="single" w:sz="4" w:space="1" w:color="auto" w:shadow="1"/>
          <w:right w:val="single" w:sz="4" w:space="4" w:color="auto" w:shadow="1"/>
        </w:pBdr>
        <w:spacing w:after="0" w:line="240" w:lineRule="auto"/>
        <w:rPr>
          <w:rFonts w:ascii="Arial" w:eastAsia="Times New Roman" w:hAnsi="Arial" w:cs="Arial"/>
          <w:sz w:val="20"/>
          <w:szCs w:val="20"/>
        </w:rPr>
      </w:pPr>
    </w:p>
    <w:p w:rsidR="005A4789" w:rsidRPr="005A4789" w:rsidRDefault="005A4789" w:rsidP="005A478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ascii="Arial" w:eastAsia="Times New Roman" w:hAnsi="Arial" w:cs="Arial"/>
          <w:sz w:val="20"/>
          <w:szCs w:val="20"/>
        </w:rPr>
      </w:pPr>
      <w:r w:rsidRPr="005A4789">
        <w:rPr>
          <w:rFonts w:ascii="Arial" w:eastAsia="Times New Roman" w:hAnsi="Arial" w:cs="Arial"/>
          <w:sz w:val="20"/>
          <w:szCs w:val="20"/>
        </w:rPr>
        <w:t>Marché n°2025PA007</w:t>
      </w:r>
    </w:p>
    <w:p w:rsidR="005A4789" w:rsidRPr="005A4789" w:rsidRDefault="005A4789" w:rsidP="005A4789">
      <w:pPr>
        <w:pBdr>
          <w:top w:val="single" w:sz="4" w:space="1" w:color="auto" w:shadow="1"/>
          <w:left w:val="single" w:sz="4" w:space="4" w:color="auto" w:shadow="1"/>
          <w:bottom w:val="single" w:sz="4" w:space="1" w:color="auto" w:shadow="1"/>
          <w:right w:val="single" w:sz="4" w:space="4" w:color="auto" w:shadow="1"/>
        </w:pBdr>
        <w:spacing w:after="240" w:line="240" w:lineRule="auto"/>
        <w:jc w:val="center"/>
        <w:rPr>
          <w:rFonts w:ascii="Arial" w:eastAsia="Times New Roman" w:hAnsi="Arial" w:cs="Arial"/>
          <w:sz w:val="20"/>
          <w:szCs w:val="20"/>
        </w:rPr>
      </w:pPr>
      <w:r w:rsidRPr="005A4789">
        <w:rPr>
          <w:rFonts w:ascii="Arial" w:eastAsia="Times New Roman" w:hAnsi="Arial" w:cs="Arial"/>
          <w:sz w:val="20"/>
          <w:szCs w:val="20"/>
        </w:rPr>
        <w:t>Travaux de réaménagement du bâtiment de Bussy Saint Georges</w:t>
      </w:r>
    </w:p>
    <w:p w:rsidR="005A4789" w:rsidRPr="005A4789" w:rsidRDefault="005A4789" w:rsidP="005A4789">
      <w:pPr>
        <w:pBdr>
          <w:top w:val="single" w:sz="4" w:space="1" w:color="auto" w:shadow="1"/>
          <w:left w:val="single" w:sz="4" w:space="4" w:color="auto" w:shadow="1"/>
          <w:bottom w:val="single" w:sz="4" w:space="1" w:color="auto" w:shadow="1"/>
          <w:right w:val="single" w:sz="4" w:space="4" w:color="auto" w:shadow="1"/>
        </w:pBdr>
        <w:spacing w:after="240" w:line="240" w:lineRule="auto"/>
        <w:jc w:val="center"/>
        <w:rPr>
          <w:rFonts w:ascii="Arial" w:eastAsia="Times New Roman" w:hAnsi="Arial" w:cs="Arial"/>
          <w:i/>
          <w:sz w:val="20"/>
          <w:szCs w:val="20"/>
          <w:u w:val="single"/>
        </w:rPr>
      </w:pPr>
      <w:r w:rsidRPr="005A4789">
        <w:rPr>
          <w:rFonts w:ascii="Arial" w:eastAsia="Times New Roman" w:hAnsi="Arial" w:cs="Arial"/>
          <w:i/>
          <w:sz w:val="20"/>
          <w:szCs w:val="20"/>
          <w:u w:val="single"/>
        </w:rPr>
        <w:t xml:space="preserve"> « Copie de sauvegarde »</w:t>
      </w:r>
    </w:p>
    <w:p w:rsidR="00F44505" w:rsidRDefault="005A478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r w:rsidRPr="00D57BB6">
        <w:rPr>
          <w:rFonts w:ascii="Arial" w:hAnsi="Arial" w:cs="Arial"/>
          <w:color w:val="000000"/>
          <w:sz w:val="20"/>
          <w:szCs w:val="20"/>
        </w:rPr>
        <w:t>Cette copie de sauvegarde reproduit l’intégralité du dossier original adressé à la personne publique. Elle peut être transmise sur support physique électronique (clé USB…) ou sur support papier</w:t>
      </w:r>
      <w:r>
        <w:rPr>
          <w:rFonts w:ascii="Arial" w:hAnsi="Arial" w:cs="Arial"/>
          <w:color w:val="000000"/>
          <w:sz w:val="20"/>
          <w:szCs w:val="20"/>
        </w:rPr>
        <w:t>.</w:t>
      </w:r>
    </w:p>
    <w:p w:rsidR="005A4789" w:rsidRDefault="005A4789" w:rsidP="005A4789">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propositions doivent être remises en euros et rédigées en langue française. Si les propositions sont rédigées dans une autre langue, elles doivent être accompagnées d'une traduction en français. </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propositions n'ont pas à être remises signées par les candidats. Le contrat sera signé par le seul attributaire par voie papier. Le candidat s’engage à ce que l’offre signée soit conforme à celle retenue par l’acheteur. Si le candidat ne respecte pas son engagement, son offre est rejetée et le contrat attribué au candidat classé en seconde position.</w:t>
      </w:r>
    </w:p>
    <w:p w:rsidR="00F44505" w:rsidRDefault="00F44505">
      <w:pPr>
        <w:widowControl w:val="0"/>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Régularisation des propositions :</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constatation que des pièces ou informations de candidature sont absentes ou incomplètes, l'acheteur se réserve la possibilité de demander aux candidats concernés de compléter leur dossier de candidature. </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L'acheteur se réserve la possibilité de demander aux candidats ayant remis une offre irrégulière de régulariser leur proposition, à condition qu'elle ne soit pas anormalement basse. Les justificatifs non substantiels manquants devront alors être fournis dans le délai fixé par l'acheteur à défaut de quoi l'offre du candidat sera définitivement rejetée. Cette régularisation ne peut avoir pour effet de modifier les caractéristiques substantielles des offres.</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D23F84" w:rsidRDefault="00D23F84">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F44505" w:rsidRDefault="00F44505">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lastRenderedPageBreak/>
        <w:t>JUGEMENT DES OFFRES ET ATTRIBUTION</w:t>
      </w:r>
    </w:p>
    <w:p w:rsidR="00F44505" w:rsidRDefault="00F4450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Critères de jugement des offres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xml:space="preserve">Les offres sont analysées et classées en fonction des critères suivants : </w:t>
      </w:r>
    </w:p>
    <w:p w:rsidR="00F44505" w:rsidRDefault="00F44505">
      <w:pPr>
        <w:widowControl w:val="0"/>
        <w:autoSpaceDE w:val="0"/>
        <w:autoSpaceDN w:val="0"/>
        <w:adjustRightInd w:val="0"/>
        <w:spacing w:after="0" w:line="240" w:lineRule="auto"/>
        <w:ind w:left="117" w:right="111"/>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077"/>
        <w:gridCol w:w="5670"/>
      </w:tblGrid>
      <w:tr w:rsidR="00F44505">
        <w:trPr>
          <w:cantSplit/>
          <w:tblHeader/>
        </w:trPr>
        <w:tc>
          <w:tcPr>
            <w:tcW w:w="4077" w:type="dxa"/>
            <w:tcBorders>
              <w:top w:val="nil"/>
              <w:left w:val="nil"/>
              <w:bottom w:val="single" w:sz="4" w:space="0" w:color="D9D9D9"/>
              <w:right w:val="nil"/>
            </w:tcBorders>
            <w:shd w:val="clear" w:color="auto" w:fill="595959"/>
            <w:vAlign w:val="center"/>
          </w:tcPr>
          <w:p w:rsidR="00F44505" w:rsidRDefault="00F44505">
            <w:pPr>
              <w:keepLines/>
              <w:widowControl w:val="0"/>
              <w:autoSpaceDE w:val="0"/>
              <w:autoSpaceDN w:val="0"/>
              <w:adjustRightInd w:val="0"/>
              <w:spacing w:before="60" w:after="60" w:line="240" w:lineRule="auto"/>
              <w:ind w:left="108" w:right="91"/>
              <w:jc w:val="center"/>
              <w:rPr>
                <w:rFonts w:ascii="Arial" w:hAnsi="Arial" w:cs="Arial"/>
                <w:sz w:val="24"/>
                <w:szCs w:val="24"/>
              </w:rPr>
            </w:pPr>
            <w:r>
              <w:rPr>
                <w:rFonts w:ascii="Arial" w:hAnsi="Arial" w:cs="Arial"/>
                <w:color w:val="FFFFFF"/>
                <w:sz w:val="20"/>
                <w:szCs w:val="20"/>
              </w:rPr>
              <w:t>Critère et pondération</w:t>
            </w:r>
          </w:p>
        </w:tc>
        <w:tc>
          <w:tcPr>
            <w:tcW w:w="5670" w:type="dxa"/>
            <w:tcBorders>
              <w:top w:val="nil"/>
              <w:left w:val="nil"/>
              <w:bottom w:val="single" w:sz="4" w:space="0" w:color="D9D9D9"/>
              <w:right w:val="nil"/>
            </w:tcBorders>
            <w:shd w:val="clear" w:color="auto" w:fill="595959"/>
          </w:tcPr>
          <w:p w:rsidR="00F44505" w:rsidRDefault="00F44505">
            <w:pPr>
              <w:keepLines/>
              <w:widowControl w:val="0"/>
              <w:autoSpaceDE w:val="0"/>
              <w:autoSpaceDN w:val="0"/>
              <w:adjustRightInd w:val="0"/>
              <w:spacing w:before="60" w:after="60" w:line="240" w:lineRule="auto"/>
              <w:ind w:left="125" w:right="81"/>
              <w:jc w:val="center"/>
              <w:rPr>
                <w:rFonts w:ascii="Arial" w:hAnsi="Arial" w:cs="Arial"/>
                <w:sz w:val="24"/>
                <w:szCs w:val="24"/>
              </w:rPr>
            </w:pPr>
            <w:r>
              <w:rPr>
                <w:rFonts w:ascii="Arial" w:hAnsi="Arial" w:cs="Arial"/>
                <w:color w:val="FFFFFF"/>
                <w:sz w:val="20"/>
                <w:szCs w:val="20"/>
              </w:rPr>
              <w:t>Descriptif</w:t>
            </w:r>
          </w:p>
        </w:tc>
      </w:tr>
      <w:tr w:rsidR="00F44505">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after="0" w:line="240" w:lineRule="auto"/>
              <w:ind w:left="108" w:right="91"/>
              <w:rPr>
                <w:rFonts w:ascii="Arial" w:hAnsi="Arial" w:cs="Arial"/>
                <w:sz w:val="24"/>
                <w:szCs w:val="24"/>
              </w:rPr>
            </w:pPr>
            <w:r>
              <w:rPr>
                <w:rFonts w:ascii="Arial" w:hAnsi="Arial" w:cs="Arial"/>
                <w:color w:val="000000"/>
                <w:sz w:val="18"/>
                <w:szCs w:val="18"/>
              </w:rPr>
              <w:t>1. Valeur technique (50 %)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after="0" w:line="240" w:lineRule="auto"/>
              <w:ind w:left="125" w:right="81"/>
              <w:rPr>
                <w:rFonts w:ascii="Arial" w:hAnsi="Arial" w:cs="Arial"/>
                <w:sz w:val="24"/>
                <w:szCs w:val="24"/>
              </w:rPr>
            </w:pPr>
            <w:r>
              <w:rPr>
                <w:rFonts w:ascii="Arial" w:hAnsi="Arial" w:cs="Arial"/>
                <w:color w:val="000000"/>
                <w:sz w:val="18"/>
                <w:szCs w:val="18"/>
              </w:rPr>
              <w:t xml:space="preserve">La valeur technique est appréciée au regard du contenu du mémoire technique </w:t>
            </w:r>
          </w:p>
        </w:tc>
      </w:tr>
      <w:tr w:rsidR="00F44505">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after="0" w:line="240" w:lineRule="auto"/>
              <w:ind w:left="675" w:right="91"/>
              <w:rPr>
                <w:rFonts w:ascii="Arial" w:hAnsi="Arial" w:cs="Arial"/>
                <w:sz w:val="24"/>
                <w:szCs w:val="24"/>
              </w:rPr>
            </w:pPr>
            <w:r>
              <w:rPr>
                <w:rFonts w:ascii="Arial" w:hAnsi="Arial" w:cs="Arial"/>
                <w:color w:val="000000"/>
                <w:sz w:val="16"/>
                <w:szCs w:val="16"/>
              </w:rPr>
              <w:t xml:space="preserve">- Moyens humains mis à </w:t>
            </w:r>
            <w:r w:rsidR="005A4789">
              <w:rPr>
                <w:rFonts w:ascii="Arial" w:hAnsi="Arial" w:cs="Arial"/>
                <w:color w:val="000000"/>
                <w:sz w:val="16"/>
                <w:szCs w:val="16"/>
              </w:rPr>
              <w:t>disposition</w:t>
            </w:r>
            <w:r>
              <w:rPr>
                <w:rFonts w:ascii="Arial" w:hAnsi="Arial" w:cs="Arial"/>
                <w:color w:val="000000"/>
                <w:sz w:val="16"/>
                <w:szCs w:val="16"/>
              </w:rPr>
              <w:t xml:space="preserve"> pour l'exécution du marché (40 %)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after="0" w:line="240" w:lineRule="auto"/>
              <w:ind w:left="450" w:right="81"/>
              <w:rPr>
                <w:rFonts w:ascii="Arial" w:hAnsi="Arial" w:cs="Arial"/>
                <w:color w:val="000000"/>
                <w:sz w:val="16"/>
                <w:szCs w:val="16"/>
              </w:rPr>
            </w:pPr>
          </w:p>
        </w:tc>
      </w:tr>
      <w:tr w:rsidR="00F44505">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after="0" w:line="240" w:lineRule="auto"/>
              <w:ind w:left="675" w:right="91"/>
              <w:rPr>
                <w:rFonts w:ascii="Arial" w:hAnsi="Arial" w:cs="Arial"/>
                <w:sz w:val="24"/>
                <w:szCs w:val="24"/>
              </w:rPr>
            </w:pPr>
            <w:r>
              <w:rPr>
                <w:rFonts w:ascii="Arial" w:hAnsi="Arial" w:cs="Arial"/>
                <w:color w:val="000000"/>
                <w:sz w:val="16"/>
                <w:szCs w:val="16"/>
              </w:rPr>
              <w:t>- Qualité des matériaux utilisés dans le cadre du marché (40 %)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after="0" w:line="240" w:lineRule="auto"/>
              <w:ind w:left="450" w:right="81"/>
              <w:rPr>
                <w:rFonts w:ascii="Arial" w:hAnsi="Arial" w:cs="Arial"/>
                <w:color w:val="000000"/>
                <w:sz w:val="16"/>
                <w:szCs w:val="16"/>
              </w:rPr>
            </w:pPr>
          </w:p>
        </w:tc>
      </w:tr>
      <w:tr w:rsidR="00F44505">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after="0" w:line="240" w:lineRule="auto"/>
              <w:ind w:left="675" w:right="91"/>
              <w:rPr>
                <w:rFonts w:ascii="Arial" w:hAnsi="Arial" w:cs="Arial"/>
                <w:sz w:val="24"/>
                <w:szCs w:val="24"/>
              </w:rPr>
            </w:pPr>
            <w:r>
              <w:rPr>
                <w:rFonts w:ascii="Arial" w:hAnsi="Arial" w:cs="Arial"/>
                <w:color w:val="000000"/>
                <w:sz w:val="16"/>
                <w:szCs w:val="16"/>
              </w:rPr>
              <w:t>- Références similaires sur des projets comparables (20 %)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after="0" w:line="240" w:lineRule="auto"/>
              <w:ind w:left="450" w:right="81"/>
              <w:rPr>
                <w:rFonts w:ascii="Arial" w:hAnsi="Arial" w:cs="Arial"/>
                <w:color w:val="000000"/>
                <w:sz w:val="16"/>
                <w:szCs w:val="16"/>
              </w:rPr>
            </w:pPr>
          </w:p>
        </w:tc>
      </w:tr>
      <w:tr w:rsidR="00F44505">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after="0" w:line="240" w:lineRule="auto"/>
              <w:ind w:left="108" w:right="91"/>
              <w:rPr>
                <w:rFonts w:ascii="Arial" w:hAnsi="Arial" w:cs="Arial"/>
                <w:sz w:val="24"/>
                <w:szCs w:val="24"/>
              </w:rPr>
            </w:pPr>
            <w:r>
              <w:rPr>
                <w:rFonts w:ascii="Arial" w:hAnsi="Arial" w:cs="Arial"/>
                <w:color w:val="000000"/>
                <w:sz w:val="18"/>
                <w:szCs w:val="18"/>
              </w:rPr>
              <w:t>2. Prix HT (40 %)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after="0" w:line="240" w:lineRule="auto"/>
              <w:ind w:left="125" w:right="81"/>
              <w:rPr>
                <w:rFonts w:ascii="Arial" w:hAnsi="Arial" w:cs="Arial"/>
                <w:sz w:val="24"/>
                <w:szCs w:val="24"/>
              </w:rPr>
            </w:pPr>
            <w:r>
              <w:rPr>
                <w:rFonts w:ascii="Arial" w:hAnsi="Arial" w:cs="Arial"/>
                <w:color w:val="000000"/>
                <w:sz w:val="18"/>
                <w:szCs w:val="18"/>
              </w:rPr>
              <w:t xml:space="preserve">Le critère prix sera calculé en prenant compte le montant global des prix en HT </w:t>
            </w:r>
          </w:p>
        </w:tc>
      </w:tr>
      <w:tr w:rsidR="00F44505">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after="0" w:line="240" w:lineRule="auto"/>
              <w:ind w:left="108" w:right="91"/>
              <w:rPr>
                <w:rFonts w:ascii="Arial" w:hAnsi="Arial" w:cs="Arial"/>
                <w:sz w:val="24"/>
                <w:szCs w:val="24"/>
              </w:rPr>
            </w:pPr>
            <w:r>
              <w:rPr>
                <w:rFonts w:ascii="Arial" w:hAnsi="Arial" w:cs="Arial"/>
                <w:color w:val="000000"/>
                <w:sz w:val="18"/>
                <w:szCs w:val="18"/>
              </w:rPr>
              <w:t>3. Performances en matière de protection de l'environnement (10 %)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after="0" w:line="240" w:lineRule="auto"/>
              <w:ind w:left="125" w:right="81"/>
              <w:rPr>
                <w:rFonts w:ascii="Arial" w:hAnsi="Arial" w:cs="Arial"/>
                <w:sz w:val="24"/>
                <w:szCs w:val="24"/>
              </w:rPr>
            </w:pPr>
            <w:r>
              <w:rPr>
                <w:rFonts w:ascii="Arial" w:hAnsi="Arial" w:cs="Arial"/>
                <w:color w:val="000000"/>
                <w:sz w:val="18"/>
                <w:szCs w:val="18"/>
              </w:rPr>
              <w:t xml:space="preserve">Les performances en matière de protection de l'environnement sont appréciées au regard du contenu du mémoire technique </w:t>
            </w:r>
          </w:p>
        </w:tc>
      </w:tr>
    </w:tbl>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606"/>
      </w:tblGrid>
      <w:tr w:rsidR="00F44505">
        <w:tc>
          <w:tcPr>
            <w:tcW w:w="9606" w:type="dxa"/>
            <w:tcBorders>
              <w:top w:val="nil"/>
              <w:left w:val="nil"/>
              <w:bottom w:val="nil"/>
              <w:right w:val="nil"/>
            </w:tcBorders>
            <w:shd w:val="clear" w:color="auto" w:fill="DADADA"/>
          </w:tcPr>
          <w:p w:rsidR="00F44505" w:rsidRDefault="00F44505">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8"/>
                <w:szCs w:val="8"/>
              </w:rPr>
            </w:pPr>
          </w:p>
          <w:p w:rsidR="00F44505" w:rsidRDefault="00F44505">
            <w:pPr>
              <w:keepLines/>
              <w:widowControl w:val="0"/>
              <w:tabs>
                <w:tab w:val="left" w:pos="392"/>
              </w:tabs>
              <w:autoSpaceDE w:val="0"/>
              <w:autoSpaceDN w:val="0"/>
              <w:adjustRightInd w:val="0"/>
              <w:spacing w:after="0" w:line="240" w:lineRule="auto"/>
              <w:ind w:left="108" w:right="102"/>
              <w:jc w:val="both"/>
              <w:rPr>
                <w:rFonts w:ascii="Arial" w:hAnsi="Arial" w:cs="Arial"/>
                <w:i/>
                <w:iCs/>
                <w:color w:val="000000"/>
                <w:sz w:val="16"/>
                <w:szCs w:val="16"/>
              </w:rPr>
            </w:pPr>
            <w:r>
              <w:rPr>
                <w:rFonts w:ascii="Arial" w:hAnsi="Arial" w:cs="Arial"/>
                <w:i/>
                <w:iCs/>
                <w:color w:val="000000"/>
                <w:sz w:val="16"/>
                <w:szCs w:val="16"/>
              </w:rPr>
              <w:t>Modalités de calcul des notes :</w:t>
            </w:r>
          </w:p>
          <w:p w:rsidR="00F44505" w:rsidRDefault="00F44505">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2"/>
                <w:szCs w:val="12"/>
              </w:rPr>
            </w:pPr>
          </w:p>
          <w:p w:rsidR="00F44505" w:rsidRDefault="00F44505">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Les sous-critères sont notés : </w:t>
            </w:r>
            <w:r>
              <w:rPr>
                <w:rFonts w:ascii="Arial" w:hAnsi="Arial" w:cs="Arial"/>
                <w:b/>
                <w:bCs/>
                <w:color w:val="000000"/>
                <w:sz w:val="16"/>
                <w:szCs w:val="16"/>
              </w:rPr>
              <w:t>Sur 20</w:t>
            </w:r>
            <w:r>
              <w:rPr>
                <w:rFonts w:ascii="Arial" w:hAnsi="Arial" w:cs="Arial"/>
                <w:color w:val="000000"/>
                <w:sz w:val="16"/>
                <w:szCs w:val="16"/>
              </w:rPr>
              <w:t xml:space="preserve">, la note pondérée est obtenue par multiplication du pourcentage de pondération. </w:t>
            </w:r>
          </w:p>
          <w:p w:rsidR="00F44505" w:rsidRDefault="00F44505">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Les critères sont notés : </w:t>
            </w:r>
            <w:r>
              <w:rPr>
                <w:rFonts w:ascii="Arial" w:hAnsi="Arial" w:cs="Arial"/>
                <w:b/>
                <w:bCs/>
                <w:color w:val="000000"/>
                <w:sz w:val="16"/>
                <w:szCs w:val="16"/>
              </w:rPr>
              <w:t>Sur 20</w:t>
            </w:r>
            <w:r>
              <w:rPr>
                <w:rFonts w:ascii="Arial" w:hAnsi="Arial" w:cs="Arial"/>
                <w:color w:val="000000"/>
                <w:sz w:val="16"/>
                <w:szCs w:val="16"/>
              </w:rPr>
              <w:t xml:space="preserve">, la note pondérée est obtenue par multiplication du pourcentage de pondération. </w:t>
            </w:r>
          </w:p>
          <w:p w:rsidR="00F44505" w:rsidRDefault="00F44505">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La note totale est notée : </w:t>
            </w:r>
            <w:r>
              <w:rPr>
                <w:rFonts w:ascii="Arial" w:hAnsi="Arial" w:cs="Arial"/>
                <w:b/>
                <w:bCs/>
                <w:color w:val="000000"/>
                <w:sz w:val="16"/>
                <w:szCs w:val="16"/>
              </w:rPr>
              <w:t>Sur 20</w:t>
            </w:r>
            <w:r>
              <w:rPr>
                <w:rFonts w:ascii="Arial" w:hAnsi="Arial" w:cs="Arial"/>
                <w:color w:val="000000"/>
                <w:sz w:val="16"/>
                <w:szCs w:val="16"/>
              </w:rPr>
              <w:t>.</w:t>
            </w:r>
          </w:p>
          <w:p w:rsidR="00F44505" w:rsidRDefault="00F44505">
            <w:pPr>
              <w:keepLines/>
              <w:widowControl w:val="0"/>
              <w:tabs>
                <w:tab w:val="left" w:pos="392"/>
              </w:tabs>
              <w:autoSpaceDE w:val="0"/>
              <w:autoSpaceDN w:val="0"/>
              <w:adjustRightInd w:val="0"/>
              <w:spacing w:after="0" w:line="240" w:lineRule="auto"/>
              <w:ind w:left="108" w:right="102"/>
              <w:jc w:val="both"/>
              <w:rPr>
                <w:rFonts w:ascii="Arial" w:hAnsi="Arial" w:cs="Arial"/>
                <w:sz w:val="24"/>
                <w:szCs w:val="24"/>
              </w:rPr>
            </w:pPr>
            <w:r>
              <w:rPr>
                <w:rFonts w:ascii="Arial" w:hAnsi="Arial" w:cs="Arial"/>
                <w:color w:val="000000"/>
                <w:sz w:val="8"/>
                <w:szCs w:val="8"/>
              </w:rPr>
              <w:t xml:space="preserve"> </w:t>
            </w:r>
          </w:p>
        </w:tc>
      </w:tr>
    </w:tbl>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Calibri" w:hAnsi="Calibri" w:cs="Calibri"/>
          <w:b/>
          <w:bCs/>
          <w:color w:val="595959"/>
          <w:sz w:val="16"/>
          <w:szCs w:val="16"/>
        </w:rPr>
        <w:t xml:space="preserve"> </w:t>
      </w:r>
    </w:p>
    <w:tbl>
      <w:tblPr>
        <w:tblW w:w="0" w:type="auto"/>
        <w:tblInd w:w="14" w:type="dxa"/>
        <w:tblLayout w:type="fixed"/>
        <w:tblCellMar>
          <w:left w:w="0" w:type="dxa"/>
          <w:right w:w="0" w:type="dxa"/>
        </w:tblCellMar>
        <w:tblLook w:val="0000" w:firstRow="0" w:lastRow="0" w:firstColumn="0" w:lastColumn="0" w:noHBand="0" w:noVBand="0"/>
      </w:tblPr>
      <w:tblGrid>
        <w:gridCol w:w="2376"/>
        <w:gridCol w:w="7371"/>
      </w:tblGrid>
      <w:tr w:rsidR="00F44505">
        <w:trPr>
          <w:cantSplit/>
          <w:tblHeader/>
        </w:trPr>
        <w:tc>
          <w:tcPr>
            <w:tcW w:w="9747" w:type="dxa"/>
            <w:gridSpan w:val="2"/>
            <w:tcBorders>
              <w:top w:val="single" w:sz="4" w:space="0" w:color="D9D9D9"/>
              <w:left w:val="single" w:sz="4" w:space="0" w:color="D9D9D9"/>
              <w:bottom w:val="single" w:sz="4" w:space="0" w:color="D9D9D9"/>
              <w:right w:val="single" w:sz="4" w:space="0" w:color="D9D9D9"/>
            </w:tcBorders>
            <w:shd w:val="clear" w:color="auto" w:fill="595959"/>
          </w:tcPr>
          <w:p w:rsidR="00F44505" w:rsidRDefault="00F44505">
            <w:pPr>
              <w:keepLines/>
              <w:widowControl w:val="0"/>
              <w:autoSpaceDE w:val="0"/>
              <w:autoSpaceDN w:val="0"/>
              <w:adjustRightInd w:val="0"/>
              <w:spacing w:before="60" w:after="60" w:line="240" w:lineRule="auto"/>
              <w:ind w:left="108" w:right="101"/>
              <w:rPr>
                <w:rFonts w:ascii="Arial" w:hAnsi="Arial" w:cs="Arial"/>
                <w:sz w:val="24"/>
                <w:szCs w:val="24"/>
              </w:rPr>
            </w:pPr>
            <w:r>
              <w:rPr>
                <w:rFonts w:ascii="Arial" w:hAnsi="Arial" w:cs="Arial"/>
                <w:b/>
                <w:bCs/>
                <w:color w:val="FFFFFF"/>
                <w:sz w:val="16"/>
                <w:szCs w:val="16"/>
              </w:rPr>
              <w:t>Les offres sont rejetées sans être classées dans les cas suivants :</w:t>
            </w:r>
          </w:p>
        </w:tc>
      </w:tr>
      <w:tr w:rsidR="00F44505">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hors délai</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Lorsque le pli est reçu par l’acheteur après la date et l’heure limite fixées dans la consultation.</w:t>
            </w:r>
          </w:p>
        </w:tc>
      </w:tr>
      <w:tr w:rsidR="00F44505">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anormalement basse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Le prix est manifestement sous-évalué, de nature à compromettre la bonne exécution du contrat, et le fournisseur n’apporte pas de justification du prix, notamment au regard du mode de fabrication, de la solution technique, de l’originalité, de la réglementation applicable ou d’une aide d’Etat. L’offre est rejetée en l'absence de justifications suffisantes après demande adressée par l'acheteur.</w:t>
            </w:r>
          </w:p>
        </w:tc>
      </w:tr>
      <w:tr w:rsidR="00F44505">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inappropriée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L’offre est sans rapport avec les besoins ou exigences exprimés par l’acheteur.</w:t>
            </w:r>
          </w:p>
        </w:tc>
      </w:tr>
      <w:tr w:rsidR="00F44505">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irrégulière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L’offre ne respecte pas les exigences formulées pour la consultation, est incomplète ou méconnaît la législation applicable en matière sociale ou environnementale, malgré une éventuelle demande de régularisation  ou négociation par l’acheteur.</w:t>
            </w:r>
          </w:p>
        </w:tc>
      </w:tr>
      <w:tr w:rsidR="00F44505">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inacceptable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Le prix excède les crédits budgétaires alloués par l’acheteur au contrat malgré une éventuelle demande de négociation.</w:t>
            </w:r>
          </w:p>
        </w:tc>
      </w:tr>
    </w:tbl>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Offres anormalement basses :</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aux articles R2152-3 à R2152-5 du Code de la commande publique, toute offre paraissant anormalement basse fera l’objet d’une demande de justification du prix ou des coûts proposés assortie d’un délai impératif de réponse. Après vérification des justificatifs fournis par le candidat concerné, l’offre sera soit maintenue dans l’analyse des offres, soit rejetée par décision motivée.</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Négociations :</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candidats sont invités à remettre d'emblée leur meilleure proposition. L'acheteur se réserve la possibilité d'engager des négociations dans les conditions suivantes :</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négociations sont destinées à améliorer la performance technique et économique des offres initiales, pour permettre de les adapter et dimensionner parfaitement aux besoins de l'acheteur. Les négociations pourront porter sur les caractéristiques techniques et financières des offres, ou sur certaines dispositions du cahier des charges. Elles ne pourront pas porter sur l’objet du contrat, ses caractéristiques substantielles ni les critères d'attribution.</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Les négociations seront engagées avec les 3 candidats les mieux classés (sous réserve d'un nombre suffisant d'offres conformes) à l'issue de l'analyse des offres initiales. Les candidats en seront avisés par </w:t>
      </w:r>
      <w:r>
        <w:rPr>
          <w:rFonts w:ascii="Arial" w:hAnsi="Arial" w:cs="Arial"/>
          <w:color w:val="000000"/>
          <w:sz w:val="20"/>
          <w:szCs w:val="20"/>
        </w:rPr>
        <w:lastRenderedPageBreak/>
        <w:t xml:space="preserve">écrit. Les négociations se dérouleront en autant de tours que nécessaire. </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négociations seront conduites dans le respect des principes d'égalité de traitement des candidats et de confidentialité des offres. Les négociations seront conduites par tout moyen (profil acheteur, entretien, téléphone, courriel). Les échanges résultant de la négociation seront formalisés par écrit. A l'achèvement des négociations, les offres négociées feront l'objet d'un dernier classement.</w:t>
      </w:r>
    </w:p>
    <w:p w:rsidR="00F44505" w:rsidRDefault="00F4450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Toutefois l’acheteur pourra attribuer le contrat sur la base des offres initiales sans négociation.</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Documents à produire par l’attributaire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candidat retenu ne saurait être désigné définitivement comme titulaire qu’à la condition de produire dans un délai imparti les documents justificatifs requis par l’acheteur et exigés par la réglementation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3088"/>
        <w:gridCol w:w="6659"/>
      </w:tblGrid>
      <w:tr w:rsidR="00F44505">
        <w:trPr>
          <w:cantSplit/>
          <w:tblHeader/>
        </w:trPr>
        <w:tc>
          <w:tcPr>
            <w:tcW w:w="3088" w:type="dxa"/>
            <w:tcBorders>
              <w:top w:val="nil"/>
              <w:left w:val="nil"/>
              <w:bottom w:val="single" w:sz="4" w:space="0" w:color="D9D9D9"/>
              <w:right w:val="nil"/>
            </w:tcBorders>
            <w:shd w:val="clear" w:color="auto" w:fill="595959"/>
            <w:vAlign w:val="center"/>
          </w:tcPr>
          <w:p w:rsidR="00F44505" w:rsidRDefault="00F44505">
            <w:pPr>
              <w:keepLines/>
              <w:widowControl w:val="0"/>
              <w:autoSpaceDE w:val="0"/>
              <w:autoSpaceDN w:val="0"/>
              <w:adjustRightInd w:val="0"/>
              <w:spacing w:before="60" w:after="60" w:line="240" w:lineRule="auto"/>
              <w:ind w:left="108" w:right="100"/>
              <w:jc w:val="center"/>
              <w:rPr>
                <w:rFonts w:ascii="Arial" w:hAnsi="Arial" w:cs="Arial"/>
                <w:sz w:val="24"/>
                <w:szCs w:val="24"/>
              </w:rPr>
            </w:pPr>
            <w:r>
              <w:rPr>
                <w:rFonts w:ascii="Arial" w:hAnsi="Arial" w:cs="Arial"/>
                <w:color w:val="FFFFFF"/>
                <w:sz w:val="20"/>
                <w:szCs w:val="20"/>
              </w:rPr>
              <w:t>Document</w:t>
            </w:r>
          </w:p>
        </w:tc>
        <w:tc>
          <w:tcPr>
            <w:tcW w:w="6659" w:type="dxa"/>
            <w:tcBorders>
              <w:top w:val="nil"/>
              <w:left w:val="nil"/>
              <w:bottom w:val="single" w:sz="4" w:space="0" w:color="D9D9D9"/>
              <w:right w:val="nil"/>
            </w:tcBorders>
            <w:shd w:val="clear" w:color="auto" w:fill="595959"/>
          </w:tcPr>
          <w:p w:rsidR="00F44505" w:rsidRDefault="00F44505">
            <w:pPr>
              <w:keepLines/>
              <w:widowControl w:val="0"/>
              <w:autoSpaceDE w:val="0"/>
              <w:autoSpaceDN w:val="0"/>
              <w:adjustRightInd w:val="0"/>
              <w:spacing w:before="60" w:after="60" w:line="240" w:lineRule="auto"/>
              <w:ind w:left="116" w:right="81"/>
              <w:jc w:val="center"/>
              <w:rPr>
                <w:rFonts w:ascii="Arial" w:hAnsi="Arial" w:cs="Arial"/>
                <w:sz w:val="24"/>
                <w:szCs w:val="24"/>
              </w:rPr>
            </w:pPr>
            <w:r>
              <w:rPr>
                <w:rFonts w:ascii="Arial" w:hAnsi="Arial" w:cs="Arial"/>
                <w:color w:val="FFFFFF"/>
                <w:sz w:val="20"/>
                <w:szCs w:val="20"/>
              </w:rPr>
              <w:t>Descriptif</w:t>
            </w:r>
          </w:p>
        </w:tc>
      </w:tr>
      <w:tr w:rsidR="00F44505">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Attestation de salariés étrangers</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Liste nominative des salariés étrangers employés et soumis à l'autorisation de travail prévue à l'article L5221-2 du Code du travail. Cette liste, établie à partir du registre unique du personnel, précise pour chaque salarié : 1° Sa date d'embauche ; 2° Sa nationalité ; 3° Le type et le numéro d'ordre du titre valant autorisation de travail</w:t>
            </w:r>
          </w:p>
        </w:tc>
      </w:tr>
      <w:tr w:rsidR="00F44505">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fiscale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Attestation délivrée par la DGFIP certifiant de la régularité de la situation de l'attributaire au regard de ses obligations fiscales</w:t>
            </w:r>
          </w:p>
        </w:tc>
      </w:tr>
      <w:tr w:rsidR="00F44505">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sociale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Attestation délivrée par l'URSSAF ou par d'autres organismes sociaux selon l'entreprise</w:t>
            </w:r>
          </w:p>
        </w:tc>
      </w:tr>
      <w:tr w:rsidR="00F44505">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Extrait KBIS</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 xml:space="preserve">Extrait K, extrait KBIS, extrait D1 ou tout document équivalent délivré par l'autorité judiciaire ou </w:t>
            </w:r>
            <w:r w:rsidR="009E19AE">
              <w:rPr>
                <w:rFonts w:ascii="Arial" w:hAnsi="Arial" w:cs="Arial"/>
                <w:color w:val="000000"/>
                <w:sz w:val="18"/>
                <w:szCs w:val="18"/>
              </w:rPr>
              <w:t>administrative</w:t>
            </w:r>
            <w:r>
              <w:rPr>
                <w:rFonts w:ascii="Arial" w:hAnsi="Arial" w:cs="Arial"/>
                <w:color w:val="000000"/>
                <w:sz w:val="18"/>
                <w:szCs w:val="18"/>
              </w:rPr>
              <w:t xml:space="preserve"> compétente du pays d'origine ou d'établissement du candidat attestant de l'absence de cas d'exclusion</w:t>
            </w:r>
          </w:p>
        </w:tc>
      </w:tr>
      <w:tr w:rsidR="00F44505">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Redressement judiciaire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F44505" w:rsidRDefault="00F44505">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Copie du ou des jugements prononcés en cas de redressement judiciaire</w:t>
            </w:r>
          </w:p>
        </w:tc>
      </w:tr>
    </w:tbl>
    <w:p w:rsidR="00F44505" w:rsidRDefault="00F44505">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RENSEIGNEMENTS COMPLÉMENTAIRES</w:t>
      </w:r>
    </w:p>
    <w:p w:rsidR="00F44505" w:rsidRDefault="00F4450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Pour obtenir tous renseignements complémentaires qui leur seraient nécessaires au cours de leur étude, les candidats font parvenir leur demande au plus tard 8 jours avant la date limite de remise des offres leurs questions par voie électronique sur le profil acheteur </w:t>
      </w:r>
      <w:r>
        <w:rPr>
          <w:rFonts w:ascii="Arial" w:hAnsi="Arial" w:cs="Arial"/>
          <w:b/>
          <w:bCs/>
          <w:color w:val="2F5496"/>
          <w:sz w:val="20"/>
          <w:szCs w:val="20"/>
          <w:u w:val="single"/>
        </w:rPr>
        <w:t>https://www.marches-publics.gouv.fr/</w:t>
      </w:r>
      <w:r>
        <w:rPr>
          <w:rFonts w:ascii="Arial" w:hAnsi="Arial" w:cs="Arial"/>
          <w:color w:val="000000"/>
          <w:sz w:val="20"/>
          <w:szCs w:val="20"/>
        </w:rPr>
        <w:t xml:space="preserve">. La réponse est adressée au plus tard 6 jours avant la date limite de remise des offres à tous les candidats ayant téléchargé le dossier de consultation sous réserve d’avoir indiqué un courriel valide.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Voies et délais de recours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contentieux ouverts aux candidats sont les suivants :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Référé précontractuel avant la signature du contrat (articles L.551-1 à 12 du Code de Justice Administrative)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peuvent être déposés sur </w:t>
      </w:r>
      <w:hyperlink r:id="rId27" w:tgtFrame="_blank" w:history="1">
        <w:r>
          <w:rPr>
            <w:rFonts w:ascii="Arial" w:hAnsi="Arial" w:cs="Arial"/>
            <w:color w:val="0563C1"/>
            <w:sz w:val="20"/>
            <w:szCs w:val="20"/>
            <w:u w:val="single"/>
          </w:rPr>
          <w:t>https://www.telerecours.fr/</w:t>
        </w:r>
      </w:hyperlink>
      <w:r>
        <w:rPr>
          <w:rFonts w:ascii="Arial" w:hAnsi="Arial" w:cs="Arial"/>
          <w:color w:val="000000"/>
          <w:sz w:val="20"/>
          <w:szCs w:val="20"/>
        </w:rPr>
        <w:t xml:space="preserve"> ou adressés par courrier à : </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8"/>
          <w:szCs w:val="8"/>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Tribunal judiciaire de Seine et Marne</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2 Avenue du Général Leclerc</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77000 MELUN</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lastRenderedPageBreak/>
        <w:t>Téléphone : 01 64 79 80 00</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Courriel : tj1-melun@justice.fr</w:t>
      </w:r>
    </w:p>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Site internet : http://www.justice.gouv.fr/</w:t>
      </w: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1"/>
        <w:gridCol w:w="8808"/>
      </w:tblGrid>
      <w:tr w:rsidR="00F44505">
        <w:tc>
          <w:tcPr>
            <w:tcW w:w="441" w:type="dxa"/>
            <w:tcBorders>
              <w:top w:val="nil"/>
              <w:left w:val="nil"/>
              <w:bottom w:val="nil"/>
              <w:right w:val="nil"/>
            </w:tcBorders>
            <w:shd w:val="clear" w:color="auto" w:fill="DADADA"/>
            <w:vAlign w:val="center"/>
          </w:tcPr>
          <w:p w:rsidR="00F44505" w:rsidRDefault="005A4789">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noProof/>
                <w:sz w:val="24"/>
                <w:szCs w:val="24"/>
              </w:rPr>
              <w:drawing>
                <wp:inline distT="0" distB="0" distL="0" distR="0">
                  <wp:extent cx="108585" cy="1143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8585" cy="114300"/>
                          </a:xfrm>
                          <a:prstGeom prst="rect">
                            <a:avLst/>
                          </a:prstGeom>
                          <a:noFill/>
                          <a:ln>
                            <a:noFill/>
                          </a:ln>
                        </pic:spPr>
                      </pic:pic>
                    </a:graphicData>
                  </a:graphic>
                </wp:inline>
              </w:drawing>
            </w:r>
          </w:p>
        </w:tc>
        <w:tc>
          <w:tcPr>
            <w:tcW w:w="8808" w:type="dxa"/>
            <w:tcBorders>
              <w:top w:val="nil"/>
              <w:left w:val="nil"/>
              <w:bottom w:val="nil"/>
              <w:right w:val="nil"/>
            </w:tcBorders>
            <w:shd w:val="clear" w:color="auto" w:fill="DADADA"/>
            <w:vAlign w:val="center"/>
          </w:tcPr>
          <w:p w:rsidR="00F44505" w:rsidRDefault="00F44505">
            <w:pPr>
              <w:widowControl w:val="0"/>
              <w:tabs>
                <w:tab w:val="left" w:pos="392"/>
              </w:tabs>
              <w:autoSpaceDE w:val="0"/>
              <w:autoSpaceDN w:val="0"/>
              <w:adjustRightInd w:val="0"/>
              <w:spacing w:after="0" w:line="240" w:lineRule="auto"/>
              <w:ind w:left="109" w:right="99"/>
              <w:rPr>
                <w:rFonts w:ascii="Arial" w:hAnsi="Arial" w:cs="Arial"/>
                <w:sz w:val="24"/>
                <w:szCs w:val="24"/>
              </w:rPr>
            </w:pPr>
            <w:r>
              <w:rPr>
                <w:rFonts w:ascii="Arial" w:hAnsi="Arial" w:cs="Arial"/>
                <w:b/>
                <w:bCs/>
                <w:color w:val="000000"/>
                <w:sz w:val="16"/>
                <w:szCs w:val="16"/>
              </w:rPr>
              <w:t>Documents et liens utiles (versions en vigueur à la date du lancement de la consultation) :</w:t>
            </w:r>
          </w:p>
        </w:tc>
      </w:tr>
      <w:tr w:rsidR="00F44505">
        <w:tc>
          <w:tcPr>
            <w:tcW w:w="441" w:type="dxa"/>
            <w:tcBorders>
              <w:top w:val="nil"/>
              <w:left w:val="nil"/>
              <w:bottom w:val="nil"/>
              <w:right w:val="nil"/>
            </w:tcBorders>
            <w:shd w:val="clear" w:color="auto" w:fill="DADADA"/>
            <w:vAlign w:val="center"/>
          </w:tcPr>
          <w:p w:rsidR="00F44505" w:rsidRDefault="00F44505">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tcBorders>
              <w:top w:val="nil"/>
              <w:left w:val="nil"/>
              <w:bottom w:val="nil"/>
              <w:right w:val="nil"/>
            </w:tcBorders>
            <w:shd w:val="clear" w:color="auto" w:fill="DADADA"/>
            <w:vAlign w:val="center"/>
          </w:tcPr>
          <w:p w:rsidR="00F44505" w:rsidRDefault="004026AC">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29" w:tgtFrame="_blank" w:history="1">
              <w:r w:rsidR="00F44505">
                <w:rPr>
                  <w:rFonts w:ascii="Arial" w:hAnsi="Arial" w:cs="Arial"/>
                  <w:color w:val="0563C1"/>
                  <w:sz w:val="16"/>
                  <w:szCs w:val="16"/>
                  <w:u w:val="single"/>
                </w:rPr>
                <w:t>Code de la commande publique</w:t>
              </w:r>
            </w:hyperlink>
            <w:r w:rsidR="00F44505">
              <w:rPr>
                <w:rFonts w:ascii="Arial" w:hAnsi="Arial" w:cs="Arial"/>
                <w:color w:val="000000"/>
                <w:sz w:val="16"/>
                <w:szCs w:val="16"/>
              </w:rPr>
              <w:t xml:space="preserve"> et ses </w:t>
            </w:r>
            <w:hyperlink r:id="rId30" w:tgtFrame="_blank" w:history="1">
              <w:r w:rsidR="00F44505">
                <w:rPr>
                  <w:rFonts w:ascii="Arial" w:hAnsi="Arial" w:cs="Arial"/>
                  <w:color w:val="0563C1"/>
                  <w:sz w:val="16"/>
                  <w:szCs w:val="16"/>
                  <w:u w:val="single"/>
                </w:rPr>
                <w:t>annexes</w:t>
              </w:r>
            </w:hyperlink>
            <w:r w:rsidR="00F44505">
              <w:rPr>
                <w:rFonts w:ascii="Arial" w:hAnsi="Arial" w:cs="Arial"/>
                <w:color w:val="000000"/>
                <w:sz w:val="16"/>
                <w:szCs w:val="16"/>
              </w:rPr>
              <w:t xml:space="preserve"> (</w:t>
            </w:r>
            <w:proofErr w:type="spellStart"/>
            <w:r w:rsidR="00F44505">
              <w:rPr>
                <w:rFonts w:ascii="Arial" w:hAnsi="Arial" w:cs="Arial"/>
                <w:color w:val="000000"/>
                <w:sz w:val="16"/>
                <w:szCs w:val="16"/>
              </w:rPr>
              <w:t>Legifrance</w:t>
            </w:r>
            <w:proofErr w:type="spellEnd"/>
            <w:r w:rsidR="00F44505">
              <w:rPr>
                <w:rFonts w:ascii="Arial" w:hAnsi="Arial" w:cs="Arial"/>
                <w:color w:val="000000"/>
                <w:sz w:val="16"/>
                <w:szCs w:val="16"/>
              </w:rPr>
              <w:t>)</w:t>
            </w:r>
          </w:p>
          <w:p w:rsidR="00F44505" w:rsidRDefault="004026AC">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1" w:tgtFrame="_blank" w:history="1">
              <w:r w:rsidR="00F44505">
                <w:rPr>
                  <w:rFonts w:ascii="Arial" w:hAnsi="Arial" w:cs="Arial"/>
                  <w:color w:val="0563C1"/>
                  <w:sz w:val="16"/>
                  <w:szCs w:val="16"/>
                  <w:u w:val="single"/>
                </w:rPr>
                <w:t>Formulaires candidats (DAJ)</w:t>
              </w:r>
            </w:hyperlink>
          </w:p>
          <w:p w:rsidR="00F44505" w:rsidRDefault="004026AC">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2" w:tgtFrame="_blank" w:history="1">
              <w:r w:rsidR="00F44505">
                <w:rPr>
                  <w:rFonts w:ascii="Arial" w:hAnsi="Arial" w:cs="Arial"/>
                  <w:color w:val="0563C1"/>
                  <w:sz w:val="16"/>
                  <w:szCs w:val="16"/>
                  <w:u w:val="single"/>
                </w:rPr>
                <w:t>Médiateur des entreprises</w:t>
              </w:r>
            </w:hyperlink>
          </w:p>
          <w:p w:rsidR="00F44505" w:rsidRDefault="004026AC">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3" w:tgtFrame="_blank" w:history="1">
              <w:r w:rsidR="00F44505">
                <w:rPr>
                  <w:rFonts w:ascii="Arial" w:hAnsi="Arial" w:cs="Arial"/>
                  <w:color w:val="0563C1"/>
                  <w:sz w:val="16"/>
                  <w:szCs w:val="16"/>
                  <w:u w:val="single"/>
                </w:rPr>
                <w:t>CCAG Travaux du 30 mars 2021</w:t>
              </w:r>
            </w:hyperlink>
          </w:p>
          <w:p w:rsidR="00F44505" w:rsidRDefault="00F44505">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Pr>
                <w:rFonts w:ascii="Arial" w:hAnsi="Arial" w:cs="Arial"/>
                <w:color w:val="0563C1"/>
                <w:sz w:val="12"/>
                <w:szCs w:val="12"/>
              </w:rPr>
              <w:t xml:space="preserve"> </w:t>
            </w:r>
          </w:p>
        </w:tc>
      </w:tr>
    </w:tbl>
    <w:p w:rsidR="00F44505" w:rsidRDefault="00F4450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44505" w:rsidRDefault="00F4450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bookmarkStart w:id="1" w:name="page_total_master0"/>
      <w:bookmarkStart w:id="2" w:name="page_total"/>
      <w:bookmarkEnd w:id="1"/>
      <w:bookmarkEnd w:id="2"/>
    </w:p>
    <w:sectPr w:rsidR="00F44505">
      <w:footerReference w:type="default" r:id="rId34"/>
      <w:headerReference w:type="first" r:id="rId35"/>
      <w:footerReference w:type="first" r:id="rId36"/>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505" w:rsidRDefault="00F44505">
      <w:pPr>
        <w:spacing w:after="0" w:line="240" w:lineRule="auto"/>
      </w:pPr>
      <w:r>
        <w:separator/>
      </w:r>
    </w:p>
  </w:endnote>
  <w:endnote w:type="continuationSeparator" w:id="0">
    <w:p w:rsidR="00F44505" w:rsidRDefault="00F44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F44505">
      <w:tc>
        <w:tcPr>
          <w:tcW w:w="8330" w:type="dxa"/>
          <w:tcBorders>
            <w:top w:val="single" w:sz="4" w:space="0" w:color="595959"/>
            <w:left w:val="nil"/>
            <w:bottom w:val="nil"/>
            <w:right w:val="nil"/>
          </w:tcBorders>
          <w:shd w:val="clear" w:color="auto" w:fill="FFFFFF"/>
          <w:vAlign w:val="center"/>
        </w:tcPr>
        <w:p w:rsidR="00F44505" w:rsidRDefault="00F44505">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A5A5A"/>
              <w:sz w:val="16"/>
              <w:szCs w:val="16"/>
            </w:rPr>
            <w:t>Consultation n°2025PA007</w:t>
          </w:r>
          <w:r>
            <w:rPr>
              <w:rFonts w:ascii="Arial" w:hAnsi="Arial" w:cs="Arial"/>
              <w:color w:val="5A5A5A"/>
              <w:sz w:val="16"/>
              <w:szCs w:val="16"/>
            </w:rPr>
            <w:tab/>
            <w:t>Règlement de la consultation</w:t>
          </w:r>
          <w:r>
            <w:rPr>
              <w:rFonts w:ascii="Calibri" w:hAnsi="Calibri" w:cs="Calibri"/>
              <w:color w:val="5A5A5A"/>
            </w:rPr>
            <w:t xml:space="preserve"> </w:t>
          </w:r>
        </w:p>
      </w:tc>
      <w:tc>
        <w:tcPr>
          <w:tcW w:w="882" w:type="dxa"/>
          <w:tcBorders>
            <w:top w:val="single" w:sz="4" w:space="0" w:color="BFBFBF"/>
            <w:left w:val="nil"/>
            <w:bottom w:val="nil"/>
            <w:right w:val="nil"/>
          </w:tcBorders>
          <w:shd w:val="clear" w:color="auto" w:fill="595959"/>
          <w:vAlign w:val="center"/>
        </w:tcPr>
        <w:p w:rsidR="00F44505" w:rsidRDefault="00F44505">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4026AC">
            <w:rPr>
              <w:rFonts w:ascii="Arial" w:hAnsi="Arial" w:cs="Arial"/>
              <w:noProof/>
              <w:color w:val="FFFFFF"/>
              <w:sz w:val="16"/>
              <w:szCs w:val="16"/>
            </w:rPr>
            <w:t>9</w:t>
          </w:r>
          <w:r>
            <w:rPr>
              <w:rFonts w:ascii="Arial" w:hAnsi="Arial" w:cs="Arial"/>
              <w:color w:val="FFFFFF"/>
              <w:sz w:val="16"/>
              <w:szCs w:val="16"/>
            </w:rPr>
            <w:fldChar w:fldCharType="end"/>
          </w:r>
        </w:p>
      </w:tc>
    </w:tr>
  </w:tbl>
  <w:p w:rsidR="00F44505" w:rsidRDefault="00F44505">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505" w:rsidRDefault="00F44505">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505" w:rsidRDefault="00F44505">
      <w:pPr>
        <w:spacing w:after="0" w:line="240" w:lineRule="auto"/>
      </w:pPr>
      <w:r>
        <w:separator/>
      </w:r>
    </w:p>
  </w:footnote>
  <w:footnote w:type="continuationSeparator" w:id="0">
    <w:p w:rsidR="00F44505" w:rsidRDefault="00F445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505" w:rsidRDefault="00F44505">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392"/>
        </w:tabs>
        <w:ind w:left="828" w:hanging="360"/>
      </w:pPr>
      <w:rPr>
        <w:rFonts w:ascii="Century Gothic" w:hAnsi="Century Gothic" w:cs="Century Gothic"/>
        <w:b/>
        <w:bCs/>
        <w:color w:val="FF9900"/>
        <w:sz w:val="20"/>
        <w:szCs w:val="20"/>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D"/>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47"/>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6646672D"/>
    <w:multiLevelType w:val="multilevel"/>
    <w:tmpl w:val="00000033"/>
    <w:lvl w:ilvl="0">
      <w:start w:val="1"/>
      <w:numFmt w:val="bullet"/>
      <w:lvlText w:val=""/>
      <w:lvlJc w:val="left"/>
      <w:pPr>
        <w:tabs>
          <w:tab w:val="num" w:pos="108"/>
        </w:tabs>
        <w:ind w:left="828" w:hanging="360"/>
      </w:pPr>
      <w:rPr>
        <w:rFonts w:ascii="Arial" w:hAnsi="Arial" w:cs="Arial"/>
        <w:color w:val="FF9900"/>
        <w:sz w:val="28"/>
        <w:szCs w:val="28"/>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6"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7" w15:restartNumberingAfterBreak="0">
    <w:nsid w:val="75602673"/>
    <w:multiLevelType w:val="multilevel"/>
    <w:tmpl w:val="00000029"/>
    <w:lvl w:ilvl="0">
      <w:start w:val="1"/>
      <w:numFmt w:val="bullet"/>
      <w:lvlText w:val="■"/>
      <w:lvlJc w:val="left"/>
      <w:pPr>
        <w:tabs>
          <w:tab w:val="num" w:pos="108"/>
        </w:tabs>
        <w:ind w:left="828" w:hanging="360"/>
      </w:pPr>
      <w:rPr>
        <w:rFonts w:ascii="Century Gothic" w:hAnsi="Century Gothic" w:cs="Century Gothic"/>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abstractNumId w:val="0"/>
  </w:num>
  <w:num w:numId="2">
    <w:abstractNumId w:val="0"/>
  </w:num>
  <w:num w:numId="3">
    <w:abstractNumId w:val="0"/>
  </w:num>
  <w:num w:numId="4">
    <w:abstractNumId w:val="0"/>
  </w:num>
  <w:num w:numId="5">
    <w:abstractNumId w:val="5"/>
  </w:num>
  <w:num w:numId="6">
    <w:abstractNumId w:val="0"/>
  </w:num>
  <w:num w:numId="7">
    <w:abstractNumId w:val="0"/>
  </w:num>
  <w:num w:numId="8">
    <w:abstractNumId w:val="6"/>
  </w:num>
  <w:num w:numId="9">
    <w:abstractNumId w:val="0"/>
  </w:num>
  <w:num w:numId="10">
    <w:abstractNumId w:val="0"/>
  </w:num>
  <w:num w:numId="11">
    <w:abstractNumId w:val="7"/>
  </w:num>
  <w:num w:numId="12">
    <w:abstractNumId w:val="6"/>
  </w:num>
  <w:num w:numId="13">
    <w:abstractNumId w:val="6"/>
  </w:num>
  <w:num w:numId="14">
    <w:abstractNumId w:val="6"/>
  </w:num>
  <w:num w:numId="15">
    <w:abstractNumId w:val="6"/>
  </w:num>
  <w:num w:numId="16">
    <w:abstractNumId w:val="0"/>
  </w:num>
  <w:num w:numId="17">
    <w:abstractNumId w:val="0"/>
  </w:num>
  <w:num w:numId="18">
    <w:abstractNumId w:val="0"/>
  </w:num>
  <w:num w:numId="19">
    <w:abstractNumId w:val="6"/>
  </w:num>
  <w:num w:numId="20">
    <w:abstractNumId w:val="6"/>
  </w:num>
  <w:num w:numId="21">
    <w:abstractNumId w:val="6"/>
  </w:num>
  <w:num w:numId="22">
    <w:abstractNumId w:val="6"/>
  </w:num>
  <w:num w:numId="23">
    <w:abstractNumId w:val="0"/>
  </w:num>
  <w:num w:numId="24">
    <w:abstractNumId w:val="0"/>
  </w:num>
  <w:num w:numId="25">
    <w:abstractNumId w:val="6"/>
  </w:num>
  <w:num w:numId="26">
    <w:abstractNumId w:val="1"/>
  </w:num>
  <w:num w:numId="27">
    <w:abstractNumId w:val="4"/>
  </w:num>
  <w:num w:numId="28">
    <w:abstractNumId w:val="6"/>
  </w:num>
  <w:num w:numId="29">
    <w:abstractNumId w:val="2"/>
  </w:num>
  <w:num w:numId="30">
    <w:abstractNumId w:val="6"/>
  </w:num>
  <w:num w:numId="31">
    <w:abstractNumId w:val="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05"/>
    <w:rsid w:val="004026AC"/>
    <w:rsid w:val="005A4789"/>
    <w:rsid w:val="009E19AE"/>
    <w:rsid w:val="00D23F84"/>
    <w:rsid w:val="00F445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A6A0AA"/>
  <w14:defaultImageDpi w14:val="0"/>
  <w15:docId w15:val="{61826925-56C2-44D4-AF97-9BC831653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21" Type="http://schemas.openxmlformats.org/officeDocument/2006/relationships/image" Target="media/image15.png"/><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yperlink" Target="https://www.legifrance.gouv.fr/jorf/id/JORFTEXT00004331042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https://www.legifrance.gouv.fr/codes/id/LEGITEXT00003770101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yperlink" Target="https://www.economie.gouv.fr/mediateur-des-entreprises/achat-public"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1.png"/><Relationship Id="rId36"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https://www.economie.gouv.fr/daj/formulaires-declaration-du-candidat"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https://www.telerecours.fr/" TargetMode="External"/><Relationship Id="rId30" Type="http://schemas.openxmlformats.org/officeDocument/2006/relationships/hyperlink" Target="https://www.legifrance.gouv.fr/codes/id/LEGISCTA000038325322/" TargetMode="External"/><Relationship Id="rId35" Type="http://schemas.openxmlformats.org/officeDocument/2006/relationships/header" Target="header1.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2997</Words>
  <Characters>17702</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20658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CHIROL SABRINA (CPAM SEINE-ET-MARNE)</dc:creator>
  <cp:keywords/>
  <dc:description>Generated by Oracle BI Publisher 10.1.3.4.2</dc:description>
  <cp:lastModifiedBy>CHIROL SABRINA (CPAM SEINE-ET-MARNE)</cp:lastModifiedBy>
  <cp:revision>4</cp:revision>
  <dcterms:created xsi:type="dcterms:W3CDTF">2025-08-22T10:09:00Z</dcterms:created>
  <dcterms:modified xsi:type="dcterms:W3CDTF">2025-08-22T13:17:00Z</dcterms:modified>
</cp:coreProperties>
</file>