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96B" w:rsidRDefault="00980A49" w:rsidP="00C24BFD">
      <w:pPr>
        <w:spacing w:after="445" w:line="259" w:lineRule="auto"/>
        <w:jc w:val="center"/>
      </w:pPr>
      <w:r>
        <w:rPr>
          <w:noProof/>
        </w:rPr>
        <w:drawing>
          <wp:inline distT="0" distB="0" distL="0" distR="0">
            <wp:extent cx="1200493" cy="1076960"/>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8"/>
                    <a:stretch>
                      <a:fillRect/>
                    </a:stretch>
                  </pic:blipFill>
                  <pic:spPr>
                    <a:xfrm>
                      <a:off x="0" y="0"/>
                      <a:ext cx="1200493" cy="1076960"/>
                    </a:xfrm>
                    <a:prstGeom prst="rect">
                      <a:avLst/>
                    </a:prstGeom>
                  </pic:spPr>
                </pic:pic>
              </a:graphicData>
            </a:graphic>
          </wp:inline>
        </w:drawing>
      </w:r>
      <w:bookmarkStart w:id="0" w:name="_GoBack"/>
      <w:bookmarkEnd w:id="0"/>
    </w:p>
    <w:p w:rsidR="00AB696B" w:rsidRDefault="00980A49" w:rsidP="003472EE">
      <w:pPr>
        <w:tabs>
          <w:tab w:val="left" w:pos="10056"/>
        </w:tabs>
        <w:spacing w:after="0" w:line="259" w:lineRule="auto"/>
        <w:ind w:left="1426" w:right="292" w:hanging="1568"/>
        <w:jc w:val="center"/>
      </w:pPr>
      <w:r>
        <w:rPr>
          <w:b/>
        </w:rPr>
        <w:t>DIRECTION DU COMMISSARIAT D’OUTRE-MER</w:t>
      </w:r>
    </w:p>
    <w:p w:rsidR="00AB696B" w:rsidRDefault="00AB696B" w:rsidP="003472EE">
      <w:pPr>
        <w:tabs>
          <w:tab w:val="left" w:pos="10056"/>
        </w:tabs>
        <w:spacing w:after="0" w:line="259" w:lineRule="auto"/>
        <w:ind w:left="1338" w:hanging="1568"/>
      </w:pPr>
    </w:p>
    <w:p w:rsidR="00AB696B" w:rsidRDefault="00980A49" w:rsidP="003472EE">
      <w:pPr>
        <w:tabs>
          <w:tab w:val="left" w:pos="10056"/>
        </w:tabs>
        <w:spacing w:after="9" w:line="249" w:lineRule="auto"/>
        <w:ind w:left="1143" w:hanging="1568"/>
        <w:jc w:val="center"/>
      </w:pPr>
      <w:r>
        <w:rPr>
          <w:b/>
        </w:rPr>
        <w:t>GROUPEMENT DE SOUTIEN COMMISSARIAT NOUVELLE-CALEDONIE</w:t>
      </w:r>
    </w:p>
    <w:p w:rsidR="00AB696B" w:rsidRDefault="00980A49" w:rsidP="003472EE">
      <w:pPr>
        <w:spacing w:after="0" w:line="259" w:lineRule="auto"/>
        <w:ind w:left="566" w:hanging="1568"/>
        <w:jc w:val="left"/>
      </w:pPr>
      <w:r>
        <w:rPr>
          <w:b/>
        </w:rPr>
        <w:t xml:space="preserve"> </w:t>
      </w:r>
    </w:p>
    <w:p w:rsidR="00072FDD" w:rsidRDefault="00072FDD" w:rsidP="003472EE">
      <w:pPr>
        <w:pStyle w:val="Titre1"/>
        <w:pBdr>
          <w:top w:val="none" w:sz="0" w:space="0" w:color="auto"/>
          <w:left w:val="none" w:sz="0" w:space="0" w:color="auto"/>
          <w:bottom w:val="none" w:sz="0" w:space="0" w:color="auto"/>
          <w:right w:val="none" w:sz="0" w:space="0" w:color="auto"/>
        </w:pBdr>
        <w:shd w:val="clear" w:color="auto" w:fill="auto"/>
        <w:spacing w:after="266" w:line="249" w:lineRule="auto"/>
        <w:ind w:left="1153" w:hanging="1568"/>
        <w:jc w:val="center"/>
      </w:pPr>
    </w:p>
    <w:p w:rsidR="008178A0" w:rsidRPr="00072FDD" w:rsidRDefault="00980A49" w:rsidP="00072FDD">
      <w:pPr>
        <w:jc w:val="center"/>
        <w:rPr>
          <w:b/>
        </w:rPr>
      </w:pPr>
      <w:r w:rsidRPr="00072FDD">
        <w:rPr>
          <w:b/>
        </w:rPr>
        <w:t>ACCORD CADRE</w:t>
      </w:r>
    </w:p>
    <w:p w:rsidR="00AB696B" w:rsidRPr="00072FDD" w:rsidRDefault="00980A49" w:rsidP="00072FDD">
      <w:pPr>
        <w:jc w:val="center"/>
        <w:rPr>
          <w:b/>
        </w:rPr>
      </w:pPr>
      <w:r w:rsidRPr="00072FDD">
        <w:rPr>
          <w:b/>
        </w:rPr>
        <w:t>PASSE SELON LA PROCEDURE DE L’APPEL D’OFFRES OUVERT</w:t>
      </w:r>
    </w:p>
    <w:p w:rsidR="00AB696B" w:rsidRDefault="00980A49" w:rsidP="003472EE">
      <w:pPr>
        <w:spacing w:after="0" w:line="259" w:lineRule="auto"/>
        <w:ind w:left="566" w:hanging="1568"/>
        <w:jc w:val="left"/>
      </w:pPr>
      <w:r>
        <w:rPr>
          <w:b/>
        </w:rPr>
        <w:t xml:space="preserve"> </w:t>
      </w:r>
    </w:p>
    <w:p w:rsidR="00AB696B" w:rsidRPr="00980A49" w:rsidRDefault="00980A49" w:rsidP="003472EE">
      <w:pPr>
        <w:spacing w:after="259" w:line="259" w:lineRule="auto"/>
        <w:ind w:left="2124" w:right="849" w:hanging="1568"/>
        <w:jc w:val="center"/>
        <w:rPr>
          <w:color w:val="FF0000"/>
        </w:rPr>
      </w:pPr>
      <w:r w:rsidRPr="00980A49">
        <w:rPr>
          <w:b/>
          <w:color w:val="FF0000"/>
          <w:u w:val="single" w:color="000000"/>
        </w:rPr>
        <w:t>CONTRAT SENSIBLE</w:t>
      </w:r>
    </w:p>
    <w:p w:rsidR="00AB696B" w:rsidRDefault="00980A49" w:rsidP="003472EE">
      <w:pPr>
        <w:spacing w:after="0" w:line="259" w:lineRule="auto"/>
        <w:ind w:left="566" w:hanging="1568"/>
        <w:jc w:val="left"/>
      </w:pPr>
      <w:r>
        <w:rPr>
          <w:b/>
        </w:rPr>
        <w:t xml:space="preserve"> </w:t>
      </w:r>
    </w:p>
    <w:p w:rsidR="00AB696B" w:rsidRDefault="00980A49" w:rsidP="003472EE">
      <w:pPr>
        <w:pBdr>
          <w:top w:val="single" w:sz="4" w:space="0" w:color="000000"/>
          <w:left w:val="single" w:sz="4" w:space="0" w:color="000000"/>
          <w:bottom w:val="single" w:sz="4" w:space="0" w:color="000000"/>
          <w:right w:val="single" w:sz="4" w:space="0" w:color="000000"/>
        </w:pBdr>
        <w:spacing w:after="0" w:line="259" w:lineRule="auto"/>
        <w:ind w:left="1275" w:hanging="1568"/>
        <w:jc w:val="left"/>
      </w:pPr>
      <w:r>
        <w:rPr>
          <w:b/>
        </w:rPr>
        <w:t xml:space="preserve"> </w:t>
      </w:r>
    </w:p>
    <w:p w:rsidR="00AB696B" w:rsidRDefault="00980A49" w:rsidP="003472EE">
      <w:pPr>
        <w:pBdr>
          <w:top w:val="single" w:sz="4" w:space="0" w:color="000000"/>
          <w:left w:val="single" w:sz="4" w:space="0" w:color="000000"/>
          <w:bottom w:val="single" w:sz="4" w:space="0" w:color="000000"/>
          <w:right w:val="single" w:sz="4" w:space="0" w:color="000000"/>
        </w:pBdr>
        <w:spacing w:after="0" w:line="259" w:lineRule="auto"/>
        <w:ind w:left="1275" w:hanging="1568"/>
        <w:jc w:val="center"/>
      </w:pPr>
      <w:r>
        <w:rPr>
          <w:b/>
        </w:rPr>
        <w:t>CAHIER DES CLAUSES ADMINISTRATIVES PARTICULIERES (CCAP)</w:t>
      </w:r>
    </w:p>
    <w:p w:rsidR="00AB696B" w:rsidRDefault="00980A49" w:rsidP="003472EE">
      <w:pPr>
        <w:pBdr>
          <w:top w:val="single" w:sz="4" w:space="0" w:color="000000"/>
          <w:left w:val="single" w:sz="4" w:space="0" w:color="000000"/>
          <w:bottom w:val="single" w:sz="4" w:space="0" w:color="000000"/>
          <w:right w:val="single" w:sz="4" w:space="0" w:color="000000"/>
        </w:pBdr>
        <w:spacing w:after="0" w:line="259" w:lineRule="auto"/>
        <w:ind w:left="1275" w:hanging="1568"/>
        <w:jc w:val="left"/>
      </w:pPr>
      <w:r>
        <w:rPr>
          <w:b/>
        </w:rPr>
        <w:t xml:space="preserve"> </w:t>
      </w:r>
    </w:p>
    <w:p w:rsidR="00AB696B" w:rsidRDefault="00980A49" w:rsidP="003472EE">
      <w:pPr>
        <w:pBdr>
          <w:top w:val="single" w:sz="4" w:space="0" w:color="000000"/>
          <w:left w:val="single" w:sz="4" w:space="0" w:color="000000"/>
          <w:bottom w:val="single" w:sz="4" w:space="0" w:color="000000"/>
          <w:right w:val="single" w:sz="4" w:space="0" w:color="000000"/>
        </w:pBdr>
        <w:spacing w:after="0" w:line="259" w:lineRule="auto"/>
        <w:ind w:left="1275" w:hanging="1568"/>
        <w:jc w:val="center"/>
      </w:pPr>
      <w:r>
        <w:rPr>
          <w:b/>
        </w:rPr>
        <w:t>N°</w:t>
      </w:r>
      <w:r w:rsidR="008178A0">
        <w:rPr>
          <w:b/>
        </w:rPr>
        <w:t>2025-</w:t>
      </w:r>
      <w:r w:rsidR="00D77331">
        <w:rPr>
          <w:b/>
        </w:rPr>
        <w:t>005</w:t>
      </w:r>
      <w:r>
        <w:rPr>
          <w:b/>
        </w:rPr>
        <w:t xml:space="preserve"> </w:t>
      </w:r>
    </w:p>
    <w:p w:rsidR="00AB696B" w:rsidRDefault="00980A49" w:rsidP="003472EE">
      <w:pPr>
        <w:pBdr>
          <w:top w:val="single" w:sz="4" w:space="0" w:color="000000"/>
          <w:left w:val="single" w:sz="4" w:space="0" w:color="000000"/>
          <w:bottom w:val="single" w:sz="4" w:space="0" w:color="000000"/>
          <w:right w:val="single" w:sz="4" w:space="0" w:color="000000"/>
        </w:pBdr>
        <w:spacing w:after="7" w:line="259" w:lineRule="auto"/>
        <w:ind w:left="1275" w:hanging="1568"/>
        <w:jc w:val="left"/>
      </w:pPr>
      <w:r>
        <w:rPr>
          <w:b/>
        </w:rPr>
        <w:t xml:space="preserve"> </w:t>
      </w:r>
    </w:p>
    <w:p w:rsidR="00AB696B" w:rsidRDefault="00980A49" w:rsidP="003472EE">
      <w:pPr>
        <w:spacing w:after="0" w:line="259" w:lineRule="auto"/>
        <w:ind w:left="566" w:hanging="1568"/>
        <w:jc w:val="left"/>
      </w:pPr>
      <w:r>
        <w:rPr>
          <w:b/>
        </w:rPr>
        <w:t xml:space="preserve"> </w:t>
      </w:r>
    </w:p>
    <w:p w:rsidR="00AB696B" w:rsidRDefault="00980A49" w:rsidP="003472EE">
      <w:pPr>
        <w:spacing w:after="0" w:line="259" w:lineRule="auto"/>
        <w:ind w:left="566" w:hanging="1568"/>
        <w:jc w:val="left"/>
      </w:pPr>
      <w:r>
        <w:rPr>
          <w:b/>
        </w:rPr>
        <w:t xml:space="preserve"> </w:t>
      </w:r>
    </w:p>
    <w:p w:rsidR="00AB696B" w:rsidRDefault="00980A49" w:rsidP="003472EE">
      <w:pPr>
        <w:spacing w:after="0" w:line="259" w:lineRule="auto"/>
        <w:ind w:left="566" w:right="611" w:hanging="1568"/>
        <w:jc w:val="left"/>
      </w:pPr>
      <w:r>
        <w:rPr>
          <w:b/>
        </w:rPr>
        <w:t xml:space="preserve"> </w:t>
      </w:r>
    </w:p>
    <w:p w:rsidR="00AB696B" w:rsidRDefault="00980A49" w:rsidP="003472EE">
      <w:pPr>
        <w:spacing w:after="0" w:line="259" w:lineRule="auto"/>
        <w:ind w:left="566" w:hanging="1568"/>
        <w:jc w:val="left"/>
      </w:pPr>
      <w:r>
        <w:rPr>
          <w:b/>
        </w:rPr>
        <w:t xml:space="preserve">  </w:t>
      </w:r>
    </w:p>
    <w:p w:rsidR="008178A0" w:rsidRPr="008178A0" w:rsidRDefault="00980A49" w:rsidP="003472EE">
      <w:pPr>
        <w:ind w:left="582" w:hanging="1568"/>
        <w:jc w:val="center"/>
        <w:rPr>
          <w:b/>
        </w:rPr>
      </w:pPr>
      <w:r w:rsidRPr="008178A0">
        <w:rPr>
          <w:b/>
        </w:rPr>
        <w:t xml:space="preserve">LOCATION ET MAINTENANCE DE PHOTOCOPIEURS </w:t>
      </w:r>
    </w:p>
    <w:p w:rsidR="008178A0" w:rsidRPr="008178A0" w:rsidRDefault="00980A49" w:rsidP="003472EE">
      <w:pPr>
        <w:ind w:left="582" w:hanging="1568"/>
        <w:jc w:val="center"/>
        <w:rPr>
          <w:b/>
        </w:rPr>
      </w:pPr>
      <w:r w:rsidRPr="008178A0">
        <w:rPr>
          <w:b/>
        </w:rPr>
        <w:t xml:space="preserve">AU PROFIT DES FORCES ARMEES </w:t>
      </w:r>
      <w:r w:rsidR="008178A0" w:rsidRPr="008178A0">
        <w:rPr>
          <w:b/>
        </w:rPr>
        <w:t xml:space="preserve">EN </w:t>
      </w:r>
      <w:r w:rsidRPr="008178A0">
        <w:rPr>
          <w:b/>
        </w:rPr>
        <w:t>NOUVELLE-CALEDONIE</w:t>
      </w:r>
      <w:r w:rsidR="008178A0" w:rsidRPr="008178A0">
        <w:rPr>
          <w:b/>
        </w:rPr>
        <w:t xml:space="preserve"> </w:t>
      </w:r>
      <w:r w:rsidRPr="008178A0">
        <w:rPr>
          <w:b/>
        </w:rPr>
        <w:t xml:space="preserve">(FANC), </w:t>
      </w:r>
    </w:p>
    <w:p w:rsidR="00AB696B" w:rsidRPr="008178A0" w:rsidRDefault="00980A49" w:rsidP="003472EE">
      <w:pPr>
        <w:ind w:left="582" w:hanging="1568"/>
        <w:jc w:val="center"/>
        <w:rPr>
          <w:b/>
        </w:rPr>
      </w:pPr>
      <w:r w:rsidRPr="008178A0">
        <w:rPr>
          <w:b/>
        </w:rPr>
        <w:t xml:space="preserve">DU REGIMENT DU SERVICE MILITAIRE (RSMA) </w:t>
      </w:r>
    </w:p>
    <w:p w:rsidR="00AB696B" w:rsidRDefault="00980A49" w:rsidP="003472EE">
      <w:pPr>
        <w:spacing w:after="0" w:line="259" w:lineRule="auto"/>
        <w:ind w:left="566" w:hanging="1568"/>
        <w:jc w:val="left"/>
      </w:pPr>
      <w:r>
        <w:rPr>
          <w:b/>
        </w:rPr>
        <w:t xml:space="preserve"> </w:t>
      </w:r>
    </w:p>
    <w:p w:rsidR="00AB696B" w:rsidRDefault="00980A49" w:rsidP="003472EE">
      <w:pPr>
        <w:spacing w:after="0" w:line="259" w:lineRule="auto"/>
        <w:ind w:left="566" w:hanging="1568"/>
        <w:jc w:val="left"/>
      </w:pPr>
      <w:r>
        <w:rPr>
          <w:b/>
        </w:rPr>
        <w:t xml:space="preserve"> </w:t>
      </w:r>
    </w:p>
    <w:p w:rsidR="00AB696B" w:rsidRDefault="00980A49" w:rsidP="003472EE">
      <w:pPr>
        <w:spacing w:after="0" w:line="259" w:lineRule="auto"/>
        <w:ind w:left="566" w:hanging="1568"/>
        <w:jc w:val="left"/>
      </w:pPr>
      <w:r>
        <w:rPr>
          <w:b/>
        </w:rPr>
        <w:t xml:space="preserve"> </w:t>
      </w:r>
    </w:p>
    <w:p w:rsidR="00AB696B" w:rsidRDefault="00980A49" w:rsidP="003472EE">
      <w:pPr>
        <w:spacing w:after="0" w:line="259" w:lineRule="auto"/>
        <w:ind w:left="566" w:hanging="1568"/>
        <w:jc w:val="left"/>
      </w:pPr>
      <w:r>
        <w:rPr>
          <w:b/>
        </w:rPr>
        <w:t xml:space="preserve"> </w:t>
      </w:r>
    </w:p>
    <w:p w:rsidR="00AB696B" w:rsidRDefault="00980A49" w:rsidP="003472EE">
      <w:pPr>
        <w:spacing w:after="0" w:line="259" w:lineRule="auto"/>
        <w:ind w:left="566" w:hanging="1568"/>
        <w:jc w:val="left"/>
      </w:pPr>
      <w:r>
        <w:t xml:space="preserve"> </w:t>
      </w: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8178A0" w:rsidRDefault="008178A0">
      <w:pPr>
        <w:spacing w:after="0" w:line="259" w:lineRule="auto"/>
        <w:ind w:left="566" w:firstLine="0"/>
        <w:jc w:val="left"/>
      </w:pPr>
    </w:p>
    <w:p w:rsidR="00AB696B" w:rsidRDefault="00980A49">
      <w:pPr>
        <w:spacing w:after="0" w:line="259" w:lineRule="auto"/>
        <w:ind w:left="566" w:firstLine="0"/>
        <w:jc w:val="left"/>
      </w:pPr>
      <w:r>
        <w:rPr>
          <w:b/>
        </w:rPr>
        <w:t xml:space="preserve"> </w:t>
      </w:r>
    </w:p>
    <w:p w:rsidR="00AB696B" w:rsidRDefault="00980A49">
      <w:pPr>
        <w:spacing w:after="0" w:line="259" w:lineRule="auto"/>
        <w:ind w:left="566" w:firstLine="0"/>
        <w:jc w:val="left"/>
      </w:pPr>
      <w:r>
        <w:t xml:space="preserve"> </w:t>
      </w:r>
      <w:r>
        <w:tab/>
        <w:t xml:space="preserve"> </w:t>
      </w:r>
    </w:p>
    <w:p w:rsidR="00AB696B" w:rsidRDefault="00980A49">
      <w:pPr>
        <w:spacing w:after="0" w:line="259" w:lineRule="auto"/>
        <w:ind w:left="566" w:firstLine="0"/>
        <w:jc w:val="left"/>
      </w:pPr>
      <w:r>
        <w:rPr>
          <w:b/>
        </w:rPr>
        <w:t xml:space="preserve"> </w:t>
      </w:r>
    </w:p>
    <w:p w:rsidR="00AB696B" w:rsidRDefault="008178A0" w:rsidP="000114BA">
      <w:pPr>
        <w:tabs>
          <w:tab w:val="center" w:pos="566"/>
          <w:tab w:val="center" w:pos="5932"/>
          <w:tab w:val="center" w:pos="11342"/>
        </w:tabs>
        <w:spacing w:after="9" w:line="249" w:lineRule="auto"/>
        <w:ind w:left="0" w:firstLine="0"/>
        <w:jc w:val="center"/>
        <w:rPr>
          <w:b/>
        </w:rPr>
      </w:pPr>
      <w:r>
        <w:rPr>
          <w:b/>
        </w:rPr>
        <w:lastRenderedPageBreak/>
        <w:t>SOMM</w:t>
      </w:r>
      <w:r w:rsidR="00980A49">
        <w:rPr>
          <w:b/>
        </w:rPr>
        <w:t>AIRE</w:t>
      </w:r>
    </w:p>
    <w:p w:rsidR="00072FDD" w:rsidRDefault="00072FDD" w:rsidP="000114BA">
      <w:pPr>
        <w:tabs>
          <w:tab w:val="center" w:pos="566"/>
          <w:tab w:val="center" w:pos="5932"/>
          <w:tab w:val="center" w:pos="11342"/>
        </w:tabs>
        <w:spacing w:after="9" w:line="249" w:lineRule="auto"/>
        <w:ind w:left="0" w:firstLine="0"/>
        <w:jc w:val="center"/>
        <w:rPr>
          <w:b/>
        </w:rPr>
      </w:pPr>
    </w:p>
    <w:sdt>
      <w:sdtPr>
        <w:rPr>
          <w:rFonts w:ascii="Arial" w:eastAsia="Arial" w:hAnsi="Arial" w:cs="Arial"/>
          <w:color w:val="000000"/>
          <w:sz w:val="22"/>
          <w:szCs w:val="22"/>
        </w:rPr>
        <w:id w:val="-400762200"/>
        <w:docPartObj>
          <w:docPartGallery w:val="Table of Contents"/>
          <w:docPartUnique/>
        </w:docPartObj>
      </w:sdtPr>
      <w:sdtEndPr>
        <w:rPr>
          <w:b/>
          <w:bCs/>
        </w:rPr>
      </w:sdtEndPr>
      <w:sdtContent>
        <w:p w:rsidR="00072FDD" w:rsidRDefault="00072FDD">
          <w:pPr>
            <w:pStyle w:val="En-ttedetabledesmatires"/>
          </w:pPr>
          <w:r>
            <w:t>Table des matières</w:t>
          </w:r>
        </w:p>
        <w:p w:rsidR="00C654F7" w:rsidRDefault="00072FDD">
          <w:pPr>
            <w:pStyle w:val="TM1"/>
            <w:tabs>
              <w:tab w:val="right" w:leader="dot" w:pos="10055"/>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203463125" w:history="1">
            <w:r w:rsidR="00C654F7" w:rsidRPr="00137E4E">
              <w:rPr>
                <w:rStyle w:val="Lienhypertexte"/>
                <w:noProof/>
              </w:rPr>
              <w:t>ARTICLE 1 : OBJET DE L’ACCORD CADRE – DISPOSITIONS GENERALES</w:t>
            </w:r>
            <w:r w:rsidR="00C654F7">
              <w:rPr>
                <w:noProof/>
                <w:webHidden/>
              </w:rPr>
              <w:tab/>
            </w:r>
            <w:r w:rsidR="00C654F7">
              <w:rPr>
                <w:noProof/>
                <w:webHidden/>
              </w:rPr>
              <w:fldChar w:fldCharType="begin"/>
            </w:r>
            <w:r w:rsidR="00C654F7">
              <w:rPr>
                <w:noProof/>
                <w:webHidden/>
              </w:rPr>
              <w:instrText xml:space="preserve"> PAGEREF _Toc203463125 \h </w:instrText>
            </w:r>
            <w:r w:rsidR="00C654F7">
              <w:rPr>
                <w:noProof/>
                <w:webHidden/>
              </w:rPr>
            </w:r>
            <w:r w:rsidR="00C654F7">
              <w:rPr>
                <w:noProof/>
                <w:webHidden/>
              </w:rPr>
              <w:fldChar w:fldCharType="separate"/>
            </w:r>
            <w:r w:rsidR="00981F42">
              <w:rPr>
                <w:noProof/>
                <w:webHidden/>
              </w:rPr>
              <w:t>5</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26" w:history="1">
            <w:r w:rsidR="00C654F7" w:rsidRPr="00137E4E">
              <w:rPr>
                <w:rStyle w:val="Lienhypertexte"/>
                <w:noProof/>
              </w:rPr>
              <w:t>1.1 Objet de l’accord cadre</w:t>
            </w:r>
            <w:r w:rsidR="00C654F7">
              <w:rPr>
                <w:noProof/>
                <w:webHidden/>
              </w:rPr>
              <w:tab/>
            </w:r>
            <w:r w:rsidR="00C654F7">
              <w:rPr>
                <w:noProof/>
                <w:webHidden/>
              </w:rPr>
              <w:fldChar w:fldCharType="begin"/>
            </w:r>
            <w:r w:rsidR="00C654F7">
              <w:rPr>
                <w:noProof/>
                <w:webHidden/>
              </w:rPr>
              <w:instrText xml:space="preserve"> PAGEREF _Toc203463126 \h </w:instrText>
            </w:r>
            <w:r w:rsidR="00C654F7">
              <w:rPr>
                <w:noProof/>
                <w:webHidden/>
              </w:rPr>
            </w:r>
            <w:r w:rsidR="00C654F7">
              <w:rPr>
                <w:noProof/>
                <w:webHidden/>
              </w:rPr>
              <w:fldChar w:fldCharType="separate"/>
            </w:r>
            <w:r w:rsidR="00981F42">
              <w:rPr>
                <w:noProof/>
                <w:webHidden/>
              </w:rPr>
              <w:t>5</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27" w:history="1">
            <w:r w:rsidR="00C654F7" w:rsidRPr="00137E4E">
              <w:rPr>
                <w:rStyle w:val="Lienhypertexte"/>
                <w:noProof/>
              </w:rPr>
              <w:t>1.2 Allotissement</w:t>
            </w:r>
            <w:r w:rsidR="00C654F7">
              <w:rPr>
                <w:noProof/>
                <w:webHidden/>
              </w:rPr>
              <w:tab/>
            </w:r>
            <w:r w:rsidR="00C654F7">
              <w:rPr>
                <w:noProof/>
                <w:webHidden/>
              </w:rPr>
              <w:fldChar w:fldCharType="begin"/>
            </w:r>
            <w:r w:rsidR="00C654F7">
              <w:rPr>
                <w:noProof/>
                <w:webHidden/>
              </w:rPr>
              <w:instrText xml:space="preserve"> PAGEREF _Toc203463127 \h </w:instrText>
            </w:r>
            <w:r w:rsidR="00C654F7">
              <w:rPr>
                <w:noProof/>
                <w:webHidden/>
              </w:rPr>
            </w:r>
            <w:r w:rsidR="00C654F7">
              <w:rPr>
                <w:noProof/>
                <w:webHidden/>
              </w:rPr>
              <w:fldChar w:fldCharType="separate"/>
            </w:r>
            <w:r w:rsidR="00981F42">
              <w:rPr>
                <w:noProof/>
                <w:webHidden/>
              </w:rPr>
              <w:t>5</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28" w:history="1">
            <w:r w:rsidR="00C654F7" w:rsidRPr="00137E4E">
              <w:rPr>
                <w:rStyle w:val="Lienhypertexte"/>
                <w:noProof/>
              </w:rPr>
              <w:t>1.3 Mode passation et forme du marché</w:t>
            </w:r>
            <w:r w:rsidR="00C654F7">
              <w:rPr>
                <w:noProof/>
                <w:webHidden/>
              </w:rPr>
              <w:tab/>
            </w:r>
            <w:r w:rsidR="00C654F7">
              <w:rPr>
                <w:noProof/>
                <w:webHidden/>
              </w:rPr>
              <w:fldChar w:fldCharType="begin"/>
            </w:r>
            <w:r w:rsidR="00C654F7">
              <w:rPr>
                <w:noProof/>
                <w:webHidden/>
              </w:rPr>
              <w:instrText xml:space="preserve"> PAGEREF _Toc203463128 \h </w:instrText>
            </w:r>
            <w:r w:rsidR="00C654F7">
              <w:rPr>
                <w:noProof/>
                <w:webHidden/>
              </w:rPr>
            </w:r>
            <w:r w:rsidR="00C654F7">
              <w:rPr>
                <w:noProof/>
                <w:webHidden/>
              </w:rPr>
              <w:fldChar w:fldCharType="separate"/>
            </w:r>
            <w:r w:rsidR="00981F42">
              <w:rPr>
                <w:noProof/>
                <w:webHidden/>
              </w:rPr>
              <w:t>5</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29" w:history="1">
            <w:r w:rsidR="00C654F7" w:rsidRPr="00137E4E">
              <w:rPr>
                <w:rStyle w:val="Lienhypertexte"/>
                <w:noProof/>
              </w:rPr>
              <w:t>1.4 Montant de l’accord cadre</w:t>
            </w:r>
            <w:r w:rsidR="00C654F7">
              <w:rPr>
                <w:noProof/>
                <w:webHidden/>
              </w:rPr>
              <w:tab/>
            </w:r>
            <w:r w:rsidR="00C654F7">
              <w:rPr>
                <w:noProof/>
                <w:webHidden/>
              </w:rPr>
              <w:fldChar w:fldCharType="begin"/>
            </w:r>
            <w:r w:rsidR="00C654F7">
              <w:rPr>
                <w:noProof/>
                <w:webHidden/>
              </w:rPr>
              <w:instrText xml:space="preserve"> PAGEREF _Toc203463129 \h </w:instrText>
            </w:r>
            <w:r w:rsidR="00C654F7">
              <w:rPr>
                <w:noProof/>
                <w:webHidden/>
              </w:rPr>
            </w:r>
            <w:r w:rsidR="00C654F7">
              <w:rPr>
                <w:noProof/>
                <w:webHidden/>
              </w:rPr>
              <w:fldChar w:fldCharType="separate"/>
            </w:r>
            <w:r w:rsidR="00981F42">
              <w:rPr>
                <w:noProof/>
                <w:webHidden/>
              </w:rPr>
              <w:t>5</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30" w:history="1">
            <w:r w:rsidR="00C654F7" w:rsidRPr="00137E4E">
              <w:rPr>
                <w:rStyle w:val="Lienhypertexte"/>
                <w:noProof/>
              </w:rPr>
              <w:t>1.5 Délégation du RPA</w:t>
            </w:r>
            <w:r w:rsidR="00C654F7">
              <w:rPr>
                <w:noProof/>
                <w:webHidden/>
              </w:rPr>
              <w:tab/>
            </w:r>
            <w:r w:rsidR="00C654F7">
              <w:rPr>
                <w:noProof/>
                <w:webHidden/>
              </w:rPr>
              <w:fldChar w:fldCharType="begin"/>
            </w:r>
            <w:r w:rsidR="00C654F7">
              <w:rPr>
                <w:noProof/>
                <w:webHidden/>
              </w:rPr>
              <w:instrText xml:space="preserve"> PAGEREF _Toc203463130 \h </w:instrText>
            </w:r>
            <w:r w:rsidR="00C654F7">
              <w:rPr>
                <w:noProof/>
                <w:webHidden/>
              </w:rPr>
            </w:r>
            <w:r w:rsidR="00C654F7">
              <w:rPr>
                <w:noProof/>
                <w:webHidden/>
              </w:rPr>
              <w:fldChar w:fldCharType="separate"/>
            </w:r>
            <w:r w:rsidR="00981F42">
              <w:rPr>
                <w:noProof/>
                <w:webHidden/>
              </w:rPr>
              <w:t>5</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31" w:history="1">
            <w:r w:rsidR="00C654F7" w:rsidRPr="00137E4E">
              <w:rPr>
                <w:rStyle w:val="Lienhypertexte"/>
                <w:noProof/>
              </w:rPr>
              <w:t>1.6 Documents contractuels</w:t>
            </w:r>
            <w:r w:rsidR="00C654F7">
              <w:rPr>
                <w:noProof/>
                <w:webHidden/>
              </w:rPr>
              <w:tab/>
            </w:r>
            <w:r w:rsidR="00C654F7">
              <w:rPr>
                <w:noProof/>
                <w:webHidden/>
              </w:rPr>
              <w:fldChar w:fldCharType="begin"/>
            </w:r>
            <w:r w:rsidR="00C654F7">
              <w:rPr>
                <w:noProof/>
                <w:webHidden/>
              </w:rPr>
              <w:instrText xml:space="preserve"> PAGEREF _Toc203463131 \h </w:instrText>
            </w:r>
            <w:r w:rsidR="00C654F7">
              <w:rPr>
                <w:noProof/>
                <w:webHidden/>
              </w:rPr>
            </w:r>
            <w:r w:rsidR="00C654F7">
              <w:rPr>
                <w:noProof/>
                <w:webHidden/>
              </w:rPr>
              <w:fldChar w:fldCharType="separate"/>
            </w:r>
            <w:r w:rsidR="00981F42">
              <w:rPr>
                <w:noProof/>
                <w:webHidden/>
              </w:rPr>
              <w:t>6</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32" w:history="1">
            <w:r w:rsidR="00C654F7" w:rsidRPr="00137E4E">
              <w:rPr>
                <w:rStyle w:val="Lienhypertexte"/>
                <w:noProof/>
              </w:rPr>
              <w:t>1.7 Modification de l’accord cadre en cours d’exécution</w:t>
            </w:r>
            <w:r w:rsidR="00C654F7">
              <w:rPr>
                <w:noProof/>
                <w:webHidden/>
              </w:rPr>
              <w:tab/>
            </w:r>
            <w:r w:rsidR="00C654F7">
              <w:rPr>
                <w:noProof/>
                <w:webHidden/>
              </w:rPr>
              <w:fldChar w:fldCharType="begin"/>
            </w:r>
            <w:r w:rsidR="00C654F7">
              <w:rPr>
                <w:noProof/>
                <w:webHidden/>
              </w:rPr>
              <w:instrText xml:space="preserve"> PAGEREF _Toc203463132 \h </w:instrText>
            </w:r>
            <w:r w:rsidR="00C654F7">
              <w:rPr>
                <w:noProof/>
                <w:webHidden/>
              </w:rPr>
            </w:r>
            <w:r w:rsidR="00C654F7">
              <w:rPr>
                <w:noProof/>
                <w:webHidden/>
              </w:rPr>
              <w:fldChar w:fldCharType="separate"/>
            </w:r>
            <w:r w:rsidR="00981F42">
              <w:rPr>
                <w:noProof/>
                <w:webHidden/>
              </w:rPr>
              <w:t>6</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33" w:history="1">
            <w:r w:rsidR="00C654F7" w:rsidRPr="00137E4E">
              <w:rPr>
                <w:rStyle w:val="Lienhypertexte"/>
                <w:noProof/>
              </w:rPr>
              <w:t>1.7.1 Clause de réexamen</w:t>
            </w:r>
            <w:r w:rsidR="00C654F7">
              <w:rPr>
                <w:noProof/>
                <w:webHidden/>
              </w:rPr>
              <w:tab/>
            </w:r>
            <w:r w:rsidR="00C654F7">
              <w:rPr>
                <w:noProof/>
                <w:webHidden/>
              </w:rPr>
              <w:fldChar w:fldCharType="begin"/>
            </w:r>
            <w:r w:rsidR="00C654F7">
              <w:rPr>
                <w:noProof/>
                <w:webHidden/>
              </w:rPr>
              <w:instrText xml:space="preserve"> PAGEREF _Toc203463133 \h </w:instrText>
            </w:r>
            <w:r w:rsidR="00C654F7">
              <w:rPr>
                <w:noProof/>
                <w:webHidden/>
              </w:rPr>
            </w:r>
            <w:r w:rsidR="00C654F7">
              <w:rPr>
                <w:noProof/>
                <w:webHidden/>
              </w:rPr>
              <w:fldChar w:fldCharType="separate"/>
            </w:r>
            <w:r w:rsidR="00981F42">
              <w:rPr>
                <w:noProof/>
                <w:webHidden/>
              </w:rPr>
              <w:t>6</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34" w:history="1">
            <w:r w:rsidR="00C654F7" w:rsidRPr="00137E4E">
              <w:rPr>
                <w:rStyle w:val="Lienhypertexte"/>
                <w:noProof/>
              </w:rPr>
              <w:t>1.7.2 Autres cas de modification</w:t>
            </w:r>
            <w:r w:rsidR="00C654F7">
              <w:rPr>
                <w:noProof/>
                <w:webHidden/>
              </w:rPr>
              <w:tab/>
            </w:r>
            <w:r w:rsidR="00C654F7">
              <w:rPr>
                <w:noProof/>
                <w:webHidden/>
              </w:rPr>
              <w:fldChar w:fldCharType="begin"/>
            </w:r>
            <w:r w:rsidR="00C654F7">
              <w:rPr>
                <w:noProof/>
                <w:webHidden/>
              </w:rPr>
              <w:instrText xml:space="preserve"> PAGEREF _Toc203463134 \h </w:instrText>
            </w:r>
            <w:r w:rsidR="00C654F7">
              <w:rPr>
                <w:noProof/>
                <w:webHidden/>
              </w:rPr>
            </w:r>
            <w:r w:rsidR="00C654F7">
              <w:rPr>
                <w:noProof/>
                <w:webHidden/>
              </w:rPr>
              <w:fldChar w:fldCharType="separate"/>
            </w:r>
            <w:r w:rsidR="00981F42">
              <w:rPr>
                <w:noProof/>
                <w:webHidden/>
              </w:rPr>
              <w:t>7</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35" w:history="1">
            <w:r w:rsidR="00C654F7" w:rsidRPr="00137E4E">
              <w:rPr>
                <w:rStyle w:val="Lienhypertexte"/>
                <w:noProof/>
              </w:rPr>
              <w:t>1.8 Contacts RPA</w:t>
            </w:r>
            <w:r w:rsidR="00C654F7">
              <w:rPr>
                <w:noProof/>
                <w:webHidden/>
              </w:rPr>
              <w:tab/>
            </w:r>
            <w:r w:rsidR="00C654F7">
              <w:rPr>
                <w:noProof/>
                <w:webHidden/>
              </w:rPr>
              <w:fldChar w:fldCharType="begin"/>
            </w:r>
            <w:r w:rsidR="00C654F7">
              <w:rPr>
                <w:noProof/>
                <w:webHidden/>
              </w:rPr>
              <w:instrText xml:space="preserve"> PAGEREF _Toc203463135 \h </w:instrText>
            </w:r>
            <w:r w:rsidR="00C654F7">
              <w:rPr>
                <w:noProof/>
                <w:webHidden/>
              </w:rPr>
            </w:r>
            <w:r w:rsidR="00C654F7">
              <w:rPr>
                <w:noProof/>
                <w:webHidden/>
              </w:rPr>
              <w:fldChar w:fldCharType="separate"/>
            </w:r>
            <w:r w:rsidR="00981F42">
              <w:rPr>
                <w:noProof/>
                <w:webHidden/>
              </w:rPr>
              <w:t>7</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36" w:history="1">
            <w:r w:rsidR="00C654F7" w:rsidRPr="00137E4E">
              <w:rPr>
                <w:rStyle w:val="Lienhypertexte"/>
                <w:noProof/>
              </w:rPr>
              <w:t>ARTICLE 2 : DUREE DE L’ACCORD CADRE - RECONDUCTION</w:t>
            </w:r>
            <w:r w:rsidR="00C654F7">
              <w:rPr>
                <w:noProof/>
                <w:webHidden/>
              </w:rPr>
              <w:tab/>
            </w:r>
            <w:r w:rsidR="00C654F7">
              <w:rPr>
                <w:noProof/>
                <w:webHidden/>
              </w:rPr>
              <w:fldChar w:fldCharType="begin"/>
            </w:r>
            <w:r w:rsidR="00C654F7">
              <w:rPr>
                <w:noProof/>
                <w:webHidden/>
              </w:rPr>
              <w:instrText xml:space="preserve"> PAGEREF _Toc203463136 \h </w:instrText>
            </w:r>
            <w:r w:rsidR="00C654F7">
              <w:rPr>
                <w:noProof/>
                <w:webHidden/>
              </w:rPr>
            </w:r>
            <w:r w:rsidR="00C654F7">
              <w:rPr>
                <w:noProof/>
                <w:webHidden/>
              </w:rPr>
              <w:fldChar w:fldCharType="separate"/>
            </w:r>
            <w:r w:rsidR="00981F42">
              <w:rPr>
                <w:noProof/>
                <w:webHidden/>
              </w:rPr>
              <w:t>7</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37" w:history="1">
            <w:r w:rsidR="00C654F7" w:rsidRPr="00137E4E">
              <w:rPr>
                <w:rStyle w:val="Lienhypertexte"/>
                <w:noProof/>
              </w:rPr>
              <w:t>2.1 Durée de l’accord cadre</w:t>
            </w:r>
            <w:r w:rsidR="00C654F7">
              <w:rPr>
                <w:noProof/>
                <w:webHidden/>
              </w:rPr>
              <w:tab/>
            </w:r>
            <w:r w:rsidR="00C654F7">
              <w:rPr>
                <w:noProof/>
                <w:webHidden/>
              </w:rPr>
              <w:fldChar w:fldCharType="begin"/>
            </w:r>
            <w:r w:rsidR="00C654F7">
              <w:rPr>
                <w:noProof/>
                <w:webHidden/>
              </w:rPr>
              <w:instrText xml:space="preserve"> PAGEREF _Toc203463137 \h </w:instrText>
            </w:r>
            <w:r w:rsidR="00C654F7">
              <w:rPr>
                <w:noProof/>
                <w:webHidden/>
              </w:rPr>
            </w:r>
            <w:r w:rsidR="00C654F7">
              <w:rPr>
                <w:noProof/>
                <w:webHidden/>
              </w:rPr>
              <w:fldChar w:fldCharType="separate"/>
            </w:r>
            <w:r w:rsidR="00981F42">
              <w:rPr>
                <w:noProof/>
                <w:webHidden/>
              </w:rPr>
              <w:t>7</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38" w:history="1">
            <w:r w:rsidR="00C654F7" w:rsidRPr="00137E4E">
              <w:rPr>
                <w:rStyle w:val="Lienhypertexte"/>
                <w:noProof/>
              </w:rPr>
              <w:t>2.2 Reconduction</w:t>
            </w:r>
            <w:r w:rsidR="00C654F7">
              <w:rPr>
                <w:noProof/>
                <w:webHidden/>
              </w:rPr>
              <w:tab/>
            </w:r>
            <w:r w:rsidR="00C654F7">
              <w:rPr>
                <w:noProof/>
                <w:webHidden/>
              </w:rPr>
              <w:fldChar w:fldCharType="begin"/>
            </w:r>
            <w:r w:rsidR="00C654F7">
              <w:rPr>
                <w:noProof/>
                <w:webHidden/>
              </w:rPr>
              <w:instrText xml:space="preserve"> PAGEREF _Toc203463138 \h </w:instrText>
            </w:r>
            <w:r w:rsidR="00C654F7">
              <w:rPr>
                <w:noProof/>
                <w:webHidden/>
              </w:rPr>
            </w:r>
            <w:r w:rsidR="00C654F7">
              <w:rPr>
                <w:noProof/>
                <w:webHidden/>
              </w:rPr>
              <w:fldChar w:fldCharType="separate"/>
            </w:r>
            <w:r w:rsidR="00981F42">
              <w:rPr>
                <w:noProof/>
                <w:webHidden/>
              </w:rPr>
              <w:t>7</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39" w:history="1">
            <w:r w:rsidR="00C654F7" w:rsidRPr="00137E4E">
              <w:rPr>
                <w:rStyle w:val="Lienhypertexte"/>
                <w:noProof/>
              </w:rPr>
              <w:t>ARTICLE 3 : EXIGENCE DE RESULTAT, QUALITE DE SERVICE</w:t>
            </w:r>
            <w:r w:rsidR="00C654F7">
              <w:rPr>
                <w:noProof/>
                <w:webHidden/>
              </w:rPr>
              <w:tab/>
            </w:r>
            <w:r w:rsidR="00C654F7">
              <w:rPr>
                <w:noProof/>
                <w:webHidden/>
              </w:rPr>
              <w:fldChar w:fldCharType="begin"/>
            </w:r>
            <w:r w:rsidR="00C654F7">
              <w:rPr>
                <w:noProof/>
                <w:webHidden/>
              </w:rPr>
              <w:instrText xml:space="preserve"> PAGEREF _Toc203463139 \h </w:instrText>
            </w:r>
            <w:r w:rsidR="00C654F7">
              <w:rPr>
                <w:noProof/>
                <w:webHidden/>
              </w:rPr>
            </w:r>
            <w:r w:rsidR="00C654F7">
              <w:rPr>
                <w:noProof/>
                <w:webHidden/>
              </w:rPr>
              <w:fldChar w:fldCharType="separate"/>
            </w:r>
            <w:r w:rsidR="00981F42">
              <w:rPr>
                <w:noProof/>
                <w:webHidden/>
              </w:rPr>
              <w:t>7</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40" w:history="1">
            <w:r w:rsidR="00C654F7" w:rsidRPr="00137E4E">
              <w:rPr>
                <w:rStyle w:val="Lienhypertexte"/>
                <w:noProof/>
              </w:rPr>
              <w:t>ARTICLE 4 : ENVIRONNEMENT MILITAIRE</w:t>
            </w:r>
            <w:r w:rsidR="00C654F7">
              <w:rPr>
                <w:noProof/>
                <w:webHidden/>
              </w:rPr>
              <w:tab/>
            </w:r>
            <w:r w:rsidR="00C654F7">
              <w:rPr>
                <w:noProof/>
                <w:webHidden/>
              </w:rPr>
              <w:fldChar w:fldCharType="begin"/>
            </w:r>
            <w:r w:rsidR="00C654F7">
              <w:rPr>
                <w:noProof/>
                <w:webHidden/>
              </w:rPr>
              <w:instrText xml:space="preserve"> PAGEREF _Toc203463140 \h </w:instrText>
            </w:r>
            <w:r w:rsidR="00C654F7">
              <w:rPr>
                <w:noProof/>
                <w:webHidden/>
              </w:rPr>
            </w:r>
            <w:r w:rsidR="00C654F7">
              <w:rPr>
                <w:noProof/>
                <w:webHidden/>
              </w:rPr>
              <w:fldChar w:fldCharType="separate"/>
            </w:r>
            <w:r w:rsidR="00981F42">
              <w:rPr>
                <w:noProof/>
                <w:webHidden/>
              </w:rPr>
              <w:t>8</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1" w:history="1">
            <w:r w:rsidR="00C654F7" w:rsidRPr="00137E4E">
              <w:rPr>
                <w:rStyle w:val="Lienhypertexte"/>
                <w:noProof/>
              </w:rPr>
              <w:t>4.1 Conditions d’accès des personnels sur les sites</w:t>
            </w:r>
            <w:r w:rsidR="00C654F7">
              <w:rPr>
                <w:noProof/>
                <w:webHidden/>
              </w:rPr>
              <w:tab/>
            </w:r>
            <w:r w:rsidR="00C654F7">
              <w:rPr>
                <w:noProof/>
                <w:webHidden/>
              </w:rPr>
              <w:fldChar w:fldCharType="begin"/>
            </w:r>
            <w:r w:rsidR="00C654F7">
              <w:rPr>
                <w:noProof/>
                <w:webHidden/>
              </w:rPr>
              <w:instrText xml:space="preserve"> PAGEREF _Toc203463141 \h </w:instrText>
            </w:r>
            <w:r w:rsidR="00C654F7">
              <w:rPr>
                <w:noProof/>
                <w:webHidden/>
              </w:rPr>
            </w:r>
            <w:r w:rsidR="00C654F7">
              <w:rPr>
                <w:noProof/>
                <w:webHidden/>
              </w:rPr>
              <w:fldChar w:fldCharType="separate"/>
            </w:r>
            <w:r w:rsidR="00981F42">
              <w:rPr>
                <w:noProof/>
                <w:webHidden/>
              </w:rPr>
              <w:t>8</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2" w:history="1">
            <w:r w:rsidR="00C654F7" w:rsidRPr="00137E4E">
              <w:rPr>
                <w:rStyle w:val="Lienhypertexte"/>
                <w:noProof/>
              </w:rPr>
              <w:t>4.2 Règles de confidentialité</w:t>
            </w:r>
            <w:r w:rsidR="00C654F7">
              <w:rPr>
                <w:noProof/>
                <w:webHidden/>
              </w:rPr>
              <w:tab/>
            </w:r>
            <w:r w:rsidR="00C654F7">
              <w:rPr>
                <w:noProof/>
                <w:webHidden/>
              </w:rPr>
              <w:fldChar w:fldCharType="begin"/>
            </w:r>
            <w:r w:rsidR="00C654F7">
              <w:rPr>
                <w:noProof/>
                <w:webHidden/>
              </w:rPr>
              <w:instrText xml:space="preserve"> PAGEREF _Toc203463142 \h </w:instrText>
            </w:r>
            <w:r w:rsidR="00C654F7">
              <w:rPr>
                <w:noProof/>
                <w:webHidden/>
              </w:rPr>
            </w:r>
            <w:r w:rsidR="00C654F7">
              <w:rPr>
                <w:noProof/>
                <w:webHidden/>
              </w:rPr>
              <w:fldChar w:fldCharType="separate"/>
            </w:r>
            <w:r w:rsidR="00981F42">
              <w:rPr>
                <w:noProof/>
                <w:webHidden/>
              </w:rPr>
              <w:t>9</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43" w:history="1">
            <w:r w:rsidR="00C654F7" w:rsidRPr="00137E4E">
              <w:rPr>
                <w:rStyle w:val="Lienhypertexte"/>
                <w:noProof/>
              </w:rPr>
              <w:t>ARTICLE 5 : DISPOSITIONS REGLEMENTAIRES ET GENERALES</w:t>
            </w:r>
            <w:r w:rsidR="00C654F7">
              <w:rPr>
                <w:noProof/>
                <w:webHidden/>
              </w:rPr>
              <w:tab/>
            </w:r>
            <w:r w:rsidR="00C654F7">
              <w:rPr>
                <w:noProof/>
                <w:webHidden/>
              </w:rPr>
              <w:fldChar w:fldCharType="begin"/>
            </w:r>
            <w:r w:rsidR="00C654F7">
              <w:rPr>
                <w:noProof/>
                <w:webHidden/>
              </w:rPr>
              <w:instrText xml:space="preserve"> PAGEREF _Toc203463143 \h </w:instrText>
            </w:r>
            <w:r w:rsidR="00C654F7">
              <w:rPr>
                <w:noProof/>
                <w:webHidden/>
              </w:rPr>
            </w:r>
            <w:r w:rsidR="00C654F7">
              <w:rPr>
                <w:noProof/>
                <w:webHidden/>
              </w:rPr>
              <w:fldChar w:fldCharType="separate"/>
            </w:r>
            <w:r w:rsidR="00981F42">
              <w:rPr>
                <w:noProof/>
                <w:webHidden/>
              </w:rPr>
              <w:t>9</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4" w:history="1">
            <w:r w:rsidR="00C654F7" w:rsidRPr="00137E4E">
              <w:rPr>
                <w:rStyle w:val="Lienhypertexte"/>
                <w:noProof/>
              </w:rPr>
              <w:t>5.1 Dispositions générales</w:t>
            </w:r>
            <w:r w:rsidR="00C654F7">
              <w:rPr>
                <w:noProof/>
                <w:webHidden/>
              </w:rPr>
              <w:tab/>
            </w:r>
            <w:r w:rsidR="00C654F7">
              <w:rPr>
                <w:noProof/>
                <w:webHidden/>
              </w:rPr>
              <w:fldChar w:fldCharType="begin"/>
            </w:r>
            <w:r w:rsidR="00C654F7">
              <w:rPr>
                <w:noProof/>
                <w:webHidden/>
              </w:rPr>
              <w:instrText xml:space="preserve"> PAGEREF _Toc203463144 \h </w:instrText>
            </w:r>
            <w:r w:rsidR="00C654F7">
              <w:rPr>
                <w:noProof/>
                <w:webHidden/>
              </w:rPr>
            </w:r>
            <w:r w:rsidR="00C654F7">
              <w:rPr>
                <w:noProof/>
                <w:webHidden/>
              </w:rPr>
              <w:fldChar w:fldCharType="separate"/>
            </w:r>
            <w:r w:rsidR="00981F42">
              <w:rPr>
                <w:noProof/>
                <w:webHidden/>
              </w:rPr>
              <w:t>9</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5" w:history="1">
            <w:r w:rsidR="00C654F7" w:rsidRPr="00137E4E">
              <w:rPr>
                <w:rStyle w:val="Lienhypertexte"/>
                <w:noProof/>
              </w:rPr>
              <w:t>5.2 Protection de la main - d’œuvre</w:t>
            </w:r>
            <w:r w:rsidR="00C654F7">
              <w:rPr>
                <w:noProof/>
                <w:webHidden/>
              </w:rPr>
              <w:tab/>
            </w:r>
            <w:r w:rsidR="00C654F7">
              <w:rPr>
                <w:noProof/>
                <w:webHidden/>
              </w:rPr>
              <w:fldChar w:fldCharType="begin"/>
            </w:r>
            <w:r w:rsidR="00C654F7">
              <w:rPr>
                <w:noProof/>
                <w:webHidden/>
              </w:rPr>
              <w:instrText xml:space="preserve"> PAGEREF _Toc203463145 \h </w:instrText>
            </w:r>
            <w:r w:rsidR="00C654F7">
              <w:rPr>
                <w:noProof/>
                <w:webHidden/>
              </w:rPr>
            </w:r>
            <w:r w:rsidR="00C654F7">
              <w:rPr>
                <w:noProof/>
                <w:webHidden/>
              </w:rPr>
              <w:fldChar w:fldCharType="separate"/>
            </w:r>
            <w:r w:rsidR="00981F42">
              <w:rPr>
                <w:noProof/>
                <w:webHidden/>
              </w:rPr>
              <w:t>9</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6" w:history="1">
            <w:r w:rsidR="00C654F7" w:rsidRPr="00137E4E">
              <w:rPr>
                <w:rStyle w:val="Lienhypertexte"/>
                <w:noProof/>
              </w:rPr>
              <w:t>5.3 Prévention - Hygiène et sécurité au travail</w:t>
            </w:r>
            <w:r w:rsidR="00C654F7">
              <w:rPr>
                <w:noProof/>
                <w:webHidden/>
              </w:rPr>
              <w:tab/>
            </w:r>
            <w:r w:rsidR="00C654F7">
              <w:rPr>
                <w:noProof/>
                <w:webHidden/>
              </w:rPr>
              <w:fldChar w:fldCharType="begin"/>
            </w:r>
            <w:r w:rsidR="00C654F7">
              <w:rPr>
                <w:noProof/>
                <w:webHidden/>
              </w:rPr>
              <w:instrText xml:space="preserve"> PAGEREF _Toc203463146 \h </w:instrText>
            </w:r>
            <w:r w:rsidR="00C654F7">
              <w:rPr>
                <w:noProof/>
                <w:webHidden/>
              </w:rPr>
            </w:r>
            <w:r w:rsidR="00C654F7">
              <w:rPr>
                <w:noProof/>
                <w:webHidden/>
              </w:rPr>
              <w:fldChar w:fldCharType="separate"/>
            </w:r>
            <w:r w:rsidR="00981F42">
              <w:rPr>
                <w:noProof/>
                <w:webHidden/>
              </w:rPr>
              <w:t>9</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7" w:history="1">
            <w:r w:rsidR="00C654F7" w:rsidRPr="00137E4E">
              <w:rPr>
                <w:rStyle w:val="Lienhypertexte"/>
                <w:noProof/>
              </w:rPr>
              <w:t>5.4 Protection de l’environnement</w:t>
            </w:r>
            <w:r w:rsidR="00C654F7">
              <w:rPr>
                <w:noProof/>
                <w:webHidden/>
              </w:rPr>
              <w:tab/>
            </w:r>
            <w:r w:rsidR="00C654F7">
              <w:rPr>
                <w:noProof/>
                <w:webHidden/>
              </w:rPr>
              <w:fldChar w:fldCharType="begin"/>
            </w:r>
            <w:r w:rsidR="00C654F7">
              <w:rPr>
                <w:noProof/>
                <w:webHidden/>
              </w:rPr>
              <w:instrText xml:space="preserve"> PAGEREF _Toc203463147 \h </w:instrText>
            </w:r>
            <w:r w:rsidR="00C654F7">
              <w:rPr>
                <w:noProof/>
                <w:webHidden/>
              </w:rPr>
            </w:r>
            <w:r w:rsidR="00C654F7">
              <w:rPr>
                <w:noProof/>
                <w:webHidden/>
              </w:rPr>
              <w:fldChar w:fldCharType="separate"/>
            </w:r>
            <w:r w:rsidR="00981F42">
              <w:rPr>
                <w:noProof/>
                <w:webHidden/>
              </w:rPr>
              <w:t>10</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8" w:history="1">
            <w:r w:rsidR="00C654F7" w:rsidRPr="00137E4E">
              <w:rPr>
                <w:rStyle w:val="Lienhypertexte"/>
                <w:noProof/>
              </w:rPr>
              <w:t>5.5 Développement durable</w:t>
            </w:r>
            <w:r w:rsidR="00C654F7">
              <w:rPr>
                <w:noProof/>
                <w:webHidden/>
              </w:rPr>
              <w:tab/>
            </w:r>
            <w:r w:rsidR="00C654F7">
              <w:rPr>
                <w:noProof/>
                <w:webHidden/>
              </w:rPr>
              <w:fldChar w:fldCharType="begin"/>
            </w:r>
            <w:r w:rsidR="00C654F7">
              <w:rPr>
                <w:noProof/>
                <w:webHidden/>
              </w:rPr>
              <w:instrText xml:space="preserve"> PAGEREF _Toc203463148 \h </w:instrText>
            </w:r>
            <w:r w:rsidR="00C654F7">
              <w:rPr>
                <w:noProof/>
                <w:webHidden/>
              </w:rPr>
            </w:r>
            <w:r w:rsidR="00C654F7">
              <w:rPr>
                <w:noProof/>
                <w:webHidden/>
              </w:rPr>
              <w:fldChar w:fldCharType="separate"/>
            </w:r>
            <w:r w:rsidR="00981F42">
              <w:rPr>
                <w:noProof/>
                <w:webHidden/>
              </w:rPr>
              <w:t>10</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49" w:history="1">
            <w:r w:rsidR="00C654F7" w:rsidRPr="00137E4E">
              <w:rPr>
                <w:rStyle w:val="Lienhypertexte"/>
                <w:noProof/>
              </w:rPr>
              <w:t>5.6 Accès aux installations</w:t>
            </w:r>
            <w:r w:rsidR="00C654F7">
              <w:rPr>
                <w:noProof/>
                <w:webHidden/>
              </w:rPr>
              <w:tab/>
            </w:r>
            <w:r w:rsidR="00C654F7">
              <w:rPr>
                <w:noProof/>
                <w:webHidden/>
              </w:rPr>
              <w:fldChar w:fldCharType="begin"/>
            </w:r>
            <w:r w:rsidR="00C654F7">
              <w:rPr>
                <w:noProof/>
                <w:webHidden/>
              </w:rPr>
              <w:instrText xml:space="preserve"> PAGEREF _Toc203463149 \h </w:instrText>
            </w:r>
            <w:r w:rsidR="00C654F7">
              <w:rPr>
                <w:noProof/>
                <w:webHidden/>
              </w:rPr>
            </w:r>
            <w:r w:rsidR="00C654F7">
              <w:rPr>
                <w:noProof/>
                <w:webHidden/>
              </w:rPr>
              <w:fldChar w:fldCharType="separate"/>
            </w:r>
            <w:r w:rsidR="00981F42">
              <w:rPr>
                <w:noProof/>
                <w:webHidden/>
              </w:rPr>
              <w:t>11</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0" w:history="1">
            <w:r w:rsidR="00C654F7" w:rsidRPr="00137E4E">
              <w:rPr>
                <w:rStyle w:val="Lienhypertexte"/>
                <w:noProof/>
              </w:rPr>
              <w:t>5.7 Protection des données à caractère personnel</w:t>
            </w:r>
            <w:r w:rsidR="00C654F7">
              <w:rPr>
                <w:noProof/>
                <w:webHidden/>
              </w:rPr>
              <w:tab/>
            </w:r>
            <w:r w:rsidR="00C654F7">
              <w:rPr>
                <w:noProof/>
                <w:webHidden/>
              </w:rPr>
              <w:fldChar w:fldCharType="begin"/>
            </w:r>
            <w:r w:rsidR="00C654F7">
              <w:rPr>
                <w:noProof/>
                <w:webHidden/>
              </w:rPr>
              <w:instrText xml:space="preserve"> PAGEREF _Toc203463150 \h </w:instrText>
            </w:r>
            <w:r w:rsidR="00C654F7">
              <w:rPr>
                <w:noProof/>
                <w:webHidden/>
              </w:rPr>
            </w:r>
            <w:r w:rsidR="00C654F7">
              <w:rPr>
                <w:noProof/>
                <w:webHidden/>
              </w:rPr>
              <w:fldChar w:fldCharType="separate"/>
            </w:r>
            <w:r w:rsidR="00981F42">
              <w:rPr>
                <w:noProof/>
                <w:webHidden/>
              </w:rPr>
              <w:t>11</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1" w:history="1">
            <w:r w:rsidR="00C654F7" w:rsidRPr="00137E4E">
              <w:rPr>
                <w:rStyle w:val="Lienhypertexte"/>
                <w:noProof/>
              </w:rPr>
              <w:t>5.8 Assurances</w:t>
            </w:r>
            <w:r w:rsidR="00C654F7">
              <w:rPr>
                <w:noProof/>
                <w:webHidden/>
              </w:rPr>
              <w:tab/>
            </w:r>
            <w:r w:rsidR="00C654F7">
              <w:rPr>
                <w:noProof/>
                <w:webHidden/>
              </w:rPr>
              <w:fldChar w:fldCharType="begin"/>
            </w:r>
            <w:r w:rsidR="00C654F7">
              <w:rPr>
                <w:noProof/>
                <w:webHidden/>
              </w:rPr>
              <w:instrText xml:space="preserve"> PAGEREF _Toc203463151 \h </w:instrText>
            </w:r>
            <w:r w:rsidR="00C654F7">
              <w:rPr>
                <w:noProof/>
                <w:webHidden/>
              </w:rPr>
            </w:r>
            <w:r w:rsidR="00C654F7">
              <w:rPr>
                <w:noProof/>
                <w:webHidden/>
              </w:rPr>
              <w:fldChar w:fldCharType="separate"/>
            </w:r>
            <w:r w:rsidR="00981F42">
              <w:rPr>
                <w:noProof/>
                <w:webHidden/>
              </w:rPr>
              <w:t>11</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52" w:history="1">
            <w:r w:rsidR="00C654F7" w:rsidRPr="00137E4E">
              <w:rPr>
                <w:rStyle w:val="Lienhypertexte"/>
                <w:noProof/>
              </w:rPr>
              <w:t>ARTICLE 6 : MODALITES D’EXECUTION DES PRESTATIONS A BONS DE COMMANDES</w:t>
            </w:r>
            <w:r w:rsidR="00C654F7">
              <w:rPr>
                <w:noProof/>
                <w:webHidden/>
              </w:rPr>
              <w:tab/>
            </w:r>
            <w:r w:rsidR="00C654F7">
              <w:rPr>
                <w:noProof/>
                <w:webHidden/>
              </w:rPr>
              <w:fldChar w:fldCharType="begin"/>
            </w:r>
            <w:r w:rsidR="00C654F7">
              <w:rPr>
                <w:noProof/>
                <w:webHidden/>
              </w:rPr>
              <w:instrText xml:space="preserve"> PAGEREF _Toc203463152 \h </w:instrText>
            </w:r>
            <w:r w:rsidR="00C654F7">
              <w:rPr>
                <w:noProof/>
                <w:webHidden/>
              </w:rPr>
            </w:r>
            <w:r w:rsidR="00C654F7">
              <w:rPr>
                <w:noProof/>
                <w:webHidden/>
              </w:rPr>
              <w:fldChar w:fldCharType="separate"/>
            </w:r>
            <w:r w:rsidR="00981F42">
              <w:rPr>
                <w:noProof/>
                <w:webHidden/>
              </w:rPr>
              <w:t>11</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3" w:history="1">
            <w:r w:rsidR="00C654F7" w:rsidRPr="00137E4E">
              <w:rPr>
                <w:rStyle w:val="Lienhypertexte"/>
                <w:noProof/>
              </w:rPr>
              <w:t>6.1 Modalités d’exécutions des prestations</w:t>
            </w:r>
            <w:r w:rsidR="00C654F7">
              <w:rPr>
                <w:noProof/>
                <w:webHidden/>
              </w:rPr>
              <w:tab/>
            </w:r>
            <w:r w:rsidR="00C654F7">
              <w:rPr>
                <w:noProof/>
                <w:webHidden/>
              </w:rPr>
              <w:fldChar w:fldCharType="begin"/>
            </w:r>
            <w:r w:rsidR="00C654F7">
              <w:rPr>
                <w:noProof/>
                <w:webHidden/>
              </w:rPr>
              <w:instrText xml:space="preserve"> PAGEREF _Toc203463153 \h </w:instrText>
            </w:r>
            <w:r w:rsidR="00C654F7">
              <w:rPr>
                <w:noProof/>
                <w:webHidden/>
              </w:rPr>
            </w:r>
            <w:r w:rsidR="00C654F7">
              <w:rPr>
                <w:noProof/>
                <w:webHidden/>
              </w:rPr>
              <w:fldChar w:fldCharType="separate"/>
            </w:r>
            <w:r w:rsidR="00981F42">
              <w:rPr>
                <w:noProof/>
                <w:webHidden/>
              </w:rPr>
              <w:t>11</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4" w:history="1">
            <w:r w:rsidR="00C654F7" w:rsidRPr="00137E4E">
              <w:rPr>
                <w:rStyle w:val="Lienhypertexte"/>
                <w:noProof/>
              </w:rPr>
              <w:t>6.2 Délai d’exécution</w:t>
            </w:r>
            <w:r w:rsidR="00C654F7">
              <w:rPr>
                <w:noProof/>
                <w:webHidden/>
              </w:rPr>
              <w:tab/>
            </w:r>
            <w:r w:rsidR="00C654F7">
              <w:rPr>
                <w:noProof/>
                <w:webHidden/>
              </w:rPr>
              <w:fldChar w:fldCharType="begin"/>
            </w:r>
            <w:r w:rsidR="00C654F7">
              <w:rPr>
                <w:noProof/>
                <w:webHidden/>
              </w:rPr>
              <w:instrText xml:space="preserve"> PAGEREF _Toc203463154 \h </w:instrText>
            </w:r>
            <w:r w:rsidR="00C654F7">
              <w:rPr>
                <w:noProof/>
                <w:webHidden/>
              </w:rPr>
            </w:r>
            <w:r w:rsidR="00C654F7">
              <w:rPr>
                <w:noProof/>
                <w:webHidden/>
              </w:rPr>
              <w:fldChar w:fldCharType="separate"/>
            </w:r>
            <w:r w:rsidR="00981F42">
              <w:rPr>
                <w:noProof/>
                <w:webHidden/>
              </w:rPr>
              <w:t>12</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55" w:history="1">
            <w:r w:rsidR="00C654F7" w:rsidRPr="00137E4E">
              <w:rPr>
                <w:rStyle w:val="Lienhypertexte"/>
                <w:noProof/>
              </w:rPr>
              <w:t>ARTICLE 7 : SUIVI ET VERIFICATIONS DES PRESTATIONS</w:t>
            </w:r>
            <w:r w:rsidR="00C654F7">
              <w:rPr>
                <w:noProof/>
                <w:webHidden/>
              </w:rPr>
              <w:tab/>
            </w:r>
            <w:r w:rsidR="00C654F7">
              <w:rPr>
                <w:noProof/>
                <w:webHidden/>
              </w:rPr>
              <w:fldChar w:fldCharType="begin"/>
            </w:r>
            <w:r w:rsidR="00C654F7">
              <w:rPr>
                <w:noProof/>
                <w:webHidden/>
              </w:rPr>
              <w:instrText xml:space="preserve"> PAGEREF _Toc203463155 \h </w:instrText>
            </w:r>
            <w:r w:rsidR="00C654F7">
              <w:rPr>
                <w:noProof/>
                <w:webHidden/>
              </w:rPr>
            </w:r>
            <w:r w:rsidR="00C654F7">
              <w:rPr>
                <w:noProof/>
                <w:webHidden/>
              </w:rPr>
              <w:fldChar w:fldCharType="separate"/>
            </w:r>
            <w:r w:rsidR="00981F42">
              <w:rPr>
                <w:noProof/>
                <w:webHidden/>
              </w:rPr>
              <w:t>12</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6" w:history="1">
            <w:r w:rsidR="00C654F7" w:rsidRPr="00137E4E">
              <w:rPr>
                <w:rStyle w:val="Lienhypertexte"/>
                <w:noProof/>
              </w:rPr>
              <w:t>7.1 Opération de vérification</w:t>
            </w:r>
            <w:r w:rsidR="00C654F7">
              <w:rPr>
                <w:noProof/>
                <w:webHidden/>
              </w:rPr>
              <w:tab/>
            </w:r>
            <w:r w:rsidR="00C654F7">
              <w:rPr>
                <w:noProof/>
                <w:webHidden/>
              </w:rPr>
              <w:fldChar w:fldCharType="begin"/>
            </w:r>
            <w:r w:rsidR="00C654F7">
              <w:rPr>
                <w:noProof/>
                <w:webHidden/>
              </w:rPr>
              <w:instrText xml:space="preserve"> PAGEREF _Toc203463156 \h </w:instrText>
            </w:r>
            <w:r w:rsidR="00C654F7">
              <w:rPr>
                <w:noProof/>
                <w:webHidden/>
              </w:rPr>
            </w:r>
            <w:r w:rsidR="00C654F7">
              <w:rPr>
                <w:noProof/>
                <w:webHidden/>
              </w:rPr>
              <w:fldChar w:fldCharType="separate"/>
            </w:r>
            <w:r w:rsidR="00981F42">
              <w:rPr>
                <w:noProof/>
                <w:webHidden/>
              </w:rPr>
              <w:t>12</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7" w:history="1">
            <w:r w:rsidR="00C654F7" w:rsidRPr="00137E4E">
              <w:rPr>
                <w:rStyle w:val="Lienhypertexte"/>
                <w:noProof/>
              </w:rPr>
              <w:t>7.2 Délai d’admission des prestations</w:t>
            </w:r>
            <w:r w:rsidR="00C654F7">
              <w:rPr>
                <w:noProof/>
                <w:webHidden/>
              </w:rPr>
              <w:tab/>
            </w:r>
            <w:r w:rsidR="00C654F7">
              <w:rPr>
                <w:noProof/>
                <w:webHidden/>
              </w:rPr>
              <w:fldChar w:fldCharType="begin"/>
            </w:r>
            <w:r w:rsidR="00C654F7">
              <w:rPr>
                <w:noProof/>
                <w:webHidden/>
              </w:rPr>
              <w:instrText xml:space="preserve"> PAGEREF _Toc203463157 \h </w:instrText>
            </w:r>
            <w:r w:rsidR="00C654F7">
              <w:rPr>
                <w:noProof/>
                <w:webHidden/>
              </w:rPr>
            </w:r>
            <w:r w:rsidR="00C654F7">
              <w:rPr>
                <w:noProof/>
                <w:webHidden/>
              </w:rPr>
              <w:fldChar w:fldCharType="separate"/>
            </w:r>
            <w:r w:rsidR="00981F42">
              <w:rPr>
                <w:noProof/>
                <w:webHidden/>
              </w:rPr>
              <w:t>13</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8" w:history="1">
            <w:r w:rsidR="00C654F7" w:rsidRPr="00137E4E">
              <w:rPr>
                <w:rStyle w:val="Lienhypertexte"/>
                <w:noProof/>
              </w:rPr>
              <w:t>7.3 Fiche incident</w:t>
            </w:r>
            <w:r w:rsidR="00C654F7">
              <w:rPr>
                <w:noProof/>
                <w:webHidden/>
              </w:rPr>
              <w:tab/>
            </w:r>
            <w:r w:rsidR="00C654F7">
              <w:rPr>
                <w:noProof/>
                <w:webHidden/>
              </w:rPr>
              <w:fldChar w:fldCharType="begin"/>
            </w:r>
            <w:r w:rsidR="00C654F7">
              <w:rPr>
                <w:noProof/>
                <w:webHidden/>
              </w:rPr>
              <w:instrText xml:space="preserve"> PAGEREF _Toc203463158 \h </w:instrText>
            </w:r>
            <w:r w:rsidR="00C654F7">
              <w:rPr>
                <w:noProof/>
                <w:webHidden/>
              </w:rPr>
            </w:r>
            <w:r w:rsidR="00C654F7">
              <w:rPr>
                <w:noProof/>
                <w:webHidden/>
              </w:rPr>
              <w:fldChar w:fldCharType="separate"/>
            </w:r>
            <w:r w:rsidR="00981F42">
              <w:rPr>
                <w:noProof/>
                <w:webHidden/>
              </w:rPr>
              <w:t>13</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59" w:history="1">
            <w:r w:rsidR="00C654F7" w:rsidRPr="00137E4E">
              <w:rPr>
                <w:rStyle w:val="Lienhypertexte"/>
                <w:noProof/>
              </w:rPr>
              <w:t>7.4 Reporting et compte-rendu annuel</w:t>
            </w:r>
            <w:r w:rsidR="00C654F7">
              <w:rPr>
                <w:noProof/>
                <w:webHidden/>
              </w:rPr>
              <w:tab/>
            </w:r>
            <w:r w:rsidR="00C654F7">
              <w:rPr>
                <w:noProof/>
                <w:webHidden/>
              </w:rPr>
              <w:fldChar w:fldCharType="begin"/>
            </w:r>
            <w:r w:rsidR="00C654F7">
              <w:rPr>
                <w:noProof/>
                <w:webHidden/>
              </w:rPr>
              <w:instrText xml:space="preserve"> PAGEREF _Toc203463159 \h </w:instrText>
            </w:r>
            <w:r w:rsidR="00C654F7">
              <w:rPr>
                <w:noProof/>
                <w:webHidden/>
              </w:rPr>
            </w:r>
            <w:r w:rsidR="00C654F7">
              <w:rPr>
                <w:noProof/>
                <w:webHidden/>
              </w:rPr>
              <w:fldChar w:fldCharType="separate"/>
            </w:r>
            <w:r w:rsidR="00981F42">
              <w:rPr>
                <w:noProof/>
                <w:webHidden/>
              </w:rPr>
              <w:t>13</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60" w:history="1">
            <w:r w:rsidR="00C654F7" w:rsidRPr="00137E4E">
              <w:rPr>
                <w:rStyle w:val="Lienhypertexte"/>
                <w:noProof/>
              </w:rPr>
              <w:t>ARTICLE 8 : PENALITES</w:t>
            </w:r>
            <w:r w:rsidR="00C654F7">
              <w:rPr>
                <w:noProof/>
                <w:webHidden/>
              </w:rPr>
              <w:tab/>
            </w:r>
            <w:r w:rsidR="00C654F7">
              <w:rPr>
                <w:noProof/>
                <w:webHidden/>
              </w:rPr>
              <w:fldChar w:fldCharType="begin"/>
            </w:r>
            <w:r w:rsidR="00C654F7">
              <w:rPr>
                <w:noProof/>
                <w:webHidden/>
              </w:rPr>
              <w:instrText xml:space="preserve"> PAGEREF _Toc203463160 \h </w:instrText>
            </w:r>
            <w:r w:rsidR="00C654F7">
              <w:rPr>
                <w:noProof/>
                <w:webHidden/>
              </w:rPr>
            </w:r>
            <w:r w:rsidR="00C654F7">
              <w:rPr>
                <w:noProof/>
                <w:webHidden/>
              </w:rPr>
              <w:fldChar w:fldCharType="separate"/>
            </w:r>
            <w:r w:rsidR="00981F42">
              <w:rPr>
                <w:noProof/>
                <w:webHidden/>
              </w:rPr>
              <w:t>13</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61" w:history="1">
            <w:r w:rsidR="00C654F7" w:rsidRPr="00137E4E">
              <w:rPr>
                <w:rStyle w:val="Lienhypertexte"/>
                <w:noProof/>
              </w:rPr>
              <w:t>8.1 Pénalités pour défaut d’exécution des prestations</w:t>
            </w:r>
            <w:r w:rsidR="00C654F7">
              <w:rPr>
                <w:noProof/>
                <w:webHidden/>
              </w:rPr>
              <w:tab/>
            </w:r>
            <w:r w:rsidR="00C654F7">
              <w:rPr>
                <w:noProof/>
                <w:webHidden/>
              </w:rPr>
              <w:fldChar w:fldCharType="begin"/>
            </w:r>
            <w:r w:rsidR="00C654F7">
              <w:rPr>
                <w:noProof/>
                <w:webHidden/>
              </w:rPr>
              <w:instrText xml:space="preserve"> PAGEREF _Toc203463161 \h </w:instrText>
            </w:r>
            <w:r w:rsidR="00C654F7">
              <w:rPr>
                <w:noProof/>
                <w:webHidden/>
              </w:rPr>
            </w:r>
            <w:r w:rsidR="00C654F7">
              <w:rPr>
                <w:noProof/>
                <w:webHidden/>
              </w:rPr>
              <w:fldChar w:fldCharType="separate"/>
            </w:r>
            <w:r w:rsidR="00981F42">
              <w:rPr>
                <w:noProof/>
                <w:webHidden/>
              </w:rPr>
              <w:t>13</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62" w:history="1">
            <w:r w:rsidR="00C654F7" w:rsidRPr="00137E4E">
              <w:rPr>
                <w:rStyle w:val="Lienhypertexte"/>
                <w:noProof/>
              </w:rPr>
              <w:t>8.2 Pénalités pour retard de présentation de documents</w:t>
            </w:r>
            <w:r w:rsidR="00C654F7">
              <w:rPr>
                <w:noProof/>
                <w:webHidden/>
              </w:rPr>
              <w:tab/>
            </w:r>
            <w:r w:rsidR="00C654F7">
              <w:rPr>
                <w:noProof/>
                <w:webHidden/>
              </w:rPr>
              <w:fldChar w:fldCharType="begin"/>
            </w:r>
            <w:r w:rsidR="00C654F7">
              <w:rPr>
                <w:noProof/>
                <w:webHidden/>
              </w:rPr>
              <w:instrText xml:space="preserve"> PAGEREF _Toc203463162 \h </w:instrText>
            </w:r>
            <w:r w:rsidR="00C654F7">
              <w:rPr>
                <w:noProof/>
                <w:webHidden/>
              </w:rPr>
            </w:r>
            <w:r w:rsidR="00C654F7">
              <w:rPr>
                <w:noProof/>
                <w:webHidden/>
              </w:rPr>
              <w:fldChar w:fldCharType="separate"/>
            </w:r>
            <w:r w:rsidR="00981F42">
              <w:rPr>
                <w:noProof/>
                <w:webHidden/>
              </w:rPr>
              <w:t>14</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63" w:history="1">
            <w:r w:rsidR="00C654F7" w:rsidRPr="00137E4E">
              <w:rPr>
                <w:rStyle w:val="Lienhypertexte"/>
                <w:noProof/>
              </w:rPr>
              <w:t>8.3. Exonération des pénalités</w:t>
            </w:r>
            <w:r w:rsidR="00C654F7">
              <w:rPr>
                <w:noProof/>
                <w:webHidden/>
              </w:rPr>
              <w:tab/>
            </w:r>
            <w:r w:rsidR="00C654F7">
              <w:rPr>
                <w:noProof/>
                <w:webHidden/>
              </w:rPr>
              <w:fldChar w:fldCharType="begin"/>
            </w:r>
            <w:r w:rsidR="00C654F7">
              <w:rPr>
                <w:noProof/>
                <w:webHidden/>
              </w:rPr>
              <w:instrText xml:space="preserve"> PAGEREF _Toc203463163 \h </w:instrText>
            </w:r>
            <w:r w:rsidR="00C654F7">
              <w:rPr>
                <w:noProof/>
                <w:webHidden/>
              </w:rPr>
            </w:r>
            <w:r w:rsidR="00C654F7">
              <w:rPr>
                <w:noProof/>
                <w:webHidden/>
              </w:rPr>
              <w:fldChar w:fldCharType="separate"/>
            </w:r>
            <w:r w:rsidR="00981F42">
              <w:rPr>
                <w:noProof/>
                <w:webHidden/>
              </w:rPr>
              <w:t>14</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64" w:history="1">
            <w:r w:rsidR="00C654F7" w:rsidRPr="00137E4E">
              <w:rPr>
                <w:rStyle w:val="Lienhypertexte"/>
                <w:noProof/>
              </w:rPr>
              <w:t>ARTICLE 9 : MODALITES D’ETABLISSEMENT DES PRIX</w:t>
            </w:r>
            <w:r w:rsidR="00C654F7">
              <w:rPr>
                <w:noProof/>
                <w:webHidden/>
              </w:rPr>
              <w:tab/>
            </w:r>
            <w:r w:rsidR="00C654F7">
              <w:rPr>
                <w:noProof/>
                <w:webHidden/>
              </w:rPr>
              <w:fldChar w:fldCharType="begin"/>
            </w:r>
            <w:r w:rsidR="00C654F7">
              <w:rPr>
                <w:noProof/>
                <w:webHidden/>
              </w:rPr>
              <w:instrText xml:space="preserve"> PAGEREF _Toc203463164 \h </w:instrText>
            </w:r>
            <w:r w:rsidR="00C654F7">
              <w:rPr>
                <w:noProof/>
                <w:webHidden/>
              </w:rPr>
            </w:r>
            <w:r w:rsidR="00C654F7">
              <w:rPr>
                <w:noProof/>
                <w:webHidden/>
              </w:rPr>
              <w:fldChar w:fldCharType="separate"/>
            </w:r>
            <w:r w:rsidR="00981F42">
              <w:rPr>
                <w:noProof/>
                <w:webHidden/>
              </w:rPr>
              <w:t>14</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65" w:history="1">
            <w:r w:rsidR="00C654F7" w:rsidRPr="00137E4E">
              <w:rPr>
                <w:rStyle w:val="Lienhypertexte"/>
                <w:noProof/>
              </w:rPr>
              <w:t>9.1 Type et forme de prix</w:t>
            </w:r>
            <w:r w:rsidR="00C654F7">
              <w:rPr>
                <w:noProof/>
                <w:webHidden/>
              </w:rPr>
              <w:tab/>
            </w:r>
            <w:r w:rsidR="00C654F7">
              <w:rPr>
                <w:noProof/>
                <w:webHidden/>
              </w:rPr>
              <w:fldChar w:fldCharType="begin"/>
            </w:r>
            <w:r w:rsidR="00C654F7">
              <w:rPr>
                <w:noProof/>
                <w:webHidden/>
              </w:rPr>
              <w:instrText xml:space="preserve"> PAGEREF _Toc203463165 \h </w:instrText>
            </w:r>
            <w:r w:rsidR="00C654F7">
              <w:rPr>
                <w:noProof/>
                <w:webHidden/>
              </w:rPr>
            </w:r>
            <w:r w:rsidR="00C654F7">
              <w:rPr>
                <w:noProof/>
                <w:webHidden/>
              </w:rPr>
              <w:fldChar w:fldCharType="separate"/>
            </w:r>
            <w:r w:rsidR="00981F42">
              <w:rPr>
                <w:noProof/>
                <w:webHidden/>
              </w:rPr>
              <w:t>14</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66" w:history="1">
            <w:r w:rsidR="00C654F7" w:rsidRPr="00137E4E">
              <w:rPr>
                <w:rStyle w:val="Lienhypertexte"/>
                <w:noProof/>
              </w:rPr>
              <w:t>9.2 Contenu des prix</w:t>
            </w:r>
            <w:r w:rsidR="00C654F7">
              <w:rPr>
                <w:noProof/>
                <w:webHidden/>
              </w:rPr>
              <w:tab/>
            </w:r>
            <w:r w:rsidR="00C654F7">
              <w:rPr>
                <w:noProof/>
                <w:webHidden/>
              </w:rPr>
              <w:fldChar w:fldCharType="begin"/>
            </w:r>
            <w:r w:rsidR="00C654F7">
              <w:rPr>
                <w:noProof/>
                <w:webHidden/>
              </w:rPr>
              <w:instrText xml:space="preserve"> PAGEREF _Toc203463166 \h </w:instrText>
            </w:r>
            <w:r w:rsidR="00C654F7">
              <w:rPr>
                <w:noProof/>
                <w:webHidden/>
              </w:rPr>
            </w:r>
            <w:r w:rsidR="00C654F7">
              <w:rPr>
                <w:noProof/>
                <w:webHidden/>
              </w:rPr>
              <w:fldChar w:fldCharType="separate"/>
            </w:r>
            <w:r w:rsidR="00981F42">
              <w:rPr>
                <w:noProof/>
                <w:webHidden/>
              </w:rPr>
              <w:t>14</w:t>
            </w:r>
            <w:r w:rsidR="00C654F7">
              <w:rPr>
                <w:noProof/>
                <w:webHidden/>
              </w:rPr>
              <w:fldChar w:fldCharType="end"/>
            </w:r>
          </w:hyperlink>
        </w:p>
        <w:p w:rsidR="00C654F7" w:rsidRDefault="001E3A1C">
          <w:pPr>
            <w:pStyle w:val="TM2"/>
            <w:tabs>
              <w:tab w:val="right" w:leader="dot" w:pos="10055"/>
            </w:tabs>
            <w:rPr>
              <w:rFonts w:asciiTheme="minorHAnsi" w:eastAsiaTheme="minorEastAsia" w:hAnsiTheme="minorHAnsi" w:cstheme="minorBidi"/>
              <w:noProof/>
              <w:color w:val="auto"/>
            </w:rPr>
          </w:pPr>
          <w:hyperlink w:anchor="_Toc203463167" w:history="1">
            <w:r w:rsidR="00C654F7" w:rsidRPr="00137E4E">
              <w:rPr>
                <w:rStyle w:val="Lienhypertexte"/>
                <w:noProof/>
              </w:rPr>
              <w:t>9.3 Modalités de révision des prix</w:t>
            </w:r>
            <w:r w:rsidR="00C654F7">
              <w:rPr>
                <w:noProof/>
                <w:webHidden/>
              </w:rPr>
              <w:tab/>
            </w:r>
            <w:r w:rsidR="00C654F7">
              <w:rPr>
                <w:noProof/>
                <w:webHidden/>
              </w:rPr>
              <w:fldChar w:fldCharType="begin"/>
            </w:r>
            <w:r w:rsidR="00C654F7">
              <w:rPr>
                <w:noProof/>
                <w:webHidden/>
              </w:rPr>
              <w:instrText xml:space="preserve"> PAGEREF _Toc203463167 \h </w:instrText>
            </w:r>
            <w:r w:rsidR="00C654F7">
              <w:rPr>
                <w:noProof/>
                <w:webHidden/>
              </w:rPr>
            </w:r>
            <w:r w:rsidR="00C654F7">
              <w:rPr>
                <w:noProof/>
                <w:webHidden/>
              </w:rPr>
              <w:fldChar w:fldCharType="separate"/>
            </w:r>
            <w:r w:rsidR="00981F42">
              <w:rPr>
                <w:noProof/>
                <w:webHidden/>
              </w:rPr>
              <w:t>15</w:t>
            </w:r>
            <w:r w:rsidR="00C654F7">
              <w:rPr>
                <w:noProof/>
                <w:webHidden/>
              </w:rPr>
              <w:fldChar w:fldCharType="end"/>
            </w:r>
          </w:hyperlink>
        </w:p>
        <w:p w:rsidR="00C654F7" w:rsidRDefault="001E3A1C">
          <w:pPr>
            <w:pStyle w:val="TM2"/>
            <w:tabs>
              <w:tab w:val="left" w:pos="880"/>
              <w:tab w:val="right" w:leader="dot" w:pos="10055"/>
            </w:tabs>
            <w:rPr>
              <w:rFonts w:asciiTheme="minorHAnsi" w:eastAsiaTheme="minorEastAsia" w:hAnsiTheme="minorHAnsi" w:cstheme="minorBidi"/>
              <w:noProof/>
              <w:color w:val="auto"/>
            </w:rPr>
          </w:pPr>
          <w:hyperlink w:anchor="_Toc203463168" w:history="1">
            <w:r w:rsidR="00C654F7" w:rsidRPr="00137E4E">
              <w:rPr>
                <w:rStyle w:val="Lienhypertexte"/>
                <w:noProof/>
                <w:lang w:val="fr-CA"/>
              </w:rPr>
              <w:t>9.4</w:t>
            </w:r>
            <w:r w:rsidR="00C654F7">
              <w:rPr>
                <w:rFonts w:asciiTheme="minorHAnsi" w:eastAsiaTheme="minorEastAsia" w:hAnsiTheme="minorHAnsi" w:cstheme="minorBidi"/>
                <w:noProof/>
                <w:color w:val="auto"/>
              </w:rPr>
              <w:tab/>
            </w:r>
            <w:r w:rsidR="00C654F7" w:rsidRPr="00137E4E">
              <w:rPr>
                <w:rStyle w:val="Lienhypertexte"/>
                <w:noProof/>
                <w:lang w:val="fr-CA"/>
              </w:rPr>
              <w:t>Clause butoir</w:t>
            </w:r>
            <w:r w:rsidR="00C654F7">
              <w:rPr>
                <w:noProof/>
                <w:webHidden/>
              </w:rPr>
              <w:tab/>
            </w:r>
            <w:r w:rsidR="00C654F7">
              <w:rPr>
                <w:noProof/>
                <w:webHidden/>
              </w:rPr>
              <w:fldChar w:fldCharType="begin"/>
            </w:r>
            <w:r w:rsidR="00C654F7">
              <w:rPr>
                <w:noProof/>
                <w:webHidden/>
              </w:rPr>
              <w:instrText xml:space="preserve"> PAGEREF _Toc203463168 \h </w:instrText>
            </w:r>
            <w:r w:rsidR="00C654F7">
              <w:rPr>
                <w:noProof/>
                <w:webHidden/>
              </w:rPr>
            </w:r>
            <w:r w:rsidR="00C654F7">
              <w:rPr>
                <w:noProof/>
                <w:webHidden/>
              </w:rPr>
              <w:fldChar w:fldCharType="separate"/>
            </w:r>
            <w:r w:rsidR="00981F42">
              <w:rPr>
                <w:noProof/>
                <w:webHidden/>
              </w:rPr>
              <w:t>16</w:t>
            </w:r>
            <w:r w:rsidR="00C654F7">
              <w:rPr>
                <w:noProof/>
                <w:webHidden/>
              </w:rPr>
              <w:fldChar w:fldCharType="end"/>
            </w:r>
          </w:hyperlink>
        </w:p>
        <w:p w:rsidR="00C654F7" w:rsidRDefault="001E3A1C">
          <w:pPr>
            <w:pStyle w:val="TM2"/>
            <w:tabs>
              <w:tab w:val="left" w:pos="880"/>
              <w:tab w:val="right" w:leader="dot" w:pos="10055"/>
            </w:tabs>
            <w:rPr>
              <w:rFonts w:asciiTheme="minorHAnsi" w:eastAsiaTheme="minorEastAsia" w:hAnsiTheme="minorHAnsi" w:cstheme="minorBidi"/>
              <w:noProof/>
              <w:color w:val="auto"/>
            </w:rPr>
          </w:pPr>
          <w:hyperlink w:anchor="_Toc203463169" w:history="1">
            <w:r w:rsidR="00C654F7" w:rsidRPr="00137E4E">
              <w:rPr>
                <w:rStyle w:val="Lienhypertexte"/>
                <w:noProof/>
                <w:lang w:val="fr-CA"/>
              </w:rPr>
              <w:t>9.5</w:t>
            </w:r>
            <w:r w:rsidR="00C654F7">
              <w:rPr>
                <w:rFonts w:asciiTheme="minorHAnsi" w:eastAsiaTheme="minorEastAsia" w:hAnsiTheme="minorHAnsi" w:cstheme="minorBidi"/>
                <w:noProof/>
                <w:color w:val="auto"/>
              </w:rPr>
              <w:tab/>
            </w:r>
            <w:r w:rsidR="00C654F7" w:rsidRPr="00137E4E">
              <w:rPr>
                <w:rStyle w:val="Lienhypertexte"/>
                <w:noProof/>
                <w:lang w:val="fr-CA"/>
              </w:rPr>
              <w:t>Clause de sauvegarde</w:t>
            </w:r>
            <w:r w:rsidR="00C654F7">
              <w:rPr>
                <w:noProof/>
                <w:webHidden/>
              </w:rPr>
              <w:tab/>
            </w:r>
            <w:r w:rsidR="00C654F7">
              <w:rPr>
                <w:noProof/>
                <w:webHidden/>
              </w:rPr>
              <w:fldChar w:fldCharType="begin"/>
            </w:r>
            <w:r w:rsidR="00C654F7">
              <w:rPr>
                <w:noProof/>
                <w:webHidden/>
              </w:rPr>
              <w:instrText xml:space="preserve"> PAGEREF _Toc203463169 \h </w:instrText>
            </w:r>
            <w:r w:rsidR="00C654F7">
              <w:rPr>
                <w:noProof/>
                <w:webHidden/>
              </w:rPr>
            </w:r>
            <w:r w:rsidR="00C654F7">
              <w:rPr>
                <w:noProof/>
                <w:webHidden/>
              </w:rPr>
              <w:fldChar w:fldCharType="separate"/>
            </w:r>
            <w:r w:rsidR="00981F42">
              <w:rPr>
                <w:noProof/>
                <w:webHidden/>
              </w:rPr>
              <w:t>16</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70" w:history="1">
            <w:r w:rsidR="00C654F7" w:rsidRPr="00137E4E">
              <w:rPr>
                <w:rStyle w:val="Lienhypertexte"/>
                <w:noProof/>
              </w:rPr>
              <w:t>ARTICLE 10 : CONDITIONS DE PAIEMENT</w:t>
            </w:r>
            <w:r w:rsidR="00C654F7">
              <w:rPr>
                <w:noProof/>
                <w:webHidden/>
              </w:rPr>
              <w:tab/>
            </w:r>
            <w:r w:rsidR="00C654F7">
              <w:rPr>
                <w:noProof/>
                <w:webHidden/>
              </w:rPr>
              <w:fldChar w:fldCharType="begin"/>
            </w:r>
            <w:r w:rsidR="00C654F7">
              <w:rPr>
                <w:noProof/>
                <w:webHidden/>
              </w:rPr>
              <w:instrText xml:space="preserve"> PAGEREF _Toc203463170 \h </w:instrText>
            </w:r>
            <w:r w:rsidR="00C654F7">
              <w:rPr>
                <w:noProof/>
                <w:webHidden/>
              </w:rPr>
            </w:r>
            <w:r w:rsidR="00C654F7">
              <w:rPr>
                <w:noProof/>
                <w:webHidden/>
              </w:rPr>
              <w:fldChar w:fldCharType="separate"/>
            </w:r>
            <w:r w:rsidR="00981F42">
              <w:rPr>
                <w:noProof/>
                <w:webHidden/>
              </w:rPr>
              <w:t>16</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1" w:history="1">
            <w:r w:rsidR="00C654F7" w:rsidRPr="00137E4E">
              <w:rPr>
                <w:rStyle w:val="Lienhypertexte"/>
                <w:noProof/>
              </w:rPr>
              <w:t>10.1 Eléments généraux de la facturation</w:t>
            </w:r>
            <w:r w:rsidR="00C654F7">
              <w:rPr>
                <w:noProof/>
                <w:webHidden/>
              </w:rPr>
              <w:tab/>
            </w:r>
            <w:r w:rsidR="00C654F7">
              <w:rPr>
                <w:noProof/>
                <w:webHidden/>
              </w:rPr>
              <w:fldChar w:fldCharType="begin"/>
            </w:r>
            <w:r w:rsidR="00C654F7">
              <w:rPr>
                <w:noProof/>
                <w:webHidden/>
              </w:rPr>
              <w:instrText xml:space="preserve"> PAGEREF _Toc203463171 \h </w:instrText>
            </w:r>
            <w:r w:rsidR="00C654F7">
              <w:rPr>
                <w:noProof/>
                <w:webHidden/>
              </w:rPr>
            </w:r>
            <w:r w:rsidR="00C654F7">
              <w:rPr>
                <w:noProof/>
                <w:webHidden/>
              </w:rPr>
              <w:fldChar w:fldCharType="separate"/>
            </w:r>
            <w:r w:rsidR="00981F42">
              <w:rPr>
                <w:noProof/>
                <w:webHidden/>
              </w:rPr>
              <w:t>16</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2" w:history="1">
            <w:r w:rsidR="00C654F7" w:rsidRPr="00137E4E">
              <w:rPr>
                <w:rStyle w:val="Lienhypertexte"/>
                <w:noProof/>
              </w:rPr>
              <w:t>10.2 Procédure en cas de trop-perçu</w:t>
            </w:r>
            <w:r w:rsidR="00C654F7">
              <w:rPr>
                <w:noProof/>
                <w:webHidden/>
              </w:rPr>
              <w:tab/>
            </w:r>
            <w:r w:rsidR="00C654F7">
              <w:rPr>
                <w:noProof/>
                <w:webHidden/>
              </w:rPr>
              <w:fldChar w:fldCharType="begin"/>
            </w:r>
            <w:r w:rsidR="00C654F7">
              <w:rPr>
                <w:noProof/>
                <w:webHidden/>
              </w:rPr>
              <w:instrText xml:space="preserve"> PAGEREF _Toc203463172 \h </w:instrText>
            </w:r>
            <w:r w:rsidR="00C654F7">
              <w:rPr>
                <w:noProof/>
                <w:webHidden/>
              </w:rPr>
            </w:r>
            <w:r w:rsidR="00C654F7">
              <w:rPr>
                <w:noProof/>
                <w:webHidden/>
              </w:rPr>
              <w:fldChar w:fldCharType="separate"/>
            </w:r>
            <w:r w:rsidR="00981F42">
              <w:rPr>
                <w:noProof/>
                <w:webHidden/>
              </w:rPr>
              <w:t>17</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3" w:history="1">
            <w:r w:rsidR="00C654F7" w:rsidRPr="00137E4E">
              <w:rPr>
                <w:rStyle w:val="Lienhypertexte"/>
                <w:noProof/>
              </w:rPr>
              <w:t>10.3 Transmission des factures</w:t>
            </w:r>
            <w:r w:rsidR="00C654F7">
              <w:rPr>
                <w:noProof/>
                <w:webHidden/>
              </w:rPr>
              <w:tab/>
            </w:r>
            <w:r w:rsidR="00C654F7">
              <w:rPr>
                <w:noProof/>
                <w:webHidden/>
              </w:rPr>
              <w:fldChar w:fldCharType="begin"/>
            </w:r>
            <w:r w:rsidR="00C654F7">
              <w:rPr>
                <w:noProof/>
                <w:webHidden/>
              </w:rPr>
              <w:instrText xml:space="preserve"> PAGEREF _Toc203463173 \h </w:instrText>
            </w:r>
            <w:r w:rsidR="00C654F7">
              <w:rPr>
                <w:noProof/>
                <w:webHidden/>
              </w:rPr>
            </w:r>
            <w:r w:rsidR="00C654F7">
              <w:rPr>
                <w:noProof/>
                <w:webHidden/>
              </w:rPr>
              <w:fldChar w:fldCharType="separate"/>
            </w:r>
            <w:r w:rsidR="00981F42">
              <w:rPr>
                <w:noProof/>
                <w:webHidden/>
              </w:rPr>
              <w:t>17</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4" w:history="1">
            <w:r w:rsidR="00C654F7" w:rsidRPr="00137E4E">
              <w:rPr>
                <w:rStyle w:val="Lienhypertexte"/>
                <w:noProof/>
              </w:rPr>
              <w:t>10.4 Modalités et délai de paiement</w:t>
            </w:r>
            <w:r w:rsidR="00C654F7">
              <w:rPr>
                <w:noProof/>
                <w:webHidden/>
              </w:rPr>
              <w:tab/>
            </w:r>
            <w:r w:rsidR="00C654F7">
              <w:rPr>
                <w:noProof/>
                <w:webHidden/>
              </w:rPr>
              <w:fldChar w:fldCharType="begin"/>
            </w:r>
            <w:r w:rsidR="00C654F7">
              <w:rPr>
                <w:noProof/>
                <w:webHidden/>
              </w:rPr>
              <w:instrText xml:space="preserve"> PAGEREF _Toc203463174 \h </w:instrText>
            </w:r>
            <w:r w:rsidR="00C654F7">
              <w:rPr>
                <w:noProof/>
                <w:webHidden/>
              </w:rPr>
            </w:r>
            <w:r w:rsidR="00C654F7">
              <w:rPr>
                <w:noProof/>
                <w:webHidden/>
              </w:rPr>
              <w:fldChar w:fldCharType="separate"/>
            </w:r>
            <w:r w:rsidR="00981F42">
              <w:rPr>
                <w:noProof/>
                <w:webHidden/>
              </w:rPr>
              <w:t>18</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5" w:history="1">
            <w:r w:rsidR="00C654F7" w:rsidRPr="00137E4E">
              <w:rPr>
                <w:rStyle w:val="Lienhypertexte"/>
                <w:noProof/>
              </w:rPr>
              <w:t>10.5 Avance</w:t>
            </w:r>
            <w:r w:rsidR="00C654F7">
              <w:rPr>
                <w:noProof/>
                <w:webHidden/>
              </w:rPr>
              <w:tab/>
            </w:r>
            <w:r w:rsidR="00C654F7">
              <w:rPr>
                <w:noProof/>
                <w:webHidden/>
              </w:rPr>
              <w:fldChar w:fldCharType="begin"/>
            </w:r>
            <w:r w:rsidR="00C654F7">
              <w:rPr>
                <w:noProof/>
                <w:webHidden/>
              </w:rPr>
              <w:instrText xml:space="preserve"> PAGEREF _Toc203463175 \h </w:instrText>
            </w:r>
            <w:r w:rsidR="00C654F7">
              <w:rPr>
                <w:noProof/>
                <w:webHidden/>
              </w:rPr>
            </w:r>
            <w:r w:rsidR="00C654F7">
              <w:rPr>
                <w:noProof/>
                <w:webHidden/>
              </w:rPr>
              <w:fldChar w:fldCharType="separate"/>
            </w:r>
            <w:r w:rsidR="00981F42">
              <w:rPr>
                <w:noProof/>
                <w:webHidden/>
              </w:rPr>
              <w:t>18</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6" w:history="1">
            <w:r w:rsidR="00C654F7" w:rsidRPr="00137E4E">
              <w:rPr>
                <w:rStyle w:val="Lienhypertexte"/>
                <w:noProof/>
              </w:rPr>
              <w:t>10.6 Acomptes</w:t>
            </w:r>
            <w:r w:rsidR="00C654F7">
              <w:rPr>
                <w:noProof/>
                <w:webHidden/>
              </w:rPr>
              <w:tab/>
            </w:r>
            <w:r w:rsidR="00C654F7">
              <w:rPr>
                <w:noProof/>
                <w:webHidden/>
              </w:rPr>
              <w:fldChar w:fldCharType="begin"/>
            </w:r>
            <w:r w:rsidR="00C654F7">
              <w:rPr>
                <w:noProof/>
                <w:webHidden/>
              </w:rPr>
              <w:instrText xml:space="preserve"> PAGEREF _Toc203463176 \h </w:instrText>
            </w:r>
            <w:r w:rsidR="00C654F7">
              <w:rPr>
                <w:noProof/>
                <w:webHidden/>
              </w:rPr>
            </w:r>
            <w:r w:rsidR="00C654F7">
              <w:rPr>
                <w:noProof/>
                <w:webHidden/>
              </w:rPr>
              <w:fldChar w:fldCharType="separate"/>
            </w:r>
            <w:r w:rsidR="00981F42">
              <w:rPr>
                <w:noProof/>
                <w:webHidden/>
              </w:rPr>
              <w:t>18</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7" w:history="1">
            <w:r w:rsidR="00C654F7" w:rsidRPr="00137E4E">
              <w:rPr>
                <w:rStyle w:val="Lienhypertexte"/>
                <w:noProof/>
              </w:rPr>
              <w:t>10.7 Nantissement</w:t>
            </w:r>
            <w:r w:rsidR="00C654F7">
              <w:rPr>
                <w:noProof/>
                <w:webHidden/>
              </w:rPr>
              <w:tab/>
            </w:r>
            <w:r w:rsidR="00C654F7">
              <w:rPr>
                <w:noProof/>
                <w:webHidden/>
              </w:rPr>
              <w:fldChar w:fldCharType="begin"/>
            </w:r>
            <w:r w:rsidR="00C654F7">
              <w:rPr>
                <w:noProof/>
                <w:webHidden/>
              </w:rPr>
              <w:instrText xml:space="preserve"> PAGEREF _Toc203463177 \h </w:instrText>
            </w:r>
            <w:r w:rsidR="00C654F7">
              <w:rPr>
                <w:noProof/>
                <w:webHidden/>
              </w:rPr>
            </w:r>
            <w:r w:rsidR="00C654F7">
              <w:rPr>
                <w:noProof/>
                <w:webHidden/>
              </w:rPr>
              <w:fldChar w:fldCharType="separate"/>
            </w:r>
            <w:r w:rsidR="00981F42">
              <w:rPr>
                <w:noProof/>
                <w:webHidden/>
              </w:rPr>
              <w:t>18</w:t>
            </w:r>
            <w:r w:rsidR="00C654F7">
              <w:rPr>
                <w:noProof/>
                <w:webHidden/>
              </w:rPr>
              <w:fldChar w:fldCharType="end"/>
            </w:r>
          </w:hyperlink>
        </w:p>
        <w:p w:rsidR="00C654F7" w:rsidRDefault="001E3A1C">
          <w:pPr>
            <w:pStyle w:val="TM3"/>
            <w:tabs>
              <w:tab w:val="right" w:leader="dot" w:pos="10055"/>
            </w:tabs>
            <w:rPr>
              <w:rFonts w:asciiTheme="minorHAnsi" w:eastAsiaTheme="minorEastAsia" w:hAnsiTheme="minorHAnsi" w:cstheme="minorBidi"/>
              <w:noProof/>
              <w:color w:val="auto"/>
            </w:rPr>
          </w:pPr>
          <w:hyperlink w:anchor="_Toc203463178" w:history="1">
            <w:r w:rsidR="00C654F7" w:rsidRPr="00137E4E">
              <w:rPr>
                <w:rStyle w:val="Lienhypertexte"/>
                <w:noProof/>
              </w:rPr>
              <w:t>10.8 Personnes concernées</w:t>
            </w:r>
            <w:r w:rsidR="00C654F7">
              <w:rPr>
                <w:noProof/>
                <w:webHidden/>
              </w:rPr>
              <w:tab/>
            </w:r>
            <w:r w:rsidR="00C654F7">
              <w:rPr>
                <w:noProof/>
                <w:webHidden/>
              </w:rPr>
              <w:fldChar w:fldCharType="begin"/>
            </w:r>
            <w:r w:rsidR="00C654F7">
              <w:rPr>
                <w:noProof/>
                <w:webHidden/>
              </w:rPr>
              <w:instrText xml:space="preserve"> PAGEREF _Toc203463178 \h </w:instrText>
            </w:r>
            <w:r w:rsidR="00C654F7">
              <w:rPr>
                <w:noProof/>
                <w:webHidden/>
              </w:rPr>
            </w:r>
            <w:r w:rsidR="00C654F7">
              <w:rPr>
                <w:noProof/>
                <w:webHidden/>
              </w:rPr>
              <w:fldChar w:fldCharType="separate"/>
            </w:r>
            <w:r w:rsidR="00981F42">
              <w:rPr>
                <w:noProof/>
                <w:webHidden/>
              </w:rPr>
              <w:t>19</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79" w:history="1">
            <w:r w:rsidR="00C654F7" w:rsidRPr="00137E4E">
              <w:rPr>
                <w:rStyle w:val="Lienhypertexte"/>
                <w:noProof/>
              </w:rPr>
              <w:t>ARTICLE 11 : MODIFICATIONS DES CARACTERISTIQUES ADMINISTRATIVES ET JURIDIQUES DE L’ENTREPRISE DU TITULAIRE</w:t>
            </w:r>
            <w:r w:rsidR="00C654F7">
              <w:rPr>
                <w:noProof/>
                <w:webHidden/>
              </w:rPr>
              <w:tab/>
            </w:r>
            <w:r w:rsidR="00C654F7">
              <w:rPr>
                <w:noProof/>
                <w:webHidden/>
              </w:rPr>
              <w:fldChar w:fldCharType="begin"/>
            </w:r>
            <w:r w:rsidR="00C654F7">
              <w:rPr>
                <w:noProof/>
                <w:webHidden/>
              </w:rPr>
              <w:instrText xml:space="preserve"> PAGEREF _Toc203463179 \h </w:instrText>
            </w:r>
            <w:r w:rsidR="00C654F7">
              <w:rPr>
                <w:noProof/>
                <w:webHidden/>
              </w:rPr>
            </w:r>
            <w:r w:rsidR="00C654F7">
              <w:rPr>
                <w:noProof/>
                <w:webHidden/>
              </w:rPr>
              <w:fldChar w:fldCharType="separate"/>
            </w:r>
            <w:r w:rsidR="00981F42">
              <w:rPr>
                <w:noProof/>
                <w:webHidden/>
              </w:rPr>
              <w:t>19</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0" w:history="1">
            <w:r w:rsidR="00C654F7" w:rsidRPr="00137E4E">
              <w:rPr>
                <w:rStyle w:val="Lienhypertexte"/>
                <w:noProof/>
              </w:rPr>
              <w:t>ARTICLE 12 : EXECUTION DES PRESTATIONS AUX FRAIS ET RISQUES DU TITULAIRE</w:t>
            </w:r>
            <w:r w:rsidR="00C654F7">
              <w:rPr>
                <w:noProof/>
                <w:webHidden/>
              </w:rPr>
              <w:tab/>
            </w:r>
            <w:r w:rsidR="00C654F7">
              <w:rPr>
                <w:noProof/>
                <w:webHidden/>
              </w:rPr>
              <w:fldChar w:fldCharType="begin"/>
            </w:r>
            <w:r w:rsidR="00C654F7">
              <w:rPr>
                <w:noProof/>
                <w:webHidden/>
              </w:rPr>
              <w:instrText xml:space="preserve"> PAGEREF _Toc203463180 \h </w:instrText>
            </w:r>
            <w:r w:rsidR="00C654F7">
              <w:rPr>
                <w:noProof/>
                <w:webHidden/>
              </w:rPr>
            </w:r>
            <w:r w:rsidR="00C654F7">
              <w:rPr>
                <w:noProof/>
                <w:webHidden/>
              </w:rPr>
              <w:fldChar w:fldCharType="separate"/>
            </w:r>
            <w:r w:rsidR="00981F42">
              <w:rPr>
                <w:noProof/>
                <w:webHidden/>
              </w:rPr>
              <w:t>19</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1" w:history="1">
            <w:r w:rsidR="00C654F7" w:rsidRPr="00137E4E">
              <w:rPr>
                <w:rStyle w:val="Lienhypertexte"/>
                <w:noProof/>
              </w:rPr>
              <w:t>ARTICLE 13 : MARCHES DE PRESTATIONS SIMILAIRES</w:t>
            </w:r>
            <w:r w:rsidR="00C654F7">
              <w:rPr>
                <w:noProof/>
                <w:webHidden/>
              </w:rPr>
              <w:tab/>
            </w:r>
            <w:r w:rsidR="00C654F7">
              <w:rPr>
                <w:noProof/>
                <w:webHidden/>
              </w:rPr>
              <w:fldChar w:fldCharType="begin"/>
            </w:r>
            <w:r w:rsidR="00C654F7">
              <w:rPr>
                <w:noProof/>
                <w:webHidden/>
              </w:rPr>
              <w:instrText xml:space="preserve"> PAGEREF _Toc203463181 \h </w:instrText>
            </w:r>
            <w:r w:rsidR="00C654F7">
              <w:rPr>
                <w:noProof/>
                <w:webHidden/>
              </w:rPr>
            </w:r>
            <w:r w:rsidR="00C654F7">
              <w:rPr>
                <w:noProof/>
                <w:webHidden/>
              </w:rPr>
              <w:fldChar w:fldCharType="separate"/>
            </w:r>
            <w:r w:rsidR="00981F42">
              <w:rPr>
                <w:noProof/>
                <w:webHidden/>
              </w:rPr>
              <w:t>20</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2" w:history="1">
            <w:r w:rsidR="00C654F7" w:rsidRPr="00137E4E">
              <w:rPr>
                <w:rStyle w:val="Lienhypertexte"/>
                <w:noProof/>
              </w:rPr>
              <w:t>ARTICLE 14 : RESILIATION</w:t>
            </w:r>
            <w:r w:rsidR="00C654F7">
              <w:rPr>
                <w:noProof/>
                <w:webHidden/>
              </w:rPr>
              <w:tab/>
            </w:r>
            <w:r w:rsidR="00C654F7">
              <w:rPr>
                <w:noProof/>
                <w:webHidden/>
              </w:rPr>
              <w:fldChar w:fldCharType="begin"/>
            </w:r>
            <w:r w:rsidR="00C654F7">
              <w:rPr>
                <w:noProof/>
                <w:webHidden/>
              </w:rPr>
              <w:instrText xml:space="preserve"> PAGEREF _Toc203463182 \h </w:instrText>
            </w:r>
            <w:r w:rsidR="00C654F7">
              <w:rPr>
                <w:noProof/>
                <w:webHidden/>
              </w:rPr>
            </w:r>
            <w:r w:rsidR="00C654F7">
              <w:rPr>
                <w:noProof/>
                <w:webHidden/>
              </w:rPr>
              <w:fldChar w:fldCharType="separate"/>
            </w:r>
            <w:r w:rsidR="00981F42">
              <w:rPr>
                <w:noProof/>
                <w:webHidden/>
              </w:rPr>
              <w:t>20</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3" w:history="1">
            <w:r w:rsidR="00C654F7" w:rsidRPr="00137E4E">
              <w:rPr>
                <w:rStyle w:val="Lienhypertexte"/>
                <w:noProof/>
              </w:rPr>
              <w:t>ARTICLE 15 : DIFERRENDS ET LITIGES</w:t>
            </w:r>
            <w:r w:rsidR="00C654F7">
              <w:rPr>
                <w:noProof/>
                <w:webHidden/>
              </w:rPr>
              <w:tab/>
            </w:r>
            <w:r w:rsidR="00C654F7">
              <w:rPr>
                <w:noProof/>
                <w:webHidden/>
              </w:rPr>
              <w:fldChar w:fldCharType="begin"/>
            </w:r>
            <w:r w:rsidR="00C654F7">
              <w:rPr>
                <w:noProof/>
                <w:webHidden/>
              </w:rPr>
              <w:instrText xml:space="preserve"> PAGEREF _Toc203463183 \h </w:instrText>
            </w:r>
            <w:r w:rsidR="00C654F7">
              <w:rPr>
                <w:noProof/>
                <w:webHidden/>
              </w:rPr>
            </w:r>
            <w:r w:rsidR="00C654F7">
              <w:rPr>
                <w:noProof/>
                <w:webHidden/>
              </w:rPr>
              <w:fldChar w:fldCharType="separate"/>
            </w:r>
            <w:r w:rsidR="00981F42">
              <w:rPr>
                <w:noProof/>
                <w:webHidden/>
              </w:rPr>
              <w:t>20</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4" w:history="1">
            <w:r w:rsidR="00C654F7" w:rsidRPr="00137E4E">
              <w:rPr>
                <w:rStyle w:val="Lienhypertexte"/>
                <w:noProof/>
              </w:rPr>
              <w:t>ARTICLE 16 : INTERLOCUTEUR PME/PMI</w:t>
            </w:r>
            <w:r w:rsidR="00C654F7">
              <w:rPr>
                <w:noProof/>
                <w:webHidden/>
              </w:rPr>
              <w:tab/>
            </w:r>
            <w:r w:rsidR="00C654F7">
              <w:rPr>
                <w:noProof/>
                <w:webHidden/>
              </w:rPr>
              <w:fldChar w:fldCharType="begin"/>
            </w:r>
            <w:r w:rsidR="00C654F7">
              <w:rPr>
                <w:noProof/>
                <w:webHidden/>
              </w:rPr>
              <w:instrText xml:space="preserve"> PAGEREF _Toc203463184 \h </w:instrText>
            </w:r>
            <w:r w:rsidR="00C654F7">
              <w:rPr>
                <w:noProof/>
                <w:webHidden/>
              </w:rPr>
            </w:r>
            <w:r w:rsidR="00C654F7">
              <w:rPr>
                <w:noProof/>
                <w:webHidden/>
              </w:rPr>
              <w:fldChar w:fldCharType="separate"/>
            </w:r>
            <w:r w:rsidR="00981F42">
              <w:rPr>
                <w:noProof/>
                <w:webHidden/>
              </w:rPr>
              <w:t>21</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5" w:history="1">
            <w:r w:rsidR="00C654F7" w:rsidRPr="00137E4E">
              <w:rPr>
                <w:rStyle w:val="Lienhypertexte"/>
                <w:noProof/>
              </w:rPr>
              <w:t xml:space="preserve">ARTICLE 17 : </w:t>
            </w:r>
            <w:r w:rsidR="00C654F7" w:rsidRPr="00137E4E">
              <w:rPr>
                <w:rStyle w:val="Lienhypertexte"/>
                <w:bCs/>
                <w:noProof/>
              </w:rPr>
              <w:t>CERTIFICAT DE BONNE EXECUTION DE MARCHE (CBEM)</w:t>
            </w:r>
            <w:r w:rsidR="00C654F7">
              <w:rPr>
                <w:noProof/>
                <w:webHidden/>
              </w:rPr>
              <w:tab/>
            </w:r>
            <w:r w:rsidR="00C654F7">
              <w:rPr>
                <w:noProof/>
                <w:webHidden/>
              </w:rPr>
              <w:fldChar w:fldCharType="begin"/>
            </w:r>
            <w:r w:rsidR="00C654F7">
              <w:rPr>
                <w:noProof/>
                <w:webHidden/>
              </w:rPr>
              <w:instrText xml:space="preserve"> PAGEREF _Toc203463185 \h </w:instrText>
            </w:r>
            <w:r w:rsidR="00C654F7">
              <w:rPr>
                <w:noProof/>
                <w:webHidden/>
              </w:rPr>
            </w:r>
            <w:r w:rsidR="00C654F7">
              <w:rPr>
                <w:noProof/>
                <w:webHidden/>
              </w:rPr>
              <w:fldChar w:fldCharType="separate"/>
            </w:r>
            <w:r w:rsidR="00981F42">
              <w:rPr>
                <w:noProof/>
                <w:webHidden/>
              </w:rPr>
              <w:t>21</w:t>
            </w:r>
            <w:r w:rsidR="00C654F7">
              <w:rPr>
                <w:noProof/>
                <w:webHidden/>
              </w:rPr>
              <w:fldChar w:fldCharType="end"/>
            </w:r>
          </w:hyperlink>
        </w:p>
        <w:p w:rsidR="00C654F7" w:rsidRDefault="001E3A1C">
          <w:pPr>
            <w:pStyle w:val="TM1"/>
            <w:tabs>
              <w:tab w:val="right" w:leader="dot" w:pos="10055"/>
            </w:tabs>
            <w:rPr>
              <w:rFonts w:asciiTheme="minorHAnsi" w:eastAsiaTheme="minorEastAsia" w:hAnsiTheme="minorHAnsi" w:cstheme="minorBidi"/>
              <w:noProof/>
              <w:color w:val="auto"/>
            </w:rPr>
          </w:pPr>
          <w:hyperlink w:anchor="_Toc203463186" w:history="1">
            <w:r w:rsidR="00C654F7" w:rsidRPr="00137E4E">
              <w:rPr>
                <w:rStyle w:val="Lienhypertexte"/>
                <w:noProof/>
              </w:rPr>
              <w:t>ARTICLE 18 : DEROGATIONS AUX CCAG</w:t>
            </w:r>
            <w:r w:rsidR="00C654F7">
              <w:rPr>
                <w:noProof/>
                <w:webHidden/>
              </w:rPr>
              <w:tab/>
            </w:r>
            <w:r w:rsidR="00C654F7">
              <w:rPr>
                <w:noProof/>
                <w:webHidden/>
              </w:rPr>
              <w:fldChar w:fldCharType="begin"/>
            </w:r>
            <w:r w:rsidR="00C654F7">
              <w:rPr>
                <w:noProof/>
                <w:webHidden/>
              </w:rPr>
              <w:instrText xml:space="preserve"> PAGEREF _Toc203463186 \h </w:instrText>
            </w:r>
            <w:r w:rsidR="00C654F7">
              <w:rPr>
                <w:noProof/>
                <w:webHidden/>
              </w:rPr>
            </w:r>
            <w:r w:rsidR="00C654F7">
              <w:rPr>
                <w:noProof/>
                <w:webHidden/>
              </w:rPr>
              <w:fldChar w:fldCharType="separate"/>
            </w:r>
            <w:r w:rsidR="00981F42">
              <w:rPr>
                <w:noProof/>
                <w:webHidden/>
              </w:rPr>
              <w:t>22</w:t>
            </w:r>
            <w:r w:rsidR="00C654F7">
              <w:rPr>
                <w:noProof/>
                <w:webHidden/>
              </w:rPr>
              <w:fldChar w:fldCharType="end"/>
            </w:r>
          </w:hyperlink>
        </w:p>
        <w:p w:rsidR="00072FDD" w:rsidRDefault="00072FDD">
          <w:r>
            <w:rPr>
              <w:b/>
              <w:bCs/>
            </w:rPr>
            <w:fldChar w:fldCharType="end"/>
          </w:r>
        </w:p>
      </w:sdtContent>
    </w:sdt>
    <w:p w:rsidR="00072FDD" w:rsidRDefault="00072FDD" w:rsidP="000114BA">
      <w:pPr>
        <w:tabs>
          <w:tab w:val="center" w:pos="566"/>
          <w:tab w:val="center" w:pos="5932"/>
          <w:tab w:val="center" w:pos="11342"/>
        </w:tabs>
        <w:spacing w:after="9" w:line="249" w:lineRule="auto"/>
        <w:ind w:left="0" w:firstLine="0"/>
        <w:jc w:val="center"/>
      </w:pPr>
    </w:p>
    <w:p w:rsidR="000B6055" w:rsidRDefault="00980A49" w:rsidP="00072FDD">
      <w:pPr>
        <w:spacing w:after="122" w:line="259" w:lineRule="auto"/>
        <w:ind w:left="566" w:firstLine="0"/>
        <w:jc w:val="left"/>
        <w:rPr>
          <w:b/>
        </w:rPr>
      </w:pPr>
      <w:r>
        <w:rPr>
          <w:b/>
        </w:rPr>
        <w:t xml:space="preserve"> </w:t>
      </w: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B6055" w:rsidRDefault="000B6055">
      <w:pPr>
        <w:spacing w:after="0" w:line="259" w:lineRule="auto"/>
        <w:ind w:left="561" w:hanging="10"/>
        <w:jc w:val="left"/>
        <w:rPr>
          <w:b/>
        </w:rPr>
      </w:pPr>
    </w:p>
    <w:p w:rsidR="00072FDD" w:rsidRDefault="00072FDD">
      <w:pPr>
        <w:spacing w:after="0" w:line="259" w:lineRule="auto"/>
        <w:ind w:left="561" w:hanging="10"/>
        <w:jc w:val="left"/>
        <w:rPr>
          <w:b/>
        </w:rPr>
      </w:pPr>
    </w:p>
    <w:p w:rsidR="00BE73FD" w:rsidRDefault="00BE73FD">
      <w:pPr>
        <w:spacing w:after="0" w:line="259" w:lineRule="auto"/>
        <w:ind w:left="561" w:hanging="10"/>
        <w:jc w:val="left"/>
        <w:rPr>
          <w:b/>
        </w:rPr>
      </w:pPr>
    </w:p>
    <w:p w:rsidR="00BE73FD" w:rsidRDefault="00BE73FD">
      <w:pPr>
        <w:spacing w:after="0" w:line="259" w:lineRule="auto"/>
        <w:ind w:left="561" w:hanging="10"/>
        <w:jc w:val="left"/>
        <w:rPr>
          <w:b/>
        </w:rPr>
      </w:pPr>
    </w:p>
    <w:p w:rsidR="00136CE5" w:rsidRDefault="00980A49">
      <w:pPr>
        <w:spacing w:after="0" w:line="259" w:lineRule="auto"/>
        <w:ind w:left="561" w:hanging="10"/>
        <w:jc w:val="left"/>
        <w:rPr>
          <w:b/>
        </w:rPr>
      </w:pPr>
      <w:r>
        <w:rPr>
          <w:b/>
        </w:rPr>
        <w:t xml:space="preserve">TERMINOLOGIE </w:t>
      </w:r>
    </w:p>
    <w:p w:rsidR="00136CE5" w:rsidRDefault="00136CE5">
      <w:pPr>
        <w:spacing w:after="0" w:line="259" w:lineRule="auto"/>
        <w:ind w:left="561" w:hanging="10"/>
        <w:jc w:val="left"/>
      </w:pPr>
    </w:p>
    <w:p w:rsidR="00AB696B" w:rsidRDefault="00980A49">
      <w:pPr>
        <w:spacing w:after="0" w:line="259" w:lineRule="auto"/>
        <w:ind w:left="566" w:firstLine="0"/>
        <w:jc w:val="left"/>
      </w:pPr>
      <w:r>
        <w:t xml:space="preserve"> </w:t>
      </w:r>
    </w:p>
    <w:tbl>
      <w:tblPr>
        <w:tblStyle w:val="TableGrid"/>
        <w:tblW w:w="9150" w:type="dxa"/>
        <w:tblInd w:w="665" w:type="dxa"/>
        <w:tblCellMar>
          <w:left w:w="108" w:type="dxa"/>
          <w:right w:w="115" w:type="dxa"/>
        </w:tblCellMar>
        <w:tblLook w:val="04A0" w:firstRow="1" w:lastRow="0" w:firstColumn="1" w:lastColumn="0" w:noHBand="0" w:noVBand="1"/>
      </w:tblPr>
      <w:tblGrid>
        <w:gridCol w:w="1985"/>
        <w:gridCol w:w="7165"/>
      </w:tblGrid>
      <w:tr w:rsidR="00AB696B" w:rsidTr="009074E7">
        <w:trPr>
          <w:trHeight w:val="504"/>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right="133" w:firstLine="0"/>
              <w:jc w:val="center"/>
            </w:pPr>
            <w:r>
              <w:rPr>
                <w:b/>
              </w:rPr>
              <w:t xml:space="preserve">SIGLE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right="134" w:firstLine="0"/>
              <w:jc w:val="center"/>
            </w:pPr>
            <w:r>
              <w:rPr>
                <w:b/>
              </w:rPr>
              <w:t xml:space="preserve">DEFINITION </w:t>
            </w:r>
          </w:p>
        </w:tc>
      </w:tr>
      <w:tr w:rsidR="00AB696B" w:rsidTr="009074E7">
        <w:trPr>
          <w:trHeight w:val="502"/>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CCAG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Cahier des clauses administratives générales </w:t>
            </w:r>
          </w:p>
        </w:tc>
      </w:tr>
      <w:tr w:rsidR="00AB696B" w:rsidTr="009074E7">
        <w:trPr>
          <w:trHeight w:val="504"/>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CCAP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Cahier des clauses administratives particulières </w:t>
            </w:r>
          </w:p>
        </w:tc>
      </w:tr>
      <w:tr w:rsidR="00AB696B" w:rsidTr="009074E7">
        <w:trPr>
          <w:trHeight w:val="504"/>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CCTP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Cahier des clauses techniques particulières </w:t>
            </w:r>
          </w:p>
        </w:tc>
      </w:tr>
      <w:tr w:rsidR="00AB696B" w:rsidTr="009074E7">
        <w:trPr>
          <w:trHeight w:val="502"/>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DICOM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Direction du commissariat d’outre-mer </w:t>
            </w:r>
          </w:p>
        </w:tc>
      </w:tr>
      <w:tr w:rsidR="00AB696B" w:rsidTr="009074E7">
        <w:trPr>
          <w:trHeight w:val="505"/>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FANC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Forces armées en Nouvelle-Calédonie </w:t>
            </w:r>
          </w:p>
        </w:tc>
      </w:tr>
      <w:tr w:rsidR="00AB696B" w:rsidTr="009074E7">
        <w:trPr>
          <w:trHeight w:val="502"/>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FCS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Fournitures courantes et services </w:t>
            </w:r>
          </w:p>
        </w:tc>
      </w:tr>
      <w:tr w:rsidR="00AB696B" w:rsidTr="009074E7">
        <w:trPr>
          <w:trHeight w:val="504"/>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rsidP="00136CE5">
            <w:pPr>
              <w:spacing w:after="0" w:line="259" w:lineRule="auto"/>
              <w:ind w:left="0" w:firstLine="0"/>
              <w:jc w:val="left"/>
            </w:pPr>
            <w:r>
              <w:t>GS</w:t>
            </w:r>
            <w:r w:rsidR="00136CE5">
              <w:t>C-NC</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rsidP="00136CE5">
            <w:pPr>
              <w:spacing w:after="0" w:line="259" w:lineRule="auto"/>
              <w:ind w:left="0" w:firstLine="0"/>
              <w:jc w:val="left"/>
            </w:pPr>
            <w:r>
              <w:t xml:space="preserve">Groupement de soutien </w:t>
            </w:r>
            <w:r w:rsidR="00136CE5">
              <w:t>commissariat Nouvelle-Calédonie</w:t>
            </w:r>
            <w:r>
              <w:t xml:space="preserve"> </w:t>
            </w:r>
          </w:p>
        </w:tc>
      </w:tr>
      <w:tr w:rsidR="00AB696B" w:rsidTr="009074E7">
        <w:trPr>
          <w:trHeight w:val="502"/>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PLACE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Plateforme des achats de l’Etat </w:t>
            </w:r>
          </w:p>
        </w:tc>
      </w:tr>
      <w:tr w:rsidR="00D77331" w:rsidTr="009074E7">
        <w:trPr>
          <w:trHeight w:val="502"/>
        </w:trPr>
        <w:tc>
          <w:tcPr>
            <w:tcW w:w="1985" w:type="dxa"/>
            <w:tcBorders>
              <w:top w:val="single" w:sz="4" w:space="0" w:color="000000"/>
              <w:left w:val="single" w:sz="4" w:space="0" w:color="000000"/>
              <w:bottom w:val="single" w:sz="4" w:space="0" w:color="000000"/>
              <w:right w:val="single" w:sz="4" w:space="0" w:color="000000"/>
            </w:tcBorders>
            <w:vAlign w:val="center"/>
          </w:tcPr>
          <w:p w:rsidR="00D77331" w:rsidRDefault="00D77331">
            <w:pPr>
              <w:spacing w:after="0" w:line="259" w:lineRule="auto"/>
              <w:ind w:left="0" w:firstLine="0"/>
              <w:jc w:val="left"/>
            </w:pPr>
            <w:r>
              <w:t>PSE</w:t>
            </w:r>
          </w:p>
        </w:tc>
        <w:tc>
          <w:tcPr>
            <w:tcW w:w="7165" w:type="dxa"/>
            <w:tcBorders>
              <w:top w:val="single" w:sz="4" w:space="0" w:color="000000"/>
              <w:left w:val="single" w:sz="4" w:space="0" w:color="000000"/>
              <w:bottom w:val="single" w:sz="4" w:space="0" w:color="000000"/>
              <w:right w:val="single" w:sz="4" w:space="0" w:color="000000"/>
            </w:tcBorders>
            <w:vAlign w:val="center"/>
          </w:tcPr>
          <w:p w:rsidR="00D77331" w:rsidRDefault="00D77331">
            <w:pPr>
              <w:spacing w:after="0" w:line="259" w:lineRule="auto"/>
              <w:ind w:left="0" w:firstLine="0"/>
              <w:jc w:val="left"/>
            </w:pPr>
            <w:r>
              <w:t>Prestations Supplémentaires Eventuelles Facultatives</w:t>
            </w:r>
          </w:p>
        </w:tc>
      </w:tr>
      <w:tr w:rsidR="00AB696B" w:rsidTr="009074E7">
        <w:trPr>
          <w:trHeight w:val="504"/>
        </w:trPr>
        <w:tc>
          <w:tcPr>
            <w:tcW w:w="198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RPA </w:t>
            </w:r>
          </w:p>
        </w:tc>
        <w:tc>
          <w:tcPr>
            <w:tcW w:w="716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firstLine="0"/>
              <w:jc w:val="left"/>
            </w:pPr>
            <w:r>
              <w:t xml:space="preserve">Représentant du pouvoir adjudicateur </w:t>
            </w:r>
          </w:p>
        </w:tc>
      </w:tr>
    </w:tbl>
    <w:p w:rsidR="00AB696B" w:rsidRDefault="00980A49">
      <w:pPr>
        <w:spacing w:after="0" w:line="259" w:lineRule="auto"/>
        <w:ind w:left="566" w:firstLine="0"/>
        <w:jc w:val="left"/>
      </w:pPr>
      <w:r>
        <w:t xml:space="preserve"> </w:t>
      </w:r>
      <w:r>
        <w:tab/>
        <w:t xml:space="preserve"> </w:t>
      </w:r>
      <w:r>
        <w:br w:type="page"/>
      </w:r>
    </w:p>
    <w:p w:rsidR="00AB696B" w:rsidRDefault="00980A49">
      <w:pPr>
        <w:pStyle w:val="Titre1"/>
      </w:pPr>
      <w:bookmarkStart w:id="1" w:name="_Toc203463125"/>
      <w:r>
        <w:lastRenderedPageBreak/>
        <w:t>ARTICLE 1 : OBJET DE L’ACCORD CADRE – DISPOSITIONS GENERALES</w:t>
      </w:r>
      <w:bookmarkEnd w:id="1"/>
      <w:r>
        <w:t xml:space="preserve"> </w:t>
      </w:r>
    </w:p>
    <w:p w:rsidR="00AB696B" w:rsidRDefault="00B07BDD">
      <w:pPr>
        <w:pStyle w:val="Titre2"/>
        <w:spacing w:after="138"/>
        <w:ind w:left="561"/>
      </w:pPr>
      <w:bookmarkStart w:id="2" w:name="_Toc203463126"/>
      <w:r>
        <w:rPr>
          <w:noProof/>
        </w:rPr>
        <w:t>1.1</w:t>
      </w:r>
      <w:r w:rsidR="00980A49">
        <w:t xml:space="preserve"> Objet de l’accord cadre</w:t>
      </w:r>
      <w:bookmarkEnd w:id="2"/>
      <w:r w:rsidR="00980A49">
        <w:t xml:space="preserve"> </w:t>
      </w:r>
    </w:p>
    <w:p w:rsidR="00AB696B" w:rsidRDefault="00980A49">
      <w:pPr>
        <w:spacing w:after="9"/>
      </w:pPr>
      <w:r>
        <w:t xml:space="preserve">Le présent accord cadre a pour objet la location et la maintenance de solutions d’impression au profit : </w:t>
      </w:r>
    </w:p>
    <w:p w:rsidR="00AB696B" w:rsidRDefault="00980A49">
      <w:pPr>
        <w:numPr>
          <w:ilvl w:val="0"/>
          <w:numId w:val="1"/>
        </w:numPr>
        <w:spacing w:after="9"/>
        <w:ind w:right="1742" w:hanging="360"/>
      </w:pPr>
      <w:proofErr w:type="gramStart"/>
      <w:r>
        <w:t>des</w:t>
      </w:r>
      <w:proofErr w:type="gramEnd"/>
      <w:r>
        <w:t xml:space="preserve"> Forces Armées de Nouvelle-Calédonie (FANC),  </w:t>
      </w:r>
    </w:p>
    <w:p w:rsidR="00AB696B" w:rsidRDefault="00980A49">
      <w:pPr>
        <w:numPr>
          <w:ilvl w:val="0"/>
          <w:numId w:val="1"/>
        </w:numPr>
        <w:spacing w:after="7" w:line="359" w:lineRule="auto"/>
        <w:ind w:right="1742" w:hanging="360"/>
      </w:pPr>
      <w:proofErr w:type="gramStart"/>
      <w:r>
        <w:t>du</w:t>
      </w:r>
      <w:proofErr w:type="gramEnd"/>
      <w:r>
        <w:t xml:space="preserve"> Régiment du Service Militaire Adapté (RSMA) ; </w:t>
      </w:r>
    </w:p>
    <w:p w:rsidR="00AB696B" w:rsidRDefault="00B07BDD" w:rsidP="00072FDD">
      <w:pPr>
        <w:pStyle w:val="Titre2"/>
        <w:spacing w:after="138"/>
        <w:ind w:left="561"/>
        <w:rPr>
          <w:noProof/>
        </w:rPr>
      </w:pPr>
      <w:bookmarkStart w:id="3" w:name="_Toc203463127"/>
      <w:r>
        <w:rPr>
          <w:noProof/>
        </w:rPr>
        <w:t xml:space="preserve">1.2 </w:t>
      </w:r>
      <w:r w:rsidR="00980A49">
        <w:rPr>
          <w:noProof/>
        </w:rPr>
        <w:t>Allotissement</w:t>
      </w:r>
      <w:bookmarkEnd w:id="3"/>
      <w:r w:rsidR="00980A49">
        <w:rPr>
          <w:noProof/>
        </w:rPr>
        <w:t xml:space="preserve"> </w:t>
      </w:r>
    </w:p>
    <w:p w:rsidR="00AB696B" w:rsidRDefault="00980A49" w:rsidP="005F3168">
      <w:pPr>
        <w:spacing w:after="9"/>
      </w:pPr>
      <w:r>
        <w:t xml:space="preserve">Conformément à l’article L2113-10 du code de la commande publique, la présente consultation est allotie. La procédure comporte </w:t>
      </w:r>
      <w:r w:rsidR="00136CE5">
        <w:t>deux</w:t>
      </w:r>
      <w:r>
        <w:t xml:space="preserve"> (</w:t>
      </w:r>
      <w:r w:rsidR="00136CE5">
        <w:t>2</w:t>
      </w:r>
      <w:r>
        <w:t xml:space="preserve">) lots, répartis selon la zone géographique de la façon suivante : </w:t>
      </w:r>
    </w:p>
    <w:tbl>
      <w:tblPr>
        <w:tblStyle w:val="TableGrid"/>
        <w:tblW w:w="9417" w:type="dxa"/>
        <w:tblInd w:w="643" w:type="dxa"/>
        <w:tblCellMar>
          <w:top w:w="28" w:type="dxa"/>
          <w:left w:w="91" w:type="dxa"/>
          <w:right w:w="26" w:type="dxa"/>
        </w:tblCellMar>
        <w:tblLook w:val="04A0" w:firstRow="1" w:lastRow="0" w:firstColumn="1" w:lastColumn="0" w:noHBand="0" w:noVBand="1"/>
      </w:tblPr>
      <w:tblGrid>
        <w:gridCol w:w="1195"/>
        <w:gridCol w:w="8222"/>
      </w:tblGrid>
      <w:tr w:rsidR="00AB696B" w:rsidTr="00E1463D">
        <w:trPr>
          <w:trHeight w:val="308"/>
        </w:trPr>
        <w:tc>
          <w:tcPr>
            <w:tcW w:w="11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696B" w:rsidRDefault="00980A49">
            <w:pPr>
              <w:spacing w:after="0" w:line="259" w:lineRule="auto"/>
              <w:ind w:left="0" w:right="61" w:firstLine="0"/>
              <w:jc w:val="center"/>
            </w:pPr>
            <w:r>
              <w:rPr>
                <w:b/>
              </w:rPr>
              <w:t xml:space="preserve">LOTS </w:t>
            </w:r>
          </w:p>
        </w:tc>
        <w:tc>
          <w:tcPr>
            <w:tcW w:w="82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AB696B" w:rsidRDefault="00980A49">
            <w:pPr>
              <w:spacing w:after="0" w:line="259" w:lineRule="auto"/>
              <w:ind w:left="0" w:right="64" w:firstLine="0"/>
              <w:jc w:val="center"/>
            </w:pPr>
            <w:r>
              <w:rPr>
                <w:b/>
              </w:rPr>
              <w:t xml:space="preserve">DESIGNATION </w:t>
            </w:r>
          </w:p>
        </w:tc>
      </w:tr>
      <w:tr w:rsidR="00AB696B" w:rsidTr="00927304">
        <w:trPr>
          <w:trHeight w:val="1371"/>
        </w:trPr>
        <w:tc>
          <w:tcPr>
            <w:tcW w:w="119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right="59" w:firstLine="0"/>
              <w:jc w:val="center"/>
            </w:pPr>
            <w:r>
              <w:t xml:space="preserve">Lot 1 </w:t>
            </w:r>
          </w:p>
        </w:tc>
        <w:tc>
          <w:tcPr>
            <w:tcW w:w="8222" w:type="dxa"/>
            <w:tcBorders>
              <w:top w:val="single" w:sz="4" w:space="0" w:color="000000"/>
              <w:left w:val="single" w:sz="4" w:space="0" w:color="000000"/>
              <w:bottom w:val="single" w:sz="4" w:space="0" w:color="000000"/>
              <w:right w:val="single" w:sz="4" w:space="0" w:color="000000"/>
            </w:tcBorders>
            <w:vAlign w:val="center"/>
          </w:tcPr>
          <w:p w:rsidR="00B07BDD" w:rsidRDefault="00980A49" w:rsidP="00B07BDD">
            <w:pPr>
              <w:spacing w:after="8" w:line="242" w:lineRule="auto"/>
              <w:ind w:left="0" w:firstLine="0"/>
              <w:jc w:val="left"/>
            </w:pPr>
            <w:r>
              <w:t>Location et maintenance au profit</w:t>
            </w:r>
            <w:r w:rsidR="00B07BDD">
              <w:t> :</w:t>
            </w:r>
          </w:p>
          <w:p w:rsidR="00B07BDD" w:rsidRDefault="00980A49" w:rsidP="00B07BDD">
            <w:pPr>
              <w:pStyle w:val="Paragraphedeliste"/>
              <w:numPr>
                <w:ilvl w:val="0"/>
                <w:numId w:val="14"/>
              </w:numPr>
              <w:spacing w:after="8" w:line="242" w:lineRule="auto"/>
              <w:ind w:left="478"/>
              <w:jc w:val="left"/>
            </w:pPr>
            <w:proofErr w:type="gramStart"/>
            <w:r>
              <w:t>des</w:t>
            </w:r>
            <w:proofErr w:type="gramEnd"/>
            <w:r>
              <w:t xml:space="preserve"> emprises militaires de Nouméa</w:t>
            </w:r>
            <w:r w:rsidR="00B07BDD">
              <w:t> ;</w:t>
            </w:r>
          </w:p>
          <w:p w:rsidR="0010374E" w:rsidRDefault="0010374E" w:rsidP="00B07BDD">
            <w:pPr>
              <w:pStyle w:val="Paragraphedeliste"/>
              <w:numPr>
                <w:ilvl w:val="0"/>
                <w:numId w:val="14"/>
              </w:numPr>
              <w:spacing w:after="0" w:line="259" w:lineRule="auto"/>
              <w:ind w:left="478"/>
              <w:jc w:val="left"/>
            </w:pPr>
            <w:proofErr w:type="gramStart"/>
            <w:r>
              <w:t>de</w:t>
            </w:r>
            <w:proofErr w:type="gramEnd"/>
            <w:r>
              <w:t xml:space="preserve"> la Base Aérienne 186 de </w:t>
            </w:r>
            <w:proofErr w:type="spellStart"/>
            <w:r>
              <w:t>Tontouta</w:t>
            </w:r>
            <w:proofErr w:type="spellEnd"/>
            <w:r w:rsidR="00B07BDD">
              <w:t> ;</w:t>
            </w:r>
          </w:p>
          <w:p w:rsidR="0010374E" w:rsidRDefault="0010374E" w:rsidP="00B07BDD">
            <w:pPr>
              <w:pStyle w:val="Paragraphedeliste"/>
              <w:numPr>
                <w:ilvl w:val="0"/>
                <w:numId w:val="14"/>
              </w:numPr>
              <w:spacing w:after="0" w:line="259" w:lineRule="auto"/>
              <w:ind w:left="478"/>
              <w:jc w:val="left"/>
            </w:pPr>
            <w:proofErr w:type="gramStart"/>
            <w:r>
              <w:t>du</w:t>
            </w:r>
            <w:proofErr w:type="gramEnd"/>
            <w:r>
              <w:t xml:space="preserve"> Camp Broche de </w:t>
            </w:r>
            <w:proofErr w:type="spellStart"/>
            <w:r>
              <w:t>Plum</w:t>
            </w:r>
            <w:proofErr w:type="spellEnd"/>
            <w:r w:rsidR="00B07BDD">
              <w:t> ;</w:t>
            </w:r>
          </w:p>
          <w:p w:rsidR="0010374E" w:rsidRDefault="00B07BDD" w:rsidP="00927304">
            <w:pPr>
              <w:pStyle w:val="Paragraphedeliste"/>
              <w:numPr>
                <w:ilvl w:val="0"/>
                <w:numId w:val="14"/>
              </w:numPr>
              <w:spacing w:after="0" w:line="259" w:lineRule="auto"/>
              <w:ind w:left="478"/>
              <w:jc w:val="left"/>
            </w:pPr>
            <w:r>
              <w:t xml:space="preserve">du </w:t>
            </w:r>
            <w:r w:rsidR="0010374E">
              <w:t xml:space="preserve">Camp de </w:t>
            </w:r>
            <w:proofErr w:type="spellStart"/>
            <w:r w:rsidR="0010374E">
              <w:t>Nandaï</w:t>
            </w:r>
            <w:proofErr w:type="spellEnd"/>
            <w:r>
              <w:t>.</w:t>
            </w:r>
          </w:p>
        </w:tc>
      </w:tr>
      <w:tr w:rsidR="00AB696B" w:rsidTr="00927304">
        <w:trPr>
          <w:trHeight w:val="564"/>
        </w:trPr>
        <w:tc>
          <w:tcPr>
            <w:tcW w:w="1195"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0" w:right="64" w:firstLine="0"/>
              <w:jc w:val="center"/>
            </w:pPr>
            <w:r>
              <w:t xml:space="preserve">Lot 2 </w:t>
            </w:r>
          </w:p>
        </w:tc>
        <w:tc>
          <w:tcPr>
            <w:tcW w:w="8222" w:type="dxa"/>
            <w:tcBorders>
              <w:top w:val="single" w:sz="4" w:space="0" w:color="000000"/>
              <w:left w:val="single" w:sz="4" w:space="0" w:color="000000"/>
              <w:bottom w:val="single" w:sz="4" w:space="0" w:color="000000"/>
              <w:right w:val="single" w:sz="4" w:space="0" w:color="000000"/>
            </w:tcBorders>
            <w:vAlign w:val="center"/>
          </w:tcPr>
          <w:p w:rsidR="00AB696B" w:rsidRDefault="0010374E">
            <w:pPr>
              <w:spacing w:after="0" w:line="259" w:lineRule="auto"/>
              <w:ind w:left="0" w:right="57" w:firstLine="0"/>
              <w:jc w:val="center"/>
            </w:pPr>
            <w:r>
              <w:t>Location et maintenance au profit du RSMA (</w:t>
            </w:r>
            <w:r w:rsidR="00927304">
              <w:t xml:space="preserve">Nouméa, </w:t>
            </w:r>
            <w:r>
              <w:t>Bourail, Koné et Koumac)</w:t>
            </w:r>
          </w:p>
        </w:tc>
      </w:tr>
    </w:tbl>
    <w:p w:rsidR="00AB696B" w:rsidRDefault="00980A49">
      <w:pPr>
        <w:spacing w:after="0" w:line="259" w:lineRule="auto"/>
        <w:ind w:left="566" w:firstLine="0"/>
        <w:jc w:val="left"/>
      </w:pPr>
      <w:r>
        <w:t xml:space="preserve"> </w:t>
      </w:r>
    </w:p>
    <w:p w:rsidR="00AB696B" w:rsidRDefault="00980A49">
      <w:r>
        <w:t xml:space="preserve">Les prestations sont définies dans le Cahier des Clauses Techniques Particulières (CCTP). </w:t>
      </w:r>
    </w:p>
    <w:p w:rsidR="00AB696B" w:rsidRDefault="00B07BDD">
      <w:pPr>
        <w:pStyle w:val="Titre2"/>
        <w:ind w:left="561"/>
      </w:pPr>
      <w:bookmarkStart w:id="4" w:name="_Toc203463128"/>
      <w:r>
        <w:t>1.3</w:t>
      </w:r>
      <w:r w:rsidR="00980A49">
        <w:t xml:space="preserve"> </w:t>
      </w:r>
      <w:r w:rsidR="00927304">
        <w:t>Mode passation et forme du marché</w:t>
      </w:r>
      <w:bookmarkEnd w:id="4"/>
      <w:r w:rsidR="00980A49">
        <w:t xml:space="preserve"> </w:t>
      </w:r>
    </w:p>
    <w:p w:rsidR="00927304" w:rsidRDefault="00927304" w:rsidP="00927304">
      <w:r>
        <w:t>L’accord-cadre est passé selon la procédure d’appel d’offres ouvert et soumis aux dispositions des articles L2124-2 et R2124-2 du code de la commande publique.</w:t>
      </w:r>
    </w:p>
    <w:p w:rsidR="00927304" w:rsidRDefault="00927304" w:rsidP="00927304">
      <w:r>
        <w:t xml:space="preserve">Ce contrat est un accord-cadre à bons de commande, conformément aux dispositions des articles R2162-1 à R2162-6 et R2162-13 à R2162-14 du code de la commande publique. </w:t>
      </w:r>
    </w:p>
    <w:p w:rsidR="00AB696B" w:rsidRDefault="00927304" w:rsidP="00927304">
      <w:r>
        <w:t>Les bons de commande sont exécutés selon les dispositions de l’article 6 du présent document.</w:t>
      </w:r>
      <w:r w:rsidR="00980A49">
        <w:t xml:space="preserve"> </w:t>
      </w:r>
    </w:p>
    <w:p w:rsidR="00AB696B" w:rsidRDefault="00B07BDD">
      <w:pPr>
        <w:pStyle w:val="Titre2"/>
        <w:spacing w:after="140"/>
        <w:ind w:left="561"/>
      </w:pPr>
      <w:bookmarkStart w:id="5" w:name="_Toc203463129"/>
      <w:r>
        <w:rPr>
          <w:noProof/>
        </w:rPr>
        <w:t>1.4</w:t>
      </w:r>
      <w:r w:rsidR="00980A49">
        <w:t xml:space="preserve"> Montant de l’accord cadre</w:t>
      </w:r>
      <w:bookmarkEnd w:id="5"/>
      <w:r w:rsidR="00980A49">
        <w:t xml:space="preserve"> </w:t>
      </w:r>
    </w:p>
    <w:p w:rsidR="00B07BDD" w:rsidRDefault="00980A49" w:rsidP="00B07BDD">
      <w:pPr>
        <w:spacing w:after="0" w:line="358" w:lineRule="auto"/>
        <w:ind w:left="919" w:hanging="353"/>
      </w:pPr>
      <w:r>
        <w:t xml:space="preserve">L’accord cadre est conclu sans montant minimum et </w:t>
      </w:r>
      <w:r w:rsidR="00B07BDD">
        <w:t>avec un</w:t>
      </w:r>
      <w:r>
        <w:t xml:space="preserve"> montant maximum</w:t>
      </w:r>
      <w:r w:rsidR="00B07BDD">
        <w:t xml:space="preserve"> défini comme suit :</w:t>
      </w:r>
    </w:p>
    <w:tbl>
      <w:tblPr>
        <w:tblStyle w:val="TableGrid"/>
        <w:tblW w:w="8424" w:type="dxa"/>
        <w:jc w:val="center"/>
        <w:tblInd w:w="0" w:type="dxa"/>
        <w:tblCellMar>
          <w:top w:w="28" w:type="dxa"/>
          <w:left w:w="91" w:type="dxa"/>
          <w:right w:w="26" w:type="dxa"/>
        </w:tblCellMar>
        <w:tblLook w:val="04A0" w:firstRow="1" w:lastRow="0" w:firstColumn="1" w:lastColumn="0" w:noHBand="0" w:noVBand="1"/>
      </w:tblPr>
      <w:tblGrid>
        <w:gridCol w:w="2192"/>
        <w:gridCol w:w="2972"/>
        <w:gridCol w:w="3260"/>
      </w:tblGrid>
      <w:tr w:rsidR="00E1463D" w:rsidTr="00E1463D">
        <w:trPr>
          <w:trHeight w:val="598"/>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1463D" w:rsidRDefault="00E1463D" w:rsidP="00E1463D">
            <w:pPr>
              <w:spacing w:after="0" w:line="240" w:lineRule="auto"/>
              <w:ind w:left="0" w:right="61" w:firstLine="0"/>
              <w:jc w:val="center"/>
            </w:pPr>
            <w:r>
              <w:t xml:space="preserve"> </w:t>
            </w:r>
            <w:r>
              <w:rPr>
                <w:b/>
              </w:rPr>
              <w:t xml:space="preserve">LOTS </w:t>
            </w:r>
          </w:p>
        </w:tc>
        <w:tc>
          <w:tcPr>
            <w:tcW w:w="2972"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vAlign w:val="center"/>
          </w:tcPr>
          <w:p w:rsidR="00E1463D" w:rsidRDefault="00E1463D" w:rsidP="00E1463D">
            <w:pPr>
              <w:spacing w:after="0" w:line="240" w:lineRule="auto"/>
              <w:ind w:left="0" w:right="64" w:firstLine="0"/>
              <w:jc w:val="center"/>
              <w:rPr>
                <w:b/>
              </w:rPr>
            </w:pPr>
            <w:r>
              <w:rPr>
                <w:b/>
              </w:rPr>
              <w:t xml:space="preserve">MONTANT MAXIMUM </w:t>
            </w:r>
          </w:p>
          <w:p w:rsidR="00E1463D" w:rsidRDefault="00E1463D" w:rsidP="00E1463D">
            <w:pPr>
              <w:spacing w:after="0" w:line="240" w:lineRule="auto"/>
              <w:ind w:left="0" w:right="64" w:firstLine="0"/>
              <w:jc w:val="center"/>
            </w:pPr>
            <w:r>
              <w:rPr>
                <w:b/>
              </w:rPr>
              <w:t>SUR 4 ANS en XPF TTC</w:t>
            </w:r>
          </w:p>
        </w:tc>
        <w:tc>
          <w:tcPr>
            <w:tcW w:w="3260"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vAlign w:val="center"/>
          </w:tcPr>
          <w:p w:rsidR="00E1463D" w:rsidRDefault="00E1463D" w:rsidP="00E1463D">
            <w:pPr>
              <w:spacing w:after="0" w:line="240" w:lineRule="auto"/>
              <w:ind w:left="0" w:right="64" w:firstLine="0"/>
              <w:jc w:val="center"/>
              <w:rPr>
                <w:b/>
              </w:rPr>
            </w:pPr>
            <w:r>
              <w:rPr>
                <w:b/>
              </w:rPr>
              <w:t>MONTANT MAXIMUM</w:t>
            </w:r>
          </w:p>
          <w:p w:rsidR="00E1463D" w:rsidRDefault="00E1463D" w:rsidP="00E1463D">
            <w:pPr>
              <w:spacing w:after="0" w:line="240" w:lineRule="auto"/>
              <w:ind w:left="0" w:firstLine="0"/>
              <w:jc w:val="center"/>
            </w:pPr>
            <w:r>
              <w:rPr>
                <w:b/>
              </w:rPr>
              <w:t>SUR 4 ANS en € TTC</w:t>
            </w:r>
          </w:p>
        </w:tc>
      </w:tr>
      <w:tr w:rsidR="00E1463D" w:rsidTr="00072FDD">
        <w:trPr>
          <w:trHeight w:val="637"/>
          <w:jc w:val="center"/>
        </w:trPr>
        <w:tc>
          <w:tcPr>
            <w:tcW w:w="2192" w:type="dxa"/>
            <w:tcBorders>
              <w:top w:val="single" w:sz="4" w:space="0" w:color="000000"/>
              <w:left w:val="single" w:sz="4" w:space="0" w:color="000000"/>
              <w:bottom w:val="single" w:sz="4" w:space="0" w:color="000000"/>
              <w:right w:val="single" w:sz="4" w:space="0" w:color="000000"/>
            </w:tcBorders>
            <w:vAlign w:val="center"/>
          </w:tcPr>
          <w:p w:rsidR="00E1463D" w:rsidRDefault="00E1463D" w:rsidP="00E1463D">
            <w:pPr>
              <w:spacing w:after="0" w:line="259" w:lineRule="auto"/>
              <w:ind w:left="0" w:right="59" w:firstLine="0"/>
              <w:jc w:val="center"/>
            </w:pPr>
            <w:r>
              <w:t xml:space="preserve">Lot 1 </w:t>
            </w:r>
          </w:p>
        </w:tc>
        <w:tc>
          <w:tcPr>
            <w:tcW w:w="2972" w:type="dxa"/>
            <w:tcBorders>
              <w:top w:val="single" w:sz="4" w:space="0" w:color="000000"/>
              <w:left w:val="single" w:sz="4" w:space="0" w:color="000000"/>
              <w:bottom w:val="single" w:sz="4" w:space="0" w:color="000000"/>
              <w:right w:val="single" w:sz="4" w:space="0" w:color="auto"/>
            </w:tcBorders>
            <w:vAlign w:val="center"/>
          </w:tcPr>
          <w:p w:rsidR="00E1463D" w:rsidRDefault="00E1463D" w:rsidP="00E1463D">
            <w:pPr>
              <w:spacing w:after="0" w:line="259" w:lineRule="auto"/>
              <w:ind w:left="0" w:firstLine="0"/>
              <w:jc w:val="center"/>
            </w:pPr>
            <w:r>
              <w:t>57 279 236 XPF</w:t>
            </w:r>
          </w:p>
        </w:tc>
        <w:tc>
          <w:tcPr>
            <w:tcW w:w="3260" w:type="dxa"/>
            <w:tcBorders>
              <w:top w:val="single" w:sz="4" w:space="0" w:color="000000"/>
              <w:left w:val="single" w:sz="4" w:space="0" w:color="000000"/>
              <w:bottom w:val="single" w:sz="4" w:space="0" w:color="000000"/>
              <w:right w:val="single" w:sz="4" w:space="0" w:color="auto"/>
            </w:tcBorders>
            <w:vAlign w:val="center"/>
          </w:tcPr>
          <w:p w:rsidR="00E1463D" w:rsidRDefault="00E1463D" w:rsidP="00E1463D">
            <w:pPr>
              <w:spacing w:after="0" w:line="259" w:lineRule="auto"/>
              <w:ind w:left="0" w:firstLine="0"/>
              <w:jc w:val="center"/>
            </w:pPr>
            <w:r>
              <w:t>480 000 € TTC</w:t>
            </w:r>
          </w:p>
        </w:tc>
      </w:tr>
      <w:tr w:rsidR="00E1463D" w:rsidTr="00072FDD">
        <w:trPr>
          <w:trHeight w:val="661"/>
          <w:jc w:val="center"/>
        </w:trPr>
        <w:tc>
          <w:tcPr>
            <w:tcW w:w="2192" w:type="dxa"/>
            <w:tcBorders>
              <w:top w:val="single" w:sz="4" w:space="0" w:color="000000"/>
              <w:left w:val="single" w:sz="4" w:space="0" w:color="000000"/>
              <w:bottom w:val="single" w:sz="4" w:space="0" w:color="000000"/>
              <w:right w:val="single" w:sz="4" w:space="0" w:color="000000"/>
            </w:tcBorders>
            <w:vAlign w:val="center"/>
          </w:tcPr>
          <w:p w:rsidR="00E1463D" w:rsidRDefault="00E1463D" w:rsidP="00E1463D">
            <w:pPr>
              <w:spacing w:after="0" w:line="259" w:lineRule="auto"/>
              <w:ind w:left="0" w:right="64" w:firstLine="0"/>
              <w:jc w:val="center"/>
            </w:pPr>
            <w:r>
              <w:t xml:space="preserve">Lot 2 </w:t>
            </w:r>
          </w:p>
        </w:tc>
        <w:tc>
          <w:tcPr>
            <w:tcW w:w="2972" w:type="dxa"/>
            <w:tcBorders>
              <w:top w:val="single" w:sz="4" w:space="0" w:color="000000"/>
              <w:left w:val="single" w:sz="4" w:space="0" w:color="000000"/>
              <w:bottom w:val="single" w:sz="4" w:space="0" w:color="000000"/>
              <w:right w:val="single" w:sz="4" w:space="0" w:color="auto"/>
            </w:tcBorders>
            <w:vAlign w:val="center"/>
          </w:tcPr>
          <w:p w:rsidR="00E1463D" w:rsidRDefault="00E1463D" w:rsidP="00E1463D">
            <w:pPr>
              <w:spacing w:after="0" w:line="259" w:lineRule="auto"/>
              <w:ind w:left="0" w:right="57" w:firstLine="0"/>
              <w:jc w:val="center"/>
            </w:pPr>
            <w:r>
              <w:t>11 933 174 XPF</w:t>
            </w:r>
          </w:p>
        </w:tc>
        <w:tc>
          <w:tcPr>
            <w:tcW w:w="3260" w:type="dxa"/>
            <w:tcBorders>
              <w:top w:val="single" w:sz="4" w:space="0" w:color="000000"/>
              <w:left w:val="single" w:sz="4" w:space="0" w:color="000000"/>
              <w:bottom w:val="single" w:sz="4" w:space="0" w:color="000000"/>
              <w:right w:val="single" w:sz="4" w:space="0" w:color="auto"/>
            </w:tcBorders>
            <w:vAlign w:val="center"/>
          </w:tcPr>
          <w:p w:rsidR="00E1463D" w:rsidRDefault="00E1463D" w:rsidP="00E1463D">
            <w:pPr>
              <w:spacing w:after="0" w:line="259" w:lineRule="auto"/>
              <w:ind w:left="0" w:right="57" w:firstLine="0"/>
              <w:jc w:val="center"/>
            </w:pPr>
            <w:r>
              <w:t>100 000 € TTC</w:t>
            </w:r>
          </w:p>
        </w:tc>
      </w:tr>
    </w:tbl>
    <w:p w:rsidR="00AB696B" w:rsidRDefault="00AB696B" w:rsidP="00B07BDD">
      <w:pPr>
        <w:spacing w:after="0" w:line="358" w:lineRule="auto"/>
        <w:ind w:left="919" w:hanging="353"/>
      </w:pPr>
    </w:p>
    <w:p w:rsidR="00AB696B" w:rsidRDefault="00B07BDD" w:rsidP="00072FDD">
      <w:pPr>
        <w:pStyle w:val="Titre2"/>
        <w:spacing w:after="140"/>
        <w:ind w:left="561"/>
        <w:rPr>
          <w:noProof/>
        </w:rPr>
      </w:pPr>
      <w:bookmarkStart w:id="6" w:name="_Toc203463130"/>
      <w:r w:rsidRPr="00B07BDD">
        <w:rPr>
          <w:noProof/>
        </w:rPr>
        <w:t>1.5</w:t>
      </w:r>
      <w:r w:rsidR="00980A49">
        <w:rPr>
          <w:noProof/>
        </w:rPr>
        <w:t xml:space="preserve"> Délégation du RPA</w:t>
      </w:r>
      <w:bookmarkEnd w:id="6"/>
      <w:r w:rsidR="00980A49">
        <w:rPr>
          <w:noProof/>
        </w:rPr>
        <w:t xml:space="preserve"> </w:t>
      </w:r>
    </w:p>
    <w:p w:rsidR="00AB696B" w:rsidRDefault="00980A49">
      <w:r>
        <w:t xml:space="preserve">Le RPA donne délégation à ses représentants dûment habilités pour : </w:t>
      </w:r>
    </w:p>
    <w:p w:rsidR="00AB696B" w:rsidRDefault="00980A49" w:rsidP="00B07BDD">
      <w:pPr>
        <w:tabs>
          <w:tab w:val="center" w:pos="1134"/>
          <w:tab w:val="center" w:pos="3141"/>
        </w:tabs>
        <w:spacing w:after="148"/>
        <w:ind w:left="0" w:firstLine="567"/>
        <w:jc w:val="left"/>
      </w:pPr>
      <w:r>
        <w:rPr>
          <w:rFonts w:ascii="Calibri" w:eastAsia="Calibri" w:hAnsi="Calibri" w:cs="Calibri"/>
        </w:rPr>
        <w:tab/>
      </w:r>
      <w:r>
        <w:rPr>
          <w:rFonts w:ascii="Times New Roman" w:eastAsia="Times New Roman" w:hAnsi="Times New Roman" w:cs="Times New Roman"/>
        </w:rPr>
        <w:t>‒</w:t>
      </w:r>
      <w:r>
        <w:t xml:space="preserve"> la passation des bons de commande ; </w:t>
      </w:r>
    </w:p>
    <w:p w:rsidR="00B07BDD" w:rsidRDefault="00980A49" w:rsidP="00B07BDD">
      <w:pPr>
        <w:spacing w:after="0" w:line="360" w:lineRule="auto"/>
        <w:ind w:left="934" w:right="992" w:hanging="367"/>
      </w:pPr>
      <w:r>
        <w:rPr>
          <w:rFonts w:ascii="Times New Roman" w:eastAsia="Times New Roman" w:hAnsi="Times New Roman" w:cs="Times New Roman"/>
        </w:rPr>
        <w:t>‒</w:t>
      </w:r>
      <w:r>
        <w:t xml:space="preserve"> le suivi d’exécution des </w:t>
      </w:r>
      <w:r w:rsidR="00B07BDD">
        <w:t>p</w:t>
      </w:r>
      <w:r>
        <w:t xml:space="preserve">restations ; </w:t>
      </w:r>
    </w:p>
    <w:p w:rsidR="00AB696B" w:rsidRDefault="00980A49" w:rsidP="00B07BDD">
      <w:pPr>
        <w:spacing w:after="0" w:line="360" w:lineRule="auto"/>
        <w:ind w:left="934" w:right="992" w:hanging="367"/>
        <w:rPr>
          <w:i/>
        </w:rPr>
      </w:pPr>
      <w:r>
        <w:rPr>
          <w:rFonts w:ascii="Times New Roman" w:eastAsia="Times New Roman" w:hAnsi="Times New Roman" w:cs="Times New Roman"/>
        </w:rPr>
        <w:t>‒</w:t>
      </w:r>
      <w:r>
        <w:t xml:space="preserve"> la certification du service fait.</w:t>
      </w:r>
      <w:r>
        <w:rPr>
          <w:i/>
        </w:rPr>
        <w:t xml:space="preserve"> </w:t>
      </w:r>
    </w:p>
    <w:p w:rsidR="005F3168" w:rsidRDefault="005F3168" w:rsidP="00B07BDD">
      <w:pPr>
        <w:spacing w:after="0" w:line="360" w:lineRule="auto"/>
        <w:ind w:left="934" w:right="992" w:hanging="367"/>
      </w:pPr>
    </w:p>
    <w:p w:rsidR="00AB696B" w:rsidRDefault="00BE73FD">
      <w:pPr>
        <w:pStyle w:val="Titre2"/>
        <w:ind w:left="561"/>
      </w:pPr>
      <w:bookmarkStart w:id="7" w:name="_Toc203463131"/>
      <w:r>
        <w:rPr>
          <w:noProof/>
        </w:rPr>
        <w:lastRenderedPageBreak/>
        <w:t>1.6</w:t>
      </w:r>
      <w:r w:rsidR="00980A49">
        <w:t xml:space="preserve"> Documents contractuels</w:t>
      </w:r>
      <w:bookmarkEnd w:id="7"/>
      <w:r w:rsidR="00980A49">
        <w:t xml:space="preserve"> </w:t>
      </w:r>
    </w:p>
    <w:p w:rsidR="00AB696B" w:rsidRDefault="00980A49">
      <w:pPr>
        <w:spacing w:after="146"/>
      </w:pPr>
      <w:r>
        <w:t>Le présent accord cadre est régi par les documents contractuels ci</w:t>
      </w:r>
      <w:r>
        <w:rPr>
          <w:b/>
        </w:rPr>
        <w:t>-</w:t>
      </w:r>
      <w:r>
        <w:t xml:space="preserve">après, cités par ordre de priorité décroissante, pour chaque lot : </w:t>
      </w:r>
    </w:p>
    <w:p w:rsidR="00AB696B" w:rsidRDefault="00F53F7F" w:rsidP="00B07BDD">
      <w:pPr>
        <w:spacing w:after="13"/>
      </w:pPr>
      <w:r>
        <w:t xml:space="preserve">- </w:t>
      </w:r>
      <w:r w:rsidR="00980A49">
        <w:t xml:space="preserve">l’acte d’engagement et ses annexes ; </w:t>
      </w:r>
    </w:p>
    <w:p w:rsidR="00AB696B" w:rsidRDefault="00F53F7F" w:rsidP="00F53F7F">
      <w:pPr>
        <w:spacing w:after="25"/>
      </w:pPr>
      <w:r>
        <w:t xml:space="preserve">- </w:t>
      </w:r>
      <w:r w:rsidR="00980A49">
        <w:t xml:space="preserve">le cahier des clauses administratives particulières et ses annexes, dont l’exemplaire conservé dans les archives de l’administration fait seul foi ; </w:t>
      </w:r>
    </w:p>
    <w:p w:rsidR="00AB696B" w:rsidRDefault="00F53F7F" w:rsidP="00F53F7F">
      <w:pPr>
        <w:spacing w:after="30"/>
      </w:pPr>
      <w:r>
        <w:t xml:space="preserve">- </w:t>
      </w:r>
      <w:r w:rsidR="00980A49">
        <w:t>le cahier des clauses techniques particulières, dont l’exemplaire conservé dans les archives de</w:t>
      </w:r>
      <w:r>
        <w:t xml:space="preserve"> l</w:t>
      </w:r>
      <w:r w:rsidR="00980A49">
        <w:t xml:space="preserve">’administration fait seul foi ; </w:t>
      </w:r>
    </w:p>
    <w:p w:rsidR="00AB696B" w:rsidRDefault="00F53F7F" w:rsidP="00F53F7F">
      <w:pPr>
        <w:spacing w:after="0"/>
      </w:pPr>
      <w:r>
        <w:t xml:space="preserve">- </w:t>
      </w:r>
      <w:r w:rsidR="00980A49">
        <w:t xml:space="preserve">le cahier des clauses administratives générales des marchés publics de fournitures courantes et de services (CCAG/FCS), en vigueur lors de la consultation, </w:t>
      </w:r>
      <w:r w:rsidR="005F3168" w:rsidRPr="005F3168">
        <w:t>consolidé par l’arrêté du 21 avril 2021 portant approbation de ce CCAG en Nouvelle Calédonie</w:t>
      </w:r>
      <w:r w:rsidR="00980A49">
        <w:t xml:space="preserve"> ; </w:t>
      </w:r>
    </w:p>
    <w:p w:rsidR="00D77331" w:rsidRDefault="00D77331" w:rsidP="00F53F7F">
      <w:pPr>
        <w:spacing w:after="0"/>
      </w:pPr>
      <w:r>
        <w:t>- le mémoire technique du titulaire ;</w:t>
      </w:r>
    </w:p>
    <w:p w:rsidR="00AB696B" w:rsidRDefault="00F53F7F" w:rsidP="00F53F7F">
      <w:pPr>
        <w:spacing w:after="29"/>
      </w:pPr>
      <w:r>
        <w:t xml:space="preserve">- </w:t>
      </w:r>
      <w:r w:rsidR="005F3168">
        <w:t>les bons de commande.</w:t>
      </w:r>
    </w:p>
    <w:p w:rsidR="005F3168" w:rsidRDefault="005F3168" w:rsidP="00F53F7F">
      <w:pPr>
        <w:spacing w:after="29"/>
      </w:pPr>
    </w:p>
    <w:p w:rsidR="00AB696B" w:rsidRDefault="00F53F7F">
      <w:pPr>
        <w:pStyle w:val="Titre2"/>
        <w:ind w:left="561"/>
      </w:pPr>
      <w:bookmarkStart w:id="8" w:name="_Toc203463132"/>
      <w:r>
        <w:rPr>
          <w:noProof/>
        </w:rPr>
        <w:t>1.7</w:t>
      </w:r>
      <w:r w:rsidR="00980A49">
        <w:t xml:space="preserve"> Modification de l’accord cadre en cours d’exécution</w:t>
      </w:r>
      <w:bookmarkEnd w:id="8"/>
      <w:r w:rsidR="00980A49">
        <w:t xml:space="preserve"> </w:t>
      </w:r>
    </w:p>
    <w:p w:rsidR="00AB696B" w:rsidRDefault="00980A49" w:rsidP="00BE73FD">
      <w:pPr>
        <w:pStyle w:val="Titre3"/>
        <w:ind w:left="567"/>
      </w:pPr>
      <w:bookmarkStart w:id="9" w:name="_Toc203463133"/>
      <w:r>
        <w:t>1.7.1 Clause de réexamen</w:t>
      </w:r>
      <w:bookmarkEnd w:id="9"/>
      <w:r>
        <w:t xml:space="preserve"> </w:t>
      </w:r>
    </w:p>
    <w:p w:rsidR="00AB696B" w:rsidRDefault="00980A49">
      <w:pPr>
        <w:spacing w:after="10"/>
      </w:pPr>
      <w:r>
        <w:t xml:space="preserve">En application des dispositions des articles L. 2194-1, L. 2194-2 et R. 2194-1 du code de la commande publique, l’accord cadre peut être modifié en cours d’exécution lorsque les cas détaillés ci-après sont mis en œuvre soit par décision unilatérale du représentant du pouvoir adjudicateur (cf. paragraphe 2 du présent article), soit par la conclusion d’un avenant entre les parties. </w:t>
      </w:r>
    </w:p>
    <w:p w:rsidR="00AB696B" w:rsidRDefault="00980A49">
      <w:pPr>
        <w:spacing w:after="0" w:line="259" w:lineRule="auto"/>
        <w:ind w:left="566" w:firstLine="0"/>
        <w:jc w:val="left"/>
      </w:pPr>
      <w:r>
        <w:t xml:space="preserve"> </w:t>
      </w:r>
    </w:p>
    <w:p w:rsidR="00AB696B" w:rsidRDefault="00980A49">
      <w:r>
        <w:t xml:space="preserve">Les cas de réexamen sont les suivants : </w:t>
      </w:r>
    </w:p>
    <w:p w:rsidR="00AB696B" w:rsidRDefault="00980A49" w:rsidP="00F53F7F">
      <w:pPr>
        <w:numPr>
          <w:ilvl w:val="0"/>
          <w:numId w:val="3"/>
        </w:numPr>
        <w:spacing w:after="148" w:line="249" w:lineRule="auto"/>
        <w:ind w:left="1276" w:hanging="282"/>
        <w:jc w:val="left"/>
      </w:pPr>
      <w:r>
        <w:rPr>
          <w:b/>
        </w:rPr>
        <w:t>Ajout ou suppression de sites :</w:t>
      </w:r>
      <w:r>
        <w:t xml:space="preserve"> </w:t>
      </w:r>
    </w:p>
    <w:p w:rsidR="00AB696B" w:rsidRDefault="00980A49">
      <w:pPr>
        <w:spacing w:after="28"/>
      </w:pPr>
      <w:r>
        <w:t xml:space="preserve">L’ajout ou la suppression de site est formalisée par un avenant. </w:t>
      </w:r>
    </w:p>
    <w:p w:rsidR="00AB696B" w:rsidRDefault="00980A49">
      <w:pPr>
        <w:spacing w:after="9"/>
      </w:pPr>
      <w:r>
        <w:t xml:space="preserve">Le titulaire est informé par l’administration par courriel de l’ajout ou de la suppression des sites.  </w:t>
      </w:r>
    </w:p>
    <w:p w:rsidR="00AB696B" w:rsidRDefault="00980A49">
      <w:r>
        <w:t xml:space="preserve">La proposition financière est obligatoirement similaire et en cohérence avec les prix de l’accord cadre en cours. Les prestations à effectuer sont à adapter au besoin du nouveau site le cas échéant et sont conformes à l’objet de l’accord cadre. </w:t>
      </w:r>
    </w:p>
    <w:p w:rsidR="00F53F7F" w:rsidRPr="00F53F7F" w:rsidRDefault="00980A49" w:rsidP="005F3168">
      <w:pPr>
        <w:pStyle w:val="Paragraphedeliste"/>
        <w:numPr>
          <w:ilvl w:val="0"/>
          <w:numId w:val="3"/>
        </w:numPr>
        <w:spacing w:after="26"/>
        <w:ind w:left="993"/>
      </w:pPr>
      <w:r w:rsidRPr="00F53F7F">
        <w:rPr>
          <w:b/>
        </w:rPr>
        <w:t xml:space="preserve">Ajout de nouvelles missions ou modifications de caractère technique des prestations dans le respect des normes (sociales, environnementales…) :  </w:t>
      </w:r>
    </w:p>
    <w:p w:rsidR="00AB696B" w:rsidRDefault="00980A49" w:rsidP="005F3168">
      <w:pPr>
        <w:spacing w:before="120" w:after="26"/>
        <w:ind w:left="573" w:hanging="6"/>
      </w:pPr>
      <w:r>
        <w:t xml:space="preserve">Toute nouvelle règlementation qui impose des contraintes dans l’exécution de l’accord cadre, doit être signalée par le titulaire au représentant du pouvoir adjudicateur. Le titulaire propose également à l’administration les mesures à appliquer afin de garantir la bonne exécution des prestations. De la même manière, le représentant du pouvoir adjudicateur peut être soumis à des contraintes réglementaires imposant une modification des conditions d’exécution de l’accord cadre.  </w:t>
      </w:r>
    </w:p>
    <w:p w:rsidR="00AB696B" w:rsidRDefault="00980A49" w:rsidP="00F53F7F">
      <w:r>
        <w:t xml:space="preserve">Après acceptation des solutions proposées, le représentant du pouvoir adjudicateur notifie, le cas échéant, la prise en compte de cette modification, par ordre de service. Dans le cas d’une incidence financière, les modifications sont formalisées par la suite par un avenant. </w:t>
      </w:r>
    </w:p>
    <w:p w:rsidR="00AB696B" w:rsidRDefault="00980A49" w:rsidP="00F53F7F">
      <w:pPr>
        <w:pStyle w:val="Paragraphedeliste"/>
        <w:numPr>
          <w:ilvl w:val="0"/>
          <w:numId w:val="3"/>
        </w:numPr>
        <w:spacing w:line="249" w:lineRule="auto"/>
        <w:ind w:left="1418" w:hanging="425"/>
        <w:jc w:val="left"/>
      </w:pPr>
      <w:r w:rsidRPr="00F53F7F">
        <w:rPr>
          <w:b/>
        </w:rPr>
        <w:t>Ajout aux bordereaux des prix de nouvelles prestations</w:t>
      </w:r>
      <w:r w:rsidR="00F53F7F" w:rsidRPr="00F53F7F">
        <w:rPr>
          <w:b/>
        </w:rPr>
        <w:t xml:space="preserve"> </w:t>
      </w:r>
      <w:r w:rsidRPr="00F53F7F">
        <w:rPr>
          <w:b/>
        </w:rPr>
        <w:t xml:space="preserve">:  </w:t>
      </w:r>
    </w:p>
    <w:p w:rsidR="00AB696B" w:rsidRDefault="00980A49">
      <w:pPr>
        <w:spacing w:after="10"/>
      </w:pPr>
      <w:r>
        <w:t xml:space="preserve">L’administration demande un devis au titulaire qui doit fournir les justificatifs des prix proposés. Après analyse de la proposition et acceptation du représentant du pouvoir adjudicateur, les modifications sont formalisées par l’établissement d’un avenant. </w:t>
      </w:r>
    </w:p>
    <w:p w:rsidR="00AB696B" w:rsidRDefault="00980A49">
      <w:r>
        <w:t xml:space="preserve">Il est attendu que si le titulaire ne peut honorer la requête de l’administration, il doit l’en informer par courriel dans les deux (2) jours ouvrés après sollicitation. </w:t>
      </w:r>
    </w:p>
    <w:p w:rsidR="005F3168" w:rsidRDefault="005F3168"/>
    <w:p w:rsidR="00AB696B" w:rsidRDefault="00980A49" w:rsidP="00BE73FD">
      <w:pPr>
        <w:pStyle w:val="Titre3"/>
        <w:ind w:left="567"/>
      </w:pPr>
      <w:bookmarkStart w:id="10" w:name="_Toc203463134"/>
      <w:r>
        <w:lastRenderedPageBreak/>
        <w:t>1.7.2 Autres cas de modification</w:t>
      </w:r>
      <w:bookmarkEnd w:id="10"/>
      <w:r>
        <w:t xml:space="preserve"> </w:t>
      </w:r>
    </w:p>
    <w:p w:rsidR="00AB696B" w:rsidRDefault="00980A49">
      <w:pPr>
        <w:spacing w:after="44"/>
      </w:pPr>
      <w:r>
        <w:t xml:space="preserve">En application des dispositions des articles L. 2194-1, L. 2194-2 et R. 2194-2 à 2194-10 du code de la commande publique et sans préjudice de la mise en œuvre de la clause de réexamen, l’accord cadre peut également être modifié en cours d’exécution et selon les modalités prévues, lorsque :  </w:t>
      </w:r>
    </w:p>
    <w:p w:rsidR="00AB696B" w:rsidRDefault="00980A49">
      <w:pPr>
        <w:numPr>
          <w:ilvl w:val="0"/>
          <w:numId w:val="4"/>
        </w:numPr>
        <w:spacing w:after="9"/>
        <w:ind w:left="1286" w:hanging="360"/>
      </w:pPr>
      <w:proofErr w:type="gramStart"/>
      <w:r>
        <w:t>des</w:t>
      </w:r>
      <w:proofErr w:type="gramEnd"/>
      <w:r>
        <w:t xml:space="preserve"> fournitures ou services supplémentaires sont devenus nécessaires ;  </w:t>
      </w:r>
    </w:p>
    <w:p w:rsidR="00AB696B" w:rsidRDefault="00980A49">
      <w:pPr>
        <w:numPr>
          <w:ilvl w:val="0"/>
          <w:numId w:val="4"/>
        </w:numPr>
        <w:spacing w:after="9"/>
        <w:ind w:left="1286" w:hanging="360"/>
      </w:pPr>
      <w:proofErr w:type="gramStart"/>
      <w:r>
        <w:t>la</w:t>
      </w:r>
      <w:proofErr w:type="gramEnd"/>
      <w:r>
        <w:t xml:space="preserve"> modification est rendue nécessaire par des circonstances imprévues ;  </w:t>
      </w:r>
    </w:p>
    <w:p w:rsidR="00AB696B" w:rsidRDefault="00980A49">
      <w:pPr>
        <w:numPr>
          <w:ilvl w:val="0"/>
          <w:numId w:val="4"/>
        </w:numPr>
        <w:spacing w:after="9"/>
        <w:ind w:left="1286" w:hanging="360"/>
      </w:pPr>
      <w:proofErr w:type="gramStart"/>
      <w:r>
        <w:t>un</w:t>
      </w:r>
      <w:proofErr w:type="gramEnd"/>
      <w:r>
        <w:t xml:space="preserve"> nouveau titulaire se substitue au titulaire initial du présent accord cadre ;  </w:t>
      </w:r>
    </w:p>
    <w:p w:rsidR="00AB696B" w:rsidRDefault="00980A49" w:rsidP="005F3168">
      <w:pPr>
        <w:numPr>
          <w:ilvl w:val="0"/>
          <w:numId w:val="4"/>
        </w:numPr>
        <w:spacing w:after="9"/>
        <w:ind w:left="1286" w:hanging="360"/>
      </w:pPr>
      <w:proofErr w:type="gramStart"/>
      <w:r>
        <w:t>les</w:t>
      </w:r>
      <w:proofErr w:type="gramEnd"/>
      <w:r>
        <w:t xml:space="preserve"> modifications, quel qu'en soit le montant</w:t>
      </w:r>
      <w:r w:rsidR="005F3168">
        <w:t>, ne sont pas substantielles</w:t>
      </w:r>
      <w:r>
        <w:t xml:space="preserve">. </w:t>
      </w:r>
    </w:p>
    <w:p w:rsidR="005F3168" w:rsidRDefault="005F3168" w:rsidP="005F3168">
      <w:pPr>
        <w:spacing w:after="9"/>
        <w:ind w:left="1286" w:firstLine="0"/>
      </w:pPr>
    </w:p>
    <w:p w:rsidR="00AB696B" w:rsidRDefault="00F53F7F" w:rsidP="00072FDD">
      <w:pPr>
        <w:pStyle w:val="Titre2"/>
        <w:ind w:left="561"/>
        <w:rPr>
          <w:noProof/>
        </w:rPr>
      </w:pPr>
      <w:bookmarkStart w:id="11" w:name="_Toc203463135"/>
      <w:r w:rsidRPr="00F53F7F">
        <w:rPr>
          <w:noProof/>
        </w:rPr>
        <w:t>1.8</w:t>
      </w:r>
      <w:r w:rsidR="00980A49">
        <w:rPr>
          <w:noProof/>
        </w:rPr>
        <w:t xml:space="preserve"> Contacts RPA</w:t>
      </w:r>
      <w:bookmarkEnd w:id="11"/>
      <w:r w:rsidR="00980A49">
        <w:rPr>
          <w:noProof/>
        </w:rPr>
        <w:t xml:space="preserve"> </w:t>
      </w:r>
    </w:p>
    <w:p w:rsidR="00AB696B" w:rsidRDefault="00980A49">
      <w:pPr>
        <w:spacing w:after="0" w:line="259" w:lineRule="auto"/>
        <w:ind w:left="573" w:hanging="10"/>
        <w:jc w:val="center"/>
      </w:pPr>
      <w:r>
        <w:t>DICOM/GS</w:t>
      </w:r>
      <w:r w:rsidR="00F53F7F">
        <w:t>C</w:t>
      </w:r>
      <w:r>
        <w:t xml:space="preserve"> NC/D</w:t>
      </w:r>
      <w:r w:rsidR="00F53F7F">
        <w:t>AF</w:t>
      </w:r>
      <w:r>
        <w:t>/</w:t>
      </w:r>
      <w:r w:rsidR="00F53F7F">
        <w:t>BA</w:t>
      </w:r>
      <w:r>
        <w:t xml:space="preserve">/SCM </w:t>
      </w:r>
    </w:p>
    <w:p w:rsidR="00AB696B" w:rsidRDefault="00980A49">
      <w:pPr>
        <w:spacing w:after="0" w:line="259" w:lineRule="auto"/>
        <w:ind w:left="573" w:hanging="10"/>
        <w:jc w:val="center"/>
      </w:pPr>
      <w:r>
        <w:rPr>
          <w:b/>
          <w:u w:val="single" w:color="000000"/>
        </w:rPr>
        <w:t>Adresse :</w:t>
      </w:r>
      <w:r>
        <w:rPr>
          <w:b/>
        </w:rPr>
        <w:t xml:space="preserve"> </w:t>
      </w:r>
      <w:r>
        <w:t xml:space="preserve">Caserne </w:t>
      </w:r>
      <w:proofErr w:type="spellStart"/>
      <w:r>
        <w:t>Gally-Passebosc</w:t>
      </w:r>
      <w:proofErr w:type="spellEnd"/>
      <w:r>
        <w:t xml:space="preserve"> – BP 38 – 98843 NOUMEA CEDEX – NOUVELLE CALEDONIE</w:t>
      </w:r>
      <w:r>
        <w:rPr>
          <w:b/>
        </w:rPr>
        <w:t xml:space="preserve"> </w:t>
      </w:r>
    </w:p>
    <w:p w:rsidR="00AB696B" w:rsidRDefault="00980A49">
      <w:pPr>
        <w:spacing w:after="69" w:line="259" w:lineRule="auto"/>
        <w:ind w:left="577" w:hanging="10"/>
        <w:jc w:val="center"/>
      </w:pPr>
      <w:r>
        <w:rPr>
          <w:b/>
          <w:u w:val="single" w:color="000000"/>
        </w:rPr>
        <w:t>Téléphone :</w:t>
      </w:r>
      <w:r>
        <w:rPr>
          <w:b/>
        </w:rPr>
        <w:t xml:space="preserve"> </w:t>
      </w:r>
      <w:r>
        <w:t xml:space="preserve">29 27 74 </w:t>
      </w:r>
    </w:p>
    <w:p w:rsidR="00AB696B" w:rsidRDefault="00980A49">
      <w:pPr>
        <w:spacing w:after="143" w:line="259" w:lineRule="auto"/>
        <w:ind w:left="559" w:firstLine="0"/>
        <w:jc w:val="center"/>
      </w:pPr>
      <w:r>
        <w:rPr>
          <w:b/>
          <w:u w:val="single" w:color="000000"/>
        </w:rPr>
        <w:t>Courriel :</w:t>
      </w:r>
      <w:r>
        <w:rPr>
          <w:b/>
        </w:rPr>
        <w:t xml:space="preserve"> </w:t>
      </w:r>
      <w:r>
        <w:rPr>
          <w:color w:val="0000FF"/>
        </w:rPr>
        <w:t>dicom-nc.ach.fct@intradef.gouv.fr</w:t>
      </w:r>
      <w:r>
        <w:rPr>
          <w:b/>
        </w:rPr>
        <w:t xml:space="preserve"> </w:t>
      </w:r>
    </w:p>
    <w:p w:rsidR="00AB696B" w:rsidRDefault="00980A49">
      <w:pPr>
        <w:pStyle w:val="Titre1"/>
        <w:spacing w:after="172"/>
      </w:pPr>
      <w:bookmarkStart w:id="12" w:name="_Toc203463136"/>
      <w:r>
        <w:t>ARTICLE 2 : DUREE DE L’ACCORD CADRE - RECONDUCTION</w:t>
      </w:r>
      <w:bookmarkEnd w:id="12"/>
      <w:r>
        <w:t xml:space="preserve"> </w:t>
      </w:r>
    </w:p>
    <w:p w:rsidR="00AB696B" w:rsidRDefault="00F53F7F" w:rsidP="00F53F7F">
      <w:pPr>
        <w:pStyle w:val="Titre2"/>
        <w:ind w:left="567"/>
      </w:pPr>
      <w:bookmarkStart w:id="13" w:name="_Toc203463137"/>
      <w:r>
        <w:t>2.1</w:t>
      </w:r>
      <w:r w:rsidR="00980A49">
        <w:t xml:space="preserve"> Durée de l’accord cadre</w:t>
      </w:r>
      <w:bookmarkEnd w:id="13"/>
      <w:r w:rsidR="00980A49">
        <w:t xml:space="preserve"> </w:t>
      </w:r>
    </w:p>
    <w:p w:rsidR="005F3168" w:rsidRDefault="005F3168" w:rsidP="005F3168">
      <w:pPr>
        <w:spacing w:after="136"/>
      </w:pPr>
      <w:r>
        <w:t>Le présent contrat est conclu pour une durée d’un (1) an à compter de sa date de notification. Il est reconductible annuellement par tacite reconduction dans la limite de quatre (4) ans.</w:t>
      </w:r>
    </w:p>
    <w:p w:rsidR="005F3168" w:rsidRDefault="005F3168" w:rsidP="005F3168">
      <w:pPr>
        <w:spacing w:after="136"/>
      </w:pPr>
      <w:r>
        <w:t xml:space="preserve">Cette durée s’entend comme la période pendant laquelle peuvent être notifiés des bons de commande. </w:t>
      </w:r>
    </w:p>
    <w:p w:rsidR="00AB696B" w:rsidRDefault="00980A49">
      <w:pPr>
        <w:spacing w:after="55" w:line="310" w:lineRule="auto"/>
      </w:pPr>
      <w:r>
        <w:t xml:space="preserve">Les bons de commande peuvent être émis jusqu’au dernier jour de validité de l’accord-cadre, sans que leur durée d’exécution ne puisse excéder 90 jours suivant le terme de l’accord cadre. </w:t>
      </w:r>
    </w:p>
    <w:p w:rsidR="00AB696B" w:rsidRDefault="00F53F7F" w:rsidP="00072FDD">
      <w:pPr>
        <w:pStyle w:val="Titre2"/>
        <w:ind w:left="567"/>
      </w:pPr>
      <w:bookmarkStart w:id="14" w:name="_Toc203463138"/>
      <w:r>
        <w:t xml:space="preserve">2.2 </w:t>
      </w:r>
      <w:r w:rsidR="00980A49">
        <w:t>Reconduction</w:t>
      </w:r>
      <w:bookmarkEnd w:id="14"/>
      <w:r w:rsidR="00980A49">
        <w:t xml:space="preserve"> </w:t>
      </w:r>
    </w:p>
    <w:p w:rsidR="00AB696B" w:rsidRDefault="00980A49">
      <w:r>
        <w:t xml:space="preserve">En cas de non-reconduction de l’accord cadre, le RPA notifie au titulaire sa décision de ne pas reconduire l’accord cadre, par lettre recommandée avec accusé réception au moins un (1) mois avant le terme de la période de validité en cours. Conformément à l’article R 2112-4 du code de la commande publique, le titulaire ne peut refuser la non-reconduction de l’accord cadre, et ne peut prétendre à aucune indemnité à ce titre. </w:t>
      </w:r>
    </w:p>
    <w:p w:rsidR="00AB696B" w:rsidRDefault="00980A49">
      <w:pPr>
        <w:spacing w:after="22"/>
      </w:pPr>
      <w:r>
        <w:t xml:space="preserve">Dans l’hypothèse où le contrat ne serait pas reconduit, les bons de commandes émis continuent à s’exécuter jusqu’à leur terme. </w:t>
      </w:r>
    </w:p>
    <w:p w:rsidR="00AB696B" w:rsidRDefault="00980A49">
      <w:pPr>
        <w:spacing w:after="7" w:line="259" w:lineRule="auto"/>
        <w:ind w:left="566" w:firstLine="0"/>
        <w:jc w:val="left"/>
      </w:pPr>
      <w:r>
        <w:t xml:space="preserve"> </w:t>
      </w:r>
    </w:p>
    <w:p w:rsidR="00AB696B" w:rsidRDefault="00980A49">
      <w:pPr>
        <w:pStyle w:val="Titre1"/>
        <w:spacing w:after="18"/>
      </w:pPr>
      <w:bookmarkStart w:id="15" w:name="_Toc203463139"/>
      <w:r>
        <w:t>ARTICLE 3 : EXIGENCE DE RESULTAT, QUALITE DE SERVICE</w:t>
      </w:r>
      <w:bookmarkEnd w:id="15"/>
      <w:r>
        <w:t xml:space="preserve"> </w:t>
      </w:r>
    </w:p>
    <w:p w:rsidR="00AB696B" w:rsidRDefault="00980A49">
      <w:pPr>
        <w:spacing w:after="0" w:line="259" w:lineRule="auto"/>
        <w:ind w:left="566" w:firstLine="0"/>
        <w:jc w:val="left"/>
      </w:pPr>
      <w:r>
        <w:t xml:space="preserve"> </w:t>
      </w:r>
    </w:p>
    <w:p w:rsidR="00AB696B" w:rsidRDefault="00980A49">
      <w:pPr>
        <w:spacing w:after="0"/>
      </w:pPr>
      <w:r>
        <w:t xml:space="preserve">Le titulaire s’engage à mettre en œuvre tous les moyens nécessaires et décrits dans son offre pour l’obtention du résultat défini dans le cahier des clauses techniques particulières. </w:t>
      </w:r>
    </w:p>
    <w:p w:rsidR="00AB696B" w:rsidRDefault="00980A49">
      <w:pPr>
        <w:spacing w:after="14"/>
      </w:pPr>
      <w: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annexé à l’acte d’engagement,</w:t>
      </w:r>
      <w:r>
        <w:rPr>
          <w:color w:val="008000"/>
        </w:rPr>
        <w:t xml:space="preserve"> </w:t>
      </w:r>
      <w:r>
        <w:t xml:space="preserve">d’une prestation conforme. </w:t>
      </w:r>
    </w:p>
    <w:p w:rsidR="00AB696B" w:rsidRDefault="00980A49">
      <w:pPr>
        <w:spacing w:after="0"/>
      </w:pPr>
      <w:r>
        <w:t xml:space="preserve">Le titulaire s’engage à prendre à sa charge toutes les conséquences matérielles et financières en cas de défaut à son obligation de résultat.  </w:t>
      </w:r>
    </w:p>
    <w:p w:rsidR="00AB696B" w:rsidRDefault="00980A49">
      <w:pPr>
        <w:spacing w:after="129" w:line="259" w:lineRule="auto"/>
        <w:ind w:left="566" w:firstLine="0"/>
        <w:jc w:val="left"/>
      </w:pPr>
      <w:r>
        <w:t xml:space="preserve"> </w:t>
      </w:r>
    </w:p>
    <w:p w:rsidR="00AB696B" w:rsidRDefault="00980A49">
      <w:pPr>
        <w:pStyle w:val="Titre1"/>
      </w:pPr>
      <w:bookmarkStart w:id="16" w:name="_Toc203463140"/>
      <w:r>
        <w:lastRenderedPageBreak/>
        <w:t>ARTICLE 4 : ENVIRONNEMENT MILITAIRE</w:t>
      </w:r>
      <w:bookmarkEnd w:id="16"/>
      <w:r>
        <w:t xml:space="preserve">  </w:t>
      </w:r>
    </w:p>
    <w:p w:rsidR="00AB696B" w:rsidRDefault="00980A49" w:rsidP="00F53F7F">
      <w:pPr>
        <w:pStyle w:val="Titre2"/>
        <w:spacing w:after="141"/>
        <w:ind w:left="567"/>
      </w:pPr>
      <w:bookmarkStart w:id="17" w:name="_Toc203463141"/>
      <w:r>
        <w:t xml:space="preserve">4.1 </w:t>
      </w:r>
      <w:r w:rsidR="002E2C3B">
        <w:t>Conditions d’accès des personnels sur les sites</w:t>
      </w:r>
      <w:bookmarkEnd w:id="17"/>
      <w:r>
        <w:rPr>
          <w:i/>
        </w:rPr>
        <w:t xml:space="preserve"> </w:t>
      </w:r>
    </w:p>
    <w:p w:rsidR="00AB696B" w:rsidRDefault="00980A49">
      <w:pPr>
        <w:spacing w:after="29"/>
      </w:pPr>
      <w:r>
        <w:t xml:space="preserve">Le titulaire peut sous-traiter l’exécution de certaines prestations du CCTP sous réserve de l’acceptation préalable du ou des sous-traitants par le représentant du pouvoir adjudicateur et de l’agrément des conditions de paiement de chaque contrat de sous-traitance. </w:t>
      </w:r>
    </w:p>
    <w:p w:rsidR="00AB696B" w:rsidRDefault="00980A49">
      <w:pPr>
        <w:spacing w:after="17"/>
      </w:pPr>
      <w:r>
        <w:t xml:space="preserve">Ces formalités sont accomplies dans les conditions prévues à l’article 3.6 du CCAG/FCS.  </w:t>
      </w:r>
    </w:p>
    <w:p w:rsidR="00AB696B" w:rsidRDefault="00980A49">
      <w:pPr>
        <w:spacing w:after="14"/>
      </w:pPr>
      <w:r>
        <w:t xml:space="preserve">La présentation d’un sous-traitant se fait à l’aide de l’imprimé DC4 (déclaration de sous-traitance). Cet imprimé est dûment rempli et signé par le sous-traitant et le candidat, et comporte l’indication des capacités professionnelles, techniques et financières du sous-traitant, ainsi que la déclaration sur l’honneur que le </w:t>
      </w:r>
      <w:r w:rsidR="00F53F7F">
        <w:t>sous-traitant</w:t>
      </w:r>
      <w:r>
        <w:t xml:space="preserve"> ne tombe pas sous le coup d’une interdiction d’accéder aux marchés publics.  </w:t>
      </w:r>
    </w:p>
    <w:p w:rsidR="00AB696B" w:rsidRDefault="00980A49">
      <w:pPr>
        <w:spacing w:after="13" w:line="259" w:lineRule="auto"/>
        <w:ind w:left="566" w:firstLine="0"/>
        <w:jc w:val="left"/>
      </w:pPr>
      <w:r>
        <w:t xml:space="preserve"> </w:t>
      </w:r>
    </w:p>
    <w:p w:rsidR="00AB696B" w:rsidRDefault="00980A49">
      <w:pPr>
        <w:spacing w:after="9"/>
      </w:pPr>
      <w:r>
        <w:t xml:space="preserve">Si le titulaire souhaite recourir à cette possibilité, il demande le formulaire idoine à l’administration. </w:t>
      </w:r>
    </w:p>
    <w:p w:rsidR="00AB696B" w:rsidRDefault="00980A49">
      <w:pPr>
        <w:spacing w:after="12" w:line="259" w:lineRule="auto"/>
        <w:ind w:left="566" w:firstLine="0"/>
        <w:jc w:val="left"/>
      </w:pPr>
      <w:r>
        <w:t xml:space="preserve"> </w:t>
      </w:r>
    </w:p>
    <w:p w:rsidR="00AB696B" w:rsidRDefault="00980A49" w:rsidP="00F53F7F">
      <w:pPr>
        <w:spacing w:after="0" w:line="249" w:lineRule="auto"/>
        <w:ind w:left="561" w:hanging="10"/>
      </w:pPr>
      <w:r>
        <w:rPr>
          <w:b/>
        </w:rPr>
        <w:t xml:space="preserve">Ce marché étant qualifié de sensible, chaque personnel du titulaire affecté au présent accord-cadre fera l’objet d’un contrôle </w:t>
      </w:r>
      <w:r w:rsidR="002E2C3B">
        <w:rPr>
          <w:b/>
        </w:rPr>
        <w:t>prim</w:t>
      </w:r>
      <w:r>
        <w:rPr>
          <w:b/>
        </w:rPr>
        <w:t xml:space="preserve">aire par l’organisme de sûreté du ministère des armées. Dans le cas d’un contrôle avec un avis défavorable, le personnel concerné devra être remplacé sans préavis. </w:t>
      </w:r>
    </w:p>
    <w:p w:rsidR="00AB696B" w:rsidRDefault="00980A49">
      <w:pPr>
        <w:spacing w:after="0" w:line="259" w:lineRule="auto"/>
        <w:ind w:left="566" w:firstLine="0"/>
        <w:jc w:val="left"/>
      </w:pPr>
      <w:r>
        <w:rPr>
          <w:b/>
        </w:rPr>
        <w:t xml:space="preserve"> </w:t>
      </w:r>
    </w:p>
    <w:p w:rsidR="002E2C3B" w:rsidRPr="00881BA0" w:rsidRDefault="002E2C3B" w:rsidP="002E2C3B">
      <w:r w:rsidRPr="00881BA0">
        <w:t>Les prestations étant à exécuter dans un lieu où des mesures de sécurité s'appliquent en vertu des dispositions législatives ou réglementaires, le titulaire doit observer les dispositions particulières que le bénéficiaire lui a fait communiquer.</w:t>
      </w:r>
    </w:p>
    <w:p w:rsidR="002E2C3B" w:rsidRPr="00881BA0" w:rsidRDefault="002E2C3B" w:rsidP="002E2C3B">
      <w:r w:rsidRPr="00881BA0">
        <w:t xml:space="preserve">Sur demande de l’administration et préalablement à la notification du marché, l’attributaire devra fournir, dans un délai de </w:t>
      </w:r>
      <w:r>
        <w:rPr>
          <w:b/>
        </w:rPr>
        <w:t>cinq (5)</w:t>
      </w:r>
      <w:r w:rsidRPr="00881BA0">
        <w:rPr>
          <w:b/>
        </w:rPr>
        <w:t xml:space="preserve"> jours</w:t>
      </w:r>
      <w:r>
        <w:rPr>
          <w:b/>
        </w:rPr>
        <w:t xml:space="preserve"> ouvrés</w:t>
      </w:r>
      <w:r w:rsidRPr="00881BA0">
        <w:t xml:space="preserve">, </w:t>
      </w:r>
    </w:p>
    <w:p w:rsidR="002E2C3B" w:rsidRPr="00881BA0" w:rsidRDefault="002E2C3B" w:rsidP="002E2C3B">
      <w:pPr>
        <w:ind w:firstLine="708"/>
      </w:pPr>
      <w:r>
        <w:t xml:space="preserve">- </w:t>
      </w:r>
      <w:r w:rsidRPr="00881BA0">
        <w:t>la liste nominative des personnels susceptibles d’intervenir pour la réalisation des prestations (intervenants et remplaçants éventuels),</w:t>
      </w:r>
    </w:p>
    <w:p w:rsidR="002E2C3B" w:rsidRDefault="002E2C3B" w:rsidP="002E2C3B">
      <w:pPr>
        <w:ind w:firstLine="708"/>
      </w:pPr>
      <w:r>
        <w:t xml:space="preserve">- </w:t>
      </w:r>
      <w:r w:rsidRPr="00881BA0">
        <w:t xml:space="preserve">les fiches de demandes de contrôle </w:t>
      </w:r>
      <w:r>
        <w:t>primaire</w:t>
      </w:r>
      <w:r w:rsidRPr="00881BA0">
        <w:t xml:space="preserve"> </w:t>
      </w:r>
      <w:r w:rsidRPr="00C8162C">
        <w:t>renseignées et signées</w:t>
      </w:r>
      <w:r>
        <w:t xml:space="preserve"> </w:t>
      </w:r>
      <w:r w:rsidRPr="00881BA0">
        <w:t>(1 par intervenant)</w:t>
      </w:r>
      <w:r>
        <w:t>,</w:t>
      </w:r>
    </w:p>
    <w:p w:rsidR="002E2C3B" w:rsidRPr="00C8162C" w:rsidRDefault="002E2C3B" w:rsidP="002E2C3B">
      <w:pPr>
        <w:ind w:firstLine="708"/>
      </w:pPr>
      <w:r>
        <w:t xml:space="preserve">- </w:t>
      </w:r>
      <w:r w:rsidRPr="00C8162C">
        <w:t>justificatifs d’identité valides (passeport ou carte d’identité).</w:t>
      </w:r>
    </w:p>
    <w:p w:rsidR="002E2C3B" w:rsidRPr="00881BA0" w:rsidRDefault="002E2C3B" w:rsidP="002E2C3B">
      <w:r w:rsidRPr="00881BA0">
        <w:t>Ces renseignements d’identité de ses personnels sont nécessaires pour la réalisation</w:t>
      </w:r>
      <w:r>
        <w:t xml:space="preserve"> </w:t>
      </w:r>
      <w:r w:rsidRPr="00C8162C">
        <w:t>de</w:t>
      </w:r>
      <w:r w:rsidRPr="00881BA0">
        <w:t xml:space="preserve"> l’enquête de sécurité les concernant.</w:t>
      </w:r>
    </w:p>
    <w:p w:rsidR="002E2C3B" w:rsidRPr="00881BA0" w:rsidRDefault="002E2C3B" w:rsidP="002E2C3B">
      <w:r w:rsidRPr="00881BA0">
        <w:t xml:space="preserve">Il sera tenu de remplacer les personnels faisant l’objet d’un avis autre que favorable sur demande de </w:t>
      </w:r>
      <w:r>
        <w:t>l’administration</w:t>
      </w:r>
      <w:r w:rsidRPr="00881BA0">
        <w:t>.</w:t>
      </w:r>
    </w:p>
    <w:p w:rsidR="002E2C3B" w:rsidRPr="00881BA0" w:rsidRDefault="002E2C3B" w:rsidP="002E2C3B">
      <w:r w:rsidRPr="00881BA0">
        <w:t>Les modifications pouvant intervenir dans la composition du personnel doit être porté à la connaissance de l’administration dès survenance (</w:t>
      </w:r>
      <w:r w:rsidRPr="009A0418">
        <w:rPr>
          <w:b/>
        </w:rPr>
        <w:t>un délai de 60 jours est nécessaire pour l’obtention de l’habilitation</w:t>
      </w:r>
      <w:r w:rsidRPr="00881BA0">
        <w:t>).</w:t>
      </w:r>
    </w:p>
    <w:p w:rsidR="002E2C3B" w:rsidRDefault="002E2C3B" w:rsidP="002E2C3B">
      <w:r w:rsidRPr="007268FC">
        <w:t>En conséquence, le titulaire doit prendre les dispositions nécessaires pour demander un nombre de criblage suffisant de ses personnels afin d’assurer la bonne exécution des prestations.</w:t>
      </w:r>
    </w:p>
    <w:p w:rsidR="002E2C3B" w:rsidRPr="00881BA0" w:rsidRDefault="002E2C3B" w:rsidP="002E2C3B">
      <w:r w:rsidRPr="00881BA0">
        <w:t>Par ailleurs le titulaire gardera et fera garder secrets tous faits, documents et informations dont lui-même ou ses employés auront ou pourront avoir connaissance directement ou indirectement du fait ou à l’occasion du présent contrat. La présente obligation est une obligation continue qui restera en vigueur sans limitation de durée après la cessation du contrat, pour quelque cause que ce soit.</w:t>
      </w:r>
    </w:p>
    <w:p w:rsidR="002E2C3B" w:rsidRDefault="002E2C3B" w:rsidP="002E2C3B">
      <w:r w:rsidRPr="00881BA0">
        <w:t xml:space="preserve">Les prestations du présent </w:t>
      </w:r>
      <w:r>
        <w:t>accord-cadre et de ses bons de commande qui en découlent</w:t>
      </w:r>
      <w:r w:rsidRPr="00881BA0">
        <w:t xml:space="preserve"> ne pourront en aucun cas débuter avant obtention de l’autorisation notifiée par l’administration.</w:t>
      </w:r>
    </w:p>
    <w:p w:rsidR="002E2C3B" w:rsidRDefault="002E2C3B"/>
    <w:p w:rsidR="00AB696B" w:rsidRDefault="00980A49" w:rsidP="00196BAF">
      <w:pPr>
        <w:pStyle w:val="Titre2"/>
        <w:spacing w:after="141"/>
        <w:ind w:left="567"/>
      </w:pPr>
      <w:bookmarkStart w:id="18" w:name="_Toc203463142"/>
      <w:r>
        <w:lastRenderedPageBreak/>
        <w:t>4.2 Règles de confidentialité</w:t>
      </w:r>
      <w:bookmarkEnd w:id="18"/>
      <w:r>
        <w:t xml:space="preserve"> </w:t>
      </w:r>
    </w:p>
    <w:p w:rsidR="00AB696B" w:rsidRDefault="00980A49" w:rsidP="00F53F7F">
      <w:pPr>
        <w:spacing w:after="4" w:line="246" w:lineRule="auto"/>
        <w:ind w:left="561" w:hanging="10"/>
      </w:pPr>
      <w:r>
        <w:t xml:space="preserve">Dans le cadre des dispositions légales et réglementaires en matière de protection du secret de la défense nationale, le titulaire du contrat s'engage à prendre toutes les mesures utiles pour assurer lors de l’exécution de l’accord cadre la protection absolue des informations ou supports classifiés qui peuvent être détenus dans les lieux auxquels le titulaire, sans avoir besoin de connaître ces informations classifiées, a accès pour l’exécution du contrat.  </w:t>
      </w:r>
    </w:p>
    <w:p w:rsidR="00AB696B" w:rsidRDefault="00980A49">
      <w:pPr>
        <w:spacing w:after="162"/>
      </w:pPr>
      <w:r>
        <w:t xml:space="preserve">Le titulaire reconnaît avoir pris connaissance des textes suivants : </w:t>
      </w:r>
    </w:p>
    <w:p w:rsidR="00AB696B" w:rsidRDefault="00980A49">
      <w:pPr>
        <w:numPr>
          <w:ilvl w:val="0"/>
          <w:numId w:val="5"/>
        </w:numPr>
        <w:spacing w:after="42"/>
        <w:ind w:left="1286" w:hanging="360"/>
      </w:pPr>
      <w:proofErr w:type="gramStart"/>
      <w:r>
        <w:t>l’instruction</w:t>
      </w:r>
      <w:proofErr w:type="gramEnd"/>
      <w:r>
        <w:t xml:space="preserve"> générale interministérielle n° 1300 sur la protection du secret de la défense nationale approuvée par l’arrêté du 13/11/2020 (disponible sur le site Légifrance); </w:t>
      </w:r>
    </w:p>
    <w:p w:rsidR="00AB696B" w:rsidRDefault="00980A49">
      <w:pPr>
        <w:numPr>
          <w:ilvl w:val="0"/>
          <w:numId w:val="5"/>
        </w:numPr>
        <w:ind w:left="1286" w:hanging="360"/>
      </w:pPr>
      <w:proofErr w:type="gramStart"/>
      <w:r>
        <w:t>l’article</w:t>
      </w:r>
      <w:proofErr w:type="gramEnd"/>
      <w:r>
        <w:t xml:space="preserve"> 5 du CCAG/FCS relatif aux règles de confidentialité et mesures de sécurité, applicable au présent contrat. </w:t>
      </w:r>
    </w:p>
    <w:p w:rsidR="00AB696B" w:rsidRDefault="00980A49">
      <w:pPr>
        <w:spacing w:after="157"/>
      </w:pPr>
      <w:r>
        <w:t xml:space="preserve">Par ailleurs, le titulaire reconnaît : </w:t>
      </w:r>
    </w:p>
    <w:p w:rsidR="00AB696B" w:rsidRDefault="00980A49">
      <w:pPr>
        <w:numPr>
          <w:ilvl w:val="0"/>
          <w:numId w:val="5"/>
        </w:numPr>
        <w:spacing w:after="29"/>
        <w:ind w:left="1286" w:hanging="360"/>
      </w:pPr>
      <w:proofErr w:type="gramStart"/>
      <w:r>
        <w:t>qu’il</w:t>
      </w:r>
      <w:proofErr w:type="gramEnd"/>
      <w:r>
        <w:t xml:space="preserve"> n’a pas à connaître ou détenir, pour l’exécution de l’accord , d’informations couvertes par le secret de la défense nationale ; </w:t>
      </w:r>
    </w:p>
    <w:p w:rsidR="00AB696B" w:rsidRDefault="00980A49">
      <w:pPr>
        <w:numPr>
          <w:ilvl w:val="0"/>
          <w:numId w:val="5"/>
        </w:numPr>
        <w:spacing w:after="68"/>
        <w:ind w:left="1286" w:hanging="360"/>
      </w:pPr>
      <w:proofErr w:type="gramStart"/>
      <w:r>
        <w:t>qu’il</w:t>
      </w:r>
      <w:proofErr w:type="gramEnd"/>
      <w:r>
        <w:t xml:space="preserve"> a pris connaissance des articles 413-9 à 413-12 du code pénal. </w:t>
      </w:r>
    </w:p>
    <w:p w:rsidR="00AB696B" w:rsidRDefault="00980A49">
      <w:pPr>
        <w:spacing w:after="23"/>
      </w:pPr>
      <w:r>
        <w:t xml:space="preserve">Le titulaire déclare se soumettre aux obligations résultant pour lui de l'application de la présente clause de protection du secret. </w:t>
      </w:r>
    </w:p>
    <w:p w:rsidR="00AB696B" w:rsidRDefault="00980A49">
      <w:pPr>
        <w:spacing w:after="146"/>
      </w:pPr>
      <w:r>
        <w:t xml:space="preserve">L'exécution de l’accord cadre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contrat et devant être protégé, en dehors des communications strictement indispensables à l'exécution de l’accord cadre. </w:t>
      </w:r>
    </w:p>
    <w:p w:rsidR="00AB696B" w:rsidRDefault="00980A49">
      <w:pPr>
        <w:spacing w:after="138"/>
      </w:pPr>
      <w:r>
        <w:t xml:space="preserve">Le RPA se réserve le droit de procéder à toute vérification qui lui paraîtrait utile pour s’assurer du respect de ses obligations, tant par le titulaire que par ses sous-traitants éventuels. </w:t>
      </w:r>
    </w:p>
    <w:p w:rsidR="00AB696B" w:rsidRDefault="00980A49">
      <w:pPr>
        <w:pStyle w:val="Titre1"/>
      </w:pPr>
      <w:bookmarkStart w:id="19" w:name="_Toc203463143"/>
      <w:r>
        <w:t>ARTICLE 5 : DISPOSITIONS REGLEMENTAIRES ET GENERALES</w:t>
      </w:r>
      <w:bookmarkEnd w:id="19"/>
      <w:r>
        <w:t xml:space="preserve"> </w:t>
      </w:r>
    </w:p>
    <w:p w:rsidR="00D04EAC" w:rsidRPr="00AB4D16" w:rsidRDefault="00D04EAC" w:rsidP="00D04EAC">
      <w:pPr>
        <w:spacing w:before="120"/>
        <w:ind w:right="464"/>
        <w:rPr>
          <w:color w:val="FF0000"/>
        </w:rPr>
      </w:pPr>
      <w:r w:rsidRPr="00F53FF8">
        <w:t>L’ensemble des prestations sont décrites dans le cahier des clauses techniques particulières.</w:t>
      </w:r>
    </w:p>
    <w:p w:rsidR="00AB696B" w:rsidRDefault="00980A49" w:rsidP="00F53F7F">
      <w:pPr>
        <w:pStyle w:val="Titre2"/>
        <w:ind w:left="567"/>
      </w:pPr>
      <w:bookmarkStart w:id="20" w:name="_Toc203463144"/>
      <w:r>
        <w:t>5.1 Dispositions générales</w:t>
      </w:r>
      <w:bookmarkEnd w:id="20"/>
      <w:r>
        <w:t xml:space="preserve"> </w:t>
      </w:r>
    </w:p>
    <w:p w:rsidR="00AB696B" w:rsidRDefault="00980A49">
      <w:pPr>
        <w:spacing w:after="143"/>
      </w:pPr>
      <w:r>
        <w:t xml:space="preserve">Le titulaire doit se conformer à la législation et à la réglementation du travail applicable en Nouvelle-Calédonie. Dans le cas contraire, l’accord cadre sera résilié à ses torts sans qu’il ne puisse prétendre à une quelconque indemnité. </w:t>
      </w:r>
    </w:p>
    <w:p w:rsidR="00AB696B" w:rsidRDefault="00980A49">
      <w:r>
        <w:t xml:space="preserve">Le titulaire assume la direction et la responsabilité de l’exécution des prestations. </w:t>
      </w:r>
    </w:p>
    <w:p w:rsidR="00AB696B" w:rsidRDefault="00980A49">
      <w:r>
        <w:t xml:space="preserve">Il est responsable des dommages causés, par la mauvaise exécution des prestations ou par le non-respect des consignes de sécurité et de la réglementation en vigueur, à son personnel, aux agents de l’administration ou à des tiers (accidents corporels…) à ses biens ainsi que ceux appartenant à l’administration ou à des tiers (dommages matériels ou immatériels, incendie, dommages aux objets confiés, dégâts des eaux, pollution d’origine accidentelle…). </w:t>
      </w:r>
    </w:p>
    <w:p w:rsidR="00AB696B" w:rsidRDefault="00980A49" w:rsidP="00F53F7F">
      <w:pPr>
        <w:pStyle w:val="Titre2"/>
        <w:ind w:left="567"/>
      </w:pPr>
      <w:bookmarkStart w:id="21" w:name="_Toc203463145"/>
      <w:r>
        <w:t>5.2 Protection de la main - d’œuvre</w:t>
      </w:r>
      <w:bookmarkEnd w:id="21"/>
      <w:r>
        <w:t xml:space="preserve"> </w:t>
      </w:r>
    </w:p>
    <w:p w:rsidR="00AB696B" w:rsidRDefault="00980A49">
      <w:r>
        <w:t>Les travailleurs étrangers doivent être munis du titre autorisant à exercer une activité salariée en Nouvelle</w:t>
      </w:r>
      <w:r w:rsidR="00F53F7F">
        <w:t>-</w:t>
      </w:r>
      <w:r>
        <w:t xml:space="preserve">Calédonie lorsque la possession de ce titre est exigée en vertu soit de dispositions législatives ou réglementaires, soit de traités ou accords internationaux (article 117 et suivants de l’ordonnance n°85-1181 du 13 novembre 1985). </w:t>
      </w:r>
    </w:p>
    <w:p w:rsidR="00AB696B" w:rsidRDefault="00980A49" w:rsidP="00F53F7F">
      <w:pPr>
        <w:pStyle w:val="Titre2"/>
        <w:ind w:left="567"/>
      </w:pPr>
      <w:bookmarkStart w:id="22" w:name="_Toc203463146"/>
      <w:r>
        <w:t>5.3 Prévention - Hygiène et sécurité au travail</w:t>
      </w:r>
      <w:bookmarkEnd w:id="22"/>
      <w:r>
        <w:t xml:space="preserve"> </w:t>
      </w:r>
    </w:p>
    <w:p w:rsidR="00AB696B" w:rsidRDefault="00980A49" w:rsidP="00F53F7F">
      <w:r>
        <w:t xml:space="preserve">Le titulaire déclare avoir pris connaissance des dispositions qui figurent </w:t>
      </w:r>
      <w:r w:rsidRPr="00D04EAC">
        <w:t xml:space="preserve">dans l’arrêté du 19 mai 2020 relatif aux modalités d’application des règles relatives aux interventions d’entreprises </w:t>
      </w:r>
      <w:r w:rsidRPr="00D04EAC">
        <w:lastRenderedPageBreak/>
        <w:t>extérieures et aux opérations de bâtiment et de génie civil dans un organisme du ministère des Armées (disponible sur Légifrance) et s'engage à s'y co</w:t>
      </w:r>
      <w:r>
        <w:t xml:space="preserve">nformer.  </w:t>
      </w:r>
    </w:p>
    <w:p w:rsidR="00AB696B" w:rsidRDefault="00980A49" w:rsidP="00F53F7F">
      <w:r>
        <w:t xml:space="preserve">Le titulaire s'engage à effectuer les prestations par du personnel qualifié ayant reçu préalablement la formation réglementaire, disposant des habilitations requises et en situation régulière vis-à-vis de la réglementation contre le travail illégal, y compris si ce personnel appartient à un sous-traitant. </w:t>
      </w:r>
    </w:p>
    <w:p w:rsidR="00AB696B" w:rsidRDefault="00980A49" w:rsidP="00F53F7F">
      <w:r>
        <w:t xml:space="preserve">Dans les dix (10) jours ouvrés suivant la notification de l’accord cadre et en tout état de cause avant tout début de prestation, le titulaire contacte les chargés de prévention de chaque emprise militaire de façon à établir les plans de prévention et le protocole de chargement et déchargement. </w:t>
      </w:r>
    </w:p>
    <w:p w:rsidR="00AB696B" w:rsidRDefault="00980A49" w:rsidP="00F53F7F">
      <w:r>
        <w:t xml:space="preserve">Les coordonnées des différents chargés de prévention seront fournies au moment de la réunion de lancement de l’accord cadre par les services bénéficiaires. </w:t>
      </w:r>
    </w:p>
    <w:p w:rsidR="00AB696B" w:rsidRDefault="00980A49" w:rsidP="00F53F7F">
      <w:r>
        <w:t xml:space="preserve">Le personnel doit respecter les règles de conduite, les directives et les consignes arrêtées dans le plan de prévention pour assurer la sécurité des personnes, des installations et des biens (sécurité des chargements et des déchargements, sécurité incendie, non-utilisation des téléphones et autres équipements du site, port des équipements de protection individuelle (EPI), </w:t>
      </w:r>
      <w:proofErr w:type="spellStart"/>
      <w:r>
        <w:t>etc</w:t>
      </w:r>
      <w:proofErr w:type="spellEnd"/>
      <w:r>
        <w:t xml:space="preserve">). </w:t>
      </w:r>
    </w:p>
    <w:p w:rsidR="00AB696B" w:rsidRDefault="00980A49" w:rsidP="00F53F7F">
      <w:pPr>
        <w:spacing w:after="145"/>
      </w:pPr>
      <w:r>
        <w:t xml:space="preserve">La non-application par le titulaire des mesures et des consignes de sécurité données par le chargé de prévention ou par le correspondant de prévention, entraînera la résiliation de l’accord cadre conformément </w:t>
      </w:r>
      <w:r w:rsidR="00B100D3">
        <w:t>aux</w:t>
      </w:r>
      <w:r w:rsidR="00B100D3" w:rsidRPr="00D06419">
        <w:t xml:space="preserve"> articles 38 à 45 du CCAG/FCS</w:t>
      </w:r>
      <w:r>
        <w:t xml:space="preserve">. </w:t>
      </w:r>
    </w:p>
    <w:p w:rsidR="00AB696B" w:rsidRDefault="00980A49" w:rsidP="00F53F7F">
      <w:r>
        <w:t xml:space="preserve">Le titulaire informe dans un délai d’un (1) jour ouvré le chargé de prévention d’organisme ou d’emprise concerné de tout accident de travail survenu à son personnel. </w:t>
      </w:r>
    </w:p>
    <w:p w:rsidR="00AB696B" w:rsidRDefault="00980A49" w:rsidP="00F53F7F">
      <w:pPr>
        <w:spacing w:after="144"/>
      </w:pPr>
      <w:r>
        <w:t xml:space="preserve">Les chargés de prévention et des risques professionnels (CPRP) d’organismes ou d’emprise, communique au titulaire les consignes de sécurité applicables dans le cadre du présent accord cadre. </w:t>
      </w:r>
    </w:p>
    <w:p w:rsidR="00AB696B" w:rsidRDefault="00980A49" w:rsidP="00F53F7F">
      <w:pPr>
        <w:pStyle w:val="Titre2"/>
        <w:ind w:left="567"/>
      </w:pPr>
      <w:bookmarkStart w:id="23" w:name="_Toc203463147"/>
      <w:r>
        <w:t>5.4 Protection de l’environnement</w:t>
      </w:r>
      <w:bookmarkEnd w:id="23"/>
      <w:r>
        <w:t xml:space="preserve"> </w:t>
      </w:r>
    </w:p>
    <w:p w:rsidR="00AB696B" w:rsidRDefault="00980A49" w:rsidP="009074E7">
      <w:pPr>
        <w:tabs>
          <w:tab w:val="left" w:pos="9598"/>
        </w:tabs>
        <w:ind w:left="573" w:hanging="6"/>
      </w:pPr>
      <w:r w:rsidRPr="00D04EAC">
        <w:t>Le titulaire veille à ce que les prestations qu’il effectue respectent les prescriptions législatives et réglementaires en matière d’environnement conformément au code de l’environnement de la province sud et nord. Il doit être en mesure d’en justifier le respect sur simple demande du représentant du pouvoir adjudicateur en cours d’exécution de l’accord cadre.</w:t>
      </w:r>
      <w:r>
        <w:t xml:space="preserve"> </w:t>
      </w:r>
    </w:p>
    <w:p w:rsidR="00AB696B" w:rsidRDefault="00980A49" w:rsidP="00F53F7F">
      <w:r>
        <w:t xml:space="preserve">Conformément à la délibération N°219 du 11 janvier 2017 du congrès de Nouvelle-Calédonie relative à l’amélioration de la qualité de l’air ambiant, le titulaire veille à prévenir et réduire les pollutions atmosphériques de ces engins de transport de façon à préserver la qualité de l’air en Nouvelle-Calédonie. </w:t>
      </w:r>
    </w:p>
    <w:p w:rsidR="00AB696B" w:rsidRDefault="00980A49" w:rsidP="00F53F7F">
      <w:pPr>
        <w:pStyle w:val="Titre2"/>
        <w:ind w:left="567"/>
      </w:pPr>
      <w:bookmarkStart w:id="24" w:name="_Toc203463148"/>
      <w:r>
        <w:t xml:space="preserve">5.5 </w:t>
      </w:r>
      <w:r w:rsidR="00D04EAC">
        <w:t>Développement durable</w:t>
      </w:r>
      <w:bookmarkEnd w:id="24"/>
      <w:r>
        <w:t xml:space="preserve"> </w:t>
      </w:r>
    </w:p>
    <w:p w:rsidR="00D04EAC" w:rsidRPr="003A636B" w:rsidRDefault="00D04EAC" w:rsidP="00D04EAC">
      <w:pPr>
        <w:pStyle w:val="Default"/>
        <w:ind w:left="567"/>
        <w:jc w:val="both"/>
        <w:rPr>
          <w:rFonts w:ascii="Arial" w:hAnsi="Arial" w:cs="Arial"/>
          <w:sz w:val="22"/>
          <w:szCs w:val="22"/>
        </w:rPr>
      </w:pPr>
      <w:r w:rsidRPr="003A636B">
        <w:rPr>
          <w:rFonts w:ascii="Arial" w:hAnsi="Arial" w:cs="Arial"/>
          <w:sz w:val="22"/>
          <w:szCs w:val="22"/>
        </w:rPr>
        <w:t>De par la directive ministérielle des achats responsables 20</w:t>
      </w:r>
      <w:r>
        <w:rPr>
          <w:rFonts w:ascii="Arial" w:hAnsi="Arial" w:cs="Arial"/>
          <w:sz w:val="22"/>
          <w:szCs w:val="22"/>
        </w:rPr>
        <w:t>22</w:t>
      </w:r>
      <w:r w:rsidRPr="003A636B">
        <w:rPr>
          <w:rFonts w:ascii="Arial" w:hAnsi="Arial" w:cs="Arial"/>
          <w:sz w:val="22"/>
          <w:szCs w:val="22"/>
        </w:rPr>
        <w:t>-202</w:t>
      </w:r>
      <w:r>
        <w:rPr>
          <w:rFonts w:ascii="Arial" w:hAnsi="Arial" w:cs="Arial"/>
          <w:sz w:val="22"/>
          <w:szCs w:val="22"/>
        </w:rPr>
        <w:t>5</w:t>
      </w:r>
      <w:r w:rsidRPr="003A636B">
        <w:rPr>
          <w:rFonts w:ascii="Arial" w:hAnsi="Arial" w:cs="Arial"/>
          <w:sz w:val="22"/>
          <w:szCs w:val="22"/>
        </w:rPr>
        <w:t xml:space="preserve">, le titulaire doit proposer une solution qui concilie, dans la durée et sur l’ensemble du processus d’achat, l’atteinte des objectifs de performance économique avec la maitrise des impacts sur l’environnement et le renforcement de la responsabilisation sociétale du ministère vis-à-vis de ses parties prenantes. </w:t>
      </w:r>
    </w:p>
    <w:p w:rsidR="00D04EAC" w:rsidRDefault="00D04EAC" w:rsidP="00D04EAC">
      <w:pPr>
        <w:pStyle w:val="Default"/>
        <w:ind w:left="567"/>
        <w:jc w:val="both"/>
        <w:rPr>
          <w:rFonts w:ascii="Arial" w:hAnsi="Arial" w:cs="Arial"/>
          <w:sz w:val="22"/>
          <w:szCs w:val="22"/>
        </w:rPr>
      </w:pPr>
      <w:r w:rsidRPr="003A636B">
        <w:rPr>
          <w:rFonts w:ascii="Arial" w:hAnsi="Arial" w:cs="Arial"/>
          <w:sz w:val="22"/>
          <w:szCs w:val="22"/>
        </w:rPr>
        <w:t>Le titulaire est propriétaire des déchets d’emballages qu’il produit dans le cadre de cette prestation, quelle qu’en soit la nature et jusqu’à leur élimination. Il est responsable de l’enlèvement de ses déchets. Il doit, conformément à son plan de gestion, et sans nuire à la protection efficace durant la manutention et le transport, réduire les quantités et la nocivité pour l'environnement des matières et des substances utilisées dans les emballages et les déchets d'emballages.</w:t>
      </w:r>
    </w:p>
    <w:p w:rsidR="00D04EAC" w:rsidRDefault="00D04EAC" w:rsidP="00D04EAC">
      <w:pPr>
        <w:pStyle w:val="Default"/>
        <w:ind w:left="567"/>
        <w:jc w:val="both"/>
        <w:rPr>
          <w:rFonts w:ascii="Arial" w:hAnsi="Arial" w:cs="Arial"/>
          <w:sz w:val="22"/>
          <w:szCs w:val="22"/>
        </w:rPr>
      </w:pPr>
    </w:p>
    <w:p w:rsidR="00D04EAC" w:rsidRDefault="00D04EAC" w:rsidP="00D04EAC">
      <w:pPr>
        <w:pStyle w:val="Default"/>
        <w:ind w:left="567"/>
        <w:jc w:val="both"/>
        <w:rPr>
          <w:rFonts w:ascii="Arial" w:hAnsi="Arial" w:cs="Arial"/>
          <w:sz w:val="22"/>
          <w:szCs w:val="22"/>
        </w:rPr>
      </w:pPr>
      <w:r>
        <w:rPr>
          <w:rFonts w:ascii="Arial" w:hAnsi="Arial" w:cs="Arial"/>
          <w:sz w:val="22"/>
          <w:szCs w:val="22"/>
        </w:rPr>
        <w:t>Le titulaire s’engage à ce que l’ensemble des conducteurs mobilisés sur le marché soit formés à minima chaque année sur toute la durée du marché a l’éco-conduite.</w:t>
      </w:r>
    </w:p>
    <w:p w:rsidR="00D04EAC" w:rsidRDefault="00D04EAC" w:rsidP="00D04EAC">
      <w:pPr>
        <w:pStyle w:val="Default"/>
        <w:ind w:left="567"/>
        <w:jc w:val="both"/>
        <w:rPr>
          <w:rFonts w:ascii="Arial" w:hAnsi="Arial" w:cs="Arial"/>
          <w:sz w:val="22"/>
          <w:szCs w:val="22"/>
        </w:rPr>
      </w:pPr>
      <w:r>
        <w:rPr>
          <w:rFonts w:ascii="Arial" w:hAnsi="Arial" w:cs="Arial"/>
          <w:sz w:val="22"/>
          <w:szCs w:val="22"/>
        </w:rPr>
        <w:t>L’éco-conduite est une pratique permettant de limiter l’émission de gaz à effet de serre, de polluants atmosphériques ainsi que les dépenses associées à la consommation de carburant.</w:t>
      </w:r>
    </w:p>
    <w:p w:rsidR="00D04EAC" w:rsidRDefault="00D04EAC" w:rsidP="00D04EAC">
      <w:pPr>
        <w:pStyle w:val="Default"/>
        <w:ind w:left="567"/>
        <w:jc w:val="both"/>
        <w:rPr>
          <w:rFonts w:ascii="Arial" w:hAnsi="Arial" w:cs="Arial"/>
          <w:sz w:val="22"/>
          <w:szCs w:val="22"/>
        </w:rPr>
      </w:pPr>
      <w:r>
        <w:rPr>
          <w:rFonts w:ascii="Arial" w:hAnsi="Arial" w:cs="Arial"/>
          <w:sz w:val="22"/>
          <w:szCs w:val="22"/>
        </w:rPr>
        <w:lastRenderedPageBreak/>
        <w:t xml:space="preserve">Le titulaire transmet à l’acheteur, </w:t>
      </w:r>
      <w:r w:rsidR="00C654F7">
        <w:rPr>
          <w:rFonts w:ascii="Arial" w:hAnsi="Arial" w:cs="Arial"/>
          <w:sz w:val="22"/>
          <w:szCs w:val="22"/>
        </w:rPr>
        <w:t>à</w:t>
      </w:r>
      <w:r>
        <w:rPr>
          <w:rFonts w:ascii="Arial" w:hAnsi="Arial" w:cs="Arial"/>
          <w:sz w:val="22"/>
          <w:szCs w:val="22"/>
        </w:rPr>
        <w:t xml:space="preserve"> la fin de chaque année civile et au plus tard 15 janvier de l’année suivante, les documents justifiant la formation effective de ses personnels conducteurs à l’éco-conduite : relevé annuel des sessions de formation des conducteurs, durée, effectifs.</w:t>
      </w:r>
    </w:p>
    <w:p w:rsidR="00D04EAC" w:rsidRDefault="00D04EAC" w:rsidP="00D04EAC">
      <w:pPr>
        <w:pStyle w:val="Default"/>
        <w:ind w:left="567"/>
        <w:jc w:val="both"/>
        <w:rPr>
          <w:rFonts w:ascii="Arial" w:hAnsi="Arial" w:cs="Arial"/>
          <w:sz w:val="22"/>
          <w:szCs w:val="22"/>
        </w:rPr>
      </w:pPr>
      <w:r>
        <w:rPr>
          <w:rFonts w:ascii="Arial" w:hAnsi="Arial" w:cs="Arial"/>
          <w:sz w:val="22"/>
          <w:szCs w:val="22"/>
        </w:rPr>
        <w:t>En cas de sous-traitance de la prestation, le titulaire incite le prestataire auxquels il fait appel à respecter cette obligation dans le cadre de l’exécution du marché.</w:t>
      </w:r>
    </w:p>
    <w:p w:rsidR="00D04EAC" w:rsidRDefault="00D04EAC" w:rsidP="00D04EAC">
      <w:pPr>
        <w:pStyle w:val="Default"/>
        <w:ind w:left="567"/>
        <w:jc w:val="both"/>
        <w:rPr>
          <w:rFonts w:ascii="Arial" w:hAnsi="Arial" w:cs="Arial"/>
          <w:sz w:val="22"/>
          <w:szCs w:val="22"/>
        </w:rPr>
      </w:pPr>
    </w:p>
    <w:p w:rsidR="00AB696B" w:rsidRDefault="00980A49" w:rsidP="006752A4">
      <w:pPr>
        <w:pStyle w:val="Titre2"/>
        <w:ind w:left="567"/>
      </w:pPr>
      <w:bookmarkStart w:id="25" w:name="_Toc203463149"/>
      <w:r>
        <w:t>5.6 Accès aux installations</w:t>
      </w:r>
      <w:bookmarkEnd w:id="25"/>
      <w:r>
        <w:t xml:space="preserve"> </w:t>
      </w:r>
    </w:p>
    <w:p w:rsidR="00AB696B" w:rsidRDefault="00980A49" w:rsidP="009074E7">
      <w:r>
        <w:t xml:space="preserve">L’administration autorise, au titulaire et à ses préposés, les accès nécessaires à la bonne exécution du présent accord cadre.  Cette autorisation reste toutefois subordonnée aux règles générales d’accès dans les enceintes militaires de personnes étrangères aux armées et à la condition d’avoir satisfait à un contrôle élémentaire au préalable. </w:t>
      </w:r>
    </w:p>
    <w:p w:rsidR="00AB696B" w:rsidRDefault="00980A49" w:rsidP="009074E7">
      <w:r>
        <w:t xml:space="preserve">Le titulaire s’engage à respecter et à faire respecter par ses agents ou préposés, les règles générales applicables à l’accès, à la circulation et au stationnement dans les enceintes militaires. L’accès des sites peut être provisoirement refusé au titulaire dans le cas de circonstances particulières telles que la mise sur pied de mesures spécifiques de protection et de défense. Le titulaire renonce à toute action contre l’administration fondée sur les refus ainsi motivés. </w:t>
      </w:r>
    </w:p>
    <w:p w:rsidR="00AB696B" w:rsidRDefault="00980A49" w:rsidP="006752A4">
      <w:pPr>
        <w:pStyle w:val="Titre2"/>
        <w:ind w:left="567"/>
      </w:pPr>
      <w:bookmarkStart w:id="26" w:name="_Toc203463150"/>
      <w:r>
        <w:t>5.7 Protection des données à caractère personnel</w:t>
      </w:r>
      <w:bookmarkEnd w:id="26"/>
      <w:r>
        <w:t xml:space="preserve"> </w:t>
      </w:r>
    </w:p>
    <w:p w:rsidR="00AB696B" w:rsidRDefault="00980A49" w:rsidP="009074E7">
      <w:pPr>
        <w:tabs>
          <w:tab w:val="left" w:pos="9498"/>
        </w:tabs>
        <w:ind w:left="567"/>
      </w:pPr>
      <w:r>
        <w:t xml:space="preserve">Chaque partie au marché est tenue au respect des règles relatives à la protection des données à caractère personnel, auxquelles elle a accès pour les besoins de l’exécution de l’accord cadre.  </w:t>
      </w:r>
    </w:p>
    <w:p w:rsidR="00AB696B" w:rsidRDefault="00980A49" w:rsidP="009074E7">
      <w:pPr>
        <w:tabs>
          <w:tab w:val="left" w:pos="9498"/>
        </w:tabs>
        <w:spacing w:after="130"/>
        <w:ind w:left="567"/>
      </w:pPr>
      <w:r>
        <w:t xml:space="preserve">En cas d’évolution de la législation sur la protection des données à caractère personnel en cours d’exécution de l’accord cadre, les modifications éventuelles, demandées par le représentant du pouvoir adjudicateur afin de se conformer aux règles nouvelles, donnent lieu à la signature d’un avenant par les parties à l’accord cadre.  </w:t>
      </w:r>
    </w:p>
    <w:p w:rsidR="00AB696B" w:rsidRDefault="00980A49" w:rsidP="00B100D3">
      <w:pPr>
        <w:tabs>
          <w:tab w:val="left" w:pos="9781"/>
        </w:tabs>
        <w:spacing w:line="246" w:lineRule="auto"/>
        <w:ind w:left="567" w:hanging="10"/>
      </w:pPr>
      <w:r>
        <w:t xml:space="preserve">Pour assurer cette protection, il incombe au titulaire d’effectuer les déclarations et d’obtenir les autorisations administratives nécessaires à l’exécution des prestations prévues par les documents particuliers de l’accord cadre.  </w:t>
      </w:r>
    </w:p>
    <w:p w:rsidR="00AB696B" w:rsidRDefault="00980A49" w:rsidP="006752A4">
      <w:pPr>
        <w:pStyle w:val="Titre2"/>
        <w:ind w:left="567"/>
      </w:pPr>
      <w:bookmarkStart w:id="27" w:name="_Toc203463151"/>
      <w:r>
        <w:t>5.8 Assurances</w:t>
      </w:r>
      <w:bookmarkEnd w:id="27"/>
      <w:r>
        <w:t xml:space="preserve"> </w:t>
      </w:r>
    </w:p>
    <w:p w:rsidR="00D04EAC" w:rsidRPr="00AB4D16" w:rsidRDefault="00D04EAC" w:rsidP="00D04EAC">
      <w:pPr>
        <w:suppressAutoHyphens/>
        <w:autoSpaceDE w:val="0"/>
        <w:spacing w:before="120"/>
        <w:ind w:right="39"/>
      </w:pPr>
      <w:r w:rsidRPr="00AB4D16">
        <w:rPr>
          <w:lang w:eastAsia="zh-CN"/>
        </w:rPr>
        <w:t>Le titulaire est civilement responsable de tout préjudice occasionné lors de l’exécution de ses prestations, de tout dommage en général lié à l’exercice de son activité. Il est donc responsable des dommages que la mauvaise exécution des prestations pourrait causer à son personnel, aux agents de l’administration ou à des tiers et à ses biens, aux biens appartenant à l’administration ou à des tiers.</w:t>
      </w:r>
    </w:p>
    <w:p w:rsidR="00D04EAC" w:rsidRDefault="00D04EAC" w:rsidP="00D04EAC">
      <w:pPr>
        <w:suppressAutoHyphens/>
        <w:autoSpaceDE w:val="0"/>
        <w:spacing w:before="120"/>
        <w:ind w:right="39"/>
        <w:rPr>
          <w:lang w:eastAsia="zh-CN"/>
        </w:rPr>
      </w:pPr>
      <w:r w:rsidRPr="00AB4D16">
        <w:rPr>
          <w:lang w:eastAsia="zh-CN"/>
        </w:rPr>
        <w:t>Le titulaire s’engage à souscrire toutes assurances nécessaires pour couvrir d’une manière suffisante, par une compagnie d’assurance ou courtier de son choix, la responsabilité qu’il peut encourir soit de son fait, soit du fait des personnes travaillant sous ses ordres, à l’occasion des actes de toute nature accomplis dans l’exercice de son activité.</w:t>
      </w:r>
    </w:p>
    <w:p w:rsidR="00D04EAC" w:rsidRPr="00A1079E" w:rsidRDefault="00D04EAC" w:rsidP="00D04EAC">
      <w:pPr>
        <w:suppressAutoHyphens/>
        <w:autoSpaceDE w:val="0"/>
        <w:spacing w:before="120"/>
        <w:ind w:right="39"/>
        <w:rPr>
          <w:b/>
          <w:u w:val="single"/>
        </w:rPr>
      </w:pPr>
      <w:r w:rsidRPr="00A1079E">
        <w:rPr>
          <w:b/>
          <w:u w:val="single"/>
          <w:lang w:eastAsia="zh-CN"/>
        </w:rPr>
        <w:t>Le montant de la garantie doit couvrir l’intégralité de la valeur des prestations réalisées ainsi que d’éventuels dommages causés aux personnes et aux biens.</w:t>
      </w:r>
    </w:p>
    <w:p w:rsidR="00AB696B" w:rsidRDefault="00D04EAC" w:rsidP="00D04EAC">
      <w:pPr>
        <w:tabs>
          <w:tab w:val="left" w:pos="10489"/>
        </w:tabs>
        <w:suppressAutoHyphens/>
        <w:autoSpaceDE w:val="0"/>
        <w:spacing w:before="120" w:after="120"/>
      </w:pPr>
      <w:r w:rsidRPr="00AB4D16">
        <w:rPr>
          <w:lang w:eastAsia="zh-CN"/>
        </w:rPr>
        <w:t xml:space="preserve">Le titulaire fait parvenir obligatoirement une copie de cette (ces) attestation(s) d’assurance en cours de validité quinze (15) jours après la notification du contrat puis tous les ans à la date anniversaire du contrat. La non présentation de ces documents pourra entrainer la résiliation du contrat conformément à l’article </w:t>
      </w:r>
      <w:r>
        <w:rPr>
          <w:lang w:eastAsia="zh-CN"/>
        </w:rPr>
        <w:t>4</w:t>
      </w:r>
      <w:r w:rsidRPr="00AB4D16">
        <w:rPr>
          <w:lang w:eastAsia="zh-CN"/>
        </w:rPr>
        <w:t>2 du CCAG/FCS.</w:t>
      </w:r>
    </w:p>
    <w:p w:rsidR="00AB696B" w:rsidRDefault="00980A49">
      <w:pPr>
        <w:pStyle w:val="Titre1"/>
        <w:spacing w:after="155"/>
      </w:pPr>
      <w:bookmarkStart w:id="28" w:name="_Toc203463152"/>
      <w:r>
        <w:t>ARTICLE 6 : MODALITES D’EXECUTION DES PRESTATIONS A BONS DE COMMANDES</w:t>
      </w:r>
      <w:bookmarkEnd w:id="28"/>
      <w:r>
        <w:t xml:space="preserve"> </w:t>
      </w:r>
    </w:p>
    <w:p w:rsidR="00AB696B" w:rsidRDefault="00980A49">
      <w:pPr>
        <w:pStyle w:val="Titre2"/>
        <w:spacing w:after="135"/>
        <w:ind w:left="561"/>
      </w:pPr>
      <w:bookmarkStart w:id="29" w:name="_Toc203463153"/>
      <w:r>
        <w:t>6.1</w:t>
      </w:r>
      <w:r w:rsidR="006752A4">
        <w:t xml:space="preserve"> </w:t>
      </w:r>
      <w:r>
        <w:t>Modalités d’exécutions des prestations</w:t>
      </w:r>
      <w:bookmarkEnd w:id="29"/>
      <w:r>
        <w:t xml:space="preserve">  </w:t>
      </w:r>
    </w:p>
    <w:p w:rsidR="00AB696B" w:rsidRDefault="00980A49" w:rsidP="00B100D3">
      <w:pPr>
        <w:spacing w:after="7"/>
      </w:pPr>
      <w:r>
        <w:t>L’accord cadre est exécuté par l'émission de bons de commande. Le déploiement du parc se fera à compter de la notification du 1</w:t>
      </w:r>
      <w:r>
        <w:rPr>
          <w:vertAlign w:val="superscript"/>
        </w:rPr>
        <w:t>er</w:t>
      </w:r>
      <w:r>
        <w:t xml:space="preserve"> bon de commande. D’autres besoins pourront être satisfaits par </w:t>
      </w:r>
      <w:r>
        <w:lastRenderedPageBreak/>
        <w:t xml:space="preserve">bons de commandes supplémentaires émis durant la période de validité de l’accord-cadre et au fur et à mesure de leur survenance. </w:t>
      </w:r>
    </w:p>
    <w:p w:rsidR="00981F42" w:rsidRDefault="00980A49" w:rsidP="00981F42">
      <w:pPr>
        <w:spacing w:after="0" w:line="259" w:lineRule="auto"/>
        <w:ind w:left="566" w:firstLine="0"/>
        <w:jc w:val="left"/>
      </w:pPr>
      <w:r>
        <w:t xml:space="preserve"> </w:t>
      </w:r>
    </w:p>
    <w:p w:rsidR="00AB696B" w:rsidRDefault="00980A49" w:rsidP="00981F42">
      <w:pPr>
        <w:spacing w:after="0" w:line="259" w:lineRule="auto"/>
        <w:ind w:left="566" w:firstLine="0"/>
        <w:jc w:val="left"/>
      </w:pPr>
      <w:r>
        <w:t xml:space="preserve">Chaque bon de commande comporte : </w:t>
      </w:r>
    </w:p>
    <w:p w:rsidR="00AB696B" w:rsidRDefault="00980A49" w:rsidP="00981F42">
      <w:pPr>
        <w:pStyle w:val="Paragraphedeliste"/>
        <w:numPr>
          <w:ilvl w:val="0"/>
          <w:numId w:val="24"/>
        </w:numPr>
        <w:tabs>
          <w:tab w:val="center" w:pos="-142"/>
          <w:tab w:val="center" w:pos="709"/>
        </w:tabs>
        <w:spacing w:after="28"/>
        <w:ind w:hanging="11"/>
      </w:pPr>
      <w:proofErr w:type="gramStart"/>
      <w:r>
        <w:t>la</w:t>
      </w:r>
      <w:proofErr w:type="gramEnd"/>
      <w:r>
        <w:t xml:space="preserve"> référence de l’accord cadre </w:t>
      </w:r>
      <w:r w:rsidR="002E2C3B">
        <w:t xml:space="preserve">(EJ long) </w:t>
      </w:r>
      <w:r>
        <w:t xml:space="preserve">; </w:t>
      </w:r>
    </w:p>
    <w:p w:rsidR="00AB696B" w:rsidRPr="00981F42" w:rsidRDefault="00980A49" w:rsidP="00981F42">
      <w:pPr>
        <w:pStyle w:val="Paragraphedeliste"/>
        <w:numPr>
          <w:ilvl w:val="0"/>
          <w:numId w:val="24"/>
        </w:numPr>
        <w:tabs>
          <w:tab w:val="center" w:pos="-142"/>
          <w:tab w:val="center" w:pos="709"/>
        </w:tabs>
        <w:spacing w:after="28"/>
        <w:ind w:hanging="11"/>
      </w:pPr>
      <w:proofErr w:type="gramStart"/>
      <w:r w:rsidRPr="00981F42">
        <w:t>le</w:t>
      </w:r>
      <w:proofErr w:type="gramEnd"/>
      <w:r w:rsidRPr="00981F42">
        <w:t xml:space="preserve"> nom et l’adresse du titulaire ; </w:t>
      </w:r>
    </w:p>
    <w:p w:rsidR="00AB696B" w:rsidRPr="00981F42" w:rsidRDefault="00980A49" w:rsidP="00981F42">
      <w:pPr>
        <w:pStyle w:val="Paragraphedeliste"/>
        <w:numPr>
          <w:ilvl w:val="0"/>
          <w:numId w:val="24"/>
        </w:numPr>
        <w:tabs>
          <w:tab w:val="center" w:pos="-142"/>
          <w:tab w:val="center" w:pos="709"/>
        </w:tabs>
        <w:spacing w:after="28"/>
        <w:ind w:hanging="11"/>
      </w:pPr>
      <w:proofErr w:type="gramStart"/>
      <w:r w:rsidRPr="00981F42">
        <w:t>le</w:t>
      </w:r>
      <w:proofErr w:type="gramEnd"/>
      <w:r w:rsidRPr="00981F42">
        <w:t xml:space="preserve"> numéro d’engagement juridique</w:t>
      </w:r>
      <w:r w:rsidR="002E2C3B" w:rsidRPr="00981F42">
        <w:t xml:space="preserve"> du bon de commande</w:t>
      </w:r>
      <w:r w:rsidRPr="00981F42">
        <w:t xml:space="preserve"> (EJ</w:t>
      </w:r>
      <w:r w:rsidR="002E2C3B" w:rsidRPr="00981F42">
        <w:t xml:space="preserve"> court</w:t>
      </w:r>
      <w:r w:rsidRPr="00981F42">
        <w:t xml:space="preserve">) ; </w:t>
      </w:r>
    </w:p>
    <w:p w:rsidR="00AB696B" w:rsidRPr="00981F42" w:rsidRDefault="00980A49" w:rsidP="00981F42">
      <w:pPr>
        <w:pStyle w:val="Paragraphedeliste"/>
        <w:numPr>
          <w:ilvl w:val="0"/>
          <w:numId w:val="24"/>
        </w:numPr>
        <w:tabs>
          <w:tab w:val="center" w:pos="-142"/>
          <w:tab w:val="center" w:pos="709"/>
        </w:tabs>
        <w:spacing w:after="28"/>
        <w:ind w:hanging="11"/>
      </w:pPr>
      <w:proofErr w:type="gramStart"/>
      <w:r w:rsidRPr="00981F42">
        <w:t>la</w:t>
      </w:r>
      <w:proofErr w:type="gramEnd"/>
      <w:r w:rsidRPr="00981F42">
        <w:t xml:space="preserve"> nature, la configuration et la quantité des matériels ou des prestations commandé</w:t>
      </w:r>
      <w:r w:rsidR="006752A4" w:rsidRPr="00981F42">
        <w:t>e</w:t>
      </w:r>
      <w:r w:rsidRPr="00981F42">
        <w:t xml:space="preserve">s par lot ; </w:t>
      </w:r>
    </w:p>
    <w:p w:rsidR="00AB696B" w:rsidRPr="00981F42" w:rsidRDefault="00980A49" w:rsidP="00981F42">
      <w:pPr>
        <w:pStyle w:val="Paragraphedeliste"/>
        <w:numPr>
          <w:ilvl w:val="0"/>
          <w:numId w:val="24"/>
        </w:numPr>
        <w:tabs>
          <w:tab w:val="center" w:pos="-142"/>
          <w:tab w:val="center" w:pos="709"/>
        </w:tabs>
        <w:spacing w:after="28"/>
        <w:ind w:hanging="11"/>
      </w:pPr>
      <w:proofErr w:type="gramStart"/>
      <w:r w:rsidRPr="00981F42">
        <w:t>l'adresse</w:t>
      </w:r>
      <w:proofErr w:type="gramEnd"/>
      <w:r w:rsidRPr="00981F42">
        <w:t xml:space="preserve"> de livraison où le matériel est mis en service (adresse, étage, service, numéro de pièce, le cas échéant) ; </w:t>
      </w:r>
    </w:p>
    <w:p w:rsidR="006752A4" w:rsidRPr="00981F42" w:rsidRDefault="00980A49" w:rsidP="00981F42">
      <w:pPr>
        <w:pStyle w:val="Paragraphedeliste"/>
        <w:numPr>
          <w:ilvl w:val="0"/>
          <w:numId w:val="24"/>
        </w:numPr>
        <w:tabs>
          <w:tab w:val="center" w:pos="-142"/>
          <w:tab w:val="center" w:pos="709"/>
        </w:tabs>
        <w:spacing w:after="28"/>
        <w:ind w:hanging="11"/>
      </w:pPr>
      <w:proofErr w:type="gramStart"/>
      <w:r w:rsidRPr="00981F42">
        <w:t>le</w:t>
      </w:r>
      <w:proofErr w:type="gramEnd"/>
      <w:r w:rsidRPr="00981F42">
        <w:t xml:space="preserve"> prix unitaire HT et TTC en euros et en francs pacifique (XPF) figurant dans le BPU</w:t>
      </w:r>
      <w:r w:rsidR="006752A4" w:rsidRPr="00981F42">
        <w:t xml:space="preserve"> </w:t>
      </w:r>
      <w:r w:rsidRPr="00981F42">
        <w:t xml:space="preserve">; </w:t>
      </w:r>
    </w:p>
    <w:p w:rsidR="00AB696B" w:rsidRDefault="00980A49" w:rsidP="00981F42">
      <w:pPr>
        <w:pStyle w:val="Paragraphedeliste"/>
        <w:numPr>
          <w:ilvl w:val="0"/>
          <w:numId w:val="24"/>
        </w:numPr>
        <w:tabs>
          <w:tab w:val="center" w:pos="-142"/>
          <w:tab w:val="center" w:pos="709"/>
        </w:tabs>
        <w:spacing w:after="28"/>
        <w:ind w:hanging="11"/>
      </w:pPr>
      <w:proofErr w:type="gramStart"/>
      <w:r w:rsidRPr="00981F42">
        <w:t>le</w:t>
      </w:r>
      <w:proofErr w:type="gramEnd"/>
      <w:r w:rsidRPr="00981F42">
        <w:t xml:space="preserve"> montant total HT et TTC du bon de commande en euros et en francs pacifique (XPF). </w:t>
      </w:r>
    </w:p>
    <w:p w:rsidR="00981F42" w:rsidRPr="00981F42" w:rsidRDefault="00981F42" w:rsidP="00981F42">
      <w:pPr>
        <w:pStyle w:val="Paragraphedeliste"/>
        <w:tabs>
          <w:tab w:val="center" w:pos="-142"/>
          <w:tab w:val="center" w:pos="709"/>
        </w:tabs>
        <w:spacing w:after="28"/>
        <w:ind w:left="578" w:firstLine="0"/>
      </w:pPr>
    </w:p>
    <w:p w:rsidR="00AB696B" w:rsidRDefault="00980A49" w:rsidP="00196BAF">
      <w:pPr>
        <w:pStyle w:val="Titre2"/>
        <w:spacing w:after="135"/>
        <w:ind w:left="561"/>
      </w:pPr>
      <w:bookmarkStart w:id="30" w:name="_Toc203463154"/>
      <w:r>
        <w:t>6.2 Délai d’exécution</w:t>
      </w:r>
      <w:bookmarkEnd w:id="30"/>
      <w:r>
        <w:t xml:space="preserve"> </w:t>
      </w:r>
    </w:p>
    <w:p w:rsidR="00AB696B" w:rsidRDefault="00980A49" w:rsidP="00981F42">
      <w:pPr>
        <w:spacing w:after="41"/>
        <w:ind w:left="567"/>
      </w:pPr>
      <w:r>
        <w:t xml:space="preserve">Le délai de livraison est celui indiqué : </w:t>
      </w:r>
    </w:p>
    <w:p w:rsidR="00AB696B" w:rsidRDefault="00B100D3" w:rsidP="00981F42">
      <w:pPr>
        <w:numPr>
          <w:ilvl w:val="0"/>
          <w:numId w:val="6"/>
        </w:numPr>
        <w:ind w:left="567" w:right="471" w:firstLine="0"/>
      </w:pPr>
      <w:proofErr w:type="gramStart"/>
      <w:r w:rsidRPr="00B100D3">
        <w:t>au</w:t>
      </w:r>
      <w:proofErr w:type="gramEnd"/>
      <w:r w:rsidR="00980A49" w:rsidRPr="00B100D3">
        <w:t xml:space="preserve"> CCTP</w:t>
      </w:r>
      <w:r w:rsidR="00980A49">
        <w:t xml:space="preserve"> concernant le déploiement du parc ; </w:t>
      </w:r>
    </w:p>
    <w:p w:rsidR="00AB696B" w:rsidRDefault="00980A49" w:rsidP="00981F42">
      <w:pPr>
        <w:numPr>
          <w:ilvl w:val="0"/>
          <w:numId w:val="6"/>
        </w:numPr>
        <w:spacing w:after="14"/>
        <w:ind w:left="567" w:firstLine="0"/>
      </w:pPr>
      <w:proofErr w:type="gramStart"/>
      <w:r>
        <w:t>sur</w:t>
      </w:r>
      <w:proofErr w:type="gramEnd"/>
      <w:r>
        <w:t xml:space="preserve"> </w:t>
      </w:r>
      <w:r w:rsidR="002E2C3B">
        <w:t>le bordereau de prix</w:t>
      </w:r>
      <w:r>
        <w:t xml:space="preserve"> concernant les solutions commandées en cours d’exécution de l’accord cadre. Conformément à l’article 13.3 du CCAG/FCS, une prolongation du délai d’exécution ou sursis de livraison peut être accordée par le représentant du pouvoir adjudicateur au titulaire si une cause n’engageant pas la responsabilité de ce dernier fait obstacle à l’exécution des prestations dans le délai contractuel défini par le titulaire dans son offre. Il en est ainsi si la cause qui met le titulaire dans l’incapacité d’exécuter tout ou partie des prestations dans le délai contractuel est le fait de la personne publique ou provient d’un évènement ayant le caractère de force majeure.  </w:t>
      </w:r>
    </w:p>
    <w:p w:rsidR="00AB696B" w:rsidRDefault="00980A49" w:rsidP="00981F42">
      <w:pPr>
        <w:tabs>
          <w:tab w:val="left" w:pos="9781"/>
          <w:tab w:val="left" w:pos="10490"/>
        </w:tabs>
        <w:spacing w:after="1"/>
        <w:ind w:left="567" w:hanging="6"/>
      </w:pPr>
      <w:r>
        <w:t>La demande de prolongation du délai d’exécution ou sursis de livraison doit être adressée au B</w:t>
      </w:r>
      <w:r w:rsidR="006752A4">
        <w:t>ureau Achats</w:t>
      </w:r>
      <w:r>
        <w:t xml:space="preserve"> de la DICOM/GS</w:t>
      </w:r>
      <w:r w:rsidR="006752A4">
        <w:t xml:space="preserve">C </w:t>
      </w:r>
      <w:r>
        <w:t>Nouvelle-Calédonie (</w:t>
      </w:r>
      <w:r>
        <w:rPr>
          <w:color w:val="0000FF"/>
          <w:u w:val="single" w:color="0000FF"/>
        </w:rPr>
        <w:t>dicom-nc.ach.fct@intradef.gouv.fr</w:t>
      </w:r>
      <w:r>
        <w:t xml:space="preserve">) et doit indiquer les causes faisant obstacle à l’exécution des prestations selon les délais indiqués dans l’annexe financière de l’acte d’engagement. Le titulaire dispose de deux (2) jours ouvrés à réception du courriel de demande d’exécution des prestations pour signaler la ou les causes faisant obstacle à l’exécution des prestations forfaitaires. </w:t>
      </w:r>
    </w:p>
    <w:p w:rsidR="00AB696B" w:rsidRDefault="00980A49" w:rsidP="00981F42">
      <w:pPr>
        <w:tabs>
          <w:tab w:val="left" w:pos="9781"/>
        </w:tabs>
        <w:ind w:left="567" w:hanging="6"/>
      </w:pPr>
      <w:r>
        <w:t xml:space="preserve">En aucun cas, une demande de prolongation du délai d’exécution ou de sursis de livraison ne peut être présentée pour des évènements survenus après l’expiration du délai contractuel. </w:t>
      </w:r>
    </w:p>
    <w:p w:rsidR="009074E7" w:rsidRDefault="00980A49">
      <w:pPr>
        <w:spacing w:after="129" w:line="259" w:lineRule="auto"/>
        <w:ind w:left="0" w:firstLine="0"/>
        <w:jc w:val="left"/>
      </w:pPr>
      <w:r>
        <w:t xml:space="preserve"> </w:t>
      </w:r>
    </w:p>
    <w:p w:rsidR="00AB696B" w:rsidRDefault="00980A49" w:rsidP="00342276">
      <w:pPr>
        <w:pStyle w:val="Titre1"/>
        <w:ind w:left="709"/>
      </w:pPr>
      <w:bookmarkStart w:id="31" w:name="_Toc203463155"/>
      <w:r>
        <w:t>ARTICLE 7 : SUIVI ET VERIFICATIONS DES PRESTATIONS</w:t>
      </w:r>
      <w:bookmarkEnd w:id="31"/>
      <w:r>
        <w:t xml:space="preserve"> </w:t>
      </w:r>
    </w:p>
    <w:p w:rsidR="00AB696B" w:rsidRDefault="009074E7" w:rsidP="00981F42">
      <w:pPr>
        <w:pStyle w:val="Titre2"/>
        <w:ind w:left="567" w:firstLine="0"/>
      </w:pPr>
      <w:bookmarkStart w:id="32" w:name="_Toc203463156"/>
      <w:r>
        <w:rPr>
          <w:noProof/>
        </w:rPr>
        <w:t>7.1</w:t>
      </w:r>
      <w:r w:rsidR="00980A49">
        <w:t xml:space="preserve"> Opération de vérification</w:t>
      </w:r>
      <w:bookmarkEnd w:id="32"/>
      <w:r w:rsidR="00980A49">
        <w:t xml:space="preserve"> </w:t>
      </w:r>
    </w:p>
    <w:p w:rsidR="00AB696B" w:rsidRDefault="00980A49" w:rsidP="00981F42">
      <w:pPr>
        <w:spacing w:after="13"/>
        <w:ind w:left="567" w:firstLine="0"/>
      </w:pPr>
      <w:r>
        <w:t xml:space="preserve">Les opérations de vérifications quantitatives sont effectuées à la livraison </w:t>
      </w:r>
      <w:r w:rsidR="00CF10A8" w:rsidRPr="00CF10A8">
        <w:t>par le représentant du Pouvoir Adjudicateur.</w:t>
      </w:r>
      <w:r>
        <w:t xml:space="preserve"> Ces opérations portent sur la conformité </w:t>
      </w:r>
      <w:r w:rsidR="002911F6">
        <w:t xml:space="preserve">des configurations et </w:t>
      </w:r>
      <w:r>
        <w:t xml:space="preserve">des quantités fixées dans le bon de commande. </w:t>
      </w:r>
    </w:p>
    <w:p w:rsidR="00AB696B" w:rsidRDefault="00980A49" w:rsidP="00981F42">
      <w:pPr>
        <w:ind w:left="567" w:firstLine="0"/>
      </w:pPr>
      <w:r>
        <w:t xml:space="preserve">Les solutions d’impression livrées sont accompagnées d’un </w:t>
      </w:r>
      <w:r>
        <w:rPr>
          <w:b/>
        </w:rPr>
        <w:t>bon de livraison</w:t>
      </w:r>
      <w:r>
        <w:t xml:space="preserve">, sur lequel figure : </w:t>
      </w:r>
    </w:p>
    <w:p w:rsidR="00AB696B" w:rsidRDefault="00981F42" w:rsidP="00981F42">
      <w:pPr>
        <w:pStyle w:val="Paragraphedeliste"/>
        <w:tabs>
          <w:tab w:val="center" w:pos="-142"/>
          <w:tab w:val="center" w:pos="567"/>
        </w:tabs>
        <w:spacing w:after="28"/>
        <w:ind w:left="567" w:firstLine="0"/>
      </w:pPr>
      <w:r>
        <w:t>- l</w:t>
      </w:r>
      <w:r w:rsidR="00980A49">
        <w:t xml:space="preserve">a référence du bon de commande ; </w:t>
      </w:r>
    </w:p>
    <w:p w:rsidR="00AB696B" w:rsidRDefault="00981F42" w:rsidP="00981F42">
      <w:pPr>
        <w:pStyle w:val="Paragraphedeliste"/>
        <w:numPr>
          <w:ilvl w:val="0"/>
          <w:numId w:val="24"/>
        </w:numPr>
        <w:tabs>
          <w:tab w:val="center" w:pos="-142"/>
          <w:tab w:val="center" w:pos="709"/>
        </w:tabs>
        <w:spacing w:after="28"/>
        <w:ind w:left="567" w:firstLine="0"/>
      </w:pPr>
      <w:proofErr w:type="gramStart"/>
      <w:r>
        <w:t>l</w:t>
      </w:r>
      <w:r w:rsidR="00980A49">
        <w:t>e</w:t>
      </w:r>
      <w:proofErr w:type="gramEnd"/>
      <w:r w:rsidR="00980A49">
        <w:t xml:space="preserve"> numéro de référence de l’accord cadre ; </w:t>
      </w:r>
    </w:p>
    <w:p w:rsidR="006752A4" w:rsidRDefault="00981F42" w:rsidP="00981F42">
      <w:pPr>
        <w:pStyle w:val="Paragraphedeliste"/>
        <w:numPr>
          <w:ilvl w:val="0"/>
          <w:numId w:val="24"/>
        </w:numPr>
        <w:tabs>
          <w:tab w:val="center" w:pos="-142"/>
          <w:tab w:val="center" w:pos="709"/>
        </w:tabs>
        <w:spacing w:after="28"/>
        <w:ind w:left="567" w:firstLine="0"/>
      </w:pPr>
      <w:proofErr w:type="gramStart"/>
      <w:r>
        <w:t>l</w:t>
      </w:r>
      <w:r w:rsidR="00980A49">
        <w:t>’identification</w:t>
      </w:r>
      <w:proofErr w:type="gramEnd"/>
      <w:r w:rsidR="00980A49">
        <w:t xml:space="preserve"> du service bénéficiaire</w:t>
      </w:r>
      <w:r w:rsidR="006752A4">
        <w:t xml:space="preserve"> </w:t>
      </w:r>
      <w:r w:rsidR="00980A49">
        <w:t xml:space="preserve">; </w:t>
      </w:r>
    </w:p>
    <w:p w:rsidR="00AB696B" w:rsidRDefault="00981F42" w:rsidP="00981F42">
      <w:pPr>
        <w:pStyle w:val="Paragraphedeliste"/>
        <w:numPr>
          <w:ilvl w:val="0"/>
          <w:numId w:val="24"/>
        </w:numPr>
        <w:tabs>
          <w:tab w:val="center" w:pos="-142"/>
          <w:tab w:val="center" w:pos="709"/>
        </w:tabs>
        <w:spacing w:after="28"/>
        <w:ind w:left="567" w:firstLine="0"/>
      </w:pPr>
      <w:proofErr w:type="gramStart"/>
      <w:r>
        <w:t>l</w:t>
      </w:r>
      <w:r w:rsidR="00980A49">
        <w:t>e</w:t>
      </w:r>
      <w:proofErr w:type="gramEnd"/>
      <w:r w:rsidR="00980A49">
        <w:t xml:space="preserve"> lieu et la date de livraison ; </w:t>
      </w:r>
    </w:p>
    <w:p w:rsidR="006752A4" w:rsidRDefault="00981F42" w:rsidP="00981F42">
      <w:pPr>
        <w:pStyle w:val="Paragraphedeliste"/>
        <w:numPr>
          <w:ilvl w:val="0"/>
          <w:numId w:val="24"/>
        </w:numPr>
        <w:tabs>
          <w:tab w:val="center" w:pos="-142"/>
          <w:tab w:val="center" w:pos="709"/>
        </w:tabs>
        <w:spacing w:after="28"/>
        <w:ind w:left="567" w:firstLine="0"/>
      </w:pPr>
      <w:proofErr w:type="gramStart"/>
      <w:r>
        <w:t>l</w:t>
      </w:r>
      <w:r w:rsidR="00980A49">
        <w:t>e</w:t>
      </w:r>
      <w:proofErr w:type="gramEnd"/>
      <w:r w:rsidR="00980A49">
        <w:t xml:space="preserve"> n° de chaque solution livrée, la configuration, le numéro du disque dur et son emplacement ; </w:t>
      </w:r>
    </w:p>
    <w:p w:rsidR="00AB696B" w:rsidRDefault="00981F42" w:rsidP="00981F42">
      <w:pPr>
        <w:pStyle w:val="Paragraphedeliste"/>
        <w:numPr>
          <w:ilvl w:val="0"/>
          <w:numId w:val="24"/>
        </w:numPr>
        <w:tabs>
          <w:tab w:val="center" w:pos="-142"/>
          <w:tab w:val="center" w:pos="709"/>
        </w:tabs>
        <w:spacing w:after="28"/>
        <w:ind w:left="567" w:firstLine="0"/>
      </w:pPr>
      <w:proofErr w:type="gramStart"/>
      <w:r>
        <w:t>l</w:t>
      </w:r>
      <w:r w:rsidR="00980A49">
        <w:t>a</w:t>
      </w:r>
      <w:proofErr w:type="gramEnd"/>
      <w:r w:rsidR="00980A49">
        <w:t xml:space="preserve"> quantité livrée par site. </w:t>
      </w:r>
    </w:p>
    <w:p w:rsidR="00AB696B" w:rsidRDefault="00AB696B" w:rsidP="00981F42">
      <w:pPr>
        <w:spacing w:after="0" w:line="259" w:lineRule="auto"/>
        <w:ind w:left="567" w:firstLine="0"/>
        <w:jc w:val="left"/>
      </w:pPr>
    </w:p>
    <w:p w:rsidR="00981F42" w:rsidRDefault="00981F42" w:rsidP="00981F42">
      <w:pPr>
        <w:spacing w:after="0" w:line="259" w:lineRule="auto"/>
        <w:ind w:left="567" w:firstLine="0"/>
        <w:jc w:val="left"/>
      </w:pPr>
    </w:p>
    <w:p w:rsidR="00981F42" w:rsidRDefault="00981F42" w:rsidP="00981F42">
      <w:pPr>
        <w:spacing w:after="0" w:line="259" w:lineRule="auto"/>
        <w:ind w:left="567" w:firstLine="0"/>
        <w:jc w:val="left"/>
      </w:pPr>
    </w:p>
    <w:p w:rsidR="00981F42" w:rsidRDefault="00981F42" w:rsidP="00981F42">
      <w:pPr>
        <w:spacing w:after="0" w:line="259" w:lineRule="auto"/>
        <w:ind w:left="567" w:firstLine="0"/>
        <w:jc w:val="left"/>
      </w:pPr>
    </w:p>
    <w:p w:rsidR="00AB696B" w:rsidRDefault="00980A49" w:rsidP="00981F42">
      <w:pPr>
        <w:ind w:left="567" w:firstLine="0"/>
      </w:pPr>
      <w:r>
        <w:lastRenderedPageBreak/>
        <w:t xml:space="preserve">Le titulaire produit tout document permettant d’établir la livraison des solutions d’impression et la réalisation des prestations d’installation. À défaut de production de ce document, les fournitures sont réputées non livrées et les prestations non exécutées. </w:t>
      </w:r>
    </w:p>
    <w:p w:rsidR="00AB696B" w:rsidRDefault="00980A49" w:rsidP="00342276">
      <w:pPr>
        <w:tabs>
          <w:tab w:val="left" w:pos="10490"/>
        </w:tabs>
        <w:spacing w:after="139"/>
        <w:ind w:left="709" w:firstLine="0"/>
      </w:pPr>
      <w:r>
        <w:t>Si, à la suite de ces constatations, les prestations ne sont pas conformes quantitativement et qualitativement, le service bénéficiaire renseigne une fiche incident (cf. annexe du CCAP) et la transmet à la D</w:t>
      </w:r>
      <w:r w:rsidR="00961680">
        <w:t>AF</w:t>
      </w:r>
      <w:r>
        <w:t>/</w:t>
      </w:r>
      <w:r w:rsidR="00961680">
        <w:t>BA</w:t>
      </w:r>
      <w:r>
        <w:t xml:space="preserve"> de la DICOM-</w:t>
      </w:r>
      <w:r w:rsidR="00961680">
        <w:t>GSC</w:t>
      </w:r>
      <w:r>
        <w:t xml:space="preserve"> Nouvelle-Calédonie à des fins d’application de pénalités conformément à l’article 8 du présent document. </w:t>
      </w:r>
    </w:p>
    <w:p w:rsidR="00AB696B" w:rsidRDefault="00980A49" w:rsidP="00196BAF">
      <w:pPr>
        <w:pStyle w:val="Titre2"/>
        <w:spacing w:before="120" w:after="120"/>
        <w:ind w:left="142" w:right="465" w:firstLine="567"/>
      </w:pPr>
      <w:bookmarkStart w:id="33" w:name="_Toc203463157"/>
      <w:r>
        <w:t xml:space="preserve">7.2 Délai d’admission </w:t>
      </w:r>
      <w:r w:rsidR="00CF10A8">
        <w:t>des prestations</w:t>
      </w:r>
      <w:bookmarkEnd w:id="33"/>
    </w:p>
    <w:p w:rsidR="00AB696B" w:rsidRDefault="00CF10A8" w:rsidP="00342276">
      <w:pPr>
        <w:tabs>
          <w:tab w:val="left" w:pos="9775"/>
        </w:tabs>
        <w:ind w:left="709" w:hanging="6"/>
      </w:pPr>
      <w:r w:rsidRPr="00E2748D">
        <w:t xml:space="preserve">Conformément à l’article 30.1 du CCAG/FCS, </w:t>
      </w:r>
      <w:r>
        <w:t>l</w:t>
      </w:r>
      <w:r w:rsidR="00980A49">
        <w:t xml:space="preserve">e délai imparti à la personne publique pour procéder aux opérations de vérification plus complexes est fixée à quinze (15) jours ouvrés à compter de la date de livraison.  </w:t>
      </w:r>
    </w:p>
    <w:p w:rsidR="00AB696B" w:rsidRDefault="00980A49" w:rsidP="00342276">
      <w:pPr>
        <w:tabs>
          <w:tab w:val="left" w:pos="567"/>
        </w:tabs>
        <w:ind w:left="709" w:hanging="6"/>
      </w:pPr>
      <w:r>
        <w:t xml:space="preserve">Le titulaire dispose d’un délai de dix (10) jours ouvrés à compter de la date de notification de la décision d’ajournement, de réfaction ou de rejet pour présenter ses observations. </w:t>
      </w:r>
    </w:p>
    <w:p w:rsidR="00CF10A8" w:rsidRPr="004A7C18" w:rsidRDefault="00CF10A8" w:rsidP="00342276">
      <w:pPr>
        <w:pStyle w:val="Titre2"/>
        <w:spacing w:before="120" w:after="120"/>
        <w:ind w:left="142" w:right="465" w:firstLine="567"/>
      </w:pPr>
      <w:bookmarkStart w:id="34" w:name="_Toc132960337"/>
      <w:bookmarkStart w:id="35" w:name="_Toc182463300"/>
      <w:bookmarkStart w:id="36" w:name="_Toc203463158"/>
      <w:r>
        <w:t xml:space="preserve">7.3 </w:t>
      </w:r>
      <w:r w:rsidRPr="004A7C18">
        <w:t>Fiche incident</w:t>
      </w:r>
      <w:bookmarkEnd w:id="34"/>
      <w:bookmarkEnd w:id="35"/>
      <w:bookmarkEnd w:id="36"/>
    </w:p>
    <w:p w:rsidR="00CF10A8" w:rsidRPr="004A7C18" w:rsidRDefault="00CF10A8" w:rsidP="00342276">
      <w:pPr>
        <w:spacing w:after="120"/>
        <w:ind w:left="709" w:firstLine="0"/>
      </w:pPr>
      <w:r w:rsidRPr="004A7C18">
        <w:t xml:space="preserve">Pendant toute la durée du contrat, lorsque des irrégularités sont constatées au titre de l’exécution, le représentant du service bénéficiaire, en tant que prescripteur du besoin, </w:t>
      </w:r>
      <w:r>
        <w:t>peut</w:t>
      </w:r>
      <w:r w:rsidRPr="004A7C18">
        <w:t xml:space="preserve"> utiliser la «fiche incident» (cf. annexe I du présent document) qu’il transmet à la section contractu</w:t>
      </w:r>
      <w:r>
        <w:t xml:space="preserve">alisation </w:t>
      </w:r>
      <w:r w:rsidRPr="004A7C18">
        <w:t>« marchés » (</w:t>
      </w:r>
      <w:hyperlink r:id="rId9" w:history="1">
        <w:r w:rsidRPr="004A7C18">
          <w:rPr>
            <w:rStyle w:val="Lienhypertexte"/>
          </w:rPr>
          <w:t>dicom-nc.ach.fct@intradef.gouv.fr</w:t>
        </w:r>
      </w:hyperlink>
      <w:r w:rsidRPr="004A7C18">
        <w:t>) et à la section contrôle de prestations (</w:t>
      </w:r>
      <w:hyperlink r:id="rId10" w:history="1">
        <w:r w:rsidRPr="00BD38CF">
          <w:rPr>
            <w:rStyle w:val="Lienhypertexte"/>
          </w:rPr>
          <w:t>dicom-nc.resp-controle-prestations.fct@intradef.gouv.f</w:t>
        </w:r>
      </w:hyperlink>
      <w:r>
        <w:t>r</w:t>
      </w:r>
      <w:r w:rsidRPr="004A7C18">
        <w:t>).</w:t>
      </w:r>
    </w:p>
    <w:p w:rsidR="00CF10A8" w:rsidRPr="002467EF" w:rsidRDefault="00CF10A8" w:rsidP="00342276">
      <w:pPr>
        <w:spacing w:after="120"/>
        <w:ind w:left="709" w:right="-1"/>
      </w:pPr>
      <w:r>
        <w:t>C</w:t>
      </w:r>
      <w:r w:rsidRPr="004A7C18">
        <w:t>ette fiche mentionn</w:t>
      </w:r>
      <w:r>
        <w:t>e</w:t>
      </w:r>
      <w:r w:rsidRPr="004A7C18">
        <w:t xml:space="preserve"> de manière exhaustive et précise les dysfonctionnements relevés. Au vu de celle-ci et en concertation avec le service bénéficiaire concerné, la DICOM/GS</w:t>
      </w:r>
      <w:r>
        <w:t>C</w:t>
      </w:r>
      <w:r w:rsidRPr="004A7C18">
        <w:t xml:space="preserve"> NC prend les décisions et les </w:t>
      </w:r>
      <w:r w:rsidRPr="002467EF">
        <w:t>mesures nécessaires afin de corriger les défaillances constatées.</w:t>
      </w:r>
    </w:p>
    <w:p w:rsidR="00AB696B" w:rsidRDefault="00980A49" w:rsidP="00072FDD">
      <w:pPr>
        <w:pStyle w:val="Titre2"/>
        <w:spacing w:before="120" w:after="120"/>
        <w:ind w:left="142" w:right="465" w:firstLine="567"/>
      </w:pPr>
      <w:bookmarkStart w:id="37" w:name="_Toc203463159"/>
      <w:r>
        <w:t>7.</w:t>
      </w:r>
      <w:r w:rsidR="00CF10A8">
        <w:t>4</w:t>
      </w:r>
      <w:r>
        <w:t xml:space="preserve"> </w:t>
      </w:r>
      <w:proofErr w:type="spellStart"/>
      <w:r w:rsidR="00CF10A8">
        <w:t>Reporting</w:t>
      </w:r>
      <w:proofErr w:type="spellEnd"/>
      <w:r w:rsidR="00CF10A8">
        <w:t xml:space="preserve"> et c</w:t>
      </w:r>
      <w:r>
        <w:t>ompte-rendu annuel</w:t>
      </w:r>
      <w:bookmarkEnd w:id="37"/>
      <w:r>
        <w:t xml:space="preserve"> </w:t>
      </w:r>
    </w:p>
    <w:p w:rsidR="00CF10A8" w:rsidRDefault="00CF10A8" w:rsidP="00342276">
      <w:pPr>
        <w:spacing w:after="120"/>
        <w:ind w:left="709" w:right="-1"/>
      </w:pPr>
      <w:r w:rsidRPr="002467EF">
        <w:t xml:space="preserve">15 jours avant la date anniversaire de notification du marché, le titulaire devra transmettre à l’adresse suivante dicom-nc.ach.fct@intradef.gouv.fr un </w:t>
      </w:r>
      <w:proofErr w:type="spellStart"/>
      <w:r w:rsidRPr="002467EF">
        <w:t>reporting</w:t>
      </w:r>
      <w:proofErr w:type="spellEnd"/>
      <w:r w:rsidRPr="002467EF">
        <w:t xml:space="preserve"> des commandes passées l’année précédente</w:t>
      </w:r>
      <w:r>
        <w:t xml:space="preserve"> (BPU et sur devis)</w:t>
      </w:r>
      <w:r w:rsidRPr="002467EF">
        <w:t xml:space="preserve">, en détaillant les commandes et livraisons pour les FANC. Ce </w:t>
      </w:r>
      <w:proofErr w:type="spellStart"/>
      <w:r w:rsidRPr="002467EF">
        <w:t>reporting</w:t>
      </w:r>
      <w:proofErr w:type="spellEnd"/>
      <w:r w:rsidRPr="002467EF">
        <w:t xml:space="preserve"> fera l’objet d’une étude lors de la réunion annuelle organisée dans les 30 jours après la date anniversaire de notification du marché par l’administration en présence du titulaire.</w:t>
      </w:r>
      <w:r>
        <w:t xml:space="preserve"> Lors des réunions annuelles, le titulaire à la charge de remettre à l’administration, sous dix (10) jours ouvrés, le compte rendu de cette réunion.</w:t>
      </w:r>
    </w:p>
    <w:p w:rsidR="00AB696B" w:rsidRDefault="00980A49">
      <w:pPr>
        <w:spacing w:after="0" w:line="259" w:lineRule="auto"/>
        <w:ind w:left="0" w:firstLine="0"/>
        <w:jc w:val="left"/>
      </w:pPr>
      <w:r>
        <w:t xml:space="preserve"> </w:t>
      </w:r>
    </w:p>
    <w:p w:rsidR="00AB696B" w:rsidRDefault="00980A49" w:rsidP="00342276">
      <w:pPr>
        <w:pStyle w:val="Titre1"/>
        <w:spacing w:after="172"/>
        <w:ind w:left="709"/>
      </w:pPr>
      <w:bookmarkStart w:id="38" w:name="_Toc203463160"/>
      <w:r>
        <w:t>ARTICLE 8 : PENALITES</w:t>
      </w:r>
      <w:bookmarkEnd w:id="38"/>
      <w:r>
        <w:t xml:space="preserve">  </w:t>
      </w:r>
    </w:p>
    <w:p w:rsidR="00AB696B" w:rsidRDefault="00980A49" w:rsidP="00342276">
      <w:pPr>
        <w:pStyle w:val="Titre2"/>
        <w:spacing w:after="132"/>
        <w:ind w:left="709"/>
      </w:pPr>
      <w:bookmarkStart w:id="39" w:name="_Toc203463161"/>
      <w:r>
        <w:t>8.1 Pénalités pour défaut d’exécution des prestations</w:t>
      </w:r>
      <w:bookmarkEnd w:id="39"/>
      <w:r>
        <w:t xml:space="preserve"> </w:t>
      </w:r>
    </w:p>
    <w:p w:rsidR="00AB696B" w:rsidRDefault="00980A49" w:rsidP="00342276">
      <w:pPr>
        <w:ind w:left="709"/>
      </w:pPr>
      <w:r>
        <w:t xml:space="preserve">Par dérogation à l’article 14.1 du CCAG/FCS, le titulaire encourt les pénalités suivantes  </w:t>
      </w:r>
    </w:p>
    <w:tbl>
      <w:tblPr>
        <w:tblStyle w:val="TableGrid"/>
        <w:tblW w:w="9486" w:type="dxa"/>
        <w:jc w:val="right"/>
        <w:tblInd w:w="0" w:type="dxa"/>
        <w:tblCellMar>
          <w:top w:w="5" w:type="dxa"/>
          <w:left w:w="106" w:type="dxa"/>
          <w:right w:w="91" w:type="dxa"/>
        </w:tblCellMar>
        <w:tblLook w:val="04A0" w:firstRow="1" w:lastRow="0" w:firstColumn="1" w:lastColumn="0" w:noHBand="0" w:noVBand="1"/>
      </w:tblPr>
      <w:tblGrid>
        <w:gridCol w:w="4383"/>
        <w:gridCol w:w="2126"/>
        <w:gridCol w:w="2977"/>
      </w:tblGrid>
      <w:tr w:rsidR="00AB696B" w:rsidTr="00B100D3">
        <w:trPr>
          <w:trHeight w:val="259"/>
          <w:jc w:val="right"/>
        </w:trPr>
        <w:tc>
          <w:tcPr>
            <w:tcW w:w="4383" w:type="dxa"/>
            <w:tcBorders>
              <w:top w:val="single" w:sz="4" w:space="0" w:color="000000"/>
              <w:left w:val="single" w:sz="4" w:space="0" w:color="000000"/>
              <w:bottom w:val="single" w:sz="4" w:space="0" w:color="000000"/>
              <w:right w:val="single" w:sz="4" w:space="0" w:color="000000"/>
            </w:tcBorders>
            <w:shd w:val="clear" w:color="auto" w:fill="BFBFBF"/>
          </w:tcPr>
          <w:p w:rsidR="00AB696B" w:rsidRDefault="00980A49">
            <w:pPr>
              <w:spacing w:after="0" w:line="259" w:lineRule="auto"/>
              <w:ind w:left="41" w:firstLine="0"/>
              <w:jc w:val="left"/>
            </w:pPr>
            <w:r>
              <w:t xml:space="preserve"> </w:t>
            </w:r>
            <w:r>
              <w:rPr>
                <w:b/>
              </w:rPr>
              <w:t xml:space="preserve">Nature de l’intervention non effectuée </w:t>
            </w:r>
          </w:p>
        </w:tc>
        <w:tc>
          <w:tcPr>
            <w:tcW w:w="2126" w:type="dxa"/>
            <w:tcBorders>
              <w:top w:val="single" w:sz="4" w:space="0" w:color="000000"/>
              <w:left w:val="single" w:sz="4" w:space="0" w:color="000000"/>
              <w:bottom w:val="single" w:sz="4" w:space="0" w:color="000000"/>
              <w:right w:val="single" w:sz="4" w:space="0" w:color="000000"/>
            </w:tcBorders>
            <w:shd w:val="clear" w:color="auto" w:fill="BFBFBF"/>
          </w:tcPr>
          <w:p w:rsidR="00AB696B" w:rsidRDefault="00980A49">
            <w:pPr>
              <w:spacing w:after="0" w:line="259" w:lineRule="auto"/>
              <w:ind w:left="0" w:right="19" w:firstLine="0"/>
              <w:jc w:val="center"/>
            </w:pPr>
            <w:r>
              <w:rPr>
                <w:b/>
              </w:rPr>
              <w:t xml:space="preserve">Pénalité en XPF  </w:t>
            </w:r>
          </w:p>
        </w:tc>
        <w:tc>
          <w:tcPr>
            <w:tcW w:w="2977" w:type="dxa"/>
            <w:tcBorders>
              <w:top w:val="single" w:sz="4" w:space="0" w:color="000000"/>
              <w:left w:val="single" w:sz="4" w:space="0" w:color="000000"/>
              <w:bottom w:val="single" w:sz="4" w:space="0" w:color="000000"/>
              <w:right w:val="single" w:sz="4" w:space="0" w:color="000000"/>
            </w:tcBorders>
            <w:shd w:val="clear" w:color="auto" w:fill="BFBFBF"/>
          </w:tcPr>
          <w:p w:rsidR="00AB696B" w:rsidRDefault="00980A49" w:rsidP="00E87756">
            <w:pPr>
              <w:spacing w:after="0" w:line="259" w:lineRule="auto"/>
              <w:ind w:left="0" w:firstLine="0"/>
              <w:jc w:val="center"/>
            </w:pPr>
            <w:r>
              <w:rPr>
                <w:b/>
              </w:rPr>
              <w:t>Unité</w:t>
            </w:r>
          </w:p>
        </w:tc>
      </w:tr>
      <w:tr w:rsidR="00AB696B" w:rsidTr="00B100D3">
        <w:trPr>
          <w:trHeight w:val="517"/>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030647" w:rsidP="00E87756">
            <w:pPr>
              <w:spacing w:after="0" w:line="259" w:lineRule="auto"/>
              <w:ind w:left="0" w:firstLine="0"/>
            </w:pPr>
            <w:r>
              <w:t>Absence ou retard de l</w:t>
            </w:r>
            <w:r w:rsidR="00E87756">
              <w:t>ivraison de consommables.</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9" w:firstLine="0"/>
              <w:jc w:val="center"/>
            </w:pPr>
            <w:r>
              <w:t>3 000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108" w:firstLine="0"/>
              <w:jc w:val="center"/>
            </w:pPr>
            <w:r>
              <w:t>Jour ouvré</w:t>
            </w:r>
          </w:p>
        </w:tc>
      </w:tr>
      <w:tr w:rsidR="00AB696B" w:rsidTr="00B100D3">
        <w:trPr>
          <w:trHeight w:val="588"/>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06786F" w:rsidP="00E87756">
            <w:pPr>
              <w:spacing w:after="0" w:line="259" w:lineRule="auto"/>
              <w:ind w:left="0" w:firstLine="0"/>
            </w:pPr>
            <w:r>
              <w:t>Absence de l</w:t>
            </w:r>
            <w:r w:rsidR="00980A49">
              <w:t>ivraison d’une solution</w:t>
            </w:r>
            <w:r w:rsidR="00961680">
              <w:t xml:space="preserve"> </w:t>
            </w:r>
            <w:r w:rsidR="00980A49">
              <w:t>d’impression</w:t>
            </w:r>
            <w:r w:rsidR="00E87756">
              <w:t>.</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6" w:firstLine="0"/>
              <w:jc w:val="center"/>
            </w:pPr>
            <w:r>
              <w:t>15 000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108" w:firstLine="0"/>
              <w:jc w:val="center"/>
            </w:pPr>
            <w:r>
              <w:t>Jour ouvré</w:t>
            </w:r>
          </w:p>
        </w:tc>
      </w:tr>
      <w:tr w:rsidR="00AB696B" w:rsidTr="00B100D3">
        <w:trPr>
          <w:trHeight w:val="768"/>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tabs>
                <w:tab w:val="left" w:pos="3565"/>
              </w:tabs>
              <w:spacing w:after="2" w:line="238" w:lineRule="auto"/>
              <w:ind w:left="0" w:firstLine="0"/>
            </w:pPr>
            <w:r>
              <w:t xml:space="preserve">Intervention de maintenance corrective </w:t>
            </w:r>
            <w:r w:rsidR="00030647">
              <w:t>au-delà des</w:t>
            </w:r>
            <w:r>
              <w:t xml:space="preserve"> quatre heures</w:t>
            </w:r>
            <w:r w:rsidR="00030647">
              <w:t xml:space="preserve"> après la réception de la demande d’intervention</w:t>
            </w:r>
            <w:r w:rsidR="00E87756">
              <w:t>.</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9" w:firstLine="0"/>
              <w:jc w:val="center"/>
            </w:pPr>
            <w:r>
              <w:t>3 000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108" w:firstLine="0"/>
              <w:jc w:val="center"/>
            </w:pPr>
            <w:r>
              <w:t>Heure ouvrée</w:t>
            </w:r>
          </w:p>
        </w:tc>
      </w:tr>
      <w:tr w:rsidR="00AB696B" w:rsidTr="00B100D3">
        <w:trPr>
          <w:trHeight w:val="517"/>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030647" w:rsidP="00E87756">
            <w:pPr>
              <w:spacing w:after="0" w:line="259" w:lineRule="auto"/>
              <w:ind w:left="0" w:firstLine="0"/>
            </w:pPr>
            <w:r>
              <w:t>Non r</w:t>
            </w:r>
            <w:r w:rsidR="00980A49">
              <w:t>emplacement de matériel défaillant</w:t>
            </w:r>
            <w:r w:rsidR="00E73332">
              <w:t xml:space="preserve"> </w:t>
            </w:r>
            <w:r w:rsidR="00702FDC">
              <w:t xml:space="preserve">après immobilisation </w:t>
            </w:r>
            <w:r w:rsidR="00E73332">
              <w:t>au-delà de 4 jours ouvrés</w:t>
            </w:r>
            <w:r w:rsidR="00E87756">
              <w:t>.</w:t>
            </w:r>
            <w:r w:rsidR="00980A49">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6" w:firstLine="0"/>
              <w:jc w:val="center"/>
            </w:pPr>
            <w:r>
              <w:t>10 000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108" w:firstLine="0"/>
              <w:jc w:val="center"/>
            </w:pPr>
            <w:r>
              <w:t>Jour ouvré</w:t>
            </w:r>
          </w:p>
        </w:tc>
      </w:tr>
      <w:tr w:rsidR="00AB696B" w:rsidTr="00B100D3">
        <w:trPr>
          <w:trHeight w:val="516"/>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06786F" w:rsidP="00E87756">
            <w:pPr>
              <w:spacing w:after="0" w:line="259" w:lineRule="auto"/>
              <w:ind w:left="0" w:firstLine="0"/>
            </w:pPr>
            <w:r>
              <w:lastRenderedPageBreak/>
              <w:t>Absence de f</w:t>
            </w:r>
            <w:r w:rsidR="00980A49">
              <w:t>ormations initiales</w:t>
            </w:r>
            <w:r w:rsidR="00E87756">
              <w:t>.</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9" w:firstLine="0"/>
              <w:jc w:val="center"/>
            </w:pPr>
            <w:r>
              <w:t>3 000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108" w:firstLine="0"/>
              <w:jc w:val="center"/>
            </w:pPr>
            <w:r>
              <w:t>Jour ouvré</w:t>
            </w:r>
          </w:p>
        </w:tc>
      </w:tr>
      <w:tr w:rsidR="00AB696B" w:rsidTr="00B100D3">
        <w:trPr>
          <w:trHeight w:val="856"/>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tabs>
                <w:tab w:val="left" w:pos="3707"/>
              </w:tabs>
              <w:spacing w:after="0" w:line="240" w:lineRule="auto"/>
              <w:ind w:left="0" w:right="52" w:firstLine="0"/>
            </w:pPr>
            <w:r>
              <w:t>Communication du suivi du parc annuel et/ou du bordereau de suivi</w:t>
            </w:r>
            <w:r w:rsidR="00961680">
              <w:t xml:space="preserve"> </w:t>
            </w:r>
            <w:r>
              <w:t xml:space="preserve">des déchets. </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9" w:firstLine="0"/>
              <w:jc w:val="center"/>
            </w:pPr>
            <w:r>
              <w:t>3 000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108" w:firstLine="0"/>
              <w:jc w:val="center"/>
            </w:pPr>
            <w:r>
              <w:t>Jour ouvré</w:t>
            </w:r>
          </w:p>
        </w:tc>
      </w:tr>
      <w:tr w:rsidR="00AB696B" w:rsidTr="00B100D3">
        <w:trPr>
          <w:trHeight w:val="1022"/>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tabs>
                <w:tab w:val="left" w:pos="3848"/>
              </w:tabs>
              <w:spacing w:after="2" w:line="238" w:lineRule="auto"/>
              <w:ind w:left="0" w:firstLine="0"/>
            </w:pPr>
            <w:r>
              <w:t>Non-respect de la mise en place d</w:t>
            </w:r>
            <w:r w:rsidR="00CF10A8">
              <w:t xml:space="preserve">e(s) machine(s) </w:t>
            </w:r>
            <w:r>
              <w:t>dans les délais prévus</w:t>
            </w:r>
            <w:r w:rsidR="00E87756">
              <w:t>.</w:t>
            </w:r>
            <w:r w:rsidR="00CF10A8">
              <w:t xml:space="preserve"> </w:t>
            </w:r>
          </w:p>
          <w:p w:rsidR="00AB696B" w:rsidRDefault="00980A49" w:rsidP="00E87756">
            <w:pPr>
              <w:tabs>
                <w:tab w:val="left" w:pos="3848"/>
              </w:tabs>
              <w:spacing w:after="0" w:line="259" w:lineRule="auto"/>
              <w:ind w:left="0" w:firstLine="0"/>
            </w:pPr>
            <w:r>
              <w:t>(</w:t>
            </w:r>
            <w:r w:rsidR="00CF10A8">
              <w:t xml:space="preserve">y compris lors du </w:t>
            </w:r>
            <w:r>
              <w:t xml:space="preserve">déploiement initial à la notification du marché) </w:t>
            </w:r>
          </w:p>
        </w:tc>
        <w:tc>
          <w:tcPr>
            <w:tcW w:w="5103" w:type="dxa"/>
            <w:gridSpan w:val="2"/>
            <w:tcBorders>
              <w:top w:val="single" w:sz="4" w:space="0" w:color="000000"/>
              <w:left w:val="single" w:sz="4" w:space="0" w:color="000000"/>
              <w:bottom w:val="single" w:sz="4" w:space="0" w:color="000000"/>
              <w:right w:val="single" w:sz="4" w:space="0" w:color="000000"/>
            </w:tcBorders>
            <w:vAlign w:val="center"/>
          </w:tcPr>
          <w:p w:rsidR="00AB696B" w:rsidRDefault="00980A49" w:rsidP="00CF10A8">
            <w:pPr>
              <w:spacing w:after="0" w:line="259" w:lineRule="auto"/>
              <w:ind w:left="327" w:right="185" w:hanging="134"/>
              <w:jc w:val="center"/>
            </w:pPr>
            <w:r>
              <w:t xml:space="preserve">20% du montant du loyer </w:t>
            </w:r>
            <w:r w:rsidR="00CF10A8">
              <w:t>pour chaque</w:t>
            </w:r>
            <w:r>
              <w:t xml:space="preserve"> machine à compter de la date d’exécution jusqu’à la mise en place initialement prévue.</w:t>
            </w:r>
          </w:p>
        </w:tc>
      </w:tr>
      <w:tr w:rsidR="00AB696B" w:rsidTr="00B100D3">
        <w:trPr>
          <w:trHeight w:val="516"/>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0" w:right="186" w:firstLine="0"/>
            </w:pPr>
            <w:r>
              <w:t>Non retrait du matériel</w:t>
            </w:r>
            <w:r w:rsidR="00E87756">
              <w:t>.</w:t>
            </w:r>
            <w: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9" w:firstLine="0"/>
              <w:jc w:val="center"/>
            </w:pPr>
            <w:r>
              <w:t>5 000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13" w:firstLine="0"/>
              <w:jc w:val="center"/>
            </w:pPr>
            <w:r>
              <w:t>Jour ouvré</w:t>
            </w:r>
          </w:p>
        </w:tc>
      </w:tr>
      <w:tr w:rsidR="00AB696B" w:rsidTr="00B100D3">
        <w:trPr>
          <w:trHeight w:val="518"/>
          <w:jc w:val="right"/>
        </w:trPr>
        <w:tc>
          <w:tcPr>
            <w:tcW w:w="4383" w:type="dxa"/>
            <w:tcBorders>
              <w:top w:val="single" w:sz="4" w:space="0" w:color="000000"/>
              <w:left w:val="single" w:sz="4" w:space="0" w:color="000000"/>
              <w:bottom w:val="single" w:sz="4" w:space="0" w:color="000000"/>
              <w:right w:val="single" w:sz="4" w:space="0" w:color="000000"/>
            </w:tcBorders>
            <w:vAlign w:val="center"/>
          </w:tcPr>
          <w:p w:rsidR="00AB696B" w:rsidRDefault="00980A49" w:rsidP="00E87756">
            <w:pPr>
              <w:spacing w:after="0" w:line="259" w:lineRule="auto"/>
              <w:ind w:left="0" w:firstLine="0"/>
            </w:pPr>
            <w:r w:rsidRPr="00E87756">
              <w:t>Erreur de facturation</w:t>
            </w:r>
            <w:r w:rsidR="00E87756">
              <w:rPr>
                <w:sz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479" w:firstLine="0"/>
              <w:jc w:val="center"/>
            </w:pPr>
            <w:r>
              <w:t>2 000</w:t>
            </w:r>
          </w:p>
        </w:tc>
        <w:tc>
          <w:tcPr>
            <w:tcW w:w="2977" w:type="dxa"/>
            <w:tcBorders>
              <w:top w:val="single" w:sz="4" w:space="0" w:color="000000"/>
              <w:left w:val="single" w:sz="4" w:space="0" w:color="000000"/>
              <w:bottom w:val="single" w:sz="4" w:space="0" w:color="000000"/>
              <w:right w:val="single" w:sz="4" w:space="0" w:color="000000"/>
            </w:tcBorders>
            <w:vAlign w:val="center"/>
          </w:tcPr>
          <w:p w:rsidR="00AB696B" w:rsidRDefault="00980A49" w:rsidP="00961680">
            <w:pPr>
              <w:spacing w:after="0" w:line="259" w:lineRule="auto"/>
              <w:ind w:left="0" w:right="13" w:firstLine="0"/>
              <w:jc w:val="center"/>
            </w:pPr>
            <w:r>
              <w:t>Facture</w:t>
            </w:r>
          </w:p>
        </w:tc>
      </w:tr>
    </w:tbl>
    <w:p w:rsidR="00AB696B" w:rsidRDefault="00AB696B">
      <w:pPr>
        <w:spacing w:after="95" w:line="259" w:lineRule="auto"/>
        <w:ind w:left="0" w:right="410" w:firstLine="0"/>
        <w:jc w:val="center"/>
      </w:pPr>
    </w:p>
    <w:p w:rsidR="00AB696B" w:rsidRDefault="00980A49" w:rsidP="00342276">
      <w:pPr>
        <w:pStyle w:val="Titre2"/>
        <w:spacing w:after="139"/>
        <w:ind w:left="709"/>
      </w:pPr>
      <w:bookmarkStart w:id="40" w:name="_Toc203463162"/>
      <w:r>
        <w:t>8.2 Pénalités pour retard de présentation de documents</w:t>
      </w:r>
      <w:bookmarkEnd w:id="40"/>
      <w:r>
        <w:t xml:space="preserve"> </w:t>
      </w:r>
    </w:p>
    <w:p w:rsidR="00AB696B" w:rsidRDefault="00980A49" w:rsidP="00342276">
      <w:pPr>
        <w:ind w:left="709" w:hanging="6"/>
      </w:pPr>
      <w:r>
        <w:t>Par dérogation à l’article 14.1 du CCAG/FCS, pour tout retard de présentation des documents demandés au titulaire (comme le compte-rendu annuel par exemple, etc…), des pénalités fixées à six mille (</w:t>
      </w:r>
      <w:r w:rsidR="0006786F">
        <w:t>6</w:t>
      </w:r>
      <w:r>
        <w:t xml:space="preserve"> 000) francs pacifique seront appliquées par jour</w:t>
      </w:r>
      <w:r w:rsidR="0006786F">
        <w:t xml:space="preserve"> ouvré</w:t>
      </w:r>
      <w:r>
        <w:t xml:space="preserve"> de retard. </w:t>
      </w:r>
    </w:p>
    <w:p w:rsidR="00AB696B" w:rsidRDefault="00980A49" w:rsidP="00196BAF">
      <w:pPr>
        <w:pStyle w:val="Titre2"/>
        <w:spacing w:after="139"/>
        <w:ind w:left="709"/>
      </w:pPr>
      <w:bookmarkStart w:id="41" w:name="_Toc203463163"/>
      <w:r>
        <w:t>8.3. Exonération des pénalités</w:t>
      </w:r>
      <w:bookmarkEnd w:id="41"/>
      <w:r>
        <w:t xml:space="preserve"> </w:t>
      </w:r>
    </w:p>
    <w:p w:rsidR="00AB696B" w:rsidRDefault="00980A49" w:rsidP="00981F42">
      <w:pPr>
        <w:ind w:left="709" w:hanging="6"/>
      </w:pPr>
      <w:r>
        <w:t xml:space="preserve">Au titre d’une demande d’exonération partielle ou totale des pénalités, le titulaire est invité à argumenter et justifier les aléas rencontrés dans l’exécution des prestations. Le courrier doit être adressé à l’adresse suivante : </w:t>
      </w:r>
    </w:p>
    <w:p w:rsidR="00AB696B" w:rsidRDefault="00980A49" w:rsidP="009074E7">
      <w:pPr>
        <w:spacing w:after="0" w:line="259" w:lineRule="auto"/>
        <w:ind w:left="725" w:right="720" w:hanging="11"/>
        <w:jc w:val="center"/>
      </w:pPr>
      <w:r>
        <w:rPr>
          <w:b/>
        </w:rPr>
        <w:t>DICOM-GS</w:t>
      </w:r>
      <w:r w:rsidR="00961680">
        <w:rPr>
          <w:b/>
        </w:rPr>
        <w:t>C-</w:t>
      </w:r>
      <w:r>
        <w:rPr>
          <w:b/>
        </w:rPr>
        <w:t xml:space="preserve">NC </w:t>
      </w:r>
    </w:p>
    <w:p w:rsidR="00AB696B" w:rsidRDefault="00980A49">
      <w:pPr>
        <w:spacing w:after="0" w:line="259" w:lineRule="auto"/>
        <w:ind w:left="722" w:right="718" w:hanging="10"/>
        <w:jc w:val="center"/>
      </w:pPr>
      <w:r>
        <w:rPr>
          <w:b/>
        </w:rPr>
        <w:t xml:space="preserve">Division </w:t>
      </w:r>
      <w:r w:rsidR="00961680">
        <w:rPr>
          <w:b/>
        </w:rPr>
        <w:t>achats finance</w:t>
      </w:r>
      <w:r>
        <w:rPr>
          <w:b/>
        </w:rPr>
        <w:t>s – B</w:t>
      </w:r>
      <w:r w:rsidR="00961680">
        <w:rPr>
          <w:b/>
        </w:rPr>
        <w:t>A</w:t>
      </w:r>
      <w:r>
        <w:rPr>
          <w:b/>
        </w:rPr>
        <w:t xml:space="preserve"> - SCM </w:t>
      </w:r>
    </w:p>
    <w:p w:rsidR="00AB696B" w:rsidRDefault="00980A49">
      <w:pPr>
        <w:spacing w:after="0" w:line="259" w:lineRule="auto"/>
        <w:ind w:left="722" w:right="359" w:hanging="10"/>
        <w:jc w:val="center"/>
      </w:pPr>
      <w:r>
        <w:rPr>
          <w:b/>
        </w:rPr>
        <w:t xml:space="preserve">Caserne </w:t>
      </w:r>
      <w:proofErr w:type="spellStart"/>
      <w:r>
        <w:rPr>
          <w:b/>
        </w:rPr>
        <w:t>Gally-Passebosc</w:t>
      </w:r>
      <w:proofErr w:type="spellEnd"/>
      <w:r>
        <w:rPr>
          <w:b/>
        </w:rPr>
        <w:t xml:space="preserve"> </w:t>
      </w:r>
    </w:p>
    <w:p w:rsidR="00AB696B" w:rsidRDefault="00980A49">
      <w:pPr>
        <w:spacing w:after="0" w:line="259" w:lineRule="auto"/>
        <w:ind w:left="722" w:right="719" w:hanging="10"/>
        <w:jc w:val="center"/>
      </w:pPr>
      <w:r>
        <w:rPr>
          <w:b/>
        </w:rPr>
        <w:t xml:space="preserve">BP 38 </w:t>
      </w:r>
    </w:p>
    <w:p w:rsidR="00AB696B" w:rsidRDefault="00980A49">
      <w:pPr>
        <w:spacing w:after="0" w:line="259" w:lineRule="auto"/>
        <w:ind w:left="722" w:hanging="10"/>
        <w:jc w:val="center"/>
      </w:pPr>
      <w:r>
        <w:rPr>
          <w:b/>
        </w:rPr>
        <w:t xml:space="preserve">98843 NOUMEA CEDEX </w:t>
      </w:r>
    </w:p>
    <w:p w:rsidR="00AB696B" w:rsidRDefault="00980A49" w:rsidP="00981F42">
      <w:pPr>
        <w:ind w:left="709" w:hanging="6"/>
      </w:pPr>
      <w:r>
        <w:t xml:space="preserve">La demande d’exonération partielle ou totale des pénalités doit être envoyée en recommandé avec accusé de réception, le cachet de la poste faisant foi, dans un délai de 15 jours à compter de la notification du décompte des pénalités. Passé ce délai, le titulaire est réputé les avoir acceptées. </w:t>
      </w:r>
    </w:p>
    <w:p w:rsidR="00AB696B" w:rsidRDefault="00980A49" w:rsidP="00342276">
      <w:pPr>
        <w:pStyle w:val="Titre1"/>
        <w:ind w:left="851"/>
      </w:pPr>
      <w:bookmarkStart w:id="42" w:name="_Toc203463164"/>
      <w:r>
        <w:t>ARTICLE 9 : MODALITES D’ETABLISSEMENT DES PRIX</w:t>
      </w:r>
      <w:bookmarkEnd w:id="42"/>
      <w:r>
        <w:t xml:space="preserve">  </w:t>
      </w:r>
    </w:p>
    <w:p w:rsidR="00AB696B" w:rsidRDefault="00980A49" w:rsidP="00981F42">
      <w:pPr>
        <w:pStyle w:val="Titre2"/>
        <w:ind w:left="709" w:firstLine="0"/>
      </w:pPr>
      <w:bookmarkStart w:id="43" w:name="_Toc203463165"/>
      <w:r>
        <w:t>9.1 Type et forme de prix</w:t>
      </w:r>
      <w:bookmarkEnd w:id="43"/>
      <w:r>
        <w:t xml:space="preserve"> </w:t>
      </w:r>
    </w:p>
    <w:p w:rsidR="00AB696B" w:rsidRDefault="00980A49" w:rsidP="00981F42">
      <w:pPr>
        <w:spacing w:after="120" w:line="240" w:lineRule="auto"/>
        <w:ind w:left="709" w:firstLine="0"/>
      </w:pPr>
      <w:r>
        <w:t>Les prix unitaires sont définitifs et révisables conformément aux d</w:t>
      </w:r>
      <w:r w:rsidR="009074E7">
        <w:t xml:space="preserve">ispositions de l’article 9.3 du </w:t>
      </w:r>
      <w:r>
        <w:t xml:space="preserve">présent document. </w:t>
      </w:r>
    </w:p>
    <w:p w:rsidR="00AB696B" w:rsidRDefault="00980A49" w:rsidP="00981F42">
      <w:pPr>
        <w:pStyle w:val="Titre2"/>
        <w:ind w:left="709" w:firstLine="0"/>
      </w:pPr>
      <w:bookmarkStart w:id="44" w:name="_Toc203463166"/>
      <w:r w:rsidRPr="00196BAF">
        <w:t>9.2 Contenu des prix</w:t>
      </w:r>
      <w:bookmarkEnd w:id="44"/>
      <w:r w:rsidRPr="00196BAF">
        <w:t xml:space="preserve"> </w:t>
      </w:r>
    </w:p>
    <w:p w:rsidR="00AB696B" w:rsidRDefault="00980A49" w:rsidP="00981F42">
      <w:pPr>
        <w:spacing w:after="0" w:line="259" w:lineRule="auto"/>
        <w:ind w:left="709" w:hanging="10"/>
        <w:jc w:val="left"/>
      </w:pPr>
      <w:r>
        <w:rPr>
          <w:rFonts w:ascii="Wingdings" w:eastAsia="Wingdings" w:hAnsi="Wingdings" w:cs="Wingdings"/>
        </w:rPr>
        <w:t></w:t>
      </w:r>
      <w:r>
        <w:t xml:space="preserve"> </w:t>
      </w:r>
      <w:r>
        <w:rPr>
          <w:u w:val="single" w:color="000000"/>
        </w:rPr>
        <w:t>Les prestations relatives à la location</w:t>
      </w:r>
      <w:r>
        <w:t xml:space="preserve"> : </w:t>
      </w:r>
    </w:p>
    <w:p w:rsidR="00AB696B" w:rsidRDefault="00980A49" w:rsidP="00981F42">
      <w:pPr>
        <w:spacing w:after="14" w:line="259" w:lineRule="auto"/>
        <w:ind w:left="709" w:firstLine="0"/>
        <w:jc w:val="left"/>
      </w:pPr>
      <w:r>
        <w:t xml:space="preserve"> </w:t>
      </w:r>
    </w:p>
    <w:p w:rsidR="00AB696B" w:rsidRDefault="00980A49" w:rsidP="00981F42">
      <w:pPr>
        <w:spacing w:after="0"/>
        <w:ind w:left="709" w:right="46" w:firstLine="0"/>
      </w:pPr>
      <w:r>
        <w:t xml:space="preserve">Le prix de la location est fixé selon un loyer mensuel défini </w:t>
      </w:r>
      <w:r w:rsidR="00981F42">
        <w:t>au</w:t>
      </w:r>
      <w:r w:rsidR="002911F6">
        <w:t xml:space="preserve"> bordereau de prix</w:t>
      </w:r>
      <w:r>
        <w:t xml:space="preserve"> de l’acte d’engagement du lot considéré. </w:t>
      </w:r>
    </w:p>
    <w:p w:rsidR="00AB696B" w:rsidRDefault="00980A49" w:rsidP="00981F42">
      <w:pPr>
        <w:spacing w:after="9"/>
        <w:ind w:left="709" w:firstLine="0"/>
      </w:pPr>
      <w:r>
        <w:t>Le prix de la location comprend notamment les éléments suivants pendant la durée totale de l’accord cadre</w:t>
      </w:r>
      <w:r w:rsidR="00961680">
        <w:t xml:space="preserve"> </w:t>
      </w:r>
      <w:r>
        <w:t xml:space="preserve">: </w:t>
      </w:r>
    </w:p>
    <w:p w:rsidR="00AB696B" w:rsidRDefault="00980A49" w:rsidP="00981F42">
      <w:pPr>
        <w:numPr>
          <w:ilvl w:val="0"/>
          <w:numId w:val="18"/>
        </w:numPr>
        <w:spacing w:after="19"/>
        <w:ind w:left="709"/>
      </w:pPr>
      <w:proofErr w:type="gramStart"/>
      <w:r>
        <w:t>la</w:t>
      </w:r>
      <w:proofErr w:type="gramEnd"/>
      <w:r>
        <w:t xml:space="preserve"> fourniture, le transport, l’installation, la mise sous tension et la configuration du matériel, </w:t>
      </w:r>
    </w:p>
    <w:p w:rsidR="00AB696B" w:rsidRDefault="00980A49" w:rsidP="00981F42">
      <w:pPr>
        <w:numPr>
          <w:ilvl w:val="0"/>
          <w:numId w:val="18"/>
        </w:numPr>
        <w:spacing w:after="19"/>
        <w:ind w:left="709" w:firstLine="0"/>
      </w:pPr>
      <w:proofErr w:type="gramStart"/>
      <w:r>
        <w:t>la</w:t>
      </w:r>
      <w:proofErr w:type="gramEnd"/>
      <w:r>
        <w:t xml:space="preserve"> garantie constructeur pièces et main d’œuvre du matériel, </w:t>
      </w:r>
    </w:p>
    <w:p w:rsidR="00AB696B" w:rsidRDefault="00980A49" w:rsidP="00981F42">
      <w:pPr>
        <w:numPr>
          <w:ilvl w:val="0"/>
          <w:numId w:val="18"/>
        </w:numPr>
        <w:spacing w:after="19"/>
        <w:ind w:left="709" w:firstLine="0"/>
      </w:pPr>
      <w:proofErr w:type="gramStart"/>
      <w:r>
        <w:t>l’installation</w:t>
      </w:r>
      <w:proofErr w:type="gramEnd"/>
      <w:r>
        <w:t xml:space="preserve"> des logiciels et systèmes d’exploitation constructeur, </w:t>
      </w:r>
    </w:p>
    <w:p w:rsidR="00AB696B" w:rsidRDefault="00980A49" w:rsidP="00981F42">
      <w:pPr>
        <w:numPr>
          <w:ilvl w:val="0"/>
          <w:numId w:val="18"/>
        </w:numPr>
        <w:spacing w:after="19"/>
        <w:ind w:left="709" w:firstLine="0"/>
      </w:pPr>
      <w:proofErr w:type="gramStart"/>
      <w:r>
        <w:t>la</w:t>
      </w:r>
      <w:proofErr w:type="gramEnd"/>
      <w:r>
        <w:t xml:space="preserve"> fourniture de la documentation technique, rédigée en français, relative aux matériels mis en place, </w:t>
      </w:r>
    </w:p>
    <w:p w:rsidR="00AB696B" w:rsidRDefault="00980A49" w:rsidP="00342276">
      <w:pPr>
        <w:numPr>
          <w:ilvl w:val="0"/>
          <w:numId w:val="18"/>
        </w:numPr>
        <w:spacing w:after="11"/>
        <w:ind w:left="851" w:firstLine="0"/>
      </w:pPr>
      <w:proofErr w:type="gramStart"/>
      <w:r>
        <w:lastRenderedPageBreak/>
        <w:t>le</w:t>
      </w:r>
      <w:proofErr w:type="gramEnd"/>
      <w:r>
        <w:t xml:space="preserve"> remplacement aux frais du titulaire, en cas d’évolution technologique, du matériel initial par un matériel plus performant aux conditions identiques de l’accord cadre, </w:t>
      </w:r>
    </w:p>
    <w:p w:rsidR="00AB696B" w:rsidRDefault="00980A49" w:rsidP="00342276">
      <w:pPr>
        <w:numPr>
          <w:ilvl w:val="0"/>
          <w:numId w:val="18"/>
        </w:numPr>
        <w:spacing w:after="17"/>
        <w:ind w:left="851" w:firstLine="0"/>
      </w:pPr>
      <w:proofErr w:type="gramStart"/>
      <w:r>
        <w:t>la</w:t>
      </w:r>
      <w:proofErr w:type="gramEnd"/>
      <w:r>
        <w:t xml:space="preserve"> formation nécessaire à l’utilisation correcte du matériel par le personnel utilisateur, </w:t>
      </w:r>
    </w:p>
    <w:p w:rsidR="00AB696B" w:rsidRDefault="00980A49" w:rsidP="00342276">
      <w:pPr>
        <w:numPr>
          <w:ilvl w:val="0"/>
          <w:numId w:val="18"/>
        </w:numPr>
        <w:spacing w:after="9"/>
        <w:ind w:left="851" w:firstLine="0"/>
      </w:pPr>
      <w:proofErr w:type="gramStart"/>
      <w:r>
        <w:t>le</w:t>
      </w:r>
      <w:proofErr w:type="gramEnd"/>
      <w:r>
        <w:t xml:space="preserve"> compte-rendu annuel d’exécution des prestations. </w:t>
      </w:r>
    </w:p>
    <w:p w:rsidR="00AB696B" w:rsidRDefault="00980A49" w:rsidP="00342276">
      <w:pPr>
        <w:spacing w:after="0" w:line="259" w:lineRule="auto"/>
        <w:ind w:left="851" w:firstLine="0"/>
        <w:jc w:val="left"/>
      </w:pPr>
      <w:r>
        <w:t xml:space="preserve"> </w:t>
      </w:r>
    </w:p>
    <w:p w:rsidR="00AB696B" w:rsidRDefault="00980A49" w:rsidP="00EF36A7">
      <w:pPr>
        <w:numPr>
          <w:ilvl w:val="1"/>
          <w:numId w:val="8"/>
        </w:numPr>
        <w:spacing w:after="0" w:line="259" w:lineRule="auto"/>
        <w:ind w:left="851" w:firstLine="0"/>
        <w:jc w:val="left"/>
      </w:pPr>
      <w:r>
        <w:rPr>
          <w:u w:val="single" w:color="000000"/>
        </w:rPr>
        <w:t>Les prestations relatives à la maintenance</w:t>
      </w:r>
      <w:r>
        <w:t xml:space="preserve"> : </w:t>
      </w:r>
    </w:p>
    <w:p w:rsidR="00AB696B" w:rsidRDefault="00980A49" w:rsidP="00342276">
      <w:pPr>
        <w:spacing w:after="15" w:line="259" w:lineRule="auto"/>
        <w:ind w:left="851" w:firstLine="0"/>
        <w:jc w:val="left"/>
      </w:pPr>
      <w:r>
        <w:t xml:space="preserve"> </w:t>
      </w:r>
    </w:p>
    <w:p w:rsidR="00F05F19" w:rsidRDefault="00980A49" w:rsidP="00342276">
      <w:pPr>
        <w:spacing w:after="0"/>
        <w:ind w:left="851"/>
        <w:rPr>
          <w:b/>
        </w:rPr>
      </w:pPr>
      <w:r>
        <w:t xml:space="preserve">Le prix de la maintenance est fixé au coût copie selon </w:t>
      </w:r>
      <w:r w:rsidR="002911F6">
        <w:t>le bordereau de prix</w:t>
      </w:r>
      <w:r>
        <w:t xml:space="preserve"> de l’acte d’engagement du lot considéré.</w:t>
      </w:r>
      <w:r>
        <w:rPr>
          <w:b/>
        </w:rPr>
        <w:t xml:space="preserve"> </w:t>
      </w:r>
    </w:p>
    <w:p w:rsidR="00AB696B" w:rsidRDefault="00980A49" w:rsidP="00342276">
      <w:pPr>
        <w:spacing w:after="0"/>
        <w:ind w:left="851"/>
      </w:pPr>
      <w:r>
        <w:rPr>
          <w:u w:val="single" w:color="000000"/>
        </w:rPr>
        <w:t>Le prix de la maintenance comprend les éléments suivants pendant la durée totale de l’accord cadre</w:t>
      </w:r>
      <w:r w:rsidR="00816360">
        <w:rPr>
          <w:u w:val="single" w:color="000000"/>
        </w:rPr>
        <w:t xml:space="preserve"> </w:t>
      </w:r>
      <w:r>
        <w:rPr>
          <w:u w:val="single" w:color="000000"/>
        </w:rPr>
        <w:t>:</w:t>
      </w:r>
      <w:r>
        <w:t xml:space="preserve"> </w:t>
      </w:r>
    </w:p>
    <w:p w:rsidR="00AB696B" w:rsidRDefault="00980A49" w:rsidP="00342276">
      <w:pPr>
        <w:spacing w:after="26" w:line="259" w:lineRule="auto"/>
        <w:ind w:left="851" w:firstLine="0"/>
        <w:jc w:val="left"/>
      </w:pPr>
      <w:r>
        <w:t xml:space="preserve"> </w:t>
      </w:r>
    </w:p>
    <w:p w:rsidR="00816360" w:rsidRDefault="00980A49" w:rsidP="00342276">
      <w:pPr>
        <w:numPr>
          <w:ilvl w:val="1"/>
          <w:numId w:val="9"/>
        </w:numPr>
        <w:spacing w:after="17"/>
        <w:ind w:left="851" w:firstLine="0"/>
      </w:pPr>
      <w:proofErr w:type="gramStart"/>
      <w:r>
        <w:t>la</w:t>
      </w:r>
      <w:proofErr w:type="gramEnd"/>
      <w:r>
        <w:t xml:space="preserve"> fourniture des consommables sur site, toner et agrafes inclus, </w:t>
      </w:r>
      <w:r w:rsidRPr="00E73332">
        <w:rPr>
          <w:b/>
          <w:u w:val="single"/>
        </w:rPr>
        <w:t>à l’exception du papier</w:t>
      </w:r>
      <w:r>
        <w:t xml:space="preserve">, </w:t>
      </w:r>
    </w:p>
    <w:p w:rsidR="00AB696B" w:rsidRDefault="00980A49" w:rsidP="00342276">
      <w:pPr>
        <w:numPr>
          <w:ilvl w:val="1"/>
          <w:numId w:val="9"/>
        </w:numPr>
        <w:spacing w:after="17"/>
        <w:ind w:left="851" w:firstLine="0"/>
      </w:pPr>
      <w:proofErr w:type="gramStart"/>
      <w:r>
        <w:t>la</w:t>
      </w:r>
      <w:proofErr w:type="gramEnd"/>
      <w:r>
        <w:t xml:space="preserve"> mise à jour des logiciels le cas échéant, </w:t>
      </w:r>
    </w:p>
    <w:p w:rsidR="00816360" w:rsidRDefault="00980A49" w:rsidP="00342276">
      <w:pPr>
        <w:numPr>
          <w:ilvl w:val="1"/>
          <w:numId w:val="9"/>
        </w:numPr>
        <w:spacing w:after="0"/>
        <w:ind w:left="851" w:firstLine="0"/>
      </w:pPr>
      <w:proofErr w:type="gramStart"/>
      <w:r>
        <w:t>la</w:t>
      </w:r>
      <w:proofErr w:type="gramEnd"/>
      <w:r>
        <w:t xml:space="preserve"> fourniture et l’installation des pièces détachées (entretien et remplacement des pièces d’usure courante), </w:t>
      </w:r>
    </w:p>
    <w:p w:rsidR="00AB696B" w:rsidRDefault="00980A49" w:rsidP="00342276">
      <w:pPr>
        <w:numPr>
          <w:ilvl w:val="1"/>
          <w:numId w:val="9"/>
        </w:numPr>
        <w:spacing w:after="0"/>
        <w:ind w:left="851" w:firstLine="0"/>
      </w:pPr>
      <w:proofErr w:type="gramStart"/>
      <w:r>
        <w:t>le</w:t>
      </w:r>
      <w:proofErr w:type="gramEnd"/>
      <w:r>
        <w:t xml:space="preserve"> coût de déplacement et d’intervention du technicien, </w:t>
      </w:r>
    </w:p>
    <w:p w:rsidR="00AB696B" w:rsidRDefault="00980A49" w:rsidP="00342276">
      <w:pPr>
        <w:numPr>
          <w:ilvl w:val="1"/>
          <w:numId w:val="9"/>
        </w:numPr>
        <w:spacing w:after="24"/>
        <w:ind w:left="851" w:firstLine="0"/>
      </w:pPr>
      <w:proofErr w:type="gramStart"/>
      <w:r>
        <w:t>la</w:t>
      </w:r>
      <w:proofErr w:type="gramEnd"/>
      <w:r>
        <w:t xml:space="preserve"> maintenance préventive par des visites d’entretien tous les trimestres (réglage, vérification, nettoyage, graissage, etc…), </w:t>
      </w:r>
    </w:p>
    <w:p w:rsidR="00AB696B" w:rsidRDefault="00980A49" w:rsidP="00342276">
      <w:pPr>
        <w:numPr>
          <w:ilvl w:val="1"/>
          <w:numId w:val="9"/>
        </w:numPr>
        <w:spacing w:after="9"/>
        <w:ind w:left="851" w:firstLine="0"/>
      </w:pPr>
      <w:proofErr w:type="gramStart"/>
      <w:r>
        <w:t>la</w:t>
      </w:r>
      <w:proofErr w:type="gramEnd"/>
      <w:r>
        <w:t xml:space="preserve"> maintenance corrective en cas de panne, </w:t>
      </w:r>
    </w:p>
    <w:p w:rsidR="00AB696B" w:rsidRDefault="00980A49" w:rsidP="00342276">
      <w:pPr>
        <w:numPr>
          <w:ilvl w:val="1"/>
          <w:numId w:val="9"/>
        </w:numPr>
        <w:spacing w:after="44"/>
        <w:ind w:left="851" w:firstLine="0"/>
      </w:pPr>
      <w:proofErr w:type="gramStart"/>
      <w:r>
        <w:t>la</w:t>
      </w:r>
      <w:proofErr w:type="gramEnd"/>
      <w:r>
        <w:t xml:space="preserve"> mise à disposition d’une solution de même catégorie si un appareil nécessite une immobilisation supérieure à quatre jours ouvrés, </w:t>
      </w:r>
    </w:p>
    <w:p w:rsidR="00AB696B" w:rsidRDefault="00980A49" w:rsidP="00342276">
      <w:pPr>
        <w:numPr>
          <w:ilvl w:val="1"/>
          <w:numId w:val="9"/>
        </w:numPr>
        <w:spacing w:after="9"/>
        <w:ind w:left="851" w:firstLine="0"/>
      </w:pPr>
      <w:proofErr w:type="gramStart"/>
      <w:r>
        <w:t>l’enlèvement</w:t>
      </w:r>
      <w:proofErr w:type="gramEnd"/>
      <w:r>
        <w:t xml:space="preserve"> et le traitement des déchets et emballage, </w:t>
      </w:r>
    </w:p>
    <w:p w:rsidR="00AB696B" w:rsidRDefault="00980A49" w:rsidP="00342276">
      <w:pPr>
        <w:numPr>
          <w:ilvl w:val="1"/>
          <w:numId w:val="9"/>
        </w:numPr>
        <w:spacing w:after="36"/>
        <w:ind w:left="851" w:firstLine="0"/>
      </w:pPr>
      <w:proofErr w:type="gramStart"/>
      <w:r>
        <w:t>la</w:t>
      </w:r>
      <w:proofErr w:type="gramEnd"/>
      <w:r>
        <w:t xml:space="preserve"> consignation dans un carnet d’entretien de l’intervention effectuée (pannes constatées, pièces changées, etc…), </w:t>
      </w:r>
    </w:p>
    <w:p w:rsidR="00AB696B" w:rsidRDefault="00980A49" w:rsidP="00342276">
      <w:pPr>
        <w:numPr>
          <w:ilvl w:val="1"/>
          <w:numId w:val="9"/>
        </w:numPr>
        <w:spacing w:after="9"/>
        <w:ind w:left="851" w:firstLine="0"/>
      </w:pPr>
      <w:proofErr w:type="gramStart"/>
      <w:r>
        <w:t>le</w:t>
      </w:r>
      <w:proofErr w:type="gramEnd"/>
      <w:r>
        <w:t xml:space="preserve"> remplacement et la mise à disposition du disque dur de l’appareil</w:t>
      </w:r>
      <w:r w:rsidR="00EF36A7">
        <w:t>.</w:t>
      </w:r>
      <w:r>
        <w:t xml:space="preserve"> </w:t>
      </w:r>
    </w:p>
    <w:p w:rsidR="00AB696B" w:rsidRDefault="00980A49" w:rsidP="00342276">
      <w:pPr>
        <w:spacing w:after="0" w:line="259" w:lineRule="auto"/>
        <w:ind w:left="0" w:firstLine="0"/>
        <w:jc w:val="left"/>
      </w:pPr>
      <w:r>
        <w:t xml:space="preserve"> </w:t>
      </w:r>
    </w:p>
    <w:p w:rsidR="00AB696B" w:rsidRDefault="00980A49" w:rsidP="00EF36A7">
      <w:pPr>
        <w:numPr>
          <w:ilvl w:val="1"/>
          <w:numId w:val="8"/>
        </w:numPr>
        <w:spacing w:after="0" w:line="259" w:lineRule="auto"/>
        <w:ind w:firstLine="146"/>
        <w:jc w:val="left"/>
      </w:pPr>
      <w:r>
        <w:rPr>
          <w:u w:val="single" w:color="000000"/>
        </w:rPr>
        <w:t>Les prix de la maintenance ne comprennent pas les éléments suivants :</w:t>
      </w:r>
      <w:r>
        <w:t xml:space="preserve"> : </w:t>
      </w:r>
    </w:p>
    <w:p w:rsidR="00AB696B" w:rsidRDefault="00980A49" w:rsidP="00342276">
      <w:pPr>
        <w:spacing w:after="0" w:line="259" w:lineRule="auto"/>
        <w:ind w:left="0" w:firstLine="0"/>
        <w:jc w:val="left"/>
      </w:pPr>
      <w:r>
        <w:t xml:space="preserve"> </w:t>
      </w:r>
    </w:p>
    <w:p w:rsidR="00AB696B" w:rsidRDefault="00980A49" w:rsidP="00342276">
      <w:pPr>
        <w:numPr>
          <w:ilvl w:val="0"/>
          <w:numId w:val="10"/>
        </w:numPr>
        <w:spacing w:after="9"/>
        <w:ind w:left="851" w:firstLine="0"/>
      </w:pPr>
      <w:proofErr w:type="gramStart"/>
      <w:r>
        <w:t>la</w:t>
      </w:r>
      <w:proofErr w:type="gramEnd"/>
      <w:r>
        <w:t xml:space="preserve"> fourniture du papier, </w:t>
      </w:r>
    </w:p>
    <w:p w:rsidR="00AB696B" w:rsidRDefault="00980A49" w:rsidP="00342276">
      <w:pPr>
        <w:numPr>
          <w:ilvl w:val="0"/>
          <w:numId w:val="10"/>
        </w:numPr>
        <w:spacing w:after="3"/>
        <w:ind w:left="851" w:firstLine="0"/>
      </w:pPr>
      <w:proofErr w:type="gramStart"/>
      <w:r>
        <w:t>le</w:t>
      </w:r>
      <w:proofErr w:type="gramEnd"/>
      <w:r>
        <w:t xml:space="preserve"> remplacement du matériel défectueux lorsque la panne ne peut être imputable au titulaire (installation électrique défectueuse, manipulation fautive, non-respect des notices d’utilisation, casse…). Dans ces conditions, toute intervention de maintenance ne devra être entreprise qu’après acceptation d’un devis par la formation bénéficiaire et donnera lieu à une facturation des pièces, de la main d’œuvre et du déplacement sur site. </w:t>
      </w:r>
    </w:p>
    <w:p w:rsidR="00AB696B" w:rsidRDefault="00980A49">
      <w:pPr>
        <w:spacing w:after="98" w:line="259" w:lineRule="auto"/>
        <w:ind w:left="0" w:firstLine="0"/>
        <w:jc w:val="left"/>
      </w:pPr>
      <w:r>
        <w:t xml:space="preserve"> </w:t>
      </w:r>
    </w:p>
    <w:p w:rsidR="00AB696B" w:rsidRDefault="00980A49" w:rsidP="00EF36A7">
      <w:pPr>
        <w:pStyle w:val="Titre2"/>
        <w:spacing w:after="148"/>
        <w:ind w:left="709" w:firstLine="197"/>
      </w:pPr>
      <w:bookmarkStart w:id="45" w:name="_Toc203463167"/>
      <w:r>
        <w:t>9.3 Modalités de révision des prix</w:t>
      </w:r>
      <w:bookmarkEnd w:id="45"/>
      <w:r>
        <w:t xml:space="preserve"> </w:t>
      </w:r>
    </w:p>
    <w:p w:rsidR="00702FDC" w:rsidRPr="00275D2D" w:rsidRDefault="00702FDC" w:rsidP="00EF36A7">
      <w:pPr>
        <w:ind w:left="851"/>
      </w:pPr>
      <w:r w:rsidRPr="00275D2D">
        <w:t>Les prix sont révisables annuellement, à l’initiative du titulaire, à compter de la deuxième année, à la date anniversaire du marché.</w:t>
      </w:r>
    </w:p>
    <w:p w:rsidR="00702FDC" w:rsidRDefault="00702FDC" w:rsidP="00EF36A7">
      <w:pPr>
        <w:ind w:left="851" w:right="-1"/>
      </w:pPr>
      <w:r w:rsidRPr="00275D2D">
        <w:t>Le titulaire transmet</w:t>
      </w:r>
      <w:r>
        <w:t xml:space="preserve"> un mois avant la date d’anniversaire de notification</w:t>
      </w:r>
      <w:r w:rsidRPr="00275D2D">
        <w:t xml:space="preserve"> à la DICOM (</w:t>
      </w:r>
      <w:hyperlink r:id="rId11" w:history="1">
        <w:r w:rsidRPr="00275D2D">
          <w:rPr>
            <w:rStyle w:val="Lienhypertexte"/>
          </w:rPr>
          <w:t>dicom-nc.ach.fct@intradef.gouv.fr</w:t>
        </w:r>
      </w:hyperlink>
      <w:r w:rsidRPr="00275D2D">
        <w:t xml:space="preserve">) sa demande de révision, suivant les conditions ci-après, accompagnée des BPU révisés. </w:t>
      </w:r>
    </w:p>
    <w:p w:rsidR="00781D78" w:rsidRPr="00275D2D" w:rsidRDefault="00781D78" w:rsidP="00EF36A7">
      <w:pPr>
        <w:ind w:left="851" w:right="-1"/>
      </w:pPr>
      <w:r w:rsidRPr="00781D78">
        <w:rPr>
          <w:rFonts w:eastAsiaTheme="minorEastAsia"/>
        </w:rPr>
        <w:t>En cas de révision, le nouveau prix de règlement ne peut être appliqué qu’après accord du RPA.</w:t>
      </w:r>
    </w:p>
    <w:p w:rsidR="00702FDC" w:rsidRPr="00275D2D" w:rsidRDefault="00702FDC" w:rsidP="00EF36A7">
      <w:pPr>
        <w:ind w:left="851" w:right="-1"/>
      </w:pPr>
      <w:r w:rsidRPr="00275D2D">
        <w:t>Pour déterminer le nouveau prix de règlement, il est fait application de la formule suivante :</w:t>
      </w:r>
    </w:p>
    <w:p w:rsidR="00702FDC" w:rsidRPr="00275D2D" w:rsidRDefault="00702FDC" w:rsidP="00EF36A7">
      <w:pPr>
        <w:widowControl w:val="0"/>
        <w:spacing w:before="120" w:after="120"/>
        <w:ind w:left="851" w:right="465"/>
      </w:pPr>
      <w:r w:rsidRPr="00275D2D">
        <w:t>P</w:t>
      </w:r>
      <w:r w:rsidRPr="00B55183">
        <w:rPr>
          <w:vertAlign w:val="subscript"/>
        </w:rPr>
        <w:t>1</w:t>
      </w:r>
      <w:r w:rsidRPr="00275D2D">
        <w:t xml:space="preserve"> = P</w:t>
      </w:r>
      <w:r w:rsidRPr="00B55183">
        <w:rPr>
          <w:vertAlign w:val="subscript"/>
        </w:rPr>
        <w:t>0</w:t>
      </w:r>
      <w:r w:rsidRPr="00275D2D">
        <w:t>(0</w:t>
      </w:r>
      <w:r>
        <w:t>,2</w:t>
      </w:r>
      <w:r w:rsidRPr="00275D2D">
        <w:t xml:space="preserve"> + 0,</w:t>
      </w:r>
      <w:r>
        <w:t>8</w:t>
      </w:r>
      <w:r w:rsidRPr="00275D2D">
        <w:t xml:space="preserve"> </w:t>
      </w:r>
      <w:proofErr w:type="gramStart"/>
      <w:r w:rsidRPr="00275D2D">
        <w:t xml:space="preserve">[ </w:t>
      </w:r>
      <w:r w:rsidR="00B55183">
        <w:t>REI</w:t>
      </w:r>
      <w:proofErr w:type="gramEnd"/>
      <w:r w:rsidRPr="00B55183">
        <w:rPr>
          <w:vertAlign w:val="subscript"/>
        </w:rPr>
        <w:t>1</w:t>
      </w:r>
      <w:r w:rsidRPr="00275D2D">
        <w:t xml:space="preserve"> / </w:t>
      </w:r>
      <w:r w:rsidR="00B55183">
        <w:t>REI</w:t>
      </w:r>
      <w:r w:rsidRPr="00B55183">
        <w:rPr>
          <w:vertAlign w:val="subscript"/>
        </w:rPr>
        <w:t>0</w:t>
      </w:r>
      <w:r w:rsidRPr="00275D2D">
        <w:t xml:space="preserve"> ]), dans laquelle :</w:t>
      </w:r>
    </w:p>
    <w:p w:rsidR="00702FDC" w:rsidRDefault="00702FDC" w:rsidP="00EF36A7">
      <w:pPr>
        <w:pStyle w:val="Paragraphedeliste"/>
        <w:widowControl w:val="0"/>
        <w:numPr>
          <w:ilvl w:val="0"/>
          <w:numId w:val="19"/>
        </w:numPr>
        <w:spacing w:before="120" w:after="120" w:line="240" w:lineRule="auto"/>
        <w:ind w:left="851" w:right="465" w:hanging="8"/>
      </w:pPr>
      <w:r>
        <w:t>0,2 = part fixe</w:t>
      </w:r>
    </w:p>
    <w:p w:rsidR="00702FDC" w:rsidRDefault="00702FDC" w:rsidP="00EF36A7">
      <w:pPr>
        <w:pStyle w:val="Paragraphedeliste"/>
        <w:widowControl w:val="0"/>
        <w:numPr>
          <w:ilvl w:val="0"/>
          <w:numId w:val="19"/>
        </w:numPr>
        <w:spacing w:before="120" w:after="120" w:line="240" w:lineRule="auto"/>
        <w:ind w:left="851" w:right="465" w:hanging="8"/>
      </w:pPr>
      <w:r>
        <w:t>0,8 = part variable</w:t>
      </w:r>
    </w:p>
    <w:p w:rsidR="00702FDC" w:rsidRPr="00AC4B0E" w:rsidRDefault="00702FDC" w:rsidP="00EF36A7">
      <w:pPr>
        <w:pStyle w:val="Paragraphedeliste"/>
        <w:widowControl w:val="0"/>
        <w:numPr>
          <w:ilvl w:val="0"/>
          <w:numId w:val="19"/>
        </w:numPr>
        <w:spacing w:before="120" w:after="120" w:line="240" w:lineRule="auto"/>
        <w:ind w:left="851" w:right="465" w:hanging="8"/>
      </w:pPr>
      <w:r w:rsidRPr="00AC4B0E">
        <w:t>P</w:t>
      </w:r>
      <w:r w:rsidRPr="00B55183">
        <w:rPr>
          <w:vertAlign w:val="subscript"/>
        </w:rPr>
        <w:t>1</w:t>
      </w:r>
      <w:r w:rsidRPr="00AC4B0E">
        <w:t xml:space="preserve"> = prix actualisé</w:t>
      </w:r>
    </w:p>
    <w:p w:rsidR="00702FDC" w:rsidRPr="00275D2D" w:rsidRDefault="00702FDC" w:rsidP="00EF36A7">
      <w:pPr>
        <w:pStyle w:val="Paragraphedeliste"/>
        <w:widowControl w:val="0"/>
        <w:numPr>
          <w:ilvl w:val="0"/>
          <w:numId w:val="19"/>
        </w:numPr>
        <w:spacing w:before="120" w:after="120" w:line="240" w:lineRule="auto"/>
        <w:ind w:left="851" w:right="465" w:hanging="8"/>
      </w:pPr>
      <w:r w:rsidRPr="00275D2D">
        <w:lastRenderedPageBreak/>
        <w:t>P</w:t>
      </w:r>
      <w:r w:rsidRPr="00B55183">
        <w:rPr>
          <w:vertAlign w:val="subscript"/>
        </w:rPr>
        <w:t>0</w:t>
      </w:r>
      <w:r w:rsidRPr="00275D2D">
        <w:t xml:space="preserve"> = prix à la date d’établissement des prix</w:t>
      </w:r>
    </w:p>
    <w:p w:rsidR="00702FDC" w:rsidRPr="00275D2D" w:rsidRDefault="00781D78" w:rsidP="00EF36A7">
      <w:pPr>
        <w:pStyle w:val="Paragraphedeliste"/>
        <w:widowControl w:val="0"/>
        <w:numPr>
          <w:ilvl w:val="0"/>
          <w:numId w:val="19"/>
        </w:numPr>
        <w:spacing w:before="120" w:after="120" w:line="240" w:lineRule="auto"/>
        <w:ind w:left="851" w:hanging="8"/>
      </w:pPr>
      <w:r>
        <w:t>REI</w:t>
      </w:r>
      <w:r w:rsidR="00702FDC" w:rsidRPr="00C07552">
        <w:t xml:space="preserve"> = désigne l'indice de référence soit </w:t>
      </w:r>
      <w:r w:rsidR="00702FDC" w:rsidRPr="00FF0434">
        <w:t>« 0</w:t>
      </w:r>
      <w:r w:rsidR="00702FDC">
        <w:t>9</w:t>
      </w:r>
      <w:r w:rsidR="00702FDC" w:rsidRPr="00FF0434">
        <w:t>.</w:t>
      </w:r>
      <w:r w:rsidR="00702FDC">
        <w:t>1</w:t>
      </w:r>
      <w:r w:rsidR="00702FDC" w:rsidRPr="00FF0434">
        <w:t>.</w:t>
      </w:r>
      <w:r w:rsidR="00702FDC">
        <w:t>5</w:t>
      </w:r>
      <w:r w:rsidR="00702FDC" w:rsidRPr="00FF0434">
        <w:t xml:space="preserve"> </w:t>
      </w:r>
      <w:r w:rsidR="00702FDC" w:rsidRPr="00702FDC">
        <w:t>Réparation des équipements informatiques, et du matériel de traitement de l'information</w:t>
      </w:r>
      <w:r w:rsidR="00702FDC">
        <w:t xml:space="preserve"> </w:t>
      </w:r>
      <w:r w:rsidR="00702FDC" w:rsidRPr="00FF0434">
        <w:t>»</w:t>
      </w:r>
      <w:r w:rsidR="00702FDC" w:rsidRPr="00C07552">
        <w:t xml:space="preserve"> de l’indice des prix à</w:t>
      </w:r>
      <w:r w:rsidR="00702FDC" w:rsidRPr="00275D2D">
        <w:t xml:space="preserve"> la consommation (IPC) publié par l’ISEE Nouvelle-Calédonie.</w:t>
      </w:r>
    </w:p>
    <w:p w:rsidR="00702FDC" w:rsidRPr="00275D2D" w:rsidRDefault="00702FDC" w:rsidP="00EF36A7">
      <w:pPr>
        <w:widowControl w:val="0"/>
        <w:spacing w:before="120" w:after="120"/>
        <w:ind w:left="851" w:right="465"/>
      </w:pPr>
      <w:r w:rsidRPr="00275D2D">
        <w:t>Date de lecture des indices “ 0 ” : valeur des indices à la date d'établissement des prix</w:t>
      </w:r>
    </w:p>
    <w:p w:rsidR="00702FDC" w:rsidRPr="00275D2D" w:rsidRDefault="00702FDC" w:rsidP="00EF36A7">
      <w:pPr>
        <w:widowControl w:val="0"/>
        <w:spacing w:before="120" w:after="120"/>
        <w:ind w:left="851"/>
      </w:pPr>
      <w:r w:rsidRPr="00275D2D">
        <w:t>Date de lecture des indices “ 1 ” : valeur des mêmes indices disponibles et publiés à la date anniversaire de notification du marché.</w:t>
      </w:r>
    </w:p>
    <w:p w:rsidR="00702FDC" w:rsidRPr="00275D2D" w:rsidRDefault="00702FDC" w:rsidP="00EF36A7">
      <w:pPr>
        <w:widowControl w:val="0"/>
        <w:spacing w:before="120" w:after="120"/>
        <w:ind w:left="851"/>
      </w:pPr>
      <w:r w:rsidRPr="00275D2D">
        <w:t>Le coefficient de révision est arrondi au millième supérieur.</w:t>
      </w:r>
    </w:p>
    <w:p w:rsidR="00702FDC" w:rsidRDefault="00702FDC" w:rsidP="00EF36A7">
      <w:pPr>
        <w:widowControl w:val="0"/>
        <w:spacing w:before="120" w:after="120"/>
        <w:ind w:left="851"/>
      </w:pPr>
      <w:r w:rsidRPr="00275D2D">
        <w:t>Chaque prix annuel révisé sert de base de règlement pour l’ensemble des paiements dus au titre des prestations réalisées au cours de l’année concernée.</w:t>
      </w:r>
    </w:p>
    <w:p w:rsidR="00B55183" w:rsidRPr="00B55183" w:rsidRDefault="00B55183" w:rsidP="00EF36A7">
      <w:pPr>
        <w:autoSpaceDE w:val="0"/>
        <w:autoSpaceDN w:val="0"/>
        <w:adjustRightInd w:val="0"/>
        <w:spacing w:after="0" w:line="240" w:lineRule="auto"/>
        <w:ind w:left="851"/>
        <w:rPr>
          <w:rFonts w:eastAsiaTheme="minorEastAsia"/>
        </w:rPr>
      </w:pPr>
      <w:r w:rsidRPr="00B55183">
        <w:rPr>
          <w:rFonts w:eastAsiaTheme="minorEastAsia"/>
        </w:rPr>
        <w:t xml:space="preserve">Toutefois, en l’absence d’envoi de la révision du prix par le titulaire dans un délai de 2 mois à compter de la date d’anniversaire de l’accord-cadre, l’administration se réserve le droit de procéder ou non elle-même à la révision du prix et informera le titulaire de cette décision. </w:t>
      </w:r>
    </w:p>
    <w:p w:rsidR="00B55183" w:rsidRDefault="00B55183" w:rsidP="00EF36A7">
      <w:pPr>
        <w:widowControl w:val="0"/>
        <w:spacing w:before="120" w:after="120"/>
        <w:ind w:left="851"/>
      </w:pPr>
      <w:r w:rsidRPr="00B55183">
        <w:rPr>
          <w:rFonts w:eastAsiaTheme="minorEastAsia"/>
        </w:rPr>
        <w:t>Nota : Le prix révisé est obtenu à l’aide d’un tableur (calcul automatique du résultat final selon la formule ci-dessus, sans calcul intermédiaire).</w:t>
      </w:r>
    </w:p>
    <w:p w:rsidR="00702FDC" w:rsidRPr="00C97C3F" w:rsidRDefault="00702FDC" w:rsidP="00EF36A7">
      <w:pPr>
        <w:pStyle w:val="Titre2"/>
        <w:keepLines w:val="0"/>
        <w:numPr>
          <w:ilvl w:val="1"/>
          <w:numId w:val="21"/>
        </w:numPr>
        <w:spacing w:after="120" w:line="240" w:lineRule="auto"/>
        <w:ind w:left="993" w:hanging="142"/>
        <w:jc w:val="both"/>
        <w:rPr>
          <w:lang w:val="fr-CA"/>
        </w:rPr>
      </w:pPr>
      <w:bookmarkStart w:id="46" w:name="_Toc182463290"/>
      <w:bookmarkStart w:id="47" w:name="_Toc203463168"/>
      <w:r>
        <w:rPr>
          <w:lang w:val="fr-CA"/>
        </w:rPr>
        <w:t>Clause butoir</w:t>
      </w:r>
      <w:bookmarkEnd w:id="46"/>
      <w:bookmarkEnd w:id="47"/>
    </w:p>
    <w:p w:rsidR="00702FDC" w:rsidRDefault="00702FDC" w:rsidP="00EF36A7">
      <w:pPr>
        <w:spacing w:before="120" w:after="120"/>
        <w:ind w:left="851" w:hanging="7"/>
      </w:pPr>
      <w:r>
        <w:t>Le pouvoir adjudicateur admet, lors de la révision des prix, une augmentation maximale des prix du titulaire de 3 % par an. Si les prix viennent, lors des révisions des prix, à dépasser l’augmentation fixée ci-dessus, il est fait application de cette clause butoir pour déterminer les nouveaux prix du marché.</w:t>
      </w:r>
    </w:p>
    <w:p w:rsidR="00702FDC" w:rsidRPr="00C97C3F" w:rsidRDefault="00702FDC" w:rsidP="00EF36A7">
      <w:pPr>
        <w:pStyle w:val="Titre2"/>
        <w:keepLines w:val="0"/>
        <w:numPr>
          <w:ilvl w:val="1"/>
          <w:numId w:val="21"/>
        </w:numPr>
        <w:spacing w:after="120" w:line="240" w:lineRule="auto"/>
        <w:ind w:left="993" w:hanging="142"/>
        <w:jc w:val="both"/>
        <w:rPr>
          <w:lang w:val="fr-CA"/>
        </w:rPr>
      </w:pPr>
      <w:bookmarkStart w:id="48" w:name="_Toc182463291"/>
      <w:bookmarkStart w:id="49" w:name="_Toc203463169"/>
      <w:r>
        <w:rPr>
          <w:lang w:val="fr-CA"/>
        </w:rPr>
        <w:t>Clause de sauvegarde</w:t>
      </w:r>
      <w:bookmarkEnd w:id="48"/>
      <w:bookmarkEnd w:id="49"/>
    </w:p>
    <w:p w:rsidR="00702FDC" w:rsidRDefault="00702FDC" w:rsidP="00EF36A7">
      <w:pPr>
        <w:spacing w:before="120"/>
        <w:ind w:left="851"/>
      </w:pPr>
      <w:r>
        <w:t>Le titulaire ne peut prétendre à une augmentation de ses tarifs pour des motifs tirés de sa politique commerciale.</w:t>
      </w:r>
    </w:p>
    <w:p w:rsidR="00702FDC" w:rsidRDefault="00702FDC" w:rsidP="00EF36A7">
      <w:pPr>
        <w:ind w:left="851"/>
      </w:pPr>
      <w:r>
        <w:t>L’administration se réserve la faculté de résilier le marché sans indemnité si la hausse globale annuelle des prix excède 3 % par an.</w:t>
      </w:r>
    </w:p>
    <w:p w:rsidR="00AB696B" w:rsidRDefault="00980A49" w:rsidP="00EF36A7">
      <w:pPr>
        <w:pStyle w:val="Titre1"/>
        <w:ind w:left="851" w:firstLine="5"/>
      </w:pPr>
      <w:bookmarkStart w:id="50" w:name="_Toc203463170"/>
      <w:r>
        <w:t>ARTICLE 10 : CONDITIONS DE PAIEMENT</w:t>
      </w:r>
      <w:bookmarkEnd w:id="50"/>
      <w:r>
        <w:t xml:space="preserve">  </w:t>
      </w:r>
    </w:p>
    <w:p w:rsidR="00AB696B" w:rsidRPr="00196BAF" w:rsidRDefault="00980A49" w:rsidP="00196BAF">
      <w:pPr>
        <w:pStyle w:val="Titre3"/>
        <w:ind w:left="851"/>
      </w:pPr>
      <w:bookmarkStart w:id="51" w:name="_Toc203463171"/>
      <w:r w:rsidRPr="00196BAF">
        <w:t>10.</w:t>
      </w:r>
      <w:r w:rsidR="00E01C64" w:rsidRPr="00196BAF">
        <w:t>1</w:t>
      </w:r>
      <w:r w:rsidRPr="00196BAF">
        <w:t xml:space="preserve"> Eléments généraux de la </w:t>
      </w:r>
      <w:r w:rsidR="0006786F" w:rsidRPr="00196BAF">
        <w:t>f</w:t>
      </w:r>
      <w:r w:rsidRPr="00196BAF">
        <w:t>acturation</w:t>
      </w:r>
      <w:bookmarkEnd w:id="51"/>
      <w:r w:rsidRPr="00196BAF">
        <w:t xml:space="preserve"> </w:t>
      </w:r>
    </w:p>
    <w:p w:rsidR="00AB696B" w:rsidRDefault="00980A49" w:rsidP="00EF36A7">
      <w:pPr>
        <w:spacing w:after="21" w:line="354" w:lineRule="auto"/>
        <w:ind w:left="426" w:firstLine="425"/>
        <w:jc w:val="left"/>
      </w:pPr>
      <w:r>
        <w:t xml:space="preserve">Le titulaire envoie </w:t>
      </w:r>
      <w:r>
        <w:rPr>
          <w:u w:val="single" w:color="000000"/>
        </w:rPr>
        <w:t xml:space="preserve">par lot </w:t>
      </w:r>
      <w:r w:rsidR="000114BA">
        <w:rPr>
          <w:u w:val="single" w:color="000000"/>
        </w:rPr>
        <w:t>avec une décomposition</w:t>
      </w:r>
      <w:r>
        <w:rPr>
          <w:u w:val="single" w:color="000000"/>
        </w:rPr>
        <w:t xml:space="preserve"> par site</w:t>
      </w:r>
      <w:r>
        <w:t xml:space="preserve"> : </w:t>
      </w:r>
    </w:p>
    <w:p w:rsidR="00AB696B" w:rsidRPr="00196BAF" w:rsidRDefault="00980A49" w:rsidP="00196BAF">
      <w:pPr>
        <w:spacing w:after="114" w:line="264" w:lineRule="auto"/>
        <w:ind w:left="851" w:firstLine="0"/>
        <w:rPr>
          <w:rFonts w:eastAsia="Times New Roman"/>
          <w:b/>
        </w:rPr>
      </w:pPr>
      <w:r w:rsidRPr="00196BAF">
        <w:rPr>
          <w:rFonts w:eastAsia="Times New Roman"/>
          <w:b/>
        </w:rPr>
        <w:t xml:space="preserve">‒ une facture mensuelle pour la location regroupant l’ensemble des solutions d’impression du site ; </w:t>
      </w:r>
    </w:p>
    <w:p w:rsidR="00AB696B" w:rsidRDefault="00980A49" w:rsidP="00EF36A7">
      <w:pPr>
        <w:spacing w:after="114" w:line="264" w:lineRule="auto"/>
        <w:ind w:left="851" w:firstLine="0"/>
      </w:pPr>
      <w:r>
        <w:rPr>
          <w:rFonts w:ascii="Times New Roman" w:eastAsia="Times New Roman" w:hAnsi="Times New Roman" w:cs="Times New Roman"/>
        </w:rPr>
        <w:t>‒</w:t>
      </w:r>
      <w:r w:rsidR="00EF36A7">
        <w:rPr>
          <w:rFonts w:ascii="Times New Roman" w:eastAsia="Times New Roman" w:hAnsi="Times New Roman" w:cs="Times New Roman"/>
        </w:rPr>
        <w:t xml:space="preserve"> </w:t>
      </w:r>
      <w:r>
        <w:rPr>
          <w:b/>
        </w:rPr>
        <w:t xml:space="preserve">une facture trimestrielle pour les copies par site sera établie, accompagnée obligatoirement du relevé des compteurs de chaque solution d’impression au moment de la maintenance préventive. </w:t>
      </w:r>
    </w:p>
    <w:p w:rsidR="00AB696B" w:rsidRDefault="00980A49" w:rsidP="00EF36A7">
      <w:pPr>
        <w:ind w:left="851" w:firstLine="0"/>
      </w:pPr>
      <w:r>
        <w:t>La première facture de location d’un matériel est effectuée après l’admission par le service bénéficiaire. Elle doit impérativement préciser la date de livraison accompagnée de l’attestation d’admission (</w:t>
      </w:r>
      <w:proofErr w:type="spellStart"/>
      <w:r>
        <w:t>cf</w:t>
      </w:r>
      <w:proofErr w:type="spellEnd"/>
      <w:r>
        <w:t xml:space="preserve"> annexe 1 du présent document). </w:t>
      </w:r>
    </w:p>
    <w:p w:rsidR="00AB696B" w:rsidRDefault="00980A49" w:rsidP="00EF36A7">
      <w:pPr>
        <w:ind w:left="851" w:firstLine="0"/>
      </w:pPr>
      <w:r>
        <w:t>La dernière facture sera établie à la date réelle de fin du bon de commande</w:t>
      </w:r>
      <w:r w:rsidR="000114BA">
        <w:t xml:space="preserve"> ou de la fin d’exécution du marché.</w:t>
      </w:r>
      <w:r>
        <w:t xml:space="preserve"> </w:t>
      </w:r>
    </w:p>
    <w:p w:rsidR="00AB696B" w:rsidRDefault="00980A49" w:rsidP="00EF36A7">
      <w:pPr>
        <w:ind w:left="851" w:firstLine="0"/>
      </w:pPr>
      <w:r>
        <w:t xml:space="preserve">Les factures devront parvenir avant le 10 du mois suivant la période de facturation sous peine d’application de pénalités dans les conditions de l’article 8 du présent CCAP. </w:t>
      </w:r>
    </w:p>
    <w:p w:rsidR="00AB696B" w:rsidRDefault="00980A49" w:rsidP="00EF36A7">
      <w:pPr>
        <w:ind w:left="851" w:firstLine="0"/>
      </w:pPr>
      <w:r>
        <w:t xml:space="preserve">Les factures doivent obligatoirement comporter, outre les mentions légales (cf. article </w:t>
      </w:r>
      <w:proofErr w:type="spellStart"/>
      <w:r>
        <w:t>Lp</w:t>
      </w:r>
      <w:proofErr w:type="spellEnd"/>
      <w:r>
        <w:t xml:space="preserve">. 919H du code des impôts de Nouvelle-Calédonie), les indications suivantes :  </w:t>
      </w:r>
    </w:p>
    <w:p w:rsidR="00AB696B" w:rsidRDefault="00980A49" w:rsidP="000114BA">
      <w:pPr>
        <w:tabs>
          <w:tab w:val="center" w:pos="851"/>
        </w:tabs>
        <w:ind w:left="709" w:firstLine="0"/>
        <w:jc w:val="left"/>
      </w:pPr>
      <w:r>
        <w:rPr>
          <w:rFonts w:ascii="Calibri" w:eastAsia="Calibri" w:hAnsi="Calibri" w:cs="Calibri"/>
        </w:rPr>
        <w:tab/>
      </w:r>
      <w:r w:rsidR="000114BA">
        <w:rPr>
          <w:rFonts w:ascii="Calibri" w:eastAsia="Calibri" w:hAnsi="Calibri" w:cs="Calibri"/>
        </w:rPr>
        <w:t xml:space="preserve">   </w:t>
      </w:r>
      <w:r>
        <w:rPr>
          <w:rFonts w:ascii="Times New Roman" w:eastAsia="Times New Roman" w:hAnsi="Times New Roman" w:cs="Times New Roman"/>
        </w:rPr>
        <w:t>‒</w:t>
      </w:r>
      <w:r>
        <w:t xml:space="preserve"> le nom, raison sociale et adresse du titulaire de l’accord cadre ; </w:t>
      </w:r>
    </w:p>
    <w:p w:rsidR="00AB696B" w:rsidRDefault="00980A49" w:rsidP="00EF36A7">
      <w:pPr>
        <w:tabs>
          <w:tab w:val="center" w:pos="709"/>
        </w:tabs>
        <w:ind w:left="851" w:firstLine="0"/>
      </w:pPr>
      <w:r>
        <w:rPr>
          <w:rFonts w:ascii="Times New Roman" w:eastAsia="Times New Roman" w:hAnsi="Times New Roman" w:cs="Times New Roman"/>
        </w:rPr>
        <w:lastRenderedPageBreak/>
        <w:t>‒</w:t>
      </w:r>
      <w:r>
        <w:t xml:space="preserve"> la domiciliation et le numéro du compte bancaire complet du titulaire, tel qu’il est précisé à l’acte d’engagement ; </w:t>
      </w:r>
    </w:p>
    <w:p w:rsidR="00AB696B" w:rsidRDefault="00980A49" w:rsidP="00EF36A7">
      <w:pPr>
        <w:tabs>
          <w:tab w:val="center" w:pos="709"/>
          <w:tab w:val="center" w:pos="1987"/>
        </w:tabs>
        <w:ind w:left="851" w:firstLine="0"/>
        <w:jc w:val="left"/>
      </w:pPr>
      <w:r>
        <w:rPr>
          <w:rFonts w:ascii="Times New Roman" w:eastAsia="Times New Roman" w:hAnsi="Times New Roman" w:cs="Times New Roman"/>
        </w:rPr>
        <w:t>‒</w:t>
      </w:r>
      <w:r>
        <w:t xml:space="preserve"> </w:t>
      </w:r>
      <w:r>
        <w:tab/>
        <w:t xml:space="preserve">le numéro RIDET/SIRET ; </w:t>
      </w:r>
    </w:p>
    <w:p w:rsidR="00AB696B" w:rsidRDefault="00980A49" w:rsidP="00EF36A7">
      <w:pPr>
        <w:tabs>
          <w:tab w:val="center" w:pos="709"/>
          <w:tab w:val="center" w:pos="2392"/>
        </w:tabs>
        <w:spacing w:after="133"/>
        <w:ind w:left="851" w:firstLine="0"/>
        <w:jc w:val="left"/>
      </w:pPr>
      <w:r>
        <w:rPr>
          <w:rFonts w:ascii="Times New Roman" w:eastAsia="Times New Roman" w:hAnsi="Times New Roman" w:cs="Times New Roman"/>
        </w:rPr>
        <w:t>‒</w:t>
      </w:r>
      <w:r>
        <w:t xml:space="preserve"> </w:t>
      </w:r>
      <w:r>
        <w:tab/>
        <w:t xml:space="preserve">la date et le numéro de la facture ; </w:t>
      </w:r>
    </w:p>
    <w:p w:rsidR="00AB696B" w:rsidRDefault="00980A49" w:rsidP="00EF36A7">
      <w:pPr>
        <w:tabs>
          <w:tab w:val="center" w:pos="709"/>
          <w:tab w:val="center" w:pos="3105"/>
        </w:tabs>
        <w:ind w:left="851" w:firstLine="0"/>
        <w:jc w:val="left"/>
      </w:pPr>
      <w:r>
        <w:rPr>
          <w:rFonts w:ascii="Times New Roman" w:eastAsia="Times New Roman" w:hAnsi="Times New Roman" w:cs="Times New Roman"/>
        </w:rPr>
        <w:t>‒</w:t>
      </w:r>
      <w:r>
        <w:t xml:space="preserve"> </w:t>
      </w:r>
      <w:r>
        <w:tab/>
        <w:t xml:space="preserve">la référence de l’accord-cadre (objet et numéro) ; </w:t>
      </w:r>
    </w:p>
    <w:p w:rsidR="00AB696B" w:rsidRDefault="00980A49" w:rsidP="00EF36A7">
      <w:pPr>
        <w:tabs>
          <w:tab w:val="center" w:pos="709"/>
          <w:tab w:val="center" w:pos="2367"/>
        </w:tabs>
        <w:ind w:left="851" w:firstLine="0"/>
        <w:jc w:val="left"/>
      </w:pPr>
      <w:r>
        <w:rPr>
          <w:rFonts w:ascii="Times New Roman" w:eastAsia="Times New Roman" w:hAnsi="Times New Roman" w:cs="Times New Roman"/>
        </w:rPr>
        <w:t>‒</w:t>
      </w:r>
      <w:r>
        <w:t xml:space="preserve"> </w:t>
      </w:r>
      <w:r>
        <w:tab/>
        <w:t xml:space="preserve">le numéro du bon de commande ; </w:t>
      </w:r>
    </w:p>
    <w:p w:rsidR="00A642D6" w:rsidRDefault="00980A49" w:rsidP="00EF36A7">
      <w:pPr>
        <w:tabs>
          <w:tab w:val="center" w:pos="709"/>
        </w:tabs>
        <w:spacing w:after="0" w:line="240" w:lineRule="auto"/>
        <w:ind w:left="851" w:firstLine="0"/>
        <w:jc w:val="left"/>
      </w:pPr>
      <w:r>
        <w:rPr>
          <w:rFonts w:ascii="Times New Roman" w:eastAsia="Times New Roman" w:hAnsi="Times New Roman" w:cs="Times New Roman"/>
        </w:rPr>
        <w:t>‒</w:t>
      </w:r>
      <w:r w:rsidR="00A642D6">
        <w:t xml:space="preserve"> </w:t>
      </w:r>
      <w:r>
        <w:t>la désignation des prestations effectuées selon le cas (cf. annexe de l’acte d</w:t>
      </w:r>
      <w:r w:rsidR="00A642D6">
        <w:t>’engagement) ;</w:t>
      </w:r>
    </w:p>
    <w:p w:rsidR="00A642D6" w:rsidRDefault="00980A49" w:rsidP="00EF36A7">
      <w:pPr>
        <w:pStyle w:val="Paragraphedeliste"/>
        <w:numPr>
          <w:ilvl w:val="0"/>
          <w:numId w:val="17"/>
        </w:numPr>
        <w:tabs>
          <w:tab w:val="center" w:pos="709"/>
        </w:tabs>
        <w:spacing w:after="0" w:line="240" w:lineRule="auto"/>
        <w:ind w:left="851" w:firstLine="0"/>
        <w:jc w:val="left"/>
      </w:pPr>
      <w:proofErr w:type="gramStart"/>
      <w:r>
        <w:t>pour</w:t>
      </w:r>
      <w:proofErr w:type="gramEnd"/>
      <w:r>
        <w:t xml:space="preserve"> la location : les différentes configurations et leurs quantités ; </w:t>
      </w:r>
    </w:p>
    <w:p w:rsidR="00AB696B" w:rsidRDefault="00980A49" w:rsidP="00EF36A7">
      <w:pPr>
        <w:pStyle w:val="Paragraphedeliste"/>
        <w:numPr>
          <w:ilvl w:val="0"/>
          <w:numId w:val="17"/>
        </w:numPr>
        <w:tabs>
          <w:tab w:val="center" w:pos="709"/>
        </w:tabs>
        <w:spacing w:after="120" w:line="240" w:lineRule="auto"/>
        <w:ind w:left="851" w:firstLine="0"/>
        <w:jc w:val="left"/>
      </w:pPr>
      <w:proofErr w:type="gramStart"/>
      <w:r>
        <w:t>pour</w:t>
      </w:r>
      <w:proofErr w:type="gramEnd"/>
      <w:r>
        <w:t xml:space="preserve"> la maintenance : la liste des photocopieurs avec son relevé de compteurs identifiés. </w:t>
      </w:r>
    </w:p>
    <w:p w:rsidR="00AB696B" w:rsidRDefault="00980A49" w:rsidP="00EF36A7">
      <w:pPr>
        <w:tabs>
          <w:tab w:val="center" w:pos="709"/>
          <w:tab w:val="center" w:pos="4103"/>
        </w:tabs>
        <w:ind w:left="851" w:firstLine="0"/>
        <w:jc w:val="left"/>
      </w:pPr>
      <w:r>
        <w:rPr>
          <w:rFonts w:ascii="Times New Roman" w:eastAsia="Times New Roman" w:hAnsi="Times New Roman" w:cs="Times New Roman"/>
        </w:rPr>
        <w:t>‒</w:t>
      </w:r>
      <w:r>
        <w:t xml:space="preserve"> </w:t>
      </w:r>
      <w:r>
        <w:tab/>
        <w:t>les lieux géographiques et les services concernés par les prestations,</w:t>
      </w:r>
      <w:r>
        <w:rPr>
          <w:i/>
        </w:rPr>
        <w:t xml:space="preserve"> </w:t>
      </w:r>
    </w:p>
    <w:p w:rsidR="00AB696B" w:rsidRDefault="00980A49" w:rsidP="00EF36A7">
      <w:pPr>
        <w:tabs>
          <w:tab w:val="center" w:pos="709"/>
          <w:tab w:val="center" w:pos="3971"/>
        </w:tabs>
        <w:ind w:left="851" w:firstLine="0"/>
        <w:jc w:val="left"/>
      </w:pPr>
      <w:r>
        <w:rPr>
          <w:rFonts w:ascii="Times New Roman" w:eastAsia="Times New Roman" w:hAnsi="Times New Roman" w:cs="Times New Roman"/>
        </w:rPr>
        <w:t>‒</w:t>
      </w:r>
      <w:r>
        <w:t xml:space="preserve"> </w:t>
      </w:r>
      <w:r>
        <w:tab/>
        <w:t xml:space="preserve">les prix unitaires HT et TTC en euros et en francs pacifique (XPF) ; </w:t>
      </w:r>
    </w:p>
    <w:p w:rsidR="00AB696B" w:rsidRDefault="00980A49" w:rsidP="00EF36A7">
      <w:pPr>
        <w:tabs>
          <w:tab w:val="center" w:pos="709"/>
          <w:tab w:val="center" w:pos="4822"/>
        </w:tabs>
        <w:ind w:left="851" w:firstLine="0"/>
        <w:jc w:val="left"/>
      </w:pPr>
      <w:r>
        <w:rPr>
          <w:rFonts w:ascii="Times New Roman" w:eastAsia="Times New Roman" w:hAnsi="Times New Roman" w:cs="Times New Roman"/>
        </w:rPr>
        <w:t>‒</w:t>
      </w:r>
      <w:r>
        <w:t xml:space="preserve"> </w:t>
      </w:r>
      <w:r>
        <w:tab/>
        <w:t xml:space="preserve">le montant total HT et TTC en euros et en francs pacifique (XPF) des sommes dues.  </w:t>
      </w:r>
    </w:p>
    <w:p w:rsidR="00E01C64" w:rsidRDefault="00E01C64" w:rsidP="000114BA">
      <w:pPr>
        <w:pStyle w:val="Titre3"/>
        <w:ind w:left="851"/>
      </w:pPr>
      <w:bookmarkStart w:id="52" w:name="_Toc203463172"/>
      <w:r>
        <w:t>10.2 Procédure en cas de trop-perçu</w:t>
      </w:r>
      <w:bookmarkEnd w:id="52"/>
      <w:r>
        <w:t xml:space="preserve"> </w:t>
      </w:r>
    </w:p>
    <w:p w:rsidR="00E01C64" w:rsidRDefault="00E01C64" w:rsidP="000114BA">
      <w:pPr>
        <w:spacing w:after="253"/>
        <w:ind w:left="851"/>
      </w:pPr>
      <w:r>
        <w:t xml:space="preserve">Si postérieurement au paiement il est constaté que des sommes ont été payées indûment, le titulaire doit, après demande écrite de l’acheteur, procéder sans délai au remboursement des sommes concernées par précompte sur les factures à venir. Les montants concernés figurent expressément dans le détail de facturation. </w:t>
      </w:r>
    </w:p>
    <w:p w:rsidR="00E01C64" w:rsidRDefault="00E01C64" w:rsidP="000114BA">
      <w:pPr>
        <w:spacing w:after="224"/>
        <w:ind w:left="851"/>
      </w:pPr>
      <w:r>
        <w:t xml:space="preserve">Par exception, en cas d’impossibilité pour le titulaire de procéder au remboursement dans les conditions évoquées ci-dessus, une facture d’avoir correspondant au montant perçu indûment est transmise à l’acheteur.  </w:t>
      </w:r>
    </w:p>
    <w:p w:rsidR="00E01C64" w:rsidRDefault="00E01C64" w:rsidP="000114BA">
      <w:pPr>
        <w:spacing w:after="227"/>
        <w:ind w:left="851"/>
      </w:pPr>
      <w:r>
        <w:t>Lorsque la procédure de remboursement prévue plus haut ne peut être mise en œuvre, l’acheteur émet un ordre de recouvrer à l’encontre du titulaire, conformément à l’article 11 du décret n° 2012-1246 du 7 novembre 2012 modifié relatif à la gestion budgétaire et comptable publique.</w:t>
      </w:r>
    </w:p>
    <w:p w:rsidR="00AB696B" w:rsidRDefault="00980A49" w:rsidP="000114BA">
      <w:pPr>
        <w:pStyle w:val="Titre3"/>
        <w:ind w:left="851"/>
      </w:pPr>
      <w:bookmarkStart w:id="53" w:name="_Toc203463173"/>
      <w:r>
        <w:t>10.3 Transmission des factures</w:t>
      </w:r>
      <w:bookmarkEnd w:id="53"/>
      <w:r>
        <w:t xml:space="preserve"> </w:t>
      </w:r>
    </w:p>
    <w:p w:rsidR="00AB696B" w:rsidRDefault="00980A49" w:rsidP="000114BA">
      <w:pPr>
        <w:ind w:left="851"/>
      </w:pPr>
      <w:r>
        <w:rPr>
          <w:b/>
        </w:rPr>
        <w:t>La transmission des factures via le dispositif CHORUS PRO est fortement préconisée</w:t>
      </w:r>
      <w:r>
        <w:t xml:space="preserve">. Ce service, entièrement gratuit, peut permettre une accélération du traitement des factures. </w:t>
      </w:r>
    </w:p>
    <w:p w:rsidR="00AB696B" w:rsidRDefault="00980A49" w:rsidP="000114BA">
      <w:pPr>
        <w:spacing w:after="146"/>
        <w:ind w:left="851"/>
      </w:pPr>
      <w:r>
        <w:t xml:space="preserve">Pour accompagner le titulaire dans l’utilisation de CHORUS PRO, l’administration se rapprochera de ce dernier au moment du lancement du contrat pour lui expliciter les modalités pratiques de la mise en œuvre de ce dispositif. </w:t>
      </w:r>
    </w:p>
    <w:p w:rsidR="00AB696B" w:rsidRDefault="00980A49" w:rsidP="000114BA">
      <w:pPr>
        <w:ind w:left="851"/>
      </w:pPr>
      <w:r>
        <w:t xml:space="preserve">L’emploi de CHORUS PRO permet de dématérialiser les procédures afin de gagner en efficacité.  </w:t>
      </w:r>
    </w:p>
    <w:p w:rsidR="00AB696B" w:rsidRDefault="00980A49" w:rsidP="000114BA">
      <w:pPr>
        <w:spacing w:after="0" w:line="240" w:lineRule="auto"/>
        <w:ind w:left="851" w:firstLine="0"/>
      </w:pPr>
      <w:r>
        <w:t>En cas de besoin, le titulaire peut obtenir toutes les informatio</w:t>
      </w:r>
      <w:r w:rsidR="000114BA">
        <w:t xml:space="preserve">ns nécessaires à l’adresse mail </w:t>
      </w:r>
      <w:r>
        <w:t xml:space="preserve">suivante : </w:t>
      </w:r>
      <w:r>
        <w:rPr>
          <w:color w:val="0000FF"/>
          <w:u w:val="single" w:color="0000FF"/>
        </w:rPr>
        <w:t>dicom-nc-chorus-pro.correspondant.fct@intradef.gouv.fr</w:t>
      </w:r>
      <w:r>
        <w:t xml:space="preserve"> </w:t>
      </w:r>
    </w:p>
    <w:p w:rsidR="00AB696B" w:rsidRDefault="00980A49" w:rsidP="000114BA">
      <w:pPr>
        <w:spacing w:after="9" w:line="259" w:lineRule="auto"/>
        <w:ind w:left="3119" w:firstLine="0"/>
        <w:jc w:val="left"/>
      </w:pPr>
      <w:r>
        <w:t xml:space="preserve"> </w:t>
      </w:r>
    </w:p>
    <w:p w:rsidR="00AB696B" w:rsidRDefault="00980A49" w:rsidP="000114BA">
      <w:pPr>
        <w:spacing w:after="19"/>
        <w:ind w:left="851"/>
      </w:pPr>
      <w:r>
        <w:t xml:space="preserve">En cas d’incapacité technique d’utilisation du logiciel CHORUS PRO, possibilité est offerte aux fournisseurs, </w:t>
      </w:r>
      <w:r>
        <w:rPr>
          <w:b/>
        </w:rPr>
        <w:t>de façon dérogatoire</w:t>
      </w:r>
      <w:r>
        <w:t xml:space="preserve">, d’adresser leurs factures, accompagnées du ou des attestations de service fait correspondantes par courrier. </w:t>
      </w:r>
    </w:p>
    <w:p w:rsidR="00AB696B" w:rsidRDefault="00980A49" w:rsidP="000114BA">
      <w:pPr>
        <w:ind w:left="851" w:right="92"/>
      </w:pPr>
      <w:r>
        <w:t>Les factures sont établies alors en un seul original et envoyées à l’adresse suivante : DICOM - GS</w:t>
      </w:r>
      <w:r w:rsidR="0015469E">
        <w:t>C</w:t>
      </w:r>
      <w:r>
        <w:t xml:space="preserve"> NC – D</w:t>
      </w:r>
      <w:r w:rsidR="002745C6">
        <w:t>AF</w:t>
      </w:r>
      <w:r>
        <w:t>/</w:t>
      </w:r>
      <w:r w:rsidR="002745C6">
        <w:t>BA</w:t>
      </w:r>
      <w:r>
        <w:t xml:space="preserve">– Caserne </w:t>
      </w:r>
      <w:proofErr w:type="spellStart"/>
      <w:r>
        <w:t>Gally</w:t>
      </w:r>
      <w:proofErr w:type="spellEnd"/>
      <w:r>
        <w:t xml:space="preserve"> </w:t>
      </w:r>
      <w:proofErr w:type="spellStart"/>
      <w:r>
        <w:t>Passebosc</w:t>
      </w:r>
      <w:proofErr w:type="spellEnd"/>
      <w:r>
        <w:t xml:space="preserve"> – BP 38 – 988843 NOUMEA Cedex. </w:t>
      </w:r>
    </w:p>
    <w:p w:rsidR="00AB696B" w:rsidRDefault="00980A49" w:rsidP="000114BA">
      <w:pPr>
        <w:spacing w:after="131" w:line="249" w:lineRule="auto"/>
        <w:ind w:left="851" w:hanging="10"/>
        <w:jc w:val="left"/>
      </w:pPr>
      <w:r>
        <w:rPr>
          <w:b/>
        </w:rPr>
        <w:t>Pour le RSMA :</w:t>
      </w:r>
      <w:r>
        <w:t xml:space="preserve">  </w:t>
      </w:r>
    </w:p>
    <w:p w:rsidR="00AB696B" w:rsidRDefault="00980A49" w:rsidP="000114BA">
      <w:pPr>
        <w:ind w:left="851"/>
      </w:pPr>
      <w:r>
        <w:t xml:space="preserve">Les factures sont envoyées à l’adresse suivante :  RSMA – BP 41 – 98850 Koumac cedex.  </w:t>
      </w:r>
    </w:p>
    <w:p w:rsidR="00AB696B" w:rsidRDefault="00980A49" w:rsidP="000114BA">
      <w:pPr>
        <w:spacing w:after="9"/>
        <w:ind w:left="851"/>
      </w:pPr>
      <w:r>
        <w:lastRenderedPageBreak/>
        <w:t xml:space="preserve">En cas de besoin le titulaire peut obtenir toutes les informations nécessaires à l’adresse mail suivante : </w:t>
      </w:r>
      <w:r w:rsidR="0006786F">
        <w:t xml:space="preserve"> </w:t>
      </w:r>
      <w:r>
        <w:rPr>
          <w:color w:val="0000FF"/>
          <w:u w:val="single" w:color="0000FF"/>
        </w:rPr>
        <w:t>marches@rsma.nc</w:t>
      </w:r>
      <w:r>
        <w:t xml:space="preserve"> </w:t>
      </w:r>
    </w:p>
    <w:p w:rsidR="0006786F" w:rsidRDefault="00980A49">
      <w:pPr>
        <w:spacing w:after="95" w:line="259" w:lineRule="auto"/>
        <w:ind w:left="360" w:firstLine="0"/>
        <w:jc w:val="left"/>
      </w:pPr>
      <w:r>
        <w:t xml:space="preserve"> </w:t>
      </w:r>
    </w:p>
    <w:p w:rsidR="00AB696B" w:rsidRDefault="00980A49" w:rsidP="000114BA">
      <w:pPr>
        <w:pStyle w:val="Titre3"/>
        <w:ind w:left="851"/>
      </w:pPr>
      <w:bookmarkStart w:id="54" w:name="_Toc203463174"/>
      <w:r>
        <w:t>10.4 Modalités et délai de paiement</w:t>
      </w:r>
      <w:bookmarkEnd w:id="54"/>
      <w:r>
        <w:t xml:space="preserve"> </w:t>
      </w:r>
    </w:p>
    <w:p w:rsidR="00AB696B" w:rsidRDefault="00980A49" w:rsidP="000114BA">
      <w:pPr>
        <w:spacing w:after="148"/>
        <w:ind w:left="851"/>
      </w:pPr>
      <w:r>
        <w:t>Le règlement des sommes dues en exécution du présent accord cadre est effectué par virement établi par la DICOM-GS</w:t>
      </w:r>
      <w:r w:rsidR="00816360">
        <w:t>C</w:t>
      </w:r>
      <w:r>
        <w:t xml:space="preserve"> Nouvelle-Calédonie, suivant les règles de la comptabilité publique. </w:t>
      </w:r>
    </w:p>
    <w:p w:rsidR="00AB696B" w:rsidRDefault="00980A49" w:rsidP="000114BA">
      <w:pPr>
        <w:ind w:left="851"/>
      </w:pPr>
      <w:r>
        <w:t xml:space="preserve">Conformément à l’article R2192-10 du code de la commande publique, l’administration s’engage sur un délai global de paiement de trente (30) jours après la date : </w:t>
      </w:r>
    </w:p>
    <w:p w:rsidR="00AB696B" w:rsidRDefault="00980A49" w:rsidP="000114BA">
      <w:pPr>
        <w:numPr>
          <w:ilvl w:val="0"/>
          <w:numId w:val="11"/>
        </w:numPr>
        <w:spacing w:after="42"/>
        <w:ind w:left="851" w:firstLine="0"/>
      </w:pPr>
      <w:proofErr w:type="gramStart"/>
      <w:r>
        <w:t>soit</w:t>
      </w:r>
      <w:proofErr w:type="gramEnd"/>
      <w:r>
        <w:t xml:space="preserve"> du dépôt dématérialisé de la facture sur le portail Chorus-pro ou de réception de la facture par courrier si la prestation est admise ; </w:t>
      </w:r>
    </w:p>
    <w:p w:rsidR="00AB696B" w:rsidRDefault="00980A49" w:rsidP="000114BA">
      <w:pPr>
        <w:numPr>
          <w:ilvl w:val="0"/>
          <w:numId w:val="11"/>
        </w:numPr>
        <w:spacing w:after="75"/>
        <w:ind w:left="851" w:firstLine="0"/>
      </w:pPr>
      <w:proofErr w:type="gramStart"/>
      <w:r>
        <w:t>soit</w:t>
      </w:r>
      <w:proofErr w:type="gramEnd"/>
      <w:r>
        <w:t xml:space="preserve"> de l’admission de la prestation si la date de dépôt de la facture lui est antérieure. </w:t>
      </w:r>
    </w:p>
    <w:p w:rsidR="00AB696B" w:rsidRDefault="00980A49" w:rsidP="000114BA">
      <w:pPr>
        <w:spacing w:after="150"/>
        <w:ind w:left="851"/>
      </w:pPr>
      <w:r>
        <w:t xml:space="preserve">Le défaut de paiement dans le délai prévu dans l’accord cadre fait courir de plein droit au profit du titulaire, sans autres formalités, des intérêts moratoires à partir du jour suivant l’expiration dudit délai jusqu’à la date de mise en paiement. </w:t>
      </w:r>
    </w:p>
    <w:p w:rsidR="00AB696B" w:rsidRDefault="00980A49" w:rsidP="000114BA">
      <w:pPr>
        <w:ind w:left="851"/>
      </w:pPr>
      <w: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w:t>
      </w:r>
    </w:p>
    <w:p w:rsidR="00AB696B" w:rsidRDefault="00980A49" w:rsidP="000114BA">
      <w:pPr>
        <w:spacing w:after="129"/>
        <w:ind w:left="851"/>
      </w:pPr>
      <w:r>
        <w:t xml:space="preserve">Conformément à l’article R2192-35 du code de la commande publique, une indemnisation forfaitaire de 40 euros s’ajoute aux intérêts moratoires. </w:t>
      </w:r>
    </w:p>
    <w:p w:rsidR="00AB696B" w:rsidRDefault="00980A49" w:rsidP="000114BA">
      <w:pPr>
        <w:ind w:left="851"/>
      </w:pPr>
      <w:r>
        <w:t xml:space="preserve">Lorsque le dépassement du délai n’est pas imputable à la personne publique contractante, ou au comptable de l’Etat au sens de l’article 238 du décret 2012-1246 du 07 novembre 2012 relatif à la gestion budgétaire et comptable publique, aucun intérêt n’est exigible. </w:t>
      </w:r>
    </w:p>
    <w:p w:rsidR="00AB696B" w:rsidRDefault="00980A49" w:rsidP="000114BA">
      <w:pPr>
        <w:pStyle w:val="Titre3"/>
        <w:ind w:left="851"/>
      </w:pPr>
      <w:bookmarkStart w:id="55" w:name="_Toc203463175"/>
      <w:r>
        <w:t>10.5 Avance</w:t>
      </w:r>
      <w:bookmarkEnd w:id="55"/>
      <w:r>
        <w:t xml:space="preserve">  </w:t>
      </w:r>
    </w:p>
    <w:p w:rsidR="00AB696B" w:rsidRDefault="00980A49" w:rsidP="000114BA">
      <w:pPr>
        <w:ind w:left="851"/>
      </w:pPr>
      <w:r>
        <w:t xml:space="preserve">Une avance pourra être versée au titulaire qui en fait la demande conformément aux articles L2191-2, L2191-3 et R2191-3 à R2191-19 du code de la commande publique. </w:t>
      </w:r>
    </w:p>
    <w:p w:rsidR="00AB696B" w:rsidRDefault="00980A49" w:rsidP="000114BA">
      <w:pPr>
        <w:spacing w:after="148"/>
        <w:ind w:left="851"/>
      </w:pPr>
      <w:r>
        <w:t xml:space="preserve">Une avance dont le montant est fixé à 20% du montant initial toutes taxes comprises de l’accord cadre peut être accordée au titulaire de l’accord cadre, si ce dernier en fait la demande dans l’acte d’engagement et si les conditions règlementaires sont réunies. </w:t>
      </w:r>
    </w:p>
    <w:p w:rsidR="00AB696B" w:rsidRDefault="00980A49" w:rsidP="000114BA">
      <w:pPr>
        <w:ind w:left="851"/>
      </w:pPr>
      <w:r>
        <w:t xml:space="preserve">Le remboursement de l’avance s’impute sur les sommes dues au titulaire suivant la réglementation.  </w:t>
      </w:r>
    </w:p>
    <w:p w:rsidR="00AB696B" w:rsidRDefault="00980A49" w:rsidP="000114BA">
      <w:pPr>
        <w:pStyle w:val="Titre3"/>
        <w:ind w:left="851"/>
      </w:pPr>
      <w:bookmarkStart w:id="56" w:name="_Toc203463176"/>
      <w:r>
        <w:t>10.6 Acomptes</w:t>
      </w:r>
      <w:bookmarkEnd w:id="56"/>
      <w:r>
        <w:t xml:space="preserve"> </w:t>
      </w:r>
    </w:p>
    <w:p w:rsidR="00AB696B" w:rsidRDefault="002B128D" w:rsidP="000114BA">
      <w:pPr>
        <w:ind w:left="851"/>
      </w:pPr>
      <w:r>
        <w:t>Le marché ne prévoit pas le versement d’acomptes.</w:t>
      </w:r>
      <w:r w:rsidR="00980A49">
        <w:t xml:space="preserve"> </w:t>
      </w:r>
    </w:p>
    <w:p w:rsidR="00AB696B" w:rsidRDefault="00980A49" w:rsidP="000114BA">
      <w:pPr>
        <w:pStyle w:val="Titre3"/>
        <w:ind w:left="851"/>
      </w:pPr>
      <w:bookmarkStart w:id="57" w:name="_Toc203463177"/>
      <w:r>
        <w:t>10.7 Nantissement</w:t>
      </w:r>
      <w:bookmarkEnd w:id="57"/>
      <w:r>
        <w:t xml:space="preserve"> </w:t>
      </w:r>
    </w:p>
    <w:p w:rsidR="00AB696B" w:rsidRDefault="00980A49" w:rsidP="000114BA">
      <w:pPr>
        <w:spacing w:after="0"/>
        <w:ind w:left="851"/>
      </w:pPr>
      <w:r>
        <w:t xml:space="preserve">La personne publique délivre sur demande du titulaire, sans frais, les pièces nécessaires pour une remise de l’accord cadre en nantissement dans les conditions prévues aux articles L2191-8 et R2191-45 à R2191-60 du code de la commande publique. Toute cession de créances sera directement notifiée au comptable assignataire par l’établissement cessionnaire. </w:t>
      </w:r>
    </w:p>
    <w:p w:rsidR="00AB696B" w:rsidRDefault="00980A49" w:rsidP="000114BA">
      <w:pPr>
        <w:spacing w:after="0" w:line="259" w:lineRule="auto"/>
        <w:ind w:left="851" w:firstLine="0"/>
        <w:jc w:val="left"/>
      </w:pPr>
      <w:r>
        <w:t xml:space="preserve"> </w:t>
      </w:r>
      <w:r>
        <w:tab/>
        <w:t xml:space="preserve"> </w:t>
      </w:r>
    </w:p>
    <w:p w:rsidR="00EA01AB" w:rsidRDefault="00EA01AB" w:rsidP="000114BA">
      <w:pPr>
        <w:spacing w:after="0" w:line="259" w:lineRule="auto"/>
        <w:ind w:left="851" w:firstLine="0"/>
        <w:jc w:val="left"/>
      </w:pPr>
    </w:p>
    <w:p w:rsidR="00EA01AB" w:rsidRDefault="00EA01AB" w:rsidP="000114BA">
      <w:pPr>
        <w:spacing w:after="0" w:line="259" w:lineRule="auto"/>
        <w:ind w:left="851" w:firstLine="0"/>
        <w:jc w:val="left"/>
      </w:pPr>
    </w:p>
    <w:p w:rsidR="00EA01AB" w:rsidRDefault="00EA01AB" w:rsidP="000114BA">
      <w:pPr>
        <w:spacing w:after="0" w:line="259" w:lineRule="auto"/>
        <w:ind w:left="851" w:firstLine="0"/>
        <w:jc w:val="left"/>
      </w:pPr>
    </w:p>
    <w:p w:rsidR="00EA01AB" w:rsidRDefault="00EA01AB" w:rsidP="000114BA">
      <w:pPr>
        <w:spacing w:after="0" w:line="259" w:lineRule="auto"/>
        <w:ind w:left="851" w:firstLine="0"/>
        <w:jc w:val="left"/>
      </w:pPr>
    </w:p>
    <w:p w:rsidR="00EA01AB" w:rsidRDefault="00EA01AB" w:rsidP="000114BA">
      <w:pPr>
        <w:spacing w:after="0" w:line="259" w:lineRule="auto"/>
        <w:ind w:left="851" w:firstLine="0"/>
        <w:jc w:val="left"/>
      </w:pPr>
    </w:p>
    <w:p w:rsidR="00EA01AB" w:rsidRDefault="00EA01AB" w:rsidP="000114BA">
      <w:pPr>
        <w:spacing w:after="0" w:line="259" w:lineRule="auto"/>
        <w:ind w:left="851" w:firstLine="0"/>
        <w:jc w:val="left"/>
      </w:pPr>
    </w:p>
    <w:p w:rsidR="00AB696B" w:rsidRDefault="00980A49" w:rsidP="000114BA">
      <w:pPr>
        <w:pStyle w:val="Titre3"/>
        <w:ind w:left="851"/>
      </w:pPr>
      <w:bookmarkStart w:id="58" w:name="_Toc203463178"/>
      <w:r>
        <w:lastRenderedPageBreak/>
        <w:t>10.8 Personnes concernées</w:t>
      </w:r>
      <w:bookmarkEnd w:id="58"/>
      <w:r>
        <w:t xml:space="preserve"> </w:t>
      </w:r>
    </w:p>
    <w:p w:rsidR="00AB696B" w:rsidRDefault="00980A49">
      <w:pPr>
        <w:spacing w:after="141" w:line="259" w:lineRule="auto"/>
        <w:ind w:left="722" w:right="1182" w:hanging="10"/>
        <w:jc w:val="center"/>
      </w:pPr>
      <w:r>
        <w:rPr>
          <w:b/>
        </w:rPr>
        <w:t xml:space="preserve">Comptable assignataire des paiements : </w:t>
      </w:r>
    </w:p>
    <w:p w:rsidR="00AB696B" w:rsidRDefault="00980A49">
      <w:pPr>
        <w:spacing w:after="0" w:line="259" w:lineRule="auto"/>
        <w:ind w:left="573" w:right="1033" w:hanging="10"/>
        <w:jc w:val="center"/>
      </w:pPr>
      <w:r>
        <w:t xml:space="preserve">Monsieur l’administrateur des finances publiques </w:t>
      </w:r>
    </w:p>
    <w:p w:rsidR="00AB696B" w:rsidRDefault="00980A49">
      <w:pPr>
        <w:spacing w:after="4" w:line="246" w:lineRule="auto"/>
        <w:ind w:left="3711" w:right="2975" w:hanging="1205"/>
        <w:jc w:val="left"/>
      </w:pPr>
      <w:r>
        <w:t xml:space="preserve">Directeur des finances publiques de Nouvelle-Calédonie 4, rue Paul </w:t>
      </w:r>
      <w:proofErr w:type="spellStart"/>
      <w:r>
        <w:t>Monchovet</w:t>
      </w:r>
      <w:proofErr w:type="spellEnd"/>
      <w:r>
        <w:t xml:space="preserve"> – BP E4 98848 Nouméa cedex. </w:t>
      </w:r>
    </w:p>
    <w:p w:rsidR="00AB696B" w:rsidRDefault="00980A49">
      <w:pPr>
        <w:spacing w:after="0" w:line="259" w:lineRule="auto"/>
        <w:ind w:left="0" w:firstLine="0"/>
        <w:jc w:val="left"/>
      </w:pPr>
      <w:r>
        <w:t xml:space="preserve"> </w:t>
      </w:r>
    </w:p>
    <w:p w:rsidR="00AB696B" w:rsidRDefault="00980A49" w:rsidP="000114BA">
      <w:pPr>
        <w:ind w:left="851"/>
      </w:pPr>
      <w:r>
        <w:rPr>
          <w:b/>
        </w:rPr>
        <w:t xml:space="preserve">Représentant du Pouvoir Adjudicateur </w:t>
      </w:r>
      <w:r>
        <w:t>(désigné par arrêté du 22 juin 2007 modifié – JO du 14/07/2007) :</w:t>
      </w:r>
      <w:r>
        <w:rPr>
          <w:b/>
        </w:rPr>
        <w:t xml:space="preserve"> </w:t>
      </w:r>
    </w:p>
    <w:p w:rsidR="00AB696B" w:rsidRDefault="00980A49">
      <w:pPr>
        <w:spacing w:after="0" w:line="259" w:lineRule="auto"/>
        <w:ind w:left="573" w:right="1034" w:hanging="10"/>
        <w:jc w:val="center"/>
      </w:pPr>
      <w:r>
        <w:t>Monsieur le Commissaire en chef de 1</w:t>
      </w:r>
      <w:r>
        <w:rPr>
          <w:vertAlign w:val="superscript"/>
        </w:rPr>
        <w:t>ère</w:t>
      </w:r>
      <w:r>
        <w:t xml:space="preserve"> classe </w:t>
      </w:r>
    </w:p>
    <w:p w:rsidR="00AB696B" w:rsidRDefault="00980A49">
      <w:pPr>
        <w:spacing w:after="9"/>
        <w:ind w:left="1914"/>
      </w:pPr>
      <w:r>
        <w:t>Directeur du commissariat et chef du GS</w:t>
      </w:r>
      <w:r w:rsidR="00816360">
        <w:t>C</w:t>
      </w:r>
      <w:r>
        <w:t xml:space="preserve"> Nouvelle-Calédonie </w:t>
      </w:r>
    </w:p>
    <w:p w:rsidR="00AB696B" w:rsidRDefault="00980A49">
      <w:pPr>
        <w:spacing w:after="0" w:line="259" w:lineRule="auto"/>
        <w:ind w:left="573" w:right="1029" w:hanging="10"/>
        <w:jc w:val="center"/>
      </w:pPr>
      <w:r>
        <w:t xml:space="preserve">Caserne </w:t>
      </w:r>
      <w:proofErr w:type="spellStart"/>
      <w:r>
        <w:t>Gally-Passebosc</w:t>
      </w:r>
      <w:proofErr w:type="spellEnd"/>
      <w:r>
        <w:t xml:space="preserve"> – BP 38 </w:t>
      </w:r>
    </w:p>
    <w:p w:rsidR="00AB696B" w:rsidRDefault="00980A49">
      <w:pPr>
        <w:spacing w:after="129" w:line="259" w:lineRule="auto"/>
        <w:ind w:left="573" w:right="1029" w:hanging="10"/>
        <w:jc w:val="center"/>
      </w:pPr>
      <w:r>
        <w:t xml:space="preserve">98 348 Nouméa cedex </w:t>
      </w:r>
    </w:p>
    <w:p w:rsidR="00AB696B" w:rsidRDefault="00980A49" w:rsidP="00196BAF">
      <w:pPr>
        <w:pStyle w:val="Titre1"/>
        <w:ind w:left="567"/>
        <w:jc w:val="both"/>
      </w:pPr>
      <w:bookmarkStart w:id="59" w:name="_Toc203463179"/>
      <w:r w:rsidRPr="00196BAF">
        <w:t>ARTICLE 11 : MODIFICATIONS DES CARACTERISTIQUES ADMINISTRATIVES ET JURIDIQUES DE L’ENTREPRISE DU TITULAIRE</w:t>
      </w:r>
      <w:bookmarkEnd w:id="59"/>
      <w:r>
        <w:t xml:space="preserve"> </w:t>
      </w:r>
    </w:p>
    <w:p w:rsidR="00AB696B" w:rsidRDefault="00980A49" w:rsidP="000114BA">
      <w:pPr>
        <w:spacing w:before="120" w:after="0" w:line="312" w:lineRule="auto"/>
        <w:ind w:left="709" w:hanging="6"/>
      </w:pPr>
      <w:r>
        <w:t xml:space="preserve">Toute modification intervenant au sein de la société pendant la durée de l’accord cadre doit être impérativement notifiée par lettre recommandée avec accusé de réception, au </w:t>
      </w:r>
      <w:r>
        <w:rPr>
          <w:sz w:val="24"/>
        </w:rPr>
        <w:t xml:space="preserve">représentant du </w:t>
      </w:r>
      <w:r>
        <w:t xml:space="preserve">pouvoir adjudicateur. </w:t>
      </w:r>
    </w:p>
    <w:p w:rsidR="00AB696B" w:rsidRDefault="00980A49" w:rsidP="000114BA">
      <w:pPr>
        <w:spacing w:after="217"/>
        <w:ind w:left="709"/>
      </w:pPr>
      <w:r>
        <w:t xml:space="preserve">Sans que cette liste soit exhaustive, celle-ci peut concerner : </w:t>
      </w:r>
    </w:p>
    <w:p w:rsidR="00AB696B" w:rsidRDefault="00980A49" w:rsidP="000114BA">
      <w:pPr>
        <w:numPr>
          <w:ilvl w:val="0"/>
          <w:numId w:val="12"/>
        </w:numPr>
        <w:spacing w:after="216"/>
        <w:ind w:left="709" w:hanging="137"/>
      </w:pPr>
      <w:proofErr w:type="gramStart"/>
      <w:r>
        <w:t>la</w:t>
      </w:r>
      <w:proofErr w:type="gramEnd"/>
      <w:r>
        <w:t xml:space="preserve"> personne ayant le pouvoir d’engager la société ; </w:t>
      </w:r>
    </w:p>
    <w:p w:rsidR="00AB696B" w:rsidRDefault="00980A49" w:rsidP="000114BA">
      <w:pPr>
        <w:numPr>
          <w:ilvl w:val="0"/>
          <w:numId w:val="12"/>
        </w:numPr>
        <w:spacing w:after="217"/>
        <w:ind w:left="709" w:hanging="137"/>
      </w:pPr>
      <w:proofErr w:type="gramStart"/>
      <w:r>
        <w:t>la</w:t>
      </w:r>
      <w:proofErr w:type="gramEnd"/>
      <w:r>
        <w:t xml:space="preserve"> forme de l’entreprise ;  </w:t>
      </w:r>
    </w:p>
    <w:p w:rsidR="00AB696B" w:rsidRDefault="00980A49" w:rsidP="000114BA">
      <w:pPr>
        <w:numPr>
          <w:ilvl w:val="0"/>
          <w:numId w:val="12"/>
        </w:numPr>
        <w:spacing w:after="211"/>
        <w:ind w:left="709" w:hanging="137"/>
      </w:pPr>
      <w:proofErr w:type="gramStart"/>
      <w:r>
        <w:t>la</w:t>
      </w:r>
      <w:proofErr w:type="gramEnd"/>
      <w:r>
        <w:t xml:space="preserve"> raison sociale ou dénomination ; </w:t>
      </w:r>
    </w:p>
    <w:p w:rsidR="00AB696B" w:rsidRDefault="00980A49" w:rsidP="000114BA">
      <w:pPr>
        <w:numPr>
          <w:ilvl w:val="0"/>
          <w:numId w:val="12"/>
        </w:numPr>
        <w:spacing w:after="216"/>
        <w:ind w:left="709" w:hanging="137"/>
      </w:pPr>
      <w:proofErr w:type="gramStart"/>
      <w:r>
        <w:t>l’adresse</w:t>
      </w:r>
      <w:proofErr w:type="gramEnd"/>
      <w:r>
        <w:t xml:space="preserve"> ; </w:t>
      </w:r>
    </w:p>
    <w:p w:rsidR="00AB696B" w:rsidRDefault="00980A49" w:rsidP="000114BA">
      <w:pPr>
        <w:numPr>
          <w:ilvl w:val="0"/>
          <w:numId w:val="12"/>
        </w:numPr>
        <w:spacing w:after="217"/>
        <w:ind w:left="709" w:hanging="137"/>
      </w:pPr>
      <w:proofErr w:type="gramStart"/>
      <w:r>
        <w:t>le</w:t>
      </w:r>
      <w:proofErr w:type="gramEnd"/>
      <w:r>
        <w:t xml:space="preserve"> capital de l’entreprise ; </w:t>
      </w:r>
    </w:p>
    <w:p w:rsidR="00AB696B" w:rsidRDefault="00980A49" w:rsidP="000114BA">
      <w:pPr>
        <w:numPr>
          <w:ilvl w:val="0"/>
          <w:numId w:val="12"/>
        </w:numPr>
        <w:spacing w:after="176"/>
        <w:ind w:left="709" w:hanging="137"/>
      </w:pPr>
      <w:proofErr w:type="gramStart"/>
      <w:r>
        <w:t>le</w:t>
      </w:r>
      <w:proofErr w:type="gramEnd"/>
      <w:r>
        <w:t xml:space="preserve"> numéro de compte bancaire à créditer ; </w:t>
      </w:r>
    </w:p>
    <w:p w:rsidR="00AB696B" w:rsidRDefault="00980A49" w:rsidP="000114BA">
      <w:pPr>
        <w:numPr>
          <w:ilvl w:val="0"/>
          <w:numId w:val="12"/>
        </w:numPr>
        <w:spacing w:line="324" w:lineRule="auto"/>
        <w:ind w:left="709" w:hanging="137"/>
      </w:pPr>
      <w:proofErr w:type="gramStart"/>
      <w:r>
        <w:t>et</w:t>
      </w:r>
      <w:proofErr w:type="gramEnd"/>
      <w:r>
        <w:t xml:space="preserve"> de façon générale, toutes les modifications importantes sur le fonctionnement de l’entreprise pouvant influer sur le déroulement de l’accord cadre. </w:t>
      </w:r>
    </w:p>
    <w:p w:rsidR="00AB696B" w:rsidRDefault="00980A49" w:rsidP="000114BA">
      <w:pPr>
        <w:pStyle w:val="Titre1"/>
        <w:ind w:left="567"/>
      </w:pPr>
      <w:bookmarkStart w:id="60" w:name="_Toc203463180"/>
      <w:r>
        <w:t>ARTICLE 12 : EXECUTION DES PRESTATIONS AUX FRAIS ET RISQUES DU TITULAIRE</w:t>
      </w:r>
      <w:bookmarkEnd w:id="60"/>
      <w:r>
        <w:t xml:space="preserve"> </w:t>
      </w:r>
    </w:p>
    <w:p w:rsidR="002B128D" w:rsidRPr="002B128D" w:rsidRDefault="002B128D" w:rsidP="000114BA">
      <w:pPr>
        <w:autoSpaceDE w:val="0"/>
        <w:autoSpaceDN w:val="0"/>
        <w:adjustRightInd w:val="0"/>
        <w:spacing w:after="0" w:line="240" w:lineRule="auto"/>
        <w:ind w:left="567" w:firstLine="0"/>
        <w:rPr>
          <w:rFonts w:eastAsiaTheme="minorEastAsia"/>
        </w:rPr>
      </w:pPr>
      <w:r w:rsidRPr="002B128D">
        <w:rPr>
          <w:rFonts w:eastAsiaTheme="minorEastAsia"/>
        </w:rPr>
        <w:t xml:space="preserve">Le titulaire sera impérativement tenu aux délais et aux obligations contractuelles prévus au présent accord-cadre. S'il se trouve dans l'impossibilité d'exécuter les prestations, pour une raison quelconque, il devra en informer immédiatement le service bénéficiaire par courriel, suivi d’un appel téléphonique. </w:t>
      </w:r>
    </w:p>
    <w:p w:rsidR="002B128D" w:rsidRPr="002B128D" w:rsidRDefault="002B128D" w:rsidP="000114BA">
      <w:pPr>
        <w:autoSpaceDE w:val="0"/>
        <w:autoSpaceDN w:val="0"/>
        <w:adjustRightInd w:val="0"/>
        <w:spacing w:after="0" w:line="240" w:lineRule="auto"/>
        <w:ind w:left="567" w:firstLine="0"/>
        <w:rPr>
          <w:rFonts w:eastAsiaTheme="minorEastAsia"/>
        </w:rPr>
      </w:pPr>
      <w:r w:rsidRPr="002B128D">
        <w:rPr>
          <w:rFonts w:eastAsiaTheme="minorEastAsia"/>
        </w:rPr>
        <w:t xml:space="preserve">L’attention du titulaire est attirée sur le fait que l’Administration (service acheteur) peut faire exécuter les prestations de l’accord-cadre à ses frais et risques, conformément à l’article 45 du CCAG/FCS, en cas : </w:t>
      </w:r>
    </w:p>
    <w:p w:rsidR="002B128D" w:rsidRPr="002B128D" w:rsidRDefault="002B128D" w:rsidP="000114BA">
      <w:pPr>
        <w:autoSpaceDE w:val="0"/>
        <w:autoSpaceDN w:val="0"/>
        <w:adjustRightInd w:val="0"/>
        <w:spacing w:after="14" w:line="240" w:lineRule="auto"/>
        <w:ind w:left="567" w:firstLine="0"/>
        <w:rPr>
          <w:rFonts w:eastAsiaTheme="minorEastAsia"/>
        </w:rPr>
      </w:pPr>
      <w:r w:rsidRPr="002B128D">
        <w:rPr>
          <w:rFonts w:eastAsiaTheme="minorEastAsia"/>
        </w:rPr>
        <w:t xml:space="preserve">- de résiliation prononcée à ses torts ; </w:t>
      </w:r>
    </w:p>
    <w:p w:rsidR="002B128D" w:rsidRPr="002B128D" w:rsidRDefault="002B128D" w:rsidP="000114BA">
      <w:pPr>
        <w:autoSpaceDE w:val="0"/>
        <w:autoSpaceDN w:val="0"/>
        <w:adjustRightInd w:val="0"/>
        <w:spacing w:after="0" w:line="240" w:lineRule="auto"/>
        <w:ind w:left="567" w:firstLine="0"/>
        <w:rPr>
          <w:rFonts w:eastAsiaTheme="minorEastAsia"/>
        </w:rPr>
      </w:pPr>
      <w:r w:rsidRPr="002B128D">
        <w:rPr>
          <w:rFonts w:eastAsiaTheme="minorEastAsia"/>
        </w:rPr>
        <w:t xml:space="preserve">- d’inexécution d’une prestation qui, par nature, ne peut souffrir aucun retard. </w:t>
      </w:r>
    </w:p>
    <w:p w:rsidR="002B128D" w:rsidRPr="002B128D" w:rsidRDefault="002B128D" w:rsidP="000114BA">
      <w:pPr>
        <w:autoSpaceDE w:val="0"/>
        <w:autoSpaceDN w:val="0"/>
        <w:adjustRightInd w:val="0"/>
        <w:spacing w:after="0" w:line="240" w:lineRule="auto"/>
        <w:ind w:left="567" w:firstLine="0"/>
        <w:rPr>
          <w:rFonts w:eastAsiaTheme="minorEastAsia"/>
        </w:rPr>
      </w:pPr>
    </w:p>
    <w:p w:rsidR="002B128D" w:rsidRPr="002B128D" w:rsidRDefault="002B128D" w:rsidP="000114BA">
      <w:pPr>
        <w:autoSpaceDE w:val="0"/>
        <w:autoSpaceDN w:val="0"/>
        <w:adjustRightInd w:val="0"/>
        <w:spacing w:after="0" w:line="240" w:lineRule="auto"/>
        <w:ind w:left="567" w:firstLine="0"/>
        <w:rPr>
          <w:rFonts w:eastAsiaTheme="minorEastAsia"/>
        </w:rPr>
      </w:pPr>
      <w:r w:rsidRPr="002B128D">
        <w:rPr>
          <w:rFonts w:eastAsiaTheme="minorEastAsia"/>
        </w:rPr>
        <w:t xml:space="preserve">Si le pouvoir adjudicateur prend la décision de mettre en </w:t>
      </w:r>
      <w:r w:rsidR="00D27C0A" w:rsidRPr="002B128D">
        <w:rPr>
          <w:rFonts w:eastAsiaTheme="minorEastAsia"/>
        </w:rPr>
        <w:t>œuvre</w:t>
      </w:r>
      <w:r w:rsidRPr="002B128D">
        <w:rPr>
          <w:rFonts w:eastAsiaTheme="minorEastAsia"/>
        </w:rPr>
        <w:t xml:space="preserve"> cette procédure, le titulaire en sera informé par écrit. </w:t>
      </w:r>
    </w:p>
    <w:p w:rsidR="002745C6" w:rsidRDefault="002B128D" w:rsidP="000114BA">
      <w:pPr>
        <w:ind w:left="567"/>
      </w:pPr>
      <w:r w:rsidRPr="002B128D">
        <w:rPr>
          <w:rFonts w:eastAsiaTheme="minorEastAsia"/>
        </w:rPr>
        <w:t xml:space="preserve">Le titulaire de l’accord-cadre ne sera pas admis à prendre part, ni directement, ni indirectement, à l'exécution des prestations réalisées à ses frais et risques. L'augmentation des dépenses par </w:t>
      </w:r>
      <w:r w:rsidRPr="002B128D">
        <w:rPr>
          <w:rFonts w:eastAsiaTheme="minorEastAsia"/>
        </w:rPr>
        <w:lastRenderedPageBreak/>
        <w:t>rapport aux prix de l’accord-cadre résultant de l'exécution des prestations par un autre prestataire choisi par l'administration demeurera à sa charge. La diminution des dépenses ne lui profitera pas.</w:t>
      </w:r>
    </w:p>
    <w:p w:rsidR="00AB696B" w:rsidRDefault="00980A49" w:rsidP="002B128D">
      <w:pPr>
        <w:spacing w:after="9" w:line="259" w:lineRule="auto"/>
        <w:ind w:left="284" w:firstLine="0"/>
      </w:pPr>
      <w:r>
        <w:t xml:space="preserve"> </w:t>
      </w:r>
    </w:p>
    <w:p w:rsidR="00AB696B" w:rsidRDefault="00980A49" w:rsidP="00196BAF">
      <w:pPr>
        <w:pStyle w:val="Titre1"/>
        <w:ind w:left="567"/>
      </w:pPr>
      <w:bookmarkStart w:id="61" w:name="_Toc203463181"/>
      <w:r w:rsidRPr="00196BAF">
        <w:t>ARTICLE 13 : MARCHES DE PRESTATIONS</w:t>
      </w:r>
      <w:r w:rsidR="002745C6" w:rsidRPr="00196BAF">
        <w:t xml:space="preserve"> SIMILAIRES</w:t>
      </w:r>
      <w:bookmarkEnd w:id="61"/>
      <w:r w:rsidRPr="00196BAF">
        <w:t xml:space="preserve"> </w:t>
      </w:r>
    </w:p>
    <w:p w:rsidR="00AB696B" w:rsidRDefault="00980A49" w:rsidP="000114BA">
      <w:pPr>
        <w:spacing w:before="120"/>
        <w:ind w:left="567" w:hanging="6"/>
      </w:pPr>
      <w:r w:rsidRPr="002B128D">
        <w:t>Le représentant du pouvoir adjudicateur se réserve le droit de mettre en application l'article R.2122-7 du Code de la Commande Publique relatif à la passation de marchés négociés.</w:t>
      </w:r>
      <w:r w:rsidR="002B128D">
        <w:t xml:space="preserve"> La somme du montant de l’ensemble des marchés similaires est de 30% du montant maximum de l’accord-cadre.</w:t>
      </w:r>
      <w:r>
        <w:t xml:space="preserve"> </w:t>
      </w:r>
    </w:p>
    <w:p w:rsidR="009B608F" w:rsidRDefault="00980A49">
      <w:pPr>
        <w:spacing w:after="0" w:line="259" w:lineRule="auto"/>
        <w:ind w:left="0" w:firstLine="0"/>
        <w:jc w:val="left"/>
      </w:pPr>
      <w:r>
        <w:rPr>
          <w:color w:val="FF0000"/>
        </w:rPr>
        <w:t xml:space="preserve"> </w:t>
      </w:r>
    </w:p>
    <w:p w:rsidR="00AB696B" w:rsidRDefault="00980A49" w:rsidP="000114BA">
      <w:pPr>
        <w:pStyle w:val="Titre1"/>
        <w:ind w:left="567"/>
      </w:pPr>
      <w:bookmarkStart w:id="62" w:name="_Toc203463182"/>
      <w:r>
        <w:t>ARTICLE 14</w:t>
      </w:r>
      <w:r w:rsidR="00816360">
        <w:t xml:space="preserve"> </w:t>
      </w:r>
      <w:r>
        <w:t>: RESILIATION</w:t>
      </w:r>
      <w:bookmarkEnd w:id="62"/>
      <w:r>
        <w:t xml:space="preserve"> </w:t>
      </w:r>
    </w:p>
    <w:p w:rsidR="001C12E4" w:rsidRPr="00FF372E" w:rsidRDefault="001C12E4" w:rsidP="000114BA">
      <w:pPr>
        <w:suppressAutoHyphens/>
        <w:autoSpaceDE w:val="0"/>
        <w:autoSpaceDN w:val="0"/>
        <w:adjustRightInd w:val="0"/>
        <w:spacing w:before="120" w:after="120"/>
        <w:ind w:left="567"/>
      </w:pPr>
      <w:r w:rsidRPr="00D06419">
        <w:t>Il est fait ici application des articles 38 à 45 du CCAG/FCS.</w:t>
      </w:r>
      <w:r>
        <w:t xml:space="preserve"> En cas de résiliation pour motif d’intérêt général, par dérogation à l’article 38 du CCAG/FCS, le titulaire ne pourra prétendre à aucune indemnité.</w:t>
      </w:r>
    </w:p>
    <w:p w:rsidR="001C12E4" w:rsidRPr="00F504F4" w:rsidRDefault="001C12E4" w:rsidP="000114BA">
      <w:pPr>
        <w:tabs>
          <w:tab w:val="left" w:pos="1276"/>
        </w:tabs>
        <w:spacing w:before="120"/>
        <w:ind w:left="567"/>
      </w:pPr>
      <w:r w:rsidRPr="00F504F4">
        <w:t>Par dérogation à l’article 3</w:t>
      </w:r>
      <w:r>
        <w:t>8</w:t>
      </w:r>
      <w:r w:rsidRPr="00F504F4">
        <w:t xml:space="preserve"> du CCAG/FCS, le RPA se réserve le droit de mettre fin </w:t>
      </w:r>
      <w:r w:rsidR="00F9316B">
        <w:t xml:space="preserve">à un bon de commande ou </w:t>
      </w:r>
      <w:r w:rsidRPr="00F504F4">
        <w:t xml:space="preserve">à ce marché et sans indemnité pour le titulaire en cas de décision ministérielle de dissolution ou de restructuration ayant une incidence sur le déroulement de l’accord-cadre. </w:t>
      </w:r>
    </w:p>
    <w:p w:rsidR="002B128D" w:rsidRPr="00B16B89" w:rsidRDefault="002B128D" w:rsidP="000114BA">
      <w:pPr>
        <w:spacing w:line="259" w:lineRule="auto"/>
        <w:ind w:left="567"/>
        <w:rPr>
          <w:b/>
          <w:u w:val="single"/>
        </w:rPr>
      </w:pPr>
      <w:r w:rsidRPr="00B16B89">
        <w:rPr>
          <w:b/>
          <w:u w:val="single"/>
        </w:rPr>
        <w:t>Résiliation pour faute aux frais et risques du titulaire</w:t>
      </w:r>
    </w:p>
    <w:p w:rsidR="002B128D" w:rsidRPr="00B16B89" w:rsidRDefault="002B128D" w:rsidP="000114BA">
      <w:pPr>
        <w:ind w:left="567"/>
      </w:pPr>
      <w:r w:rsidRPr="00B16B89">
        <w:t xml:space="preserve">En l’absence de réponse du titulaire ou en cas de réponse insatisfaisante dans des délais fixés dans la lettre de mise en demeure, le RPA prend la décision d’une résiliation du marché sur le motif de la faute du titulaire.  Par conséquent, aucune indemnité n’est versée à ce dernier. </w:t>
      </w:r>
    </w:p>
    <w:p w:rsidR="002B128D" w:rsidRPr="00B16B89" w:rsidRDefault="002B128D" w:rsidP="000114BA">
      <w:pPr>
        <w:spacing w:after="23" w:line="259" w:lineRule="auto"/>
        <w:ind w:left="567"/>
      </w:pPr>
      <w:r w:rsidRPr="00B16B89">
        <w:t xml:space="preserve">En cas d’urgence impérieuse, le RPA se réserve la possibilité de solliciter les soumissionnaires évincés au terme de la mise en concurrence, dans l’ordre décroissant du classement final en application de l'exécution au frais et risques prévue à l’article 45 du CCAG-FCS. </w:t>
      </w:r>
    </w:p>
    <w:p w:rsidR="002B128D" w:rsidRPr="00B16B89" w:rsidRDefault="002B128D" w:rsidP="000114BA">
      <w:pPr>
        <w:spacing w:line="259" w:lineRule="auto"/>
        <w:ind w:left="567"/>
      </w:pPr>
      <w:r w:rsidRPr="00B16B89">
        <w:t>En cas d’accord du premier soumissionnaire sollicité, le marché lui est notifié, dans les mêmes conditions techniques que celui initialement notifié, puis résilié.</w:t>
      </w:r>
      <w:r w:rsidRPr="00B16B89">
        <w:rPr>
          <w:color w:val="70AD47"/>
        </w:rPr>
        <w:t xml:space="preserve">  </w:t>
      </w:r>
    </w:p>
    <w:p w:rsidR="002B128D" w:rsidRPr="00B16B89" w:rsidRDefault="002B128D" w:rsidP="000114BA">
      <w:pPr>
        <w:ind w:left="567"/>
      </w:pPr>
      <w:r w:rsidRPr="00B16B89">
        <w:t xml:space="preserve">Si nécessaire, cette procédure peut être reproduite tant qu’il subsiste des offres qui n’ont pas été écartées au motif qu’elles sont inappropriées, irrégulières ou inacceptables. </w:t>
      </w:r>
    </w:p>
    <w:p w:rsidR="002B128D" w:rsidRPr="00B16B89" w:rsidRDefault="002B128D" w:rsidP="000114BA">
      <w:pPr>
        <w:spacing w:line="259" w:lineRule="auto"/>
        <w:ind w:left="567"/>
      </w:pPr>
      <w:r w:rsidRPr="00B16B89">
        <w:t>Si aucun des soumissionnaires classés ne peut exécuter le marché dans les conditions décrites dans son offre, une nouvelle procédure peut être lancée. De même, si les conditions initiales du marché sont substantiellement modifiées, notamment en cas de modification du besoin initial, le RPA peut lancer une nouvelle procédure, avec une nouvelle mise en concurrence.</w:t>
      </w:r>
    </w:p>
    <w:p w:rsidR="002B128D" w:rsidRDefault="002B128D" w:rsidP="000114BA">
      <w:pPr>
        <w:ind w:left="567"/>
        <w:rPr>
          <w:color w:val="FF0000"/>
        </w:rPr>
      </w:pPr>
      <w:r w:rsidRPr="00B16B89">
        <w:t xml:space="preserve">Une lettre de mise en demeure adressée à un titulaire du marché matérialise une faute contractuelle susceptible d’entraîner une résiliation du marché pour faute du titulaire, dans les conditions définies à l’article </w:t>
      </w:r>
      <w:r w:rsidRPr="00B16B89">
        <w:rPr>
          <w:color w:val="0D0D0D" w:themeColor="text1" w:themeTint="F2"/>
        </w:rPr>
        <w:t>21</w:t>
      </w:r>
      <w:r w:rsidRPr="00B16B89">
        <w:t xml:space="preserve"> du marché et 41 du CCAG/FCS.  </w:t>
      </w:r>
    </w:p>
    <w:p w:rsidR="002B128D" w:rsidRDefault="002B128D" w:rsidP="0006786F">
      <w:pPr>
        <w:spacing w:after="9"/>
        <w:ind w:left="284"/>
      </w:pPr>
    </w:p>
    <w:p w:rsidR="00AB696B" w:rsidRDefault="00980A49" w:rsidP="000114BA">
      <w:pPr>
        <w:pStyle w:val="Titre1"/>
        <w:ind w:left="567"/>
      </w:pPr>
      <w:bookmarkStart w:id="63" w:name="_Toc203463183"/>
      <w:r>
        <w:t xml:space="preserve">ARTICLE 15 : </w:t>
      </w:r>
      <w:r w:rsidR="00CB2193">
        <w:t xml:space="preserve">DIFERRENDS ET </w:t>
      </w:r>
      <w:r>
        <w:t>LITIGES</w:t>
      </w:r>
      <w:bookmarkEnd w:id="63"/>
      <w:r>
        <w:t xml:space="preserve"> </w:t>
      </w:r>
    </w:p>
    <w:p w:rsidR="001C12E4" w:rsidRPr="00CB2193" w:rsidRDefault="001C12E4" w:rsidP="000114BA">
      <w:pPr>
        <w:autoSpaceDE w:val="0"/>
        <w:autoSpaceDN w:val="0"/>
        <w:adjustRightInd w:val="0"/>
        <w:spacing w:after="0" w:line="240" w:lineRule="auto"/>
        <w:ind w:left="567" w:firstLine="0"/>
        <w:jc w:val="left"/>
        <w:rPr>
          <w:rFonts w:eastAsiaTheme="minorEastAsia"/>
          <w:color w:val="auto"/>
          <w:u w:val="single"/>
        </w:rPr>
      </w:pPr>
      <w:r>
        <w:rPr>
          <w:rFonts w:eastAsiaTheme="minorEastAsia"/>
          <w:b/>
          <w:bCs/>
          <w:color w:val="auto"/>
          <w:u w:val="single"/>
        </w:rPr>
        <w:t>Différend</w:t>
      </w:r>
      <w:r w:rsidRPr="00CB2193">
        <w:rPr>
          <w:rFonts w:eastAsiaTheme="minorEastAsia"/>
          <w:b/>
          <w:bCs/>
          <w:color w:val="auto"/>
          <w:u w:val="single"/>
        </w:rPr>
        <w:t xml:space="preserve">s </w:t>
      </w:r>
    </w:p>
    <w:p w:rsidR="00A569A6" w:rsidRDefault="00CB2193" w:rsidP="000114BA">
      <w:pPr>
        <w:autoSpaceDE w:val="0"/>
        <w:autoSpaceDN w:val="0"/>
        <w:adjustRightInd w:val="0"/>
        <w:spacing w:after="0" w:line="240" w:lineRule="auto"/>
        <w:ind w:left="567" w:firstLine="0"/>
        <w:rPr>
          <w:rFonts w:eastAsiaTheme="minorEastAsia"/>
        </w:rPr>
      </w:pPr>
      <w:r w:rsidRPr="00CB2193">
        <w:rPr>
          <w:rFonts w:eastAsiaTheme="minorEastAsia"/>
        </w:rPr>
        <w:t xml:space="preserve">Le pouvoir adjudicateur et le titulaire s’efforceront de régler à l’amiable tout différend éventuel relatif à l’interprétation des stipulations de l’accord-cadre ou à l’exécution des prestations objet de l’accord-cadre. </w:t>
      </w:r>
    </w:p>
    <w:p w:rsidR="00A569A6" w:rsidRDefault="00A569A6" w:rsidP="000114BA">
      <w:pPr>
        <w:autoSpaceDE w:val="0"/>
        <w:autoSpaceDN w:val="0"/>
        <w:adjustRightInd w:val="0"/>
        <w:spacing w:after="0" w:line="240" w:lineRule="auto"/>
        <w:ind w:left="567" w:firstLine="0"/>
        <w:rPr>
          <w:rFonts w:eastAsiaTheme="minorEastAsia"/>
        </w:rPr>
      </w:pP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t xml:space="preserve">Tout différend entre le titulaire et le pouvoir adjudicateur doit faire l’objet, de la part du titulaire, d’un mémoire de réclamation exposant les motifs et indiquant, le cas échéant, le montant des sommes réclamées. Ce mémoire doit être communiqué au pouvoir adjudicateur dans le délai de deux mois, courant à compter du jour où le différend est apparu, sous peine de forclusion. </w:t>
      </w: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lastRenderedPageBreak/>
        <w:t xml:space="preserve">Le pouvoir adjudicateur dispose d’un délai de deux mois, courant à compter de la réception du mémoire de réclamation, pour notifier sa décision. L’absence de décision dans ce délai vaut rejet de la réclamation. </w:t>
      </w: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t xml:space="preserve">Un correspondant dit interlocuteur « entreprise » interne au service acheteur a été désigné pour traiter ce type de demande – point de contact : chef du bureau des achats du DICOM-GSC Nouvelle-Calédonie (téléphone : +687 29 28 52, adresse électronique : dicom.nc.ach.fct@intradef.gouv.fr. A défaut de résolution du litige ou différend au niveau de cet interlocuteur, l’entreprise peut saisir la mission ministérielle PME – point de contact : </w:t>
      </w:r>
      <w:hyperlink r:id="rId12" w:history="1">
        <w:r w:rsidR="001C12E4" w:rsidRPr="00CD6BC2">
          <w:rPr>
            <w:rStyle w:val="Lienhypertexte"/>
            <w:rFonts w:eastAsiaTheme="minorEastAsia" w:cs="Arial"/>
          </w:rPr>
          <w:t>missionministerielle.pme@defense.gouv.fr</w:t>
        </w:r>
      </w:hyperlink>
      <w:r w:rsidR="001C12E4">
        <w:rPr>
          <w:rFonts w:eastAsiaTheme="minorEastAsia"/>
          <w:color w:val="auto"/>
        </w:rPr>
        <w:t xml:space="preserve"> </w:t>
      </w:r>
      <w:r w:rsidRPr="00CB2193">
        <w:rPr>
          <w:rFonts w:eastAsiaTheme="minorEastAsia"/>
          <w:color w:val="auto"/>
        </w:rPr>
        <w:t xml:space="preserve">. </w:t>
      </w: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t xml:space="preserve">A défaut de résolution du litige ou différend au niveau de cet interlocuteur, l’entreprise peut saisir la mission ministérielle PME – point de contact : </w:t>
      </w:r>
      <w:hyperlink r:id="rId13" w:history="1">
        <w:r w:rsidR="001C12E4" w:rsidRPr="00CD6BC2">
          <w:rPr>
            <w:rStyle w:val="Lienhypertexte"/>
            <w:rFonts w:eastAsiaTheme="minorEastAsia" w:cs="Arial"/>
          </w:rPr>
          <w:t>missionministerielle.pme@defense.gouv.fr</w:t>
        </w:r>
      </w:hyperlink>
      <w:r w:rsidR="001C12E4">
        <w:rPr>
          <w:rFonts w:eastAsiaTheme="minorEastAsia"/>
          <w:color w:val="auto"/>
        </w:rPr>
        <w:t xml:space="preserve"> </w:t>
      </w:r>
      <w:r w:rsidRPr="00CB2193">
        <w:rPr>
          <w:rFonts w:eastAsiaTheme="minorEastAsia"/>
          <w:color w:val="auto"/>
        </w:rPr>
        <w:t xml:space="preserve">. </w:t>
      </w: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t xml:space="preserve">Hors cette médiation interne au ministère des armées, l’opérateur économique ou la personne publique peut demander à ce que les litiges ou les différends éventuels nés à l’occasion de l’exécution d’un marché ou d’un accord-cadre soient, conformément à la réglementation, soumis à la Médiation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équitable. </w:t>
      </w: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t xml:space="preserve">A défaut d’accord, il peut être recherché la solution juridictionnelle. </w:t>
      </w:r>
    </w:p>
    <w:p w:rsidR="00CB2193" w:rsidRDefault="00CB2193" w:rsidP="000114BA">
      <w:pPr>
        <w:autoSpaceDE w:val="0"/>
        <w:autoSpaceDN w:val="0"/>
        <w:adjustRightInd w:val="0"/>
        <w:spacing w:after="0" w:line="240" w:lineRule="auto"/>
        <w:ind w:left="567" w:firstLine="0"/>
        <w:jc w:val="left"/>
        <w:rPr>
          <w:rFonts w:eastAsiaTheme="minorEastAsia"/>
          <w:b/>
          <w:bCs/>
          <w:color w:val="auto"/>
          <w:u w:val="single"/>
        </w:rPr>
      </w:pPr>
    </w:p>
    <w:p w:rsidR="00CB2193" w:rsidRPr="00CB2193" w:rsidRDefault="00CB2193" w:rsidP="000114BA">
      <w:pPr>
        <w:autoSpaceDE w:val="0"/>
        <w:autoSpaceDN w:val="0"/>
        <w:adjustRightInd w:val="0"/>
        <w:spacing w:after="0" w:line="240" w:lineRule="auto"/>
        <w:ind w:left="567" w:firstLine="0"/>
        <w:jc w:val="left"/>
        <w:rPr>
          <w:rFonts w:eastAsiaTheme="minorEastAsia"/>
          <w:color w:val="auto"/>
          <w:u w:val="single"/>
        </w:rPr>
      </w:pPr>
      <w:r w:rsidRPr="00CB2193">
        <w:rPr>
          <w:rFonts w:eastAsiaTheme="minorEastAsia"/>
          <w:b/>
          <w:bCs/>
          <w:color w:val="auto"/>
          <w:u w:val="single"/>
        </w:rPr>
        <w:t xml:space="preserve">Litiges </w:t>
      </w:r>
    </w:p>
    <w:p w:rsidR="00CB2193" w:rsidRPr="00CB2193" w:rsidRDefault="00CB2193" w:rsidP="000114BA">
      <w:pPr>
        <w:autoSpaceDE w:val="0"/>
        <w:autoSpaceDN w:val="0"/>
        <w:adjustRightInd w:val="0"/>
        <w:spacing w:after="0" w:line="240" w:lineRule="auto"/>
        <w:ind w:left="567" w:firstLine="0"/>
        <w:rPr>
          <w:rFonts w:eastAsiaTheme="minorEastAsia"/>
          <w:color w:val="auto"/>
        </w:rPr>
      </w:pPr>
      <w:r w:rsidRPr="00CB2193">
        <w:rPr>
          <w:rFonts w:eastAsiaTheme="minorEastAsia"/>
          <w:color w:val="auto"/>
        </w:rPr>
        <w:t xml:space="preserve">Le présent accord-cadre est soumis au droit français et les juridictions françaises sont seules compétentes pour connaître des litiges. Les dispositions de l’article 46 du CCAG/FCS sont applicables. </w:t>
      </w:r>
    </w:p>
    <w:p w:rsidR="00CB2193" w:rsidRDefault="00CB2193" w:rsidP="000114BA">
      <w:pPr>
        <w:autoSpaceDE w:val="0"/>
        <w:autoSpaceDN w:val="0"/>
        <w:adjustRightInd w:val="0"/>
        <w:spacing w:after="0" w:line="240" w:lineRule="auto"/>
        <w:ind w:left="567" w:firstLine="0"/>
        <w:jc w:val="left"/>
        <w:rPr>
          <w:rFonts w:eastAsiaTheme="minorEastAsia"/>
          <w:color w:val="auto"/>
        </w:rPr>
      </w:pPr>
      <w:r w:rsidRPr="00CB2193">
        <w:rPr>
          <w:rFonts w:eastAsiaTheme="minorEastAsia"/>
          <w:color w:val="auto"/>
        </w:rPr>
        <w:t>La juridiction compétente pour recevoir les requêtes est le tr</w:t>
      </w:r>
      <w:r>
        <w:rPr>
          <w:rFonts w:eastAsiaTheme="minorEastAsia"/>
          <w:color w:val="auto"/>
        </w:rPr>
        <w:t xml:space="preserve">ibunal administratif de Nouméa </w:t>
      </w:r>
      <w:r w:rsidRPr="00CB2193">
        <w:rPr>
          <w:rFonts w:eastAsiaTheme="minorEastAsia"/>
          <w:color w:val="auto"/>
        </w:rPr>
        <w:t>:</w:t>
      </w:r>
    </w:p>
    <w:p w:rsidR="00CB2193" w:rsidRDefault="00CB2193" w:rsidP="000114BA">
      <w:pPr>
        <w:autoSpaceDE w:val="0"/>
        <w:autoSpaceDN w:val="0"/>
        <w:adjustRightInd w:val="0"/>
        <w:spacing w:after="0" w:line="240" w:lineRule="auto"/>
        <w:ind w:left="567" w:firstLine="0"/>
        <w:jc w:val="center"/>
        <w:rPr>
          <w:rFonts w:eastAsiaTheme="minorEastAsia"/>
          <w:color w:val="auto"/>
        </w:rPr>
      </w:pPr>
      <w:r w:rsidRPr="00CB2193">
        <w:rPr>
          <w:rFonts w:eastAsiaTheme="minorEastAsia"/>
          <w:color w:val="auto"/>
        </w:rPr>
        <w:t>RESIDENCE CARCOPINO 3000</w:t>
      </w:r>
    </w:p>
    <w:p w:rsidR="00CB2193" w:rsidRDefault="00CB2193" w:rsidP="000114BA">
      <w:pPr>
        <w:autoSpaceDE w:val="0"/>
        <w:autoSpaceDN w:val="0"/>
        <w:adjustRightInd w:val="0"/>
        <w:spacing w:after="0" w:line="240" w:lineRule="auto"/>
        <w:ind w:left="567" w:firstLine="0"/>
        <w:jc w:val="center"/>
        <w:rPr>
          <w:rFonts w:eastAsiaTheme="minorEastAsia"/>
          <w:color w:val="auto"/>
        </w:rPr>
      </w:pPr>
      <w:r w:rsidRPr="00CB2193">
        <w:rPr>
          <w:rFonts w:eastAsiaTheme="minorEastAsia"/>
          <w:color w:val="auto"/>
        </w:rPr>
        <w:t>85 RUE CHARLES DE GAULLE</w:t>
      </w:r>
    </w:p>
    <w:p w:rsidR="00CB2193" w:rsidRDefault="00CB2193" w:rsidP="000114BA">
      <w:pPr>
        <w:autoSpaceDE w:val="0"/>
        <w:autoSpaceDN w:val="0"/>
        <w:adjustRightInd w:val="0"/>
        <w:spacing w:after="0" w:line="240" w:lineRule="auto"/>
        <w:ind w:left="567" w:firstLine="0"/>
        <w:jc w:val="center"/>
        <w:rPr>
          <w:rFonts w:eastAsiaTheme="minorEastAsia"/>
          <w:color w:val="auto"/>
        </w:rPr>
      </w:pPr>
      <w:r w:rsidRPr="00CB2193">
        <w:rPr>
          <w:rFonts w:eastAsiaTheme="minorEastAsia"/>
          <w:color w:val="auto"/>
        </w:rPr>
        <w:t>BP Q3</w:t>
      </w:r>
    </w:p>
    <w:p w:rsidR="00CB2193" w:rsidRDefault="00CB2193" w:rsidP="000114BA">
      <w:pPr>
        <w:autoSpaceDE w:val="0"/>
        <w:autoSpaceDN w:val="0"/>
        <w:adjustRightInd w:val="0"/>
        <w:spacing w:after="0" w:line="240" w:lineRule="auto"/>
        <w:ind w:left="567" w:firstLine="0"/>
        <w:jc w:val="center"/>
        <w:rPr>
          <w:rFonts w:eastAsiaTheme="minorEastAsia"/>
          <w:color w:val="auto"/>
        </w:rPr>
      </w:pPr>
      <w:r w:rsidRPr="00CB2193">
        <w:rPr>
          <w:rFonts w:eastAsiaTheme="minorEastAsia"/>
          <w:color w:val="auto"/>
        </w:rPr>
        <w:t>98851 NOUMEA CEDEX</w:t>
      </w:r>
    </w:p>
    <w:p w:rsidR="00CB2193" w:rsidRPr="00CB2193" w:rsidRDefault="00CB2193" w:rsidP="000114BA">
      <w:pPr>
        <w:autoSpaceDE w:val="0"/>
        <w:autoSpaceDN w:val="0"/>
        <w:adjustRightInd w:val="0"/>
        <w:spacing w:after="0" w:line="240" w:lineRule="auto"/>
        <w:ind w:left="567" w:firstLine="0"/>
        <w:jc w:val="center"/>
        <w:rPr>
          <w:rFonts w:eastAsiaTheme="minorEastAsia"/>
          <w:color w:val="auto"/>
        </w:rPr>
      </w:pPr>
      <w:r w:rsidRPr="00CB2193">
        <w:rPr>
          <w:rFonts w:eastAsiaTheme="minorEastAsia"/>
          <w:color w:val="auto"/>
        </w:rPr>
        <w:t>NOUVELLE-CALEDONIE</w:t>
      </w:r>
    </w:p>
    <w:p w:rsidR="00AB696B" w:rsidRDefault="00980A49" w:rsidP="000114BA">
      <w:pPr>
        <w:spacing w:after="148"/>
        <w:ind w:left="567"/>
      </w:pPr>
      <w:r>
        <w:t xml:space="preserve">Le présent accord cadre est soumis au droit français et les juridictions françaises sont seules compétentes pour connaître des litiges. </w:t>
      </w:r>
    </w:p>
    <w:p w:rsidR="00AB696B" w:rsidRDefault="00980A49" w:rsidP="000114BA">
      <w:pPr>
        <w:pStyle w:val="Titre1"/>
        <w:ind w:left="567" w:firstLine="0"/>
      </w:pPr>
      <w:bookmarkStart w:id="64" w:name="_Toc203463184"/>
      <w:r>
        <w:t>ARTICLE 16 : INTERLOCUTEUR PME/PMI</w:t>
      </w:r>
      <w:bookmarkEnd w:id="64"/>
      <w:r>
        <w:t xml:space="preserve"> </w:t>
      </w:r>
    </w:p>
    <w:p w:rsidR="00CB2193" w:rsidRDefault="00980A49" w:rsidP="000114BA">
      <w:pPr>
        <w:ind w:left="567" w:right="170"/>
      </w:pPr>
      <w:r>
        <w:t xml:space="preserve">Conformément à l’instruction N° 15359/DEF/CAB du 14 novembre 2002 relative à l’engagement de service du ministère des armées envers ses fournisseurs, l’interlocuteur PME/PMI est : </w:t>
      </w:r>
    </w:p>
    <w:p w:rsidR="00AB696B" w:rsidRDefault="00980A49" w:rsidP="000114BA">
      <w:pPr>
        <w:spacing w:after="0" w:line="259" w:lineRule="auto"/>
        <w:ind w:left="567" w:right="1032" w:hanging="10"/>
        <w:jc w:val="center"/>
      </w:pPr>
      <w:r>
        <w:t>DICOM/GS</w:t>
      </w:r>
      <w:r w:rsidR="00816360">
        <w:t>C</w:t>
      </w:r>
      <w:r>
        <w:t xml:space="preserve"> NC/D</w:t>
      </w:r>
      <w:r w:rsidR="00816360">
        <w:t>AF</w:t>
      </w:r>
      <w:r>
        <w:t>/</w:t>
      </w:r>
      <w:r w:rsidR="00816360">
        <w:t>BA</w:t>
      </w:r>
    </w:p>
    <w:p w:rsidR="00AB696B" w:rsidRDefault="00816360" w:rsidP="000114BA">
      <w:pPr>
        <w:spacing w:after="0" w:line="259" w:lineRule="auto"/>
        <w:ind w:left="567" w:right="1032" w:hanging="10"/>
        <w:jc w:val="center"/>
      </w:pPr>
      <w:r>
        <w:t>Section</w:t>
      </w:r>
      <w:r w:rsidR="00980A49">
        <w:t xml:space="preserve"> achats-marchés </w:t>
      </w:r>
    </w:p>
    <w:p w:rsidR="00AB696B" w:rsidRDefault="00980A49" w:rsidP="000114BA">
      <w:pPr>
        <w:spacing w:after="0" w:line="259" w:lineRule="auto"/>
        <w:ind w:left="567" w:right="1029" w:hanging="10"/>
        <w:jc w:val="center"/>
      </w:pPr>
      <w:r>
        <w:t xml:space="preserve">Caserne </w:t>
      </w:r>
      <w:proofErr w:type="spellStart"/>
      <w:r>
        <w:t>Gally-Passebosc</w:t>
      </w:r>
      <w:proofErr w:type="spellEnd"/>
      <w:r>
        <w:t xml:space="preserve"> - BP 38 </w:t>
      </w:r>
    </w:p>
    <w:p w:rsidR="00AB696B" w:rsidRDefault="00980A49" w:rsidP="000114BA">
      <w:pPr>
        <w:spacing w:after="0" w:line="259" w:lineRule="auto"/>
        <w:ind w:left="567" w:right="1030" w:hanging="10"/>
        <w:jc w:val="center"/>
      </w:pPr>
      <w:r>
        <w:t xml:space="preserve">98 843 Nouméa Cedex </w:t>
      </w:r>
    </w:p>
    <w:p w:rsidR="00AB696B" w:rsidRDefault="00980A49" w:rsidP="000114BA">
      <w:pPr>
        <w:spacing w:after="127" w:line="259" w:lineRule="auto"/>
        <w:ind w:left="567" w:right="1034" w:hanging="10"/>
        <w:jc w:val="center"/>
      </w:pPr>
      <w:r>
        <w:t xml:space="preserve">Téléphone : 29 27 </w:t>
      </w:r>
      <w:r w:rsidR="00CB2193">
        <w:t>66</w:t>
      </w:r>
      <w:r>
        <w:t xml:space="preserve"> </w:t>
      </w:r>
    </w:p>
    <w:p w:rsidR="00816360" w:rsidRDefault="00980A49" w:rsidP="000114BA">
      <w:pPr>
        <w:pStyle w:val="Titre1"/>
        <w:spacing w:after="18"/>
        <w:ind w:left="567"/>
      </w:pPr>
      <w:r>
        <w:t xml:space="preserve"> </w:t>
      </w:r>
      <w:bookmarkStart w:id="65" w:name="_Toc203463185"/>
      <w:r w:rsidR="00E01C64">
        <w:t>ARTICLE 17</w:t>
      </w:r>
      <w:r w:rsidR="00816360" w:rsidRPr="001C12E4">
        <w:t xml:space="preserve"> : </w:t>
      </w:r>
      <w:r w:rsidR="001C12E4" w:rsidRPr="001C12E4">
        <w:rPr>
          <w:bCs/>
        </w:rPr>
        <w:t>CERTIFICAT DE BONNE EXECUTION DE MARCHE (CBEM)</w:t>
      </w:r>
      <w:bookmarkEnd w:id="65"/>
      <w:r w:rsidR="001C12E4">
        <w:rPr>
          <w:b w:val="0"/>
          <w:bCs/>
        </w:rPr>
        <w:t xml:space="preserve"> </w:t>
      </w:r>
      <w:r w:rsidR="00816360">
        <w:t xml:space="preserve"> </w:t>
      </w:r>
    </w:p>
    <w:p w:rsidR="001C12E4" w:rsidRPr="001C12E4" w:rsidRDefault="001C12E4" w:rsidP="000114BA">
      <w:pPr>
        <w:pStyle w:val="Default"/>
        <w:spacing w:before="120"/>
        <w:ind w:left="567"/>
        <w:jc w:val="both"/>
        <w:rPr>
          <w:rFonts w:ascii="Arial" w:eastAsiaTheme="minorEastAsia" w:hAnsi="Arial" w:cs="Arial"/>
          <w:sz w:val="22"/>
          <w:szCs w:val="22"/>
          <w:lang w:eastAsia="fr-FR"/>
        </w:rPr>
      </w:pPr>
      <w:r w:rsidRPr="001C12E4">
        <w:rPr>
          <w:rFonts w:ascii="Arial" w:eastAsiaTheme="minorEastAsia" w:hAnsi="Arial" w:cs="Arial"/>
          <w:sz w:val="22"/>
          <w:szCs w:val="22"/>
          <w:lang w:eastAsia="fr-FR"/>
        </w:rPr>
        <w:t xml:space="preserve">Le ministère des armées peut délivrer au titulaire du présent contrat ayant donné toute satisfaction dans l’exécution de ses obligations, un « certificat de bonne exécution de marché », ceci sur demande du titulaire ou de sa propre autorité. </w:t>
      </w:r>
    </w:p>
    <w:p w:rsidR="001C12E4" w:rsidRPr="001C12E4" w:rsidRDefault="001C12E4" w:rsidP="000114BA">
      <w:pPr>
        <w:autoSpaceDE w:val="0"/>
        <w:autoSpaceDN w:val="0"/>
        <w:adjustRightInd w:val="0"/>
        <w:spacing w:after="0" w:line="240" w:lineRule="auto"/>
        <w:ind w:left="567" w:firstLine="0"/>
        <w:rPr>
          <w:rFonts w:eastAsiaTheme="minorEastAsia"/>
        </w:rPr>
      </w:pPr>
      <w:r w:rsidRPr="001C12E4">
        <w:rPr>
          <w:rFonts w:eastAsiaTheme="minorEastAsia"/>
        </w:rPr>
        <w:t xml:space="preserve">La décision de délivrer ce certificat est soumise à la libre appréciation du ministère des armées qui dispose, à cet égard, d’un pouvoir discrétionnaire. La délivrance d’un tel certificat pourra notamment être refusée si (liste non exhaustive) : </w:t>
      </w:r>
    </w:p>
    <w:p w:rsidR="001C12E4" w:rsidRPr="001C12E4" w:rsidRDefault="001C12E4" w:rsidP="000114BA">
      <w:pPr>
        <w:autoSpaceDE w:val="0"/>
        <w:autoSpaceDN w:val="0"/>
        <w:adjustRightInd w:val="0"/>
        <w:spacing w:after="0" w:line="240" w:lineRule="auto"/>
        <w:ind w:left="567" w:firstLine="0"/>
        <w:rPr>
          <w:rFonts w:eastAsiaTheme="minorEastAsia"/>
        </w:rPr>
      </w:pPr>
      <w:r w:rsidRPr="001C12E4">
        <w:rPr>
          <w:rFonts w:eastAsiaTheme="minorEastAsia"/>
        </w:rPr>
        <w:t xml:space="preserve">- la qualité ou la quantité des livrables ou prestations attendu(es) n’est pas conforme aux stipulations contractuelles ; </w:t>
      </w:r>
    </w:p>
    <w:p w:rsidR="001C12E4" w:rsidRPr="001C12E4" w:rsidRDefault="001C12E4" w:rsidP="000114BA">
      <w:pPr>
        <w:autoSpaceDE w:val="0"/>
        <w:autoSpaceDN w:val="0"/>
        <w:adjustRightInd w:val="0"/>
        <w:spacing w:after="0" w:line="240" w:lineRule="auto"/>
        <w:ind w:left="567" w:firstLine="0"/>
        <w:rPr>
          <w:rFonts w:eastAsiaTheme="minorEastAsia"/>
        </w:rPr>
      </w:pPr>
      <w:r w:rsidRPr="001C12E4">
        <w:rPr>
          <w:rFonts w:eastAsiaTheme="minorEastAsia"/>
        </w:rPr>
        <w:lastRenderedPageBreak/>
        <w:t xml:space="preserve">- la relation commerciale s'est révélée difficile ; </w:t>
      </w:r>
    </w:p>
    <w:p w:rsidR="001C12E4" w:rsidRPr="001C12E4" w:rsidRDefault="001C12E4" w:rsidP="000114BA">
      <w:pPr>
        <w:autoSpaceDE w:val="0"/>
        <w:autoSpaceDN w:val="0"/>
        <w:adjustRightInd w:val="0"/>
        <w:spacing w:after="0" w:line="240" w:lineRule="auto"/>
        <w:ind w:left="567" w:firstLine="0"/>
        <w:rPr>
          <w:rFonts w:eastAsiaTheme="minorEastAsia"/>
        </w:rPr>
      </w:pPr>
      <w:r w:rsidRPr="001C12E4">
        <w:rPr>
          <w:rFonts w:eastAsiaTheme="minorEastAsia"/>
        </w:rPr>
        <w:t xml:space="preserve">- le titulaire se voit appliquer des pénalités de retard ; </w:t>
      </w:r>
    </w:p>
    <w:p w:rsidR="00AB696B" w:rsidRDefault="001C12E4" w:rsidP="000114BA">
      <w:pPr>
        <w:spacing w:after="0" w:line="259" w:lineRule="auto"/>
        <w:ind w:left="567" w:firstLine="0"/>
      </w:pPr>
      <w:r w:rsidRPr="001C12E4">
        <w:rPr>
          <w:rFonts w:eastAsiaTheme="minorEastAsia"/>
        </w:rPr>
        <w:t>- le contrat est résilié aux torts du titulaire.</w:t>
      </w:r>
    </w:p>
    <w:p w:rsidR="00816360" w:rsidRDefault="00980A49" w:rsidP="00E01C64">
      <w:pPr>
        <w:spacing w:after="0" w:line="259" w:lineRule="auto"/>
        <w:ind w:left="284" w:firstLine="0"/>
        <w:jc w:val="left"/>
      </w:pPr>
      <w:r>
        <w:t xml:space="preserve"> </w:t>
      </w:r>
    </w:p>
    <w:p w:rsidR="00E01C64" w:rsidRDefault="00E01C64" w:rsidP="000114BA">
      <w:pPr>
        <w:pStyle w:val="Titre1"/>
        <w:spacing w:after="18"/>
        <w:ind w:left="567"/>
      </w:pPr>
      <w:bookmarkStart w:id="66" w:name="_Toc203463186"/>
      <w:r>
        <w:t>ARTICLE 1</w:t>
      </w:r>
      <w:r w:rsidR="00196BAF">
        <w:t>8</w:t>
      </w:r>
      <w:r>
        <w:t xml:space="preserve"> : DEROGATIONS AUX CCAG</w:t>
      </w:r>
      <w:bookmarkEnd w:id="66"/>
      <w:r>
        <w:t xml:space="preserve"> </w:t>
      </w:r>
    </w:p>
    <w:p w:rsidR="00E01C64" w:rsidRDefault="00E01C64" w:rsidP="00E01C64">
      <w:pPr>
        <w:spacing w:after="0" w:line="259" w:lineRule="auto"/>
        <w:ind w:left="0" w:firstLine="0"/>
        <w:jc w:val="left"/>
      </w:pPr>
      <w:r>
        <w:t xml:space="preserve"> </w:t>
      </w:r>
    </w:p>
    <w:p w:rsidR="00E01C64" w:rsidRDefault="00E01C64" w:rsidP="000114BA">
      <w:pPr>
        <w:spacing w:after="9"/>
        <w:ind w:left="567"/>
      </w:pPr>
      <w:r>
        <w:t xml:space="preserve">Les articles suivants dérogent au CCAG/FCS : </w:t>
      </w:r>
    </w:p>
    <w:p w:rsidR="00E01C64" w:rsidRDefault="00E01C64" w:rsidP="00072FDD">
      <w:pPr>
        <w:pStyle w:val="Paragraphedeliste"/>
        <w:numPr>
          <w:ilvl w:val="0"/>
          <w:numId w:val="22"/>
        </w:numPr>
        <w:spacing w:after="0" w:line="259" w:lineRule="auto"/>
        <w:jc w:val="left"/>
      </w:pPr>
      <w:proofErr w:type="gramStart"/>
      <w:r w:rsidRPr="00E01C64">
        <w:t>l’article</w:t>
      </w:r>
      <w:proofErr w:type="gramEnd"/>
      <w:r w:rsidRPr="00E01C64">
        <w:t xml:space="preserve"> 8 « Pénalités » déroge aux articles 14.1 du CCAG/FCS ;</w:t>
      </w:r>
      <w:r>
        <w:t xml:space="preserve"> </w:t>
      </w:r>
    </w:p>
    <w:p w:rsidR="00F9316B" w:rsidRDefault="00F9316B" w:rsidP="00072FDD">
      <w:pPr>
        <w:pStyle w:val="Paragraphedeliste"/>
        <w:numPr>
          <w:ilvl w:val="0"/>
          <w:numId w:val="23"/>
        </w:numPr>
        <w:spacing w:after="0" w:line="259" w:lineRule="auto"/>
        <w:jc w:val="left"/>
      </w:pPr>
      <w:proofErr w:type="gramStart"/>
      <w:r w:rsidRPr="00F9316B">
        <w:t>l’article</w:t>
      </w:r>
      <w:proofErr w:type="gramEnd"/>
      <w:r w:rsidRPr="00F9316B">
        <w:t xml:space="preserve"> 14 « Résiliation » déroge à l’article 38 du CCAG/FCS.</w:t>
      </w:r>
    </w:p>
    <w:p w:rsidR="00E01C64" w:rsidRDefault="00F9316B" w:rsidP="000114BA">
      <w:pPr>
        <w:tabs>
          <w:tab w:val="center" w:pos="411"/>
          <w:tab w:val="center" w:pos="3809"/>
        </w:tabs>
        <w:spacing w:after="9"/>
        <w:ind w:left="567" w:firstLine="0"/>
        <w:jc w:val="left"/>
      </w:pPr>
      <w:r>
        <w:t xml:space="preserve"> </w:t>
      </w:r>
    </w:p>
    <w:p w:rsidR="00816360" w:rsidRDefault="00816360">
      <w:pPr>
        <w:spacing w:after="0" w:line="259" w:lineRule="auto"/>
        <w:ind w:left="0" w:firstLine="0"/>
        <w:jc w:val="left"/>
      </w:pPr>
    </w:p>
    <w:p w:rsidR="00A642D6" w:rsidRDefault="00A642D6">
      <w:pPr>
        <w:spacing w:after="0" w:line="259" w:lineRule="auto"/>
        <w:ind w:left="0" w:firstLine="0"/>
        <w:jc w:val="left"/>
      </w:pPr>
    </w:p>
    <w:p w:rsidR="00A642D6" w:rsidRDefault="00A642D6">
      <w:pPr>
        <w:spacing w:after="0" w:line="259" w:lineRule="auto"/>
        <w:ind w:left="0" w:firstLine="0"/>
        <w:jc w:val="left"/>
      </w:pPr>
    </w:p>
    <w:p w:rsidR="00A642D6" w:rsidRDefault="00A642D6">
      <w:pPr>
        <w:spacing w:after="0" w:line="259" w:lineRule="auto"/>
        <w:ind w:left="0" w:firstLine="0"/>
        <w:jc w:val="left"/>
      </w:pPr>
    </w:p>
    <w:p w:rsidR="001C12E4" w:rsidRDefault="001C12E4">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072FDD" w:rsidRDefault="00072FDD">
      <w:pPr>
        <w:spacing w:after="0" w:line="259" w:lineRule="auto"/>
        <w:ind w:left="0" w:firstLine="0"/>
        <w:jc w:val="left"/>
      </w:pPr>
    </w:p>
    <w:p w:rsidR="001C12E4" w:rsidRDefault="001C12E4">
      <w:pPr>
        <w:spacing w:after="0" w:line="259" w:lineRule="auto"/>
        <w:ind w:left="0" w:firstLine="0"/>
        <w:jc w:val="left"/>
      </w:pPr>
    </w:p>
    <w:p w:rsidR="001C12E4" w:rsidRDefault="001C12E4">
      <w:pPr>
        <w:spacing w:after="0" w:line="259" w:lineRule="auto"/>
        <w:ind w:left="0" w:firstLine="0"/>
        <w:jc w:val="left"/>
      </w:pPr>
    </w:p>
    <w:p w:rsidR="00AB696B" w:rsidRDefault="00072FDD" w:rsidP="008D3AE4">
      <w:pPr>
        <w:pBdr>
          <w:top w:val="single" w:sz="8" w:space="0" w:color="000000"/>
          <w:left w:val="single" w:sz="8" w:space="31" w:color="000000"/>
          <w:bottom w:val="single" w:sz="8" w:space="0" w:color="000000"/>
          <w:right w:val="single" w:sz="8" w:space="31" w:color="000000"/>
        </w:pBdr>
        <w:shd w:val="clear" w:color="auto" w:fill="D9D9D9" w:themeFill="background1" w:themeFillShade="D9"/>
        <w:spacing w:after="0" w:line="240" w:lineRule="auto"/>
        <w:ind w:left="709" w:right="284" w:hanging="45"/>
        <w:jc w:val="center"/>
      </w:pPr>
      <w:r w:rsidRPr="00072FDD">
        <w:rPr>
          <w:b/>
        </w:rPr>
        <w:lastRenderedPageBreak/>
        <w:t>ANNEXE N° 1 : Attestation d‘admission</w:t>
      </w:r>
      <w:r>
        <w:rPr>
          <w:b/>
        </w:rPr>
        <w:t xml:space="preserve"> </w:t>
      </w:r>
      <w:r w:rsidR="00980A49">
        <w:rPr>
          <w:b/>
        </w:rPr>
        <w:t>par le service bénéficiaire de la prestation</w:t>
      </w:r>
    </w:p>
    <w:p w:rsidR="00816360" w:rsidRDefault="00816360">
      <w:pPr>
        <w:tabs>
          <w:tab w:val="center" w:pos="6588"/>
          <w:tab w:val="center" w:pos="9607"/>
        </w:tabs>
        <w:spacing w:after="0" w:line="259" w:lineRule="auto"/>
        <w:ind w:left="0" w:firstLine="0"/>
        <w:jc w:val="left"/>
        <w:rPr>
          <w:i/>
          <w:sz w:val="18"/>
        </w:rPr>
      </w:pPr>
    </w:p>
    <w:p w:rsidR="00196BAF" w:rsidRDefault="00196BAF">
      <w:pPr>
        <w:tabs>
          <w:tab w:val="center" w:pos="6588"/>
          <w:tab w:val="center" w:pos="9607"/>
        </w:tabs>
        <w:spacing w:after="0" w:line="259" w:lineRule="auto"/>
        <w:ind w:left="0" w:firstLine="0"/>
        <w:jc w:val="left"/>
        <w:rPr>
          <w:i/>
          <w:sz w:val="18"/>
        </w:rPr>
      </w:pPr>
    </w:p>
    <w:p w:rsidR="00AB696B" w:rsidRDefault="00980A49">
      <w:pPr>
        <w:tabs>
          <w:tab w:val="center" w:pos="6588"/>
          <w:tab w:val="center" w:pos="9607"/>
        </w:tabs>
        <w:spacing w:after="0" w:line="259" w:lineRule="auto"/>
        <w:ind w:left="0" w:firstLine="0"/>
        <w:jc w:val="left"/>
      </w:pPr>
      <w:proofErr w:type="gramStart"/>
      <w:r>
        <w:rPr>
          <w:i/>
          <w:sz w:val="18"/>
        </w:rPr>
        <w:t>à</w:t>
      </w:r>
      <w:proofErr w:type="gramEnd"/>
      <w:r>
        <w:rPr>
          <w:i/>
          <w:sz w:val="18"/>
        </w:rPr>
        <w:t xml:space="preserve"> renvoyer par mail sur boite mail fonctionnelle</w:t>
      </w:r>
      <w:r>
        <w:rPr>
          <w:i/>
          <w:sz w:val="28"/>
          <w:vertAlign w:val="subscript"/>
        </w:rPr>
        <w:t xml:space="preserve"> </w:t>
      </w:r>
      <w:r>
        <w:rPr>
          <w:i/>
          <w:sz w:val="28"/>
          <w:vertAlign w:val="subscript"/>
        </w:rPr>
        <w:tab/>
      </w:r>
      <w:r>
        <w:rPr>
          <w:color w:val="0000FF"/>
          <w:u w:val="single" w:color="0000FF"/>
        </w:rPr>
        <w:t>dicom-nc.liquid-facture.fct@intradef.gouv.fr</w:t>
      </w:r>
      <w:r>
        <w:rPr>
          <w:color w:val="0000FF"/>
          <w:sz w:val="34"/>
          <w:vertAlign w:val="superscript"/>
        </w:rPr>
        <w:t xml:space="preserve"> </w:t>
      </w:r>
      <w:r>
        <w:rPr>
          <w:color w:val="0000FF"/>
          <w:sz w:val="34"/>
          <w:vertAlign w:val="superscript"/>
        </w:rPr>
        <w:tab/>
        <w:t xml:space="preserve"> </w:t>
      </w:r>
    </w:p>
    <w:p w:rsidR="00AB696B" w:rsidRDefault="00980A49">
      <w:pPr>
        <w:spacing w:after="0" w:line="259" w:lineRule="auto"/>
        <w:ind w:left="482" w:firstLine="0"/>
        <w:jc w:val="left"/>
        <w:rPr>
          <w:sz w:val="20"/>
        </w:rPr>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p>
    <w:p w:rsidR="008D3AE4" w:rsidRDefault="008D3AE4">
      <w:pPr>
        <w:spacing w:after="0" w:line="259" w:lineRule="auto"/>
        <w:ind w:left="482" w:firstLine="0"/>
        <w:jc w:val="left"/>
      </w:pPr>
    </w:p>
    <w:tbl>
      <w:tblPr>
        <w:tblStyle w:val="TableGrid"/>
        <w:tblpPr w:vertAnchor="text" w:tblpX="3257" w:tblpY="-11"/>
        <w:tblOverlap w:val="never"/>
        <w:tblW w:w="6772" w:type="dxa"/>
        <w:tblInd w:w="0" w:type="dxa"/>
        <w:tblCellMar>
          <w:left w:w="115" w:type="dxa"/>
          <w:right w:w="115" w:type="dxa"/>
        </w:tblCellMar>
        <w:tblLook w:val="04A0" w:firstRow="1" w:lastRow="0" w:firstColumn="1" w:lastColumn="0" w:noHBand="0" w:noVBand="1"/>
      </w:tblPr>
      <w:tblGrid>
        <w:gridCol w:w="6772"/>
      </w:tblGrid>
      <w:tr w:rsidR="00AB696B">
        <w:trPr>
          <w:trHeight w:val="562"/>
        </w:trPr>
        <w:tc>
          <w:tcPr>
            <w:tcW w:w="6772"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69" w:firstLine="0"/>
              <w:jc w:val="center"/>
            </w:pPr>
            <w:r>
              <w:rPr>
                <w:b/>
                <w:color w:val="FF0000"/>
                <w:sz w:val="24"/>
              </w:rPr>
              <w:t xml:space="preserve">  </w:t>
            </w:r>
          </w:p>
        </w:tc>
      </w:tr>
    </w:tbl>
    <w:p w:rsidR="00AB696B" w:rsidRDefault="00980A49">
      <w:pPr>
        <w:spacing w:after="120" w:line="240" w:lineRule="auto"/>
        <w:ind w:left="82" w:right="932" w:firstLine="0"/>
        <w:jc w:val="left"/>
      </w:pPr>
      <w:r>
        <w:rPr>
          <w:b/>
          <w:sz w:val="24"/>
          <w:u w:val="single" w:color="000000"/>
        </w:rPr>
        <w:t>Service bénéficiaire</w:t>
      </w:r>
      <w:r>
        <w:rPr>
          <w:b/>
          <w:sz w:val="24"/>
        </w:rPr>
        <w:t xml:space="preserve"> </w:t>
      </w:r>
      <w:r>
        <w:rPr>
          <w:b/>
          <w:sz w:val="24"/>
          <w:u w:val="single" w:color="000000"/>
        </w:rPr>
        <w:t>concerné :</w:t>
      </w:r>
      <w:r>
        <w:rPr>
          <w:b/>
          <w:sz w:val="24"/>
        </w:rPr>
        <w:t xml:space="preserve"> </w:t>
      </w:r>
    </w:p>
    <w:p w:rsidR="00AB696B" w:rsidRDefault="00980A49" w:rsidP="00072FDD">
      <w:pPr>
        <w:pStyle w:val="Titre2"/>
        <w:spacing w:after="9"/>
        <w:ind w:left="92" w:right="932"/>
      </w:pPr>
      <w:r>
        <w:rPr>
          <w:color w:val="FF0000"/>
          <w:sz w:val="24"/>
        </w:rPr>
        <w:t xml:space="preserve"> </w:t>
      </w:r>
      <w:r>
        <w:rPr>
          <w:color w:val="FF0000"/>
          <w:sz w:val="24"/>
        </w:rPr>
        <w:tab/>
      </w:r>
      <w:r>
        <w:rPr>
          <w:sz w:val="20"/>
        </w:rPr>
        <w:t xml:space="preserve"> </w:t>
      </w:r>
      <w:r>
        <w:rPr>
          <w:sz w:val="20"/>
        </w:rPr>
        <w:tab/>
        <w:t xml:space="preserve"> </w:t>
      </w:r>
      <w:r>
        <w:rPr>
          <w:sz w:val="20"/>
        </w:rPr>
        <w:tab/>
      </w:r>
      <w:r>
        <w:rPr>
          <w:sz w:val="20"/>
        </w:rPr>
        <w:tab/>
        <w:t xml:space="preserve"> </w:t>
      </w:r>
      <w:r>
        <w:rPr>
          <w:sz w:val="20"/>
        </w:rPr>
        <w:tab/>
        <w:t xml:space="preserve"> </w:t>
      </w:r>
    </w:p>
    <w:tbl>
      <w:tblPr>
        <w:tblStyle w:val="TableGrid"/>
        <w:tblpPr w:vertAnchor="text" w:tblpX="3257" w:tblpY="-21"/>
        <w:tblOverlap w:val="never"/>
        <w:tblW w:w="6772" w:type="dxa"/>
        <w:tblInd w:w="0" w:type="dxa"/>
        <w:tblCellMar>
          <w:left w:w="115" w:type="dxa"/>
          <w:right w:w="115" w:type="dxa"/>
        </w:tblCellMar>
        <w:tblLook w:val="04A0" w:firstRow="1" w:lastRow="0" w:firstColumn="1" w:lastColumn="0" w:noHBand="0" w:noVBand="1"/>
      </w:tblPr>
      <w:tblGrid>
        <w:gridCol w:w="6772"/>
      </w:tblGrid>
      <w:tr w:rsidR="00AB696B">
        <w:trPr>
          <w:trHeight w:val="542"/>
        </w:trPr>
        <w:tc>
          <w:tcPr>
            <w:tcW w:w="6772"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69" w:firstLine="0"/>
              <w:jc w:val="center"/>
            </w:pPr>
            <w:r>
              <w:rPr>
                <w:b/>
                <w:color w:val="FF0000"/>
                <w:sz w:val="24"/>
              </w:rPr>
              <w:t xml:space="preserve">  </w:t>
            </w:r>
          </w:p>
        </w:tc>
      </w:tr>
    </w:tbl>
    <w:p w:rsidR="00072FDD" w:rsidRPr="00072FDD" w:rsidRDefault="00980A49" w:rsidP="00072FDD">
      <w:pPr>
        <w:spacing w:after="120" w:line="240" w:lineRule="auto"/>
        <w:ind w:left="0" w:right="932" w:firstLine="0"/>
        <w:jc w:val="left"/>
        <w:rPr>
          <w:b/>
          <w:sz w:val="24"/>
          <w:u w:val="single" w:color="000000"/>
        </w:rPr>
      </w:pPr>
      <w:r>
        <w:rPr>
          <w:b/>
        </w:rPr>
        <w:t xml:space="preserve"> </w:t>
      </w:r>
      <w:r w:rsidR="00072FDD" w:rsidRPr="00072FDD">
        <w:rPr>
          <w:b/>
          <w:sz w:val="24"/>
          <w:u w:val="single" w:color="000000"/>
        </w:rPr>
        <w:t xml:space="preserve">N° du lot + site </w:t>
      </w:r>
    </w:p>
    <w:p w:rsidR="00AB696B" w:rsidRDefault="00980A49">
      <w:pPr>
        <w:spacing w:after="116" w:line="259" w:lineRule="auto"/>
        <w:ind w:left="0" w:right="1124" w:firstLine="0"/>
        <w:jc w:val="right"/>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p>
    <w:tbl>
      <w:tblPr>
        <w:tblStyle w:val="TableGrid"/>
        <w:tblpPr w:vertAnchor="text" w:tblpX="3257" w:tblpY="-35"/>
        <w:tblOverlap w:val="never"/>
        <w:tblW w:w="6772" w:type="dxa"/>
        <w:tblInd w:w="0" w:type="dxa"/>
        <w:tblCellMar>
          <w:left w:w="115" w:type="dxa"/>
          <w:right w:w="115" w:type="dxa"/>
        </w:tblCellMar>
        <w:tblLook w:val="04A0" w:firstRow="1" w:lastRow="0" w:firstColumn="1" w:lastColumn="0" w:noHBand="0" w:noVBand="1"/>
      </w:tblPr>
      <w:tblGrid>
        <w:gridCol w:w="6772"/>
      </w:tblGrid>
      <w:tr w:rsidR="00AB696B">
        <w:trPr>
          <w:trHeight w:val="572"/>
        </w:trPr>
        <w:tc>
          <w:tcPr>
            <w:tcW w:w="6772"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69" w:firstLine="0"/>
              <w:jc w:val="center"/>
            </w:pPr>
            <w:r>
              <w:rPr>
                <w:b/>
                <w:color w:val="FF0000"/>
                <w:sz w:val="24"/>
              </w:rPr>
              <w:t xml:space="preserve">  </w:t>
            </w:r>
          </w:p>
        </w:tc>
      </w:tr>
    </w:tbl>
    <w:p w:rsidR="00AB696B" w:rsidRDefault="00980A49">
      <w:pPr>
        <w:spacing w:after="0" w:line="259" w:lineRule="auto"/>
        <w:ind w:left="77" w:right="932" w:hanging="10"/>
        <w:jc w:val="left"/>
      </w:pPr>
      <w:r>
        <w:rPr>
          <w:b/>
          <w:u w:val="single" w:color="000000"/>
        </w:rPr>
        <w:t>N° bon de commande</w:t>
      </w:r>
      <w:r>
        <w:rPr>
          <w:b/>
        </w:rPr>
        <w:t xml:space="preserve"> </w:t>
      </w:r>
    </w:p>
    <w:p w:rsidR="00AB696B" w:rsidRDefault="00980A49">
      <w:pPr>
        <w:spacing w:after="43" w:line="259" w:lineRule="auto"/>
        <w:ind w:left="77" w:right="932" w:hanging="10"/>
        <w:jc w:val="left"/>
      </w:pPr>
      <w:r>
        <w:rPr>
          <w:b/>
          <w:u w:val="single" w:color="000000"/>
        </w:rPr>
        <w:t>GS</w:t>
      </w:r>
      <w:r w:rsidR="00816360">
        <w:rPr>
          <w:b/>
          <w:u w:val="single" w:color="000000"/>
        </w:rPr>
        <w:t>C</w:t>
      </w:r>
      <w:r w:rsidR="003B6F3E">
        <w:rPr>
          <w:b/>
          <w:u w:val="single" w:color="000000"/>
        </w:rPr>
        <w:t xml:space="preserve">-NC </w:t>
      </w:r>
      <w:r>
        <w:rPr>
          <w:b/>
          <w:u w:val="single" w:color="000000"/>
        </w:rPr>
        <w:t>/</w:t>
      </w:r>
      <w:r w:rsidR="003B6F3E">
        <w:rPr>
          <w:b/>
          <w:u w:val="single" w:color="000000"/>
        </w:rPr>
        <w:t xml:space="preserve"> </w:t>
      </w:r>
      <w:r>
        <w:rPr>
          <w:b/>
          <w:u w:val="single" w:color="000000"/>
        </w:rPr>
        <w:t>D</w:t>
      </w:r>
      <w:r w:rsidR="003B6F3E">
        <w:rPr>
          <w:b/>
          <w:u w:val="single" w:color="000000"/>
        </w:rPr>
        <w:t>AF</w:t>
      </w:r>
    </w:p>
    <w:p w:rsidR="00AB696B" w:rsidRDefault="00980A49">
      <w:pPr>
        <w:spacing w:after="264" w:line="259" w:lineRule="auto"/>
        <w:ind w:left="0" w:right="1124" w:firstLine="0"/>
        <w:jc w:val="right"/>
      </w:pPr>
      <w:r>
        <w:rPr>
          <w:b/>
          <w:color w:val="FF0000"/>
          <w:sz w:val="24"/>
        </w:rPr>
        <w:t xml:space="preserve"> </w:t>
      </w:r>
      <w:r>
        <w:rPr>
          <w:b/>
          <w:color w:val="FF0000"/>
          <w:sz w:val="24"/>
        </w:rPr>
        <w:tab/>
      </w: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p>
    <w:tbl>
      <w:tblPr>
        <w:tblStyle w:val="TableGrid"/>
        <w:tblpPr w:vertAnchor="text" w:tblpX="3257" w:tblpY="-146"/>
        <w:tblOverlap w:val="never"/>
        <w:tblW w:w="6772" w:type="dxa"/>
        <w:tblInd w:w="0" w:type="dxa"/>
        <w:tblCellMar>
          <w:left w:w="115" w:type="dxa"/>
          <w:right w:w="115" w:type="dxa"/>
        </w:tblCellMar>
        <w:tblLook w:val="04A0" w:firstRow="1" w:lastRow="0" w:firstColumn="1" w:lastColumn="0" w:noHBand="0" w:noVBand="1"/>
      </w:tblPr>
      <w:tblGrid>
        <w:gridCol w:w="6772"/>
      </w:tblGrid>
      <w:tr w:rsidR="00AB696B">
        <w:trPr>
          <w:trHeight w:val="540"/>
        </w:trPr>
        <w:tc>
          <w:tcPr>
            <w:tcW w:w="6772" w:type="dxa"/>
            <w:tcBorders>
              <w:top w:val="single" w:sz="4" w:space="0" w:color="000000"/>
              <w:left w:val="single" w:sz="4" w:space="0" w:color="000000"/>
              <w:bottom w:val="single" w:sz="4" w:space="0" w:color="000000"/>
              <w:right w:val="single" w:sz="4" w:space="0" w:color="000000"/>
            </w:tcBorders>
            <w:vAlign w:val="center"/>
          </w:tcPr>
          <w:p w:rsidR="00AB696B" w:rsidRDefault="00980A49">
            <w:pPr>
              <w:spacing w:after="0" w:line="259" w:lineRule="auto"/>
              <w:ind w:left="69" w:firstLine="0"/>
              <w:jc w:val="center"/>
            </w:pPr>
            <w:r>
              <w:rPr>
                <w:b/>
                <w:color w:val="FF0000"/>
                <w:sz w:val="24"/>
              </w:rPr>
              <w:t xml:space="preserve">  </w:t>
            </w:r>
          </w:p>
        </w:tc>
      </w:tr>
    </w:tbl>
    <w:p w:rsidR="00AB696B" w:rsidRDefault="00980A49">
      <w:pPr>
        <w:spacing w:after="261" w:line="259" w:lineRule="auto"/>
        <w:ind w:left="77" w:right="932" w:hanging="10"/>
        <w:jc w:val="left"/>
      </w:pPr>
      <w:r>
        <w:rPr>
          <w:b/>
          <w:u w:val="single" w:color="000000"/>
        </w:rPr>
        <w:t>Fournisseur :</w:t>
      </w:r>
      <w:r>
        <w:rPr>
          <w:b/>
        </w:rPr>
        <w:t xml:space="preserve"> </w:t>
      </w:r>
    </w:p>
    <w:p w:rsidR="00AB696B" w:rsidRDefault="00980A49">
      <w:pPr>
        <w:spacing w:after="0" w:line="259" w:lineRule="auto"/>
        <w:ind w:left="482" w:firstLine="0"/>
        <w:jc w:val="left"/>
      </w:pPr>
      <w:r>
        <w:rPr>
          <w:b/>
          <w:color w:val="FF0000"/>
          <w:sz w:val="24"/>
        </w:rPr>
        <w:t xml:space="preserve"> </w:t>
      </w:r>
      <w:r>
        <w:rPr>
          <w:b/>
          <w:color w:val="FF0000"/>
          <w:sz w:val="24"/>
        </w:rPr>
        <w:tab/>
      </w: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p>
    <w:p w:rsidR="00AB696B" w:rsidRDefault="00980A49">
      <w:pPr>
        <w:spacing w:after="9" w:line="249" w:lineRule="auto"/>
        <w:ind w:left="92" w:hanging="10"/>
        <w:jc w:val="left"/>
      </w:pPr>
      <w:r>
        <w:rPr>
          <w:b/>
        </w:rPr>
        <w:t xml:space="preserve">Atteste la réception des solutions d’impression suivante le : </w:t>
      </w:r>
    </w:p>
    <w:p w:rsidR="00AB696B" w:rsidRDefault="00980A49">
      <w:pPr>
        <w:spacing w:after="0" w:line="259" w:lineRule="auto"/>
        <w:ind w:left="82" w:firstLine="0"/>
        <w:jc w:val="left"/>
      </w:pPr>
      <w:r>
        <w:rPr>
          <w:sz w:val="20"/>
        </w:rPr>
        <w:t xml:space="preserve"> </w:t>
      </w:r>
    </w:p>
    <w:tbl>
      <w:tblPr>
        <w:tblStyle w:val="TableGrid"/>
        <w:tblW w:w="10346" w:type="dxa"/>
        <w:tblInd w:w="5" w:type="dxa"/>
        <w:tblCellMar>
          <w:top w:w="9" w:type="dxa"/>
          <w:left w:w="115" w:type="dxa"/>
          <w:right w:w="115" w:type="dxa"/>
        </w:tblCellMar>
        <w:tblLook w:val="04A0" w:firstRow="1" w:lastRow="0" w:firstColumn="1" w:lastColumn="0" w:noHBand="0" w:noVBand="1"/>
      </w:tblPr>
      <w:tblGrid>
        <w:gridCol w:w="704"/>
        <w:gridCol w:w="1987"/>
        <w:gridCol w:w="2549"/>
        <w:gridCol w:w="2554"/>
        <w:gridCol w:w="2552"/>
      </w:tblGrid>
      <w:tr w:rsidR="00AB696B">
        <w:trPr>
          <w:trHeight w:val="358"/>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5" w:firstLine="0"/>
              <w:jc w:val="center"/>
            </w:pPr>
            <w:r>
              <w:rPr>
                <w:b/>
                <w:sz w:val="20"/>
              </w:rPr>
              <w:t xml:space="preserve">N°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b/>
                <w:sz w:val="20"/>
              </w:rPr>
              <w:t xml:space="preserve">Configuration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1" w:firstLine="0"/>
              <w:jc w:val="center"/>
            </w:pPr>
            <w:r>
              <w:rPr>
                <w:b/>
                <w:sz w:val="20"/>
              </w:rPr>
              <w:t xml:space="preserve">N° Disque Dur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4" w:firstLine="0"/>
              <w:jc w:val="center"/>
            </w:pPr>
            <w:r>
              <w:rPr>
                <w:b/>
                <w:sz w:val="20"/>
              </w:rPr>
              <w:t xml:space="preserve">Emplacement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3" w:firstLine="0"/>
              <w:jc w:val="center"/>
            </w:pPr>
            <w:r>
              <w:rPr>
                <w:b/>
                <w:sz w:val="20"/>
              </w:rPr>
              <w:t xml:space="preserve">Adresse IP </w:t>
            </w:r>
          </w:p>
        </w:tc>
      </w:tr>
      <w:tr w:rsidR="00AB696B">
        <w:trPr>
          <w:trHeight w:val="528"/>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1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28"/>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2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31"/>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3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28"/>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4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30"/>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5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28"/>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6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30"/>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7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33"/>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8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30"/>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9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r w:rsidR="00AB696B">
        <w:trPr>
          <w:trHeight w:val="531"/>
        </w:trPr>
        <w:tc>
          <w:tcPr>
            <w:tcW w:w="70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2" w:firstLine="0"/>
              <w:jc w:val="center"/>
            </w:pPr>
            <w:r>
              <w:rPr>
                <w:sz w:val="20"/>
              </w:rPr>
              <w:t xml:space="preserve">10 </w:t>
            </w:r>
          </w:p>
        </w:tc>
        <w:tc>
          <w:tcPr>
            <w:tcW w:w="1987"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c>
          <w:tcPr>
            <w:tcW w:w="2549"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4"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6" w:firstLine="0"/>
              <w:jc w:val="center"/>
            </w:pPr>
            <w:r>
              <w:rPr>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4" w:firstLine="0"/>
              <w:jc w:val="center"/>
            </w:pPr>
            <w:r>
              <w:rPr>
                <w:sz w:val="20"/>
              </w:rPr>
              <w:t xml:space="preserve"> </w:t>
            </w:r>
          </w:p>
        </w:tc>
      </w:tr>
    </w:tbl>
    <w:p w:rsidR="00AB696B" w:rsidRDefault="00980A49">
      <w:pPr>
        <w:spacing w:after="0" w:line="259" w:lineRule="auto"/>
        <w:ind w:left="56" w:firstLine="0"/>
        <w:jc w:val="center"/>
      </w:pPr>
      <w:r>
        <w:t xml:space="preserve"> </w:t>
      </w:r>
    </w:p>
    <w:tbl>
      <w:tblPr>
        <w:tblStyle w:val="TableGrid"/>
        <w:tblW w:w="10617" w:type="dxa"/>
        <w:tblInd w:w="5" w:type="dxa"/>
        <w:tblCellMar>
          <w:top w:w="9" w:type="dxa"/>
          <w:left w:w="115" w:type="dxa"/>
          <w:right w:w="115" w:type="dxa"/>
        </w:tblCellMar>
        <w:tblLook w:val="04A0" w:firstRow="1" w:lastRow="0" w:firstColumn="1" w:lastColumn="0" w:noHBand="0" w:noVBand="1"/>
      </w:tblPr>
      <w:tblGrid>
        <w:gridCol w:w="19"/>
        <w:gridCol w:w="3951"/>
        <w:gridCol w:w="1217"/>
        <w:gridCol w:w="5190"/>
        <w:gridCol w:w="240"/>
      </w:tblGrid>
      <w:tr w:rsidR="00AB696B" w:rsidTr="003B6F3E">
        <w:trPr>
          <w:gridAfter w:val="1"/>
          <w:wAfter w:w="240" w:type="dxa"/>
          <w:trHeight w:val="550"/>
        </w:trPr>
        <w:tc>
          <w:tcPr>
            <w:tcW w:w="5187" w:type="dxa"/>
            <w:gridSpan w:val="3"/>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firstLine="0"/>
              <w:jc w:val="center"/>
            </w:pPr>
            <w:r>
              <w:rPr>
                <w:b/>
                <w:sz w:val="20"/>
                <w:u w:val="single" w:color="000000"/>
              </w:rPr>
              <w:t>Grade, nom, signature et coordonnées</w:t>
            </w:r>
            <w:r>
              <w:rPr>
                <w:b/>
                <w:sz w:val="20"/>
              </w:rPr>
              <w:t xml:space="preserve"> </w:t>
            </w:r>
            <w:r>
              <w:rPr>
                <w:b/>
                <w:sz w:val="20"/>
                <w:u w:val="single" w:color="000000"/>
              </w:rPr>
              <w:t>téléphoniques du Service Bénéficiaire</w:t>
            </w:r>
            <w:r>
              <w:rPr>
                <w:sz w:val="20"/>
              </w:rPr>
              <w:t xml:space="preserve"> </w:t>
            </w:r>
          </w:p>
        </w:tc>
        <w:tc>
          <w:tcPr>
            <w:tcW w:w="5190"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right="4" w:firstLine="0"/>
              <w:jc w:val="center"/>
            </w:pPr>
            <w:r>
              <w:rPr>
                <w:b/>
                <w:sz w:val="20"/>
                <w:u w:val="single" w:color="000000"/>
              </w:rPr>
              <w:t>Grade, nom et signature du responsable DIRISI</w:t>
            </w:r>
            <w:r>
              <w:rPr>
                <w:sz w:val="20"/>
              </w:rPr>
              <w:t xml:space="preserve"> </w:t>
            </w:r>
          </w:p>
        </w:tc>
      </w:tr>
      <w:tr w:rsidR="00AB696B" w:rsidTr="003B6F3E">
        <w:trPr>
          <w:gridAfter w:val="1"/>
          <w:wAfter w:w="240" w:type="dxa"/>
          <w:trHeight w:val="1032"/>
        </w:trPr>
        <w:tc>
          <w:tcPr>
            <w:tcW w:w="5187" w:type="dxa"/>
            <w:gridSpan w:val="3"/>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3" w:firstLine="0"/>
              <w:jc w:val="center"/>
            </w:pPr>
            <w:r>
              <w:rPr>
                <w:sz w:val="20"/>
              </w:rPr>
              <w:t xml:space="preserve"> </w:t>
            </w:r>
          </w:p>
        </w:tc>
        <w:tc>
          <w:tcPr>
            <w:tcW w:w="5190" w:type="dxa"/>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55" w:firstLine="0"/>
              <w:jc w:val="center"/>
            </w:pPr>
            <w:r>
              <w:rPr>
                <w:sz w:val="20"/>
              </w:rPr>
              <w:t xml:space="preserve"> </w:t>
            </w:r>
          </w:p>
        </w:tc>
      </w:tr>
      <w:tr w:rsidR="00AB696B" w:rsidTr="003B6F3E">
        <w:tblPrEx>
          <w:tblCellMar>
            <w:top w:w="4" w:type="dxa"/>
            <w:left w:w="53" w:type="dxa"/>
            <w:bottom w:w="4" w:type="dxa"/>
            <w:right w:w="0" w:type="dxa"/>
          </w:tblCellMar>
        </w:tblPrEx>
        <w:trPr>
          <w:gridBefore w:val="1"/>
          <w:wBefore w:w="19" w:type="dxa"/>
          <w:trHeight w:val="257"/>
        </w:trPr>
        <w:tc>
          <w:tcPr>
            <w:tcW w:w="10598" w:type="dxa"/>
            <w:gridSpan w:val="4"/>
            <w:tcBorders>
              <w:top w:val="single" w:sz="4" w:space="0" w:color="000000"/>
              <w:left w:val="single" w:sz="4" w:space="0" w:color="000000"/>
              <w:bottom w:val="nil"/>
              <w:right w:val="single" w:sz="4" w:space="0" w:color="000000"/>
            </w:tcBorders>
            <w:shd w:val="clear" w:color="auto" w:fill="D9D9D9"/>
          </w:tcPr>
          <w:p w:rsidR="00AB696B" w:rsidRDefault="00980A49">
            <w:pPr>
              <w:spacing w:after="0" w:line="259" w:lineRule="auto"/>
              <w:ind w:left="0" w:right="59" w:firstLine="0"/>
              <w:jc w:val="center"/>
            </w:pPr>
            <w:r>
              <w:lastRenderedPageBreak/>
              <w:t xml:space="preserve"> </w:t>
            </w:r>
            <w:r>
              <w:tab/>
              <w:t xml:space="preserve"> </w:t>
            </w:r>
            <w:r>
              <w:rPr>
                <w:b/>
              </w:rPr>
              <w:t xml:space="preserve">ANNEXE N°2 : FICHE INCIDENT DANS LE CADRE D’UN CONTRAT </w:t>
            </w:r>
          </w:p>
        </w:tc>
      </w:tr>
      <w:tr w:rsidR="00AB696B" w:rsidTr="003B6F3E">
        <w:tblPrEx>
          <w:tblCellMar>
            <w:top w:w="4" w:type="dxa"/>
            <w:left w:w="53" w:type="dxa"/>
            <w:bottom w:w="4" w:type="dxa"/>
            <w:right w:w="0" w:type="dxa"/>
          </w:tblCellMar>
        </w:tblPrEx>
        <w:trPr>
          <w:gridBefore w:val="1"/>
          <w:wBefore w:w="19" w:type="dxa"/>
          <w:trHeight w:val="770"/>
        </w:trPr>
        <w:tc>
          <w:tcPr>
            <w:tcW w:w="10598" w:type="dxa"/>
            <w:gridSpan w:val="4"/>
            <w:tcBorders>
              <w:top w:val="single" w:sz="4" w:space="0" w:color="000000"/>
              <w:left w:val="single" w:sz="4" w:space="0" w:color="000000"/>
              <w:bottom w:val="single" w:sz="4" w:space="0" w:color="000000"/>
              <w:right w:val="single" w:sz="4" w:space="0" w:color="000000"/>
            </w:tcBorders>
          </w:tcPr>
          <w:p w:rsidR="00AB696B" w:rsidRDefault="00980A49">
            <w:pPr>
              <w:spacing w:after="0" w:line="259" w:lineRule="auto"/>
              <w:ind w:left="0" w:firstLine="0"/>
              <w:jc w:val="left"/>
            </w:pPr>
            <w:r>
              <w:t xml:space="preserve"> </w:t>
            </w:r>
          </w:p>
          <w:p w:rsidR="00AB696B" w:rsidRDefault="00980A49" w:rsidP="003B6F3E">
            <w:pPr>
              <w:spacing w:after="0" w:line="259" w:lineRule="auto"/>
              <w:ind w:left="0" w:firstLine="0"/>
            </w:pPr>
            <w:r>
              <w:rPr>
                <w:i/>
              </w:rPr>
              <w:t xml:space="preserve">(à remplir par le responsable technique du site et à renvoyer au </w:t>
            </w:r>
            <w:r w:rsidR="003B6F3E">
              <w:rPr>
                <w:i/>
              </w:rPr>
              <w:t>DAF/BA</w:t>
            </w:r>
            <w:r>
              <w:rPr>
                <w:i/>
              </w:rPr>
              <w:t xml:space="preserve"> dans les 48 h après l'exécution prévues des prestations)</w:t>
            </w:r>
            <w:r>
              <w:t xml:space="preserve"> </w:t>
            </w:r>
          </w:p>
        </w:tc>
      </w:tr>
      <w:tr w:rsidR="00AB696B" w:rsidTr="003B6F3E">
        <w:tblPrEx>
          <w:tblCellMar>
            <w:top w:w="4" w:type="dxa"/>
            <w:left w:w="53" w:type="dxa"/>
            <w:bottom w:w="4" w:type="dxa"/>
            <w:right w:w="0" w:type="dxa"/>
          </w:tblCellMar>
        </w:tblPrEx>
        <w:trPr>
          <w:gridBefore w:val="1"/>
          <w:wBefore w:w="19" w:type="dxa"/>
          <w:trHeight w:val="953"/>
        </w:trPr>
        <w:tc>
          <w:tcPr>
            <w:tcW w:w="3951" w:type="dxa"/>
            <w:tcBorders>
              <w:top w:val="single" w:sz="4" w:space="0" w:color="000000"/>
              <w:left w:val="single" w:sz="8" w:space="0" w:color="000000"/>
              <w:bottom w:val="single" w:sz="4" w:space="0" w:color="000000"/>
              <w:right w:val="single" w:sz="8" w:space="0" w:color="000000"/>
            </w:tcBorders>
            <w:vAlign w:val="center"/>
          </w:tcPr>
          <w:p w:rsidR="00AB696B" w:rsidRDefault="00980A49">
            <w:pPr>
              <w:spacing w:after="0" w:line="259" w:lineRule="auto"/>
              <w:ind w:left="0" w:firstLine="0"/>
              <w:jc w:val="left"/>
            </w:pPr>
            <w:r>
              <w:t xml:space="preserve">Numéro de l’accord-cadre </w:t>
            </w:r>
          </w:p>
          <w:p w:rsidR="00AB696B" w:rsidRDefault="00980A49">
            <w:pPr>
              <w:spacing w:after="0" w:line="259" w:lineRule="auto"/>
              <w:ind w:left="0" w:firstLine="0"/>
              <w:jc w:val="left"/>
            </w:pPr>
            <w:r>
              <w:rPr>
                <w:i/>
              </w:rPr>
              <w:t>(exemple : 2019 074 2019 010)</w:t>
            </w:r>
            <w:r>
              <w:t xml:space="preserve">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326"/>
        </w:trPr>
        <w:tc>
          <w:tcPr>
            <w:tcW w:w="3951" w:type="dxa"/>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0" w:firstLine="0"/>
              <w:jc w:val="left"/>
            </w:pPr>
            <w:r>
              <w:t xml:space="preserve">Nom du titulaire </w:t>
            </w:r>
          </w:p>
        </w:tc>
        <w:tc>
          <w:tcPr>
            <w:tcW w:w="6647" w:type="dxa"/>
            <w:gridSpan w:val="3"/>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1270"/>
        </w:trPr>
        <w:tc>
          <w:tcPr>
            <w:tcW w:w="3951" w:type="dxa"/>
            <w:tcBorders>
              <w:top w:val="single" w:sz="4" w:space="0" w:color="000000"/>
              <w:left w:val="single" w:sz="8" w:space="0" w:color="000000"/>
              <w:bottom w:val="single" w:sz="4" w:space="0" w:color="000000"/>
              <w:right w:val="single" w:sz="8" w:space="0" w:color="000000"/>
            </w:tcBorders>
            <w:vAlign w:val="center"/>
          </w:tcPr>
          <w:p w:rsidR="00AB696B" w:rsidRDefault="00980A49">
            <w:pPr>
              <w:spacing w:after="0" w:line="259" w:lineRule="auto"/>
              <w:ind w:left="0" w:firstLine="0"/>
              <w:jc w:val="left"/>
            </w:pPr>
            <w:r>
              <w:t xml:space="preserve">Emetteur de la fiche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Emprise : </w:t>
            </w:r>
          </w:p>
          <w:p w:rsidR="00AB696B" w:rsidRDefault="00980A49">
            <w:pPr>
              <w:spacing w:after="0" w:line="259" w:lineRule="auto"/>
              <w:ind w:left="17" w:firstLine="0"/>
              <w:jc w:val="left"/>
            </w:pPr>
            <w:r>
              <w:t xml:space="preserve">Nom et prénom : </w:t>
            </w:r>
          </w:p>
          <w:p w:rsidR="00AB696B" w:rsidRDefault="00980A49">
            <w:pPr>
              <w:spacing w:after="0" w:line="259" w:lineRule="auto"/>
              <w:ind w:left="17" w:firstLine="0"/>
              <w:jc w:val="left"/>
            </w:pPr>
            <w:r>
              <w:t xml:space="preserve">Courriel : </w:t>
            </w:r>
          </w:p>
          <w:p w:rsidR="00AB696B" w:rsidRDefault="00980A49">
            <w:pPr>
              <w:spacing w:after="0" w:line="259" w:lineRule="auto"/>
              <w:ind w:left="17" w:firstLine="0"/>
              <w:jc w:val="left"/>
            </w:pPr>
            <w:r>
              <w:t xml:space="preserve">Tél : </w:t>
            </w:r>
          </w:p>
        </w:tc>
      </w:tr>
      <w:tr w:rsidR="00AB696B" w:rsidTr="003B6F3E">
        <w:tblPrEx>
          <w:tblCellMar>
            <w:top w:w="4" w:type="dxa"/>
            <w:left w:w="53" w:type="dxa"/>
            <w:bottom w:w="4" w:type="dxa"/>
            <w:right w:w="0" w:type="dxa"/>
          </w:tblCellMar>
        </w:tblPrEx>
        <w:trPr>
          <w:gridBefore w:val="1"/>
          <w:wBefore w:w="19" w:type="dxa"/>
          <w:trHeight w:val="324"/>
        </w:trPr>
        <w:tc>
          <w:tcPr>
            <w:tcW w:w="3951" w:type="dxa"/>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0" w:firstLine="0"/>
              <w:jc w:val="left"/>
            </w:pPr>
            <w:r>
              <w:t xml:space="preserve">Date d'émission de la fiche </w:t>
            </w:r>
          </w:p>
        </w:tc>
        <w:tc>
          <w:tcPr>
            <w:tcW w:w="6647" w:type="dxa"/>
            <w:gridSpan w:val="3"/>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1008"/>
        </w:trPr>
        <w:tc>
          <w:tcPr>
            <w:tcW w:w="3951" w:type="dxa"/>
            <w:tcBorders>
              <w:top w:val="single" w:sz="4" w:space="0" w:color="000000"/>
              <w:left w:val="single" w:sz="8" w:space="0" w:color="000000"/>
              <w:bottom w:val="single" w:sz="8" w:space="0" w:color="000000"/>
              <w:right w:val="single" w:sz="8" w:space="0" w:color="000000"/>
            </w:tcBorders>
            <w:vAlign w:val="center"/>
          </w:tcPr>
          <w:p w:rsidR="00AB696B" w:rsidRDefault="00980A49">
            <w:pPr>
              <w:spacing w:after="11" w:line="259" w:lineRule="auto"/>
              <w:ind w:left="0" w:firstLine="0"/>
              <w:jc w:val="left"/>
            </w:pPr>
            <w:r>
              <w:t xml:space="preserve">Numéro de la fiche </w:t>
            </w:r>
          </w:p>
          <w:p w:rsidR="00AB696B" w:rsidRDefault="00980A49">
            <w:pPr>
              <w:spacing w:after="0" w:line="259" w:lineRule="auto"/>
              <w:ind w:left="0" w:firstLine="0"/>
              <w:jc w:val="left"/>
            </w:pPr>
            <w:r>
              <w:rPr>
                <w:i/>
              </w:rPr>
              <w:t>(exemple : 1/N° de l’accord-cadre)</w:t>
            </w:r>
            <w:r>
              <w:t xml:space="preserve"> </w:t>
            </w:r>
          </w:p>
        </w:tc>
        <w:tc>
          <w:tcPr>
            <w:tcW w:w="6647" w:type="dxa"/>
            <w:gridSpan w:val="3"/>
            <w:tcBorders>
              <w:top w:val="single" w:sz="4" w:space="0" w:color="000000"/>
              <w:left w:val="single" w:sz="8" w:space="0" w:color="000000"/>
              <w:bottom w:val="single" w:sz="8"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346"/>
        </w:trPr>
        <w:tc>
          <w:tcPr>
            <w:tcW w:w="10598" w:type="dxa"/>
            <w:gridSpan w:val="4"/>
            <w:tcBorders>
              <w:top w:val="single" w:sz="8" w:space="0" w:color="000000"/>
              <w:left w:val="single" w:sz="8" w:space="0" w:color="000000"/>
              <w:bottom w:val="single" w:sz="8" w:space="0" w:color="000000"/>
              <w:right w:val="single" w:sz="8" w:space="0" w:color="000000"/>
            </w:tcBorders>
            <w:shd w:val="clear" w:color="auto" w:fill="EEECE1"/>
          </w:tcPr>
          <w:p w:rsidR="00AB696B" w:rsidRDefault="00980A49">
            <w:pPr>
              <w:spacing w:after="0" w:line="259" w:lineRule="auto"/>
              <w:ind w:left="0" w:firstLine="0"/>
              <w:jc w:val="left"/>
            </w:pPr>
            <w:r>
              <w:t xml:space="preserve">Description détaillée de l'incident </w:t>
            </w:r>
          </w:p>
        </w:tc>
      </w:tr>
      <w:tr w:rsidR="00AB696B" w:rsidTr="003B6F3E">
        <w:tblPrEx>
          <w:tblCellMar>
            <w:top w:w="4" w:type="dxa"/>
            <w:left w:w="53" w:type="dxa"/>
            <w:bottom w:w="4" w:type="dxa"/>
            <w:right w:w="0" w:type="dxa"/>
          </w:tblCellMar>
        </w:tblPrEx>
        <w:trPr>
          <w:gridBefore w:val="1"/>
          <w:wBefore w:w="19" w:type="dxa"/>
          <w:trHeight w:val="648"/>
        </w:trPr>
        <w:tc>
          <w:tcPr>
            <w:tcW w:w="3951" w:type="dxa"/>
            <w:tcBorders>
              <w:top w:val="single" w:sz="8" w:space="0" w:color="000000"/>
              <w:left w:val="single" w:sz="8" w:space="0" w:color="000000"/>
              <w:bottom w:val="single" w:sz="4" w:space="0" w:color="000000"/>
              <w:right w:val="single" w:sz="8" w:space="0" w:color="000000"/>
            </w:tcBorders>
            <w:vAlign w:val="center"/>
          </w:tcPr>
          <w:p w:rsidR="00AB696B" w:rsidRDefault="00980A49">
            <w:pPr>
              <w:spacing w:after="0" w:line="259" w:lineRule="auto"/>
              <w:ind w:left="0" w:firstLine="0"/>
              <w:jc w:val="left"/>
            </w:pPr>
            <w:r>
              <w:t xml:space="preserve">Type d'incident </w:t>
            </w:r>
          </w:p>
        </w:tc>
        <w:tc>
          <w:tcPr>
            <w:tcW w:w="6647" w:type="dxa"/>
            <w:gridSpan w:val="3"/>
            <w:tcBorders>
              <w:top w:val="single" w:sz="8" w:space="0" w:color="000000"/>
              <w:left w:val="single" w:sz="8" w:space="0" w:color="000000"/>
              <w:bottom w:val="single" w:sz="4" w:space="0" w:color="000000"/>
              <w:right w:val="single" w:sz="8" w:space="0" w:color="000000"/>
            </w:tcBorders>
            <w:vAlign w:val="bottom"/>
          </w:tcPr>
          <w:p w:rsidR="00AB696B" w:rsidRDefault="00980A49">
            <w:pPr>
              <w:spacing w:after="17" w:line="259" w:lineRule="auto"/>
              <w:ind w:left="17" w:firstLine="0"/>
              <w:jc w:val="left"/>
            </w:pPr>
            <w:r>
              <w:t xml:space="preserve">□ Absence de prestations </w:t>
            </w:r>
          </w:p>
          <w:p w:rsidR="00AB696B" w:rsidRDefault="00980A49">
            <w:pPr>
              <w:spacing w:after="0" w:line="259" w:lineRule="auto"/>
              <w:ind w:left="17" w:firstLine="0"/>
              <w:jc w:val="left"/>
            </w:pPr>
            <w:r>
              <w:t xml:space="preserve">□ Mauvaise exécution des prestations </w:t>
            </w:r>
          </w:p>
        </w:tc>
      </w:tr>
      <w:tr w:rsidR="00AB696B" w:rsidTr="003B6F3E">
        <w:tblPrEx>
          <w:tblCellMar>
            <w:top w:w="4" w:type="dxa"/>
            <w:left w:w="53" w:type="dxa"/>
            <w:bottom w:w="4" w:type="dxa"/>
            <w:right w:w="0" w:type="dxa"/>
          </w:tblCellMar>
        </w:tblPrEx>
        <w:trPr>
          <w:gridBefore w:val="1"/>
          <w:wBefore w:w="19" w:type="dxa"/>
          <w:trHeight w:val="324"/>
        </w:trPr>
        <w:tc>
          <w:tcPr>
            <w:tcW w:w="3951" w:type="dxa"/>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0" w:firstLine="0"/>
              <w:jc w:val="left"/>
            </w:pPr>
            <w:r>
              <w:t xml:space="preserve">Date de l'incident </w:t>
            </w:r>
          </w:p>
        </w:tc>
        <w:tc>
          <w:tcPr>
            <w:tcW w:w="6647" w:type="dxa"/>
            <w:gridSpan w:val="3"/>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641"/>
        </w:trPr>
        <w:tc>
          <w:tcPr>
            <w:tcW w:w="3951" w:type="dxa"/>
            <w:tcBorders>
              <w:top w:val="single" w:sz="4" w:space="0" w:color="000000"/>
              <w:left w:val="single" w:sz="8" w:space="0" w:color="000000"/>
              <w:bottom w:val="single" w:sz="4" w:space="0" w:color="000000"/>
              <w:right w:val="single" w:sz="8" w:space="0" w:color="000000"/>
            </w:tcBorders>
            <w:vAlign w:val="center"/>
          </w:tcPr>
          <w:p w:rsidR="00AB696B" w:rsidRDefault="00980A49">
            <w:pPr>
              <w:spacing w:after="0" w:line="259" w:lineRule="auto"/>
              <w:ind w:left="0" w:firstLine="0"/>
              <w:jc w:val="left"/>
            </w:pPr>
            <w:r>
              <w:t xml:space="preserve">Antériorité de l'incident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16" w:line="259" w:lineRule="auto"/>
              <w:ind w:left="17" w:firstLine="0"/>
              <w:jc w:val="left"/>
            </w:pPr>
            <w:r>
              <w:t xml:space="preserve">□ Nouvel incident de ce type </w:t>
            </w:r>
          </w:p>
          <w:p w:rsidR="00AB696B" w:rsidRDefault="00980A49">
            <w:pPr>
              <w:spacing w:after="0" w:line="259" w:lineRule="auto"/>
              <w:ind w:left="17" w:firstLine="0"/>
              <w:jc w:val="left"/>
            </w:pPr>
            <w:r>
              <w:t xml:space="preserve">□ Incident déjà survenu </w:t>
            </w:r>
          </w:p>
        </w:tc>
      </w:tr>
      <w:tr w:rsidR="00AB696B" w:rsidTr="003B6F3E">
        <w:tblPrEx>
          <w:tblCellMar>
            <w:top w:w="4" w:type="dxa"/>
            <w:left w:w="53" w:type="dxa"/>
            <w:bottom w:w="4" w:type="dxa"/>
            <w:right w:w="0" w:type="dxa"/>
          </w:tblCellMar>
        </w:tblPrEx>
        <w:trPr>
          <w:gridBefore w:val="1"/>
          <w:wBefore w:w="19" w:type="dxa"/>
          <w:trHeight w:val="1313"/>
        </w:trPr>
        <w:tc>
          <w:tcPr>
            <w:tcW w:w="3951" w:type="dxa"/>
            <w:tcBorders>
              <w:top w:val="single" w:sz="4" w:space="0" w:color="000000"/>
              <w:left w:val="single" w:sz="8" w:space="0" w:color="000000"/>
              <w:bottom w:val="single" w:sz="4" w:space="0" w:color="000000"/>
              <w:right w:val="single" w:sz="8" w:space="0" w:color="000000"/>
            </w:tcBorders>
            <w:vAlign w:val="center"/>
          </w:tcPr>
          <w:p w:rsidR="00AB696B" w:rsidRDefault="00980A49">
            <w:pPr>
              <w:spacing w:after="0" w:line="259" w:lineRule="auto"/>
              <w:ind w:left="0" w:firstLine="0"/>
              <w:jc w:val="left"/>
            </w:pPr>
            <w:r>
              <w:t xml:space="preserve">Description détaillée de l'incident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324"/>
        </w:trPr>
        <w:tc>
          <w:tcPr>
            <w:tcW w:w="3951" w:type="dxa"/>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0" w:firstLine="0"/>
              <w:jc w:val="left"/>
            </w:pPr>
            <w:r>
              <w:t xml:space="preserve">Commentaires éventuels </w:t>
            </w:r>
          </w:p>
        </w:tc>
        <w:tc>
          <w:tcPr>
            <w:tcW w:w="6647" w:type="dxa"/>
            <w:gridSpan w:val="3"/>
            <w:tcBorders>
              <w:top w:val="single" w:sz="4" w:space="0" w:color="000000"/>
              <w:left w:val="single" w:sz="8" w:space="0" w:color="000000"/>
              <w:bottom w:val="single" w:sz="4" w:space="0" w:color="000000"/>
              <w:right w:val="single" w:sz="8" w:space="0" w:color="000000"/>
            </w:tcBorders>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664"/>
        </w:trPr>
        <w:tc>
          <w:tcPr>
            <w:tcW w:w="3951" w:type="dxa"/>
            <w:tcBorders>
              <w:top w:val="single" w:sz="4" w:space="0" w:color="000000"/>
              <w:left w:val="single" w:sz="8" w:space="0" w:color="000000"/>
              <w:bottom w:val="single" w:sz="8" w:space="0" w:color="000000"/>
              <w:right w:val="single" w:sz="8" w:space="0" w:color="000000"/>
            </w:tcBorders>
          </w:tcPr>
          <w:p w:rsidR="00AB696B" w:rsidRDefault="00980A49">
            <w:pPr>
              <w:spacing w:after="0" w:line="259" w:lineRule="auto"/>
              <w:ind w:left="0" w:firstLine="0"/>
              <w:jc w:val="left"/>
            </w:pPr>
            <w:r>
              <w:t xml:space="preserve">Date et signature de l'émetteur de la fiche  </w:t>
            </w:r>
          </w:p>
        </w:tc>
        <w:tc>
          <w:tcPr>
            <w:tcW w:w="6647" w:type="dxa"/>
            <w:gridSpan w:val="3"/>
            <w:tcBorders>
              <w:top w:val="single" w:sz="4" w:space="0" w:color="000000"/>
              <w:left w:val="single" w:sz="8" w:space="0" w:color="000000"/>
              <w:bottom w:val="single" w:sz="8"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344"/>
        </w:trPr>
        <w:tc>
          <w:tcPr>
            <w:tcW w:w="10598" w:type="dxa"/>
            <w:gridSpan w:val="4"/>
            <w:tcBorders>
              <w:top w:val="single" w:sz="8" w:space="0" w:color="000000"/>
              <w:left w:val="single" w:sz="8" w:space="0" w:color="000000"/>
              <w:bottom w:val="single" w:sz="8" w:space="0" w:color="000000"/>
              <w:right w:val="single" w:sz="8" w:space="0" w:color="000000"/>
            </w:tcBorders>
            <w:shd w:val="clear" w:color="auto" w:fill="EEECE1"/>
          </w:tcPr>
          <w:p w:rsidR="00AB696B" w:rsidRDefault="00980A49" w:rsidP="003B6F3E">
            <w:pPr>
              <w:spacing w:after="0" w:line="259" w:lineRule="auto"/>
              <w:ind w:left="0" w:firstLine="0"/>
              <w:jc w:val="left"/>
            </w:pPr>
            <w:r>
              <w:t xml:space="preserve">Actions du </w:t>
            </w:r>
            <w:r w:rsidR="003B6F3E">
              <w:t>DAF/BA</w:t>
            </w:r>
            <w:r>
              <w:t xml:space="preserve"> </w:t>
            </w:r>
          </w:p>
        </w:tc>
      </w:tr>
      <w:tr w:rsidR="00AB696B" w:rsidTr="003B6F3E">
        <w:tblPrEx>
          <w:tblCellMar>
            <w:top w:w="4" w:type="dxa"/>
            <w:left w:w="53" w:type="dxa"/>
            <w:bottom w:w="4" w:type="dxa"/>
            <w:right w:w="0" w:type="dxa"/>
          </w:tblCellMar>
        </w:tblPrEx>
        <w:trPr>
          <w:gridBefore w:val="1"/>
          <w:wBefore w:w="19" w:type="dxa"/>
          <w:trHeight w:val="648"/>
        </w:trPr>
        <w:tc>
          <w:tcPr>
            <w:tcW w:w="3951" w:type="dxa"/>
            <w:tcBorders>
              <w:top w:val="single" w:sz="8"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0" w:firstLine="0"/>
              <w:jc w:val="left"/>
            </w:pPr>
            <w:r>
              <w:t xml:space="preserve">Date de la réception de la fiche </w:t>
            </w:r>
          </w:p>
        </w:tc>
        <w:tc>
          <w:tcPr>
            <w:tcW w:w="6647" w:type="dxa"/>
            <w:gridSpan w:val="3"/>
            <w:tcBorders>
              <w:top w:val="single" w:sz="8"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956"/>
        </w:trPr>
        <w:tc>
          <w:tcPr>
            <w:tcW w:w="3951" w:type="dxa"/>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0" w:firstLine="0"/>
              <w:jc w:val="left"/>
            </w:pPr>
            <w:r>
              <w:t xml:space="preserve">Actions menées auprès du titulaire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16" w:line="259" w:lineRule="auto"/>
              <w:ind w:left="17" w:firstLine="0"/>
              <w:jc w:val="left"/>
            </w:pPr>
            <w:r>
              <w:t xml:space="preserve">□Rappel des obligations contractuelles </w:t>
            </w:r>
          </w:p>
          <w:p w:rsidR="00AB696B" w:rsidRDefault="00980A49">
            <w:pPr>
              <w:spacing w:after="16" w:line="259" w:lineRule="auto"/>
              <w:ind w:left="17" w:firstLine="0"/>
              <w:jc w:val="left"/>
            </w:pPr>
            <w:r>
              <w:t xml:space="preserve">□ Mise en demeure </w:t>
            </w:r>
          </w:p>
          <w:p w:rsidR="00AB696B" w:rsidRDefault="00980A49">
            <w:pPr>
              <w:spacing w:after="0" w:line="259" w:lineRule="auto"/>
              <w:ind w:left="17" w:firstLine="0"/>
              <w:jc w:val="left"/>
            </w:pPr>
            <w:r>
              <w:t xml:space="preserve">□ Pénalités appliquées </w:t>
            </w:r>
          </w:p>
        </w:tc>
      </w:tr>
      <w:tr w:rsidR="00AB696B" w:rsidTr="003B6F3E">
        <w:tblPrEx>
          <w:tblCellMar>
            <w:top w:w="4" w:type="dxa"/>
            <w:left w:w="53" w:type="dxa"/>
            <w:bottom w:w="4" w:type="dxa"/>
            <w:right w:w="0" w:type="dxa"/>
          </w:tblCellMar>
        </w:tblPrEx>
        <w:trPr>
          <w:gridBefore w:val="1"/>
          <w:wBefore w:w="19" w:type="dxa"/>
          <w:trHeight w:val="641"/>
        </w:trPr>
        <w:tc>
          <w:tcPr>
            <w:tcW w:w="3951" w:type="dxa"/>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0" w:right="909" w:firstLine="0"/>
              <w:jc w:val="left"/>
            </w:pPr>
            <w:r>
              <w:t xml:space="preserve">Pénalités appliquées </w:t>
            </w:r>
            <w:r>
              <w:rPr>
                <w:i/>
              </w:rPr>
              <w:t>(précisez le montant)</w:t>
            </w:r>
            <w:r>
              <w:t xml:space="preserve">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638"/>
        </w:trPr>
        <w:tc>
          <w:tcPr>
            <w:tcW w:w="3951" w:type="dxa"/>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0" w:firstLine="0"/>
              <w:jc w:val="left"/>
            </w:pPr>
            <w:r>
              <w:t xml:space="preserve">N° facture si pénalités appliquées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  </w:t>
            </w:r>
          </w:p>
        </w:tc>
      </w:tr>
      <w:tr w:rsidR="00AB696B" w:rsidTr="003B6F3E">
        <w:tblPrEx>
          <w:tblCellMar>
            <w:top w:w="4" w:type="dxa"/>
            <w:left w:w="53" w:type="dxa"/>
            <w:bottom w:w="4" w:type="dxa"/>
            <w:right w:w="0" w:type="dxa"/>
          </w:tblCellMar>
        </w:tblPrEx>
        <w:trPr>
          <w:gridBefore w:val="1"/>
          <w:wBefore w:w="19" w:type="dxa"/>
          <w:trHeight w:val="444"/>
        </w:trPr>
        <w:tc>
          <w:tcPr>
            <w:tcW w:w="3951" w:type="dxa"/>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0" w:firstLine="0"/>
              <w:jc w:val="left"/>
            </w:pPr>
            <w:r>
              <w:t xml:space="preserve">Commentaires éventuels </w:t>
            </w:r>
          </w:p>
        </w:tc>
        <w:tc>
          <w:tcPr>
            <w:tcW w:w="6647" w:type="dxa"/>
            <w:gridSpan w:val="3"/>
            <w:tcBorders>
              <w:top w:val="single" w:sz="4" w:space="0" w:color="000000"/>
              <w:left w:val="single" w:sz="8" w:space="0" w:color="000000"/>
              <w:bottom w:val="single" w:sz="4" w:space="0" w:color="000000"/>
              <w:right w:val="single" w:sz="8" w:space="0" w:color="000000"/>
            </w:tcBorders>
            <w:vAlign w:val="bottom"/>
          </w:tcPr>
          <w:p w:rsidR="00AB696B" w:rsidRDefault="00980A49">
            <w:pPr>
              <w:spacing w:after="0" w:line="259" w:lineRule="auto"/>
              <w:ind w:left="17" w:firstLine="0"/>
              <w:jc w:val="left"/>
            </w:pPr>
            <w:r>
              <w:t xml:space="preserve">  </w:t>
            </w:r>
          </w:p>
        </w:tc>
      </w:tr>
    </w:tbl>
    <w:p w:rsidR="00AB696B" w:rsidRDefault="00980A49">
      <w:pPr>
        <w:spacing w:after="0" w:line="259" w:lineRule="auto"/>
        <w:ind w:left="0" w:firstLine="0"/>
      </w:pPr>
      <w:r>
        <w:t xml:space="preserve"> </w:t>
      </w:r>
    </w:p>
    <w:sectPr w:rsidR="00AB696B" w:rsidSect="007827F6">
      <w:headerReference w:type="even" r:id="rId14"/>
      <w:headerReference w:type="default" r:id="rId15"/>
      <w:footerReference w:type="even" r:id="rId16"/>
      <w:footerReference w:type="default" r:id="rId17"/>
      <w:headerReference w:type="first" r:id="rId18"/>
      <w:footerReference w:type="first" r:id="rId19"/>
      <w:pgSz w:w="11906" w:h="16841"/>
      <w:pgMar w:top="1442" w:right="1133" w:bottom="1468" w:left="708" w:header="720" w:footer="7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FDD" w:rsidRDefault="00072FDD">
      <w:pPr>
        <w:spacing w:after="0" w:line="240" w:lineRule="auto"/>
      </w:pPr>
      <w:r>
        <w:separator/>
      </w:r>
    </w:p>
  </w:endnote>
  <w:endnote w:type="continuationSeparator" w:id="0">
    <w:p w:rsidR="00072FDD" w:rsidRDefault="00072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DD" w:rsidRDefault="00072FDD">
    <w:pPr>
      <w:spacing w:after="0" w:line="259" w:lineRule="auto"/>
      <w:ind w:left="0" w:right="3"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sur </w:t>
    </w:r>
    <w:r>
      <w:rPr>
        <w:rFonts w:ascii="Times New Roman" w:eastAsia="Times New Roman" w:hAnsi="Times New Roman" w:cs="Times New Roman"/>
        <w:b/>
      </w:rPr>
      <w:t>19</w:t>
    </w:r>
    <w:r>
      <w:rPr>
        <w:rFonts w:ascii="Times New Roman" w:eastAsia="Times New Roman" w:hAnsi="Times New Roman" w:cs="Times New Roman"/>
      </w:rPr>
      <w:t xml:space="preserve"> </w:t>
    </w:r>
  </w:p>
  <w:p w:rsidR="00072FDD" w:rsidRDefault="00072FDD">
    <w:pPr>
      <w:spacing w:after="0" w:line="259" w:lineRule="auto"/>
      <w:ind w:lef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DD" w:rsidRPr="003B6F3E" w:rsidRDefault="00072FDD">
    <w:pPr>
      <w:spacing w:after="0" w:line="259" w:lineRule="auto"/>
      <w:ind w:left="0" w:right="3" w:firstLine="0"/>
      <w:jc w:val="right"/>
    </w:pPr>
    <w:r w:rsidRPr="003B6F3E">
      <w:rPr>
        <w:rFonts w:eastAsia="Times New Roman"/>
      </w:rPr>
      <w:t xml:space="preserve">Page </w:t>
    </w:r>
    <w:r w:rsidRPr="003B6F3E">
      <w:fldChar w:fldCharType="begin"/>
    </w:r>
    <w:r w:rsidRPr="003B6F3E">
      <w:instrText xml:space="preserve"> PAGE   \* MERGEFORMAT </w:instrText>
    </w:r>
    <w:r w:rsidRPr="003B6F3E">
      <w:fldChar w:fldCharType="separate"/>
    </w:r>
    <w:r w:rsidR="001E3A1C" w:rsidRPr="001E3A1C">
      <w:rPr>
        <w:rFonts w:eastAsia="Times New Roman"/>
        <w:b/>
        <w:noProof/>
      </w:rPr>
      <w:t>2</w:t>
    </w:r>
    <w:r w:rsidRPr="003B6F3E">
      <w:rPr>
        <w:rFonts w:eastAsia="Times New Roman"/>
        <w:b/>
      </w:rPr>
      <w:fldChar w:fldCharType="end"/>
    </w:r>
    <w:r w:rsidRPr="003B6F3E">
      <w:rPr>
        <w:rFonts w:eastAsia="Times New Roman"/>
      </w:rPr>
      <w:t xml:space="preserve"> sur </w:t>
    </w:r>
    <w:r w:rsidRPr="003B6F3E">
      <w:rPr>
        <w:rFonts w:eastAsia="Times New Roman"/>
        <w:b/>
      </w:rPr>
      <w:t>2</w:t>
    </w:r>
    <w:r>
      <w:rPr>
        <w:rFonts w:eastAsia="Times New Roman"/>
        <w:b/>
      </w:rPr>
      <w:t>4</w:t>
    </w:r>
  </w:p>
  <w:p w:rsidR="00072FDD" w:rsidRDefault="00072FDD">
    <w:pPr>
      <w:spacing w:after="0" w:line="259" w:lineRule="auto"/>
      <w:ind w:lef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DD" w:rsidRDefault="00072FDD">
    <w:pPr>
      <w:spacing w:after="0" w:line="259" w:lineRule="auto"/>
      <w:ind w:left="0" w:right="3"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sur </w:t>
    </w:r>
    <w:r>
      <w:rPr>
        <w:rFonts w:ascii="Times New Roman" w:eastAsia="Times New Roman" w:hAnsi="Times New Roman" w:cs="Times New Roman"/>
        <w:b/>
      </w:rPr>
      <w:t>19</w:t>
    </w:r>
    <w:r>
      <w:rPr>
        <w:rFonts w:ascii="Times New Roman" w:eastAsia="Times New Roman" w:hAnsi="Times New Roman" w:cs="Times New Roman"/>
      </w:rPr>
      <w:t xml:space="preserve"> </w:t>
    </w:r>
  </w:p>
  <w:p w:rsidR="00072FDD" w:rsidRDefault="00072FDD">
    <w:pPr>
      <w:spacing w:after="0" w:line="259" w:lineRule="auto"/>
      <w:ind w:left="0"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FDD" w:rsidRDefault="00072FDD">
      <w:pPr>
        <w:spacing w:after="0" w:line="240" w:lineRule="auto"/>
      </w:pPr>
      <w:r>
        <w:separator/>
      </w:r>
    </w:p>
  </w:footnote>
  <w:footnote w:type="continuationSeparator" w:id="0">
    <w:p w:rsidR="00072FDD" w:rsidRDefault="00072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DD" w:rsidRDefault="00072FDD">
    <w:pPr>
      <w:spacing w:after="14" w:line="259" w:lineRule="auto"/>
      <w:ind w:left="0" w:firstLine="0"/>
      <w:jc w:val="left"/>
    </w:pPr>
    <w:r>
      <w:rPr>
        <w:b/>
        <w:sz w:val="18"/>
      </w:rPr>
      <w:t xml:space="preserve">CCAP 2021-011 </w:t>
    </w:r>
  </w:p>
  <w:p w:rsidR="00072FDD" w:rsidRDefault="00072FDD">
    <w:pPr>
      <w:spacing w:after="0" w:line="259" w:lineRule="auto"/>
      <w:ind w:left="0" w:firstLine="0"/>
      <w:jc w:val="left"/>
    </w:pPr>
    <w:r>
      <w:rPr>
        <w:i/>
        <w:sz w:val="18"/>
      </w:rPr>
      <w:t>Solutions d’impression en NC</w:t>
    </w:r>
    <w:r>
      <w:rPr>
        <w:rFonts w:ascii="Times New Roman" w:eastAsia="Times New Roman" w:hAnsi="Times New Roman" w:cs="Times New Roman"/>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DD" w:rsidRDefault="00072FDD">
    <w:pPr>
      <w:spacing w:after="14" w:line="259" w:lineRule="auto"/>
      <w:ind w:left="0" w:firstLine="0"/>
      <w:jc w:val="left"/>
    </w:pPr>
    <w:r>
      <w:rPr>
        <w:b/>
        <w:sz w:val="18"/>
      </w:rPr>
      <w:t xml:space="preserve">CCAP 2025-005 </w:t>
    </w:r>
  </w:p>
  <w:p w:rsidR="00072FDD" w:rsidRDefault="00072FDD" w:rsidP="00D77331">
    <w:pPr>
      <w:spacing w:after="0" w:line="259" w:lineRule="auto"/>
      <w:ind w:left="0" w:firstLine="0"/>
    </w:pPr>
    <w:r>
      <w:rPr>
        <w:i/>
        <w:sz w:val="18"/>
      </w:rPr>
      <w:t>L</w:t>
    </w:r>
    <w:r w:rsidRPr="00D77331">
      <w:rPr>
        <w:i/>
        <w:sz w:val="18"/>
      </w:rPr>
      <w:t xml:space="preserve">ocation et la maintenance de solutions d’impression au profit des Forces Armées </w:t>
    </w:r>
    <w:r w:rsidR="001E3A1C">
      <w:rPr>
        <w:i/>
        <w:sz w:val="18"/>
      </w:rPr>
      <w:t>en</w:t>
    </w:r>
    <w:r w:rsidRPr="00D77331">
      <w:rPr>
        <w:i/>
        <w:sz w:val="18"/>
      </w:rPr>
      <w:t xml:space="preserve"> Nouvelle-Calédonie (FANC) et du Régiment du Service Militaire Adapté (RSMA).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DD" w:rsidRDefault="00072FDD">
    <w:pPr>
      <w:spacing w:after="14" w:line="259" w:lineRule="auto"/>
      <w:ind w:left="0" w:firstLine="0"/>
      <w:jc w:val="left"/>
    </w:pPr>
    <w:r>
      <w:rPr>
        <w:b/>
        <w:sz w:val="18"/>
      </w:rPr>
      <w:t xml:space="preserve">CCAP 2021-011 </w:t>
    </w:r>
  </w:p>
  <w:p w:rsidR="00072FDD" w:rsidRDefault="00072FDD">
    <w:pPr>
      <w:spacing w:after="0" w:line="259" w:lineRule="auto"/>
      <w:ind w:left="0" w:firstLine="0"/>
      <w:jc w:val="left"/>
    </w:pPr>
    <w:r>
      <w:rPr>
        <w:i/>
        <w:sz w:val="18"/>
      </w:rPr>
      <w:t>Solutions d’impression en NC</w:t>
    </w:r>
    <w:r>
      <w:rPr>
        <w:rFonts w:ascii="Times New Roman" w:eastAsia="Times New Roman" w:hAnsi="Times New Roman" w:cs="Times New Roman"/>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0129"/>
    <w:multiLevelType w:val="hybridMultilevel"/>
    <w:tmpl w:val="596E63A0"/>
    <w:lvl w:ilvl="0" w:tplc="6900A8D6">
      <w:start w:val="1"/>
      <w:numFmt w:val="bullet"/>
      <w:lvlText w:val="•"/>
      <w:lvlJc w:val="left"/>
      <w:pPr>
        <w:ind w:left="1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40771A">
      <w:start w:val="1"/>
      <w:numFmt w:val="bullet"/>
      <w:lvlText w:val="o"/>
      <w:lvlJc w:val="left"/>
      <w:pPr>
        <w:ind w:left="2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B0CE04">
      <w:start w:val="1"/>
      <w:numFmt w:val="bullet"/>
      <w:lvlText w:val="▪"/>
      <w:lvlJc w:val="left"/>
      <w:pPr>
        <w:ind w:left="28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7A275C">
      <w:start w:val="1"/>
      <w:numFmt w:val="bullet"/>
      <w:lvlText w:val="•"/>
      <w:lvlJc w:val="left"/>
      <w:pPr>
        <w:ind w:left="3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561DFE">
      <w:start w:val="1"/>
      <w:numFmt w:val="bullet"/>
      <w:lvlText w:val="o"/>
      <w:lvlJc w:val="left"/>
      <w:pPr>
        <w:ind w:left="4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2E1174">
      <w:start w:val="1"/>
      <w:numFmt w:val="bullet"/>
      <w:lvlText w:val="▪"/>
      <w:lvlJc w:val="left"/>
      <w:pPr>
        <w:ind w:left="50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8A2C92">
      <w:start w:val="1"/>
      <w:numFmt w:val="bullet"/>
      <w:lvlText w:val="•"/>
      <w:lvlJc w:val="left"/>
      <w:pPr>
        <w:ind w:left="5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9266E4">
      <w:start w:val="1"/>
      <w:numFmt w:val="bullet"/>
      <w:lvlText w:val="o"/>
      <w:lvlJc w:val="left"/>
      <w:pPr>
        <w:ind w:left="64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A2E43C">
      <w:start w:val="1"/>
      <w:numFmt w:val="bullet"/>
      <w:lvlText w:val="▪"/>
      <w:lvlJc w:val="left"/>
      <w:pPr>
        <w:ind w:left="71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073797"/>
    <w:multiLevelType w:val="hybridMultilevel"/>
    <w:tmpl w:val="9D962252"/>
    <w:lvl w:ilvl="0" w:tplc="F0905B1E">
      <w:start w:val="1"/>
      <w:numFmt w:val="bullet"/>
      <w:lvlText w:val="-"/>
      <w:lvlJc w:val="left"/>
      <w:pPr>
        <w:ind w:left="12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5225184">
      <w:start w:val="1"/>
      <w:numFmt w:val="bullet"/>
      <w:lvlText w:val="o"/>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4E37D8">
      <w:start w:val="1"/>
      <w:numFmt w:val="bullet"/>
      <w:lvlText w:val="▪"/>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6E065EE">
      <w:start w:val="1"/>
      <w:numFmt w:val="bullet"/>
      <w:lvlText w:val="•"/>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DB2DEF8">
      <w:start w:val="1"/>
      <w:numFmt w:val="bullet"/>
      <w:lvlText w:val="o"/>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6C667BE">
      <w:start w:val="1"/>
      <w:numFmt w:val="bullet"/>
      <w:lvlText w:val="▪"/>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6EA5440">
      <w:start w:val="1"/>
      <w:numFmt w:val="bullet"/>
      <w:lvlText w:val="•"/>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A1610C2">
      <w:start w:val="1"/>
      <w:numFmt w:val="bullet"/>
      <w:lvlText w:val="o"/>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E56E408">
      <w:start w:val="1"/>
      <w:numFmt w:val="bullet"/>
      <w:lvlText w:val="▪"/>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224FED"/>
    <w:multiLevelType w:val="multilevel"/>
    <w:tmpl w:val="20CEE4A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32C1A78"/>
    <w:multiLevelType w:val="hybridMultilevel"/>
    <w:tmpl w:val="86D2A3DC"/>
    <w:lvl w:ilvl="0" w:tplc="D5E6684C">
      <w:start w:val="1"/>
      <w:numFmt w:val="bullet"/>
      <w:lvlText w:val=""/>
      <w:lvlJc w:val="left"/>
      <w:pPr>
        <w:ind w:left="0"/>
      </w:pPr>
      <w:rPr>
        <w:rFonts w:ascii="Symbol" w:hAnsi="Symbol" w:hint="default"/>
        <w:b w:val="0"/>
        <w:i w:val="0"/>
        <w:strike w:val="0"/>
        <w:dstrike w:val="0"/>
        <w:color w:val="000000"/>
        <w:sz w:val="16"/>
        <w:szCs w:val="22"/>
        <w:u w:val="none" w:color="000000"/>
        <w:bdr w:val="none" w:sz="0" w:space="0" w:color="auto"/>
        <w:shd w:val="clear" w:color="auto" w:fill="auto"/>
        <w:vertAlign w:val="baseline"/>
      </w:rPr>
    </w:lvl>
    <w:lvl w:ilvl="1" w:tplc="A378C694">
      <w:start w:val="1"/>
      <w:numFmt w:val="bullet"/>
      <w:lvlText w:val=""/>
      <w:lvlJc w:val="left"/>
      <w:pPr>
        <w:ind w:left="5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33497AE">
      <w:start w:val="1"/>
      <w:numFmt w:val="bullet"/>
      <w:lvlText w:val="▪"/>
      <w:lvlJc w:val="left"/>
      <w:pPr>
        <w:ind w:left="130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3A3818">
      <w:start w:val="1"/>
      <w:numFmt w:val="bullet"/>
      <w:lvlText w:val="•"/>
      <w:lvlJc w:val="left"/>
      <w:pPr>
        <w:ind w:left="202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70ACABE">
      <w:start w:val="1"/>
      <w:numFmt w:val="bullet"/>
      <w:lvlText w:val="o"/>
      <w:lvlJc w:val="left"/>
      <w:pPr>
        <w:ind w:left="274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E6A1A2">
      <w:start w:val="1"/>
      <w:numFmt w:val="bullet"/>
      <w:lvlText w:val="▪"/>
      <w:lvlJc w:val="left"/>
      <w:pPr>
        <w:ind w:left="34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5A4BAE8">
      <w:start w:val="1"/>
      <w:numFmt w:val="bullet"/>
      <w:lvlText w:val="•"/>
      <w:lvlJc w:val="left"/>
      <w:pPr>
        <w:ind w:left="418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968564">
      <w:start w:val="1"/>
      <w:numFmt w:val="bullet"/>
      <w:lvlText w:val="o"/>
      <w:lvlJc w:val="left"/>
      <w:pPr>
        <w:ind w:left="490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3020782">
      <w:start w:val="1"/>
      <w:numFmt w:val="bullet"/>
      <w:lvlText w:val="▪"/>
      <w:lvlJc w:val="left"/>
      <w:pPr>
        <w:ind w:left="562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C3359E"/>
    <w:multiLevelType w:val="hybridMultilevel"/>
    <w:tmpl w:val="775C96B2"/>
    <w:lvl w:ilvl="0" w:tplc="BE0429B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720C9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3444EE">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CD2077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E20034">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F27132">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238278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88E8E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EA2896">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9E0410A"/>
    <w:multiLevelType w:val="hybridMultilevel"/>
    <w:tmpl w:val="A94C60BC"/>
    <w:lvl w:ilvl="0" w:tplc="1B226178">
      <w:numFmt w:val="bullet"/>
      <w:lvlText w:val="-"/>
      <w:lvlJc w:val="left"/>
      <w:pPr>
        <w:ind w:left="578" w:hanging="360"/>
      </w:pPr>
      <w:rPr>
        <w:rFonts w:ascii="Arial" w:eastAsia="Arial" w:hAnsi="Arial" w:cs="Aria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6" w15:restartNumberingAfterBreak="0">
    <w:nsid w:val="2C1D0569"/>
    <w:multiLevelType w:val="hybridMultilevel"/>
    <w:tmpl w:val="7C9251CA"/>
    <w:lvl w:ilvl="0" w:tplc="4CFA60A4">
      <w:start w:val="1"/>
      <w:numFmt w:val="bullet"/>
      <w:lvlText w:val="•"/>
      <w:lvlJc w:val="left"/>
      <w:pPr>
        <w:ind w:left="1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7D21C1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634B35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F2EA49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4EF6A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DC1C9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C0F14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3AAEC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6B8A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DC74F1D"/>
    <w:multiLevelType w:val="hybridMultilevel"/>
    <w:tmpl w:val="8A789470"/>
    <w:lvl w:ilvl="0" w:tplc="18E0ADBE">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2E718E">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56C72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0969E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58224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B0C3F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D2CB6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A45544">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68BB8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F0328A4"/>
    <w:multiLevelType w:val="hybridMultilevel"/>
    <w:tmpl w:val="B1EC2DAE"/>
    <w:lvl w:ilvl="0" w:tplc="040C0001">
      <w:start w:val="1"/>
      <w:numFmt w:val="bullet"/>
      <w:lvlText w:val=""/>
      <w:lvlJc w:val="left"/>
      <w:pPr>
        <w:ind w:left="1770" w:hanging="360"/>
      </w:pPr>
      <w:rPr>
        <w:rFonts w:ascii="Symbol" w:hAnsi="Symbol"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9" w15:restartNumberingAfterBreak="0">
    <w:nsid w:val="40D03700"/>
    <w:multiLevelType w:val="hybridMultilevel"/>
    <w:tmpl w:val="9C026E5E"/>
    <w:lvl w:ilvl="0" w:tplc="1B22617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EF03E1"/>
    <w:multiLevelType w:val="hybridMultilevel"/>
    <w:tmpl w:val="0E146B8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FDA2DDA"/>
    <w:multiLevelType w:val="hybridMultilevel"/>
    <w:tmpl w:val="5FF21A46"/>
    <w:lvl w:ilvl="0" w:tplc="41BE68F2">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78C694">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33497AE">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3A381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70ACABE">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E6A1A2">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5A4BAE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968564">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302078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0A10258"/>
    <w:multiLevelType w:val="hybridMultilevel"/>
    <w:tmpl w:val="570853E8"/>
    <w:lvl w:ilvl="0" w:tplc="78327BE2">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594B48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D3684D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27E9F5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7FE629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81AB5F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52E5AD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8ECA5D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F42736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34374CD"/>
    <w:multiLevelType w:val="hybridMultilevel"/>
    <w:tmpl w:val="58AE7FD6"/>
    <w:lvl w:ilvl="0" w:tplc="9CA603C4">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0150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362EAE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54F9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501BE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970476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124047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00C50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226DD8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7A6BB9"/>
    <w:multiLevelType w:val="multilevel"/>
    <w:tmpl w:val="EC10D178"/>
    <w:lvl w:ilvl="0">
      <w:start w:val="9"/>
      <w:numFmt w:val="decimal"/>
      <w:lvlText w:val="%1"/>
      <w:lvlJc w:val="left"/>
      <w:pPr>
        <w:ind w:left="360" w:hanging="360"/>
      </w:pPr>
      <w:rPr>
        <w:rFonts w:hint="default"/>
      </w:rPr>
    </w:lvl>
    <w:lvl w:ilvl="1">
      <w:start w:val="4"/>
      <w:numFmt w:val="decimal"/>
      <w:lvlText w:val="%1.%2"/>
      <w:lvlJc w:val="left"/>
      <w:pPr>
        <w:ind w:left="2345"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5CE86E72"/>
    <w:multiLevelType w:val="hybridMultilevel"/>
    <w:tmpl w:val="B5C60F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DD79B5"/>
    <w:multiLevelType w:val="hybridMultilevel"/>
    <w:tmpl w:val="B89CB47C"/>
    <w:lvl w:ilvl="0" w:tplc="72BCF588">
      <w:start w:val="1"/>
      <w:numFmt w:val="bullet"/>
      <w:lvlText w:val="-"/>
      <w:lvlJc w:val="left"/>
      <w:pPr>
        <w:ind w:left="90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A244D4">
      <w:start w:val="1"/>
      <w:numFmt w:val="bullet"/>
      <w:lvlText w:val="o"/>
      <w:lvlJc w:val="left"/>
      <w:pPr>
        <w:ind w:left="10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73E35A2">
      <w:start w:val="1"/>
      <w:numFmt w:val="bullet"/>
      <w:lvlText w:val="▪"/>
      <w:lvlJc w:val="left"/>
      <w:pPr>
        <w:ind w:left="17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82B2E4">
      <w:start w:val="1"/>
      <w:numFmt w:val="bullet"/>
      <w:lvlText w:val="•"/>
      <w:lvlJc w:val="left"/>
      <w:pPr>
        <w:ind w:left="24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0A89756">
      <w:start w:val="1"/>
      <w:numFmt w:val="bullet"/>
      <w:lvlText w:val="o"/>
      <w:lvlJc w:val="left"/>
      <w:pPr>
        <w:ind w:left="32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752545A">
      <w:start w:val="1"/>
      <w:numFmt w:val="bullet"/>
      <w:lvlText w:val="▪"/>
      <w:lvlJc w:val="left"/>
      <w:pPr>
        <w:ind w:left="39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8366F30">
      <w:start w:val="1"/>
      <w:numFmt w:val="bullet"/>
      <w:lvlText w:val="•"/>
      <w:lvlJc w:val="left"/>
      <w:pPr>
        <w:ind w:left="46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EC60BF6">
      <w:start w:val="1"/>
      <w:numFmt w:val="bullet"/>
      <w:lvlText w:val="o"/>
      <w:lvlJc w:val="left"/>
      <w:pPr>
        <w:ind w:left="53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AB22182">
      <w:start w:val="1"/>
      <w:numFmt w:val="bullet"/>
      <w:lvlText w:val="▪"/>
      <w:lvlJc w:val="left"/>
      <w:pPr>
        <w:ind w:left="60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500750E"/>
    <w:multiLevelType w:val="hybridMultilevel"/>
    <w:tmpl w:val="C2D4E61A"/>
    <w:lvl w:ilvl="0" w:tplc="040C0001">
      <w:start w:val="1"/>
      <w:numFmt w:val="bullet"/>
      <w:lvlText w:val=""/>
      <w:lvlJc w:val="left"/>
      <w:pPr>
        <w:ind w:left="1770" w:hanging="360"/>
      </w:pPr>
      <w:rPr>
        <w:rFonts w:ascii="Symbol" w:hAnsi="Symbol"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8" w15:restartNumberingAfterBreak="0">
    <w:nsid w:val="6BCF2652"/>
    <w:multiLevelType w:val="hybridMultilevel"/>
    <w:tmpl w:val="9CE473C6"/>
    <w:lvl w:ilvl="0" w:tplc="045A5B0E">
      <w:start w:val="1"/>
      <w:numFmt w:val="decimal"/>
      <w:lvlText w:val="%1-"/>
      <w:lvlJc w:val="left"/>
      <w:pPr>
        <w:ind w:left="17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6B0AEFC">
      <w:start w:val="1"/>
      <w:numFmt w:val="lowerLetter"/>
      <w:lvlText w:val="%2"/>
      <w:lvlJc w:val="left"/>
      <w:pPr>
        <w:ind w:left="221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834EACC">
      <w:start w:val="1"/>
      <w:numFmt w:val="lowerRoman"/>
      <w:lvlText w:val="%3"/>
      <w:lvlJc w:val="left"/>
      <w:pPr>
        <w:ind w:left="293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9E498AE">
      <w:start w:val="1"/>
      <w:numFmt w:val="decimal"/>
      <w:lvlText w:val="%4"/>
      <w:lvlJc w:val="left"/>
      <w:pPr>
        <w:ind w:left="365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6A2AA44">
      <w:start w:val="1"/>
      <w:numFmt w:val="lowerLetter"/>
      <w:lvlText w:val="%5"/>
      <w:lvlJc w:val="left"/>
      <w:pPr>
        <w:ind w:left="437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6883654">
      <w:start w:val="1"/>
      <w:numFmt w:val="lowerRoman"/>
      <w:lvlText w:val="%6"/>
      <w:lvlJc w:val="left"/>
      <w:pPr>
        <w:ind w:left="509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F281754">
      <w:start w:val="1"/>
      <w:numFmt w:val="decimal"/>
      <w:lvlText w:val="%7"/>
      <w:lvlJc w:val="left"/>
      <w:pPr>
        <w:ind w:left="581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A682498">
      <w:start w:val="1"/>
      <w:numFmt w:val="lowerLetter"/>
      <w:lvlText w:val="%8"/>
      <w:lvlJc w:val="left"/>
      <w:pPr>
        <w:ind w:left="653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4C2AE6C">
      <w:start w:val="1"/>
      <w:numFmt w:val="lowerRoman"/>
      <w:lvlText w:val="%9"/>
      <w:lvlJc w:val="left"/>
      <w:pPr>
        <w:ind w:left="725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DF23718"/>
    <w:multiLevelType w:val="hybridMultilevel"/>
    <w:tmpl w:val="B9DCCAAE"/>
    <w:lvl w:ilvl="0" w:tplc="2D4C0A56">
      <w:start w:val="1"/>
      <w:numFmt w:val="bullet"/>
      <w:lvlText w:val="-"/>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C50D14A">
      <w:start w:val="1"/>
      <w:numFmt w:val="bullet"/>
      <w:lvlText w:val="o"/>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92E40C6">
      <w:start w:val="1"/>
      <w:numFmt w:val="bullet"/>
      <w:lvlText w:val="▪"/>
      <w:lvlJc w:val="left"/>
      <w:pPr>
        <w:ind w:left="215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69AD430">
      <w:start w:val="1"/>
      <w:numFmt w:val="bullet"/>
      <w:lvlText w:val="•"/>
      <w:lvlJc w:val="left"/>
      <w:pPr>
        <w:ind w:left="287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5DE6464">
      <w:start w:val="1"/>
      <w:numFmt w:val="bullet"/>
      <w:lvlText w:val="o"/>
      <w:lvlJc w:val="left"/>
      <w:pPr>
        <w:ind w:left="359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C4E8A74">
      <w:start w:val="1"/>
      <w:numFmt w:val="bullet"/>
      <w:lvlText w:val="▪"/>
      <w:lvlJc w:val="left"/>
      <w:pPr>
        <w:ind w:left="431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A36E61C">
      <w:start w:val="1"/>
      <w:numFmt w:val="bullet"/>
      <w:lvlText w:val="•"/>
      <w:lvlJc w:val="left"/>
      <w:pPr>
        <w:ind w:left="50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F943990">
      <w:start w:val="1"/>
      <w:numFmt w:val="bullet"/>
      <w:lvlText w:val="o"/>
      <w:lvlJc w:val="left"/>
      <w:pPr>
        <w:ind w:left="575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A86582A">
      <w:start w:val="1"/>
      <w:numFmt w:val="bullet"/>
      <w:lvlText w:val="▪"/>
      <w:lvlJc w:val="left"/>
      <w:pPr>
        <w:ind w:left="647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02A538A"/>
    <w:multiLevelType w:val="hybridMultilevel"/>
    <w:tmpl w:val="AA04DBE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718C672C"/>
    <w:multiLevelType w:val="hybridMultilevel"/>
    <w:tmpl w:val="C15C5D78"/>
    <w:lvl w:ilvl="0" w:tplc="1CE4C7F6">
      <w:start w:val="1"/>
      <w:numFmt w:val="bullet"/>
      <w:lvlText w:val="•"/>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EE0E8E">
      <w:start w:val="1"/>
      <w:numFmt w:val="bullet"/>
      <w:lvlText w:val="o"/>
      <w:lvlJc w:val="left"/>
      <w:pPr>
        <w:ind w:left="1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AAEB41C">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FC2C58E">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3C28D0">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940B74">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C6D4AA">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684148">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33C36FC">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2003BF9"/>
    <w:multiLevelType w:val="hybridMultilevel"/>
    <w:tmpl w:val="20B63E76"/>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23" w15:restartNumberingAfterBreak="0">
    <w:nsid w:val="7D255B3C"/>
    <w:multiLevelType w:val="hybridMultilevel"/>
    <w:tmpl w:val="A46A0F12"/>
    <w:lvl w:ilvl="0" w:tplc="6B587820">
      <w:start w:val="1"/>
      <w:numFmt w:val="bullet"/>
      <w:lvlText w:val=""/>
      <w:lvlJc w:val="left"/>
      <w:pPr>
        <w:ind w:left="14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A049E3C">
      <w:start w:val="1"/>
      <w:numFmt w:val="bullet"/>
      <w:lvlText w:val="o"/>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D2C9DE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61E7C90">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AEE3E7A">
      <w:start w:val="1"/>
      <w:numFmt w:val="bullet"/>
      <w:lvlText w:val="o"/>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ABAAE5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7A6DE46">
      <w:start w:val="1"/>
      <w:numFmt w:val="bullet"/>
      <w:lvlText w:val="•"/>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D632F6">
      <w:start w:val="1"/>
      <w:numFmt w:val="bullet"/>
      <w:lvlText w:val="o"/>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C2DC3E">
      <w:start w:val="1"/>
      <w:numFmt w:val="bullet"/>
      <w:lvlText w:val="▪"/>
      <w:lvlJc w:val="left"/>
      <w:pPr>
        <w:ind w:left="68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16"/>
  </w:num>
  <w:num w:numId="3">
    <w:abstractNumId w:val="18"/>
  </w:num>
  <w:num w:numId="4">
    <w:abstractNumId w:val="1"/>
  </w:num>
  <w:num w:numId="5">
    <w:abstractNumId w:val="13"/>
  </w:num>
  <w:num w:numId="6">
    <w:abstractNumId w:val="21"/>
  </w:num>
  <w:num w:numId="7">
    <w:abstractNumId w:val="19"/>
  </w:num>
  <w:num w:numId="8">
    <w:abstractNumId w:val="11"/>
  </w:num>
  <w:num w:numId="9">
    <w:abstractNumId w:val="4"/>
  </w:num>
  <w:num w:numId="10">
    <w:abstractNumId w:val="6"/>
  </w:num>
  <w:num w:numId="11">
    <w:abstractNumId w:val="0"/>
  </w:num>
  <w:num w:numId="12">
    <w:abstractNumId w:val="7"/>
  </w:num>
  <w:num w:numId="13">
    <w:abstractNumId w:val="12"/>
  </w:num>
  <w:num w:numId="14">
    <w:abstractNumId w:val="9"/>
  </w:num>
  <w:num w:numId="15">
    <w:abstractNumId w:val="10"/>
  </w:num>
  <w:num w:numId="16">
    <w:abstractNumId w:val="15"/>
  </w:num>
  <w:num w:numId="17">
    <w:abstractNumId w:val="22"/>
  </w:num>
  <w:num w:numId="18">
    <w:abstractNumId w:val="3"/>
  </w:num>
  <w:num w:numId="19">
    <w:abstractNumId w:val="20"/>
  </w:num>
  <w:num w:numId="20">
    <w:abstractNumId w:val="2"/>
  </w:num>
  <w:num w:numId="21">
    <w:abstractNumId w:val="14"/>
  </w:num>
  <w:num w:numId="22">
    <w:abstractNumId w:val="8"/>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6B"/>
    <w:rsid w:val="000114BA"/>
    <w:rsid w:val="00030647"/>
    <w:rsid w:val="0006786F"/>
    <w:rsid w:val="00072FDD"/>
    <w:rsid w:val="000B6055"/>
    <w:rsid w:val="0010374E"/>
    <w:rsid w:val="00136CE5"/>
    <w:rsid w:val="00151775"/>
    <w:rsid w:val="0015469E"/>
    <w:rsid w:val="00196BAF"/>
    <w:rsid w:val="001C12E4"/>
    <w:rsid w:val="001E3A1C"/>
    <w:rsid w:val="002304D0"/>
    <w:rsid w:val="002745C6"/>
    <w:rsid w:val="002911F6"/>
    <w:rsid w:val="002B128D"/>
    <w:rsid w:val="002E2C3B"/>
    <w:rsid w:val="002E449D"/>
    <w:rsid w:val="00342276"/>
    <w:rsid w:val="003472EE"/>
    <w:rsid w:val="003A5B70"/>
    <w:rsid w:val="003B6F3E"/>
    <w:rsid w:val="00480E28"/>
    <w:rsid w:val="00581DDD"/>
    <w:rsid w:val="005F3168"/>
    <w:rsid w:val="006335DB"/>
    <w:rsid w:val="006342A3"/>
    <w:rsid w:val="006752A4"/>
    <w:rsid w:val="00702FDC"/>
    <w:rsid w:val="00781D78"/>
    <w:rsid w:val="007827F6"/>
    <w:rsid w:val="007B097C"/>
    <w:rsid w:val="00803FC3"/>
    <w:rsid w:val="00816360"/>
    <w:rsid w:val="008178A0"/>
    <w:rsid w:val="008451D5"/>
    <w:rsid w:val="008D3AE4"/>
    <w:rsid w:val="008F7FBE"/>
    <w:rsid w:val="009074E7"/>
    <w:rsid w:val="00927304"/>
    <w:rsid w:val="00961680"/>
    <w:rsid w:val="00980A49"/>
    <w:rsid w:val="00981F42"/>
    <w:rsid w:val="00992385"/>
    <w:rsid w:val="009B608F"/>
    <w:rsid w:val="009C1935"/>
    <w:rsid w:val="00A569A6"/>
    <w:rsid w:val="00A642D6"/>
    <w:rsid w:val="00AB696B"/>
    <w:rsid w:val="00AD0D3C"/>
    <w:rsid w:val="00B07BDD"/>
    <w:rsid w:val="00B100D3"/>
    <w:rsid w:val="00B27DC9"/>
    <w:rsid w:val="00B55183"/>
    <w:rsid w:val="00BE73FD"/>
    <w:rsid w:val="00C24BFD"/>
    <w:rsid w:val="00C654F7"/>
    <w:rsid w:val="00CB2193"/>
    <w:rsid w:val="00CF10A8"/>
    <w:rsid w:val="00D04EAC"/>
    <w:rsid w:val="00D27C0A"/>
    <w:rsid w:val="00D77331"/>
    <w:rsid w:val="00DC5919"/>
    <w:rsid w:val="00E01C64"/>
    <w:rsid w:val="00E1463D"/>
    <w:rsid w:val="00E73332"/>
    <w:rsid w:val="00E87756"/>
    <w:rsid w:val="00EA01AB"/>
    <w:rsid w:val="00EF36A7"/>
    <w:rsid w:val="00F05F19"/>
    <w:rsid w:val="00F53F7F"/>
    <w:rsid w:val="00F9316B"/>
    <w:rsid w:val="00FB5853"/>
    <w:rsid w:val="00FB5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72CC18"/>
  <w15:docId w15:val="{F4ACA8B2-D599-403E-9785-82043227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8" w:line="250" w:lineRule="auto"/>
      <w:ind w:left="574" w:hanging="8"/>
      <w:jc w:val="both"/>
    </w:pPr>
    <w:rPr>
      <w:rFonts w:ascii="Arial" w:eastAsia="Arial" w:hAnsi="Arial" w:cs="Arial"/>
      <w:color w:val="000000"/>
    </w:rPr>
  </w:style>
  <w:style w:type="paragraph" w:styleId="Titre1">
    <w:name w:val="heading 1"/>
    <w:next w:val="Normal"/>
    <w:link w:val="Titre1Car"/>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D9D9D9"/>
      <w:spacing w:after="133" w:line="250" w:lineRule="auto"/>
      <w:ind w:left="576" w:hanging="10"/>
      <w:outlineLvl w:val="0"/>
    </w:pPr>
    <w:rPr>
      <w:rFonts w:ascii="Arial" w:eastAsia="Arial" w:hAnsi="Arial" w:cs="Arial"/>
      <w:b/>
      <w:color w:val="000000"/>
    </w:rPr>
  </w:style>
  <w:style w:type="paragraph" w:styleId="Titre2">
    <w:name w:val="heading 2"/>
    <w:next w:val="Normal"/>
    <w:link w:val="Titre2Car"/>
    <w:uiPriority w:val="9"/>
    <w:unhideWhenUsed/>
    <w:qFormat/>
    <w:pPr>
      <w:keepNext/>
      <w:keepLines/>
      <w:spacing w:after="108" w:line="249" w:lineRule="auto"/>
      <w:ind w:left="430" w:hanging="10"/>
      <w:outlineLvl w:val="1"/>
    </w:pPr>
    <w:rPr>
      <w:rFonts w:ascii="Arial" w:eastAsia="Arial" w:hAnsi="Arial" w:cs="Arial"/>
      <w:b/>
      <w:color w:val="000000"/>
    </w:rPr>
  </w:style>
  <w:style w:type="paragraph" w:styleId="Titre3">
    <w:name w:val="heading 3"/>
    <w:next w:val="Normal"/>
    <w:link w:val="Titre3Car"/>
    <w:uiPriority w:val="9"/>
    <w:unhideWhenUsed/>
    <w:qFormat/>
    <w:pPr>
      <w:keepNext/>
      <w:keepLines/>
      <w:spacing w:after="108" w:line="249" w:lineRule="auto"/>
      <w:ind w:left="430" w:hanging="10"/>
      <w:outlineLvl w:val="2"/>
    </w:pPr>
    <w:rPr>
      <w:rFonts w:ascii="Arial" w:eastAsia="Arial" w:hAnsi="Arial" w:cs="Arial"/>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b/>
      <w:color w:val="000000"/>
      <w:sz w:val="22"/>
    </w:rPr>
  </w:style>
  <w:style w:type="character" w:customStyle="1" w:styleId="Titre2Car">
    <w:name w:val="Titre 2 Car"/>
    <w:link w:val="Titre2"/>
    <w:rPr>
      <w:rFonts w:ascii="Arial" w:eastAsia="Arial" w:hAnsi="Arial" w:cs="Arial"/>
      <w:b/>
      <w:color w:val="000000"/>
      <w:sz w:val="22"/>
    </w:rPr>
  </w:style>
  <w:style w:type="character" w:customStyle="1" w:styleId="Titre3Car">
    <w:name w:val="Titre 3 Car"/>
    <w:link w:val="Titre3"/>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link w:val="ParagraphedelisteCar"/>
    <w:uiPriority w:val="34"/>
    <w:qFormat/>
    <w:rsid w:val="00B07BDD"/>
    <w:pPr>
      <w:ind w:left="720"/>
      <w:contextualSpacing/>
    </w:pPr>
  </w:style>
  <w:style w:type="paragraph" w:customStyle="1" w:styleId="Default">
    <w:name w:val="Default"/>
    <w:basedOn w:val="Normal"/>
    <w:rsid w:val="00D04EAC"/>
    <w:pPr>
      <w:autoSpaceDE w:val="0"/>
      <w:autoSpaceDN w:val="0"/>
      <w:spacing w:after="0" w:line="240" w:lineRule="auto"/>
      <w:ind w:left="0" w:firstLine="0"/>
      <w:jc w:val="left"/>
    </w:pPr>
    <w:rPr>
      <w:rFonts w:ascii="Times New Roman" w:eastAsiaTheme="minorHAnsi" w:hAnsi="Times New Roman" w:cs="Times New Roman"/>
      <w:sz w:val="24"/>
      <w:szCs w:val="24"/>
      <w:lang w:eastAsia="en-US"/>
    </w:rPr>
  </w:style>
  <w:style w:type="character" w:styleId="Lienhypertexte">
    <w:name w:val="Hyperlink"/>
    <w:basedOn w:val="Policepardfaut"/>
    <w:uiPriority w:val="99"/>
    <w:rsid w:val="00CF10A8"/>
    <w:rPr>
      <w:rFonts w:cs="Times New Roman"/>
      <w:color w:val="0000FF"/>
      <w:u w:val="single"/>
    </w:rPr>
  </w:style>
  <w:style w:type="character" w:customStyle="1" w:styleId="ParagraphedelisteCar">
    <w:name w:val="Paragraphe de liste Car"/>
    <w:basedOn w:val="Policepardfaut"/>
    <w:link w:val="Paragraphedeliste"/>
    <w:uiPriority w:val="34"/>
    <w:rsid w:val="00702FDC"/>
    <w:rPr>
      <w:rFonts w:ascii="Arial" w:eastAsia="Arial" w:hAnsi="Arial" w:cs="Arial"/>
      <w:color w:val="000000"/>
    </w:rPr>
  </w:style>
  <w:style w:type="paragraph" w:styleId="En-ttedetabledesmatires">
    <w:name w:val="TOC Heading"/>
    <w:basedOn w:val="Titre1"/>
    <w:next w:val="Normal"/>
    <w:uiPriority w:val="39"/>
    <w:unhideWhenUsed/>
    <w:qFormat/>
    <w:rsid w:val="00072FDD"/>
    <w:pPr>
      <w:pBdr>
        <w:top w:val="none" w:sz="0" w:space="0" w:color="auto"/>
        <w:left w:val="none" w:sz="0" w:space="0" w:color="auto"/>
        <w:bottom w:val="none" w:sz="0" w:space="0" w:color="auto"/>
        <w:right w:val="none" w:sz="0" w:space="0" w:color="auto"/>
      </w:pBdr>
      <w:shd w:val="clear" w:color="auto" w:fill="auto"/>
      <w:spacing w:before="240" w:after="0" w:line="259" w:lineRule="auto"/>
      <w:ind w:left="0" w:firstLine="0"/>
      <w:outlineLvl w:val="9"/>
    </w:pPr>
    <w:rPr>
      <w:rFonts w:asciiTheme="majorHAnsi" w:eastAsiaTheme="majorEastAsia" w:hAnsiTheme="majorHAnsi" w:cstheme="majorBidi"/>
      <w:b w:val="0"/>
      <w:color w:val="2E74B5" w:themeColor="accent1" w:themeShade="BF"/>
      <w:sz w:val="32"/>
      <w:szCs w:val="32"/>
    </w:rPr>
  </w:style>
  <w:style w:type="paragraph" w:styleId="TM1">
    <w:name w:val="toc 1"/>
    <w:basedOn w:val="Normal"/>
    <w:next w:val="Normal"/>
    <w:autoRedefine/>
    <w:uiPriority w:val="39"/>
    <w:unhideWhenUsed/>
    <w:rsid w:val="00072FDD"/>
    <w:pPr>
      <w:spacing w:after="100"/>
      <w:ind w:left="0"/>
    </w:pPr>
  </w:style>
  <w:style w:type="paragraph" w:styleId="TM2">
    <w:name w:val="toc 2"/>
    <w:basedOn w:val="Normal"/>
    <w:next w:val="Normal"/>
    <w:autoRedefine/>
    <w:uiPriority w:val="39"/>
    <w:unhideWhenUsed/>
    <w:rsid w:val="00072FDD"/>
    <w:pPr>
      <w:spacing w:after="100"/>
      <w:ind w:left="220"/>
    </w:pPr>
  </w:style>
  <w:style w:type="paragraph" w:styleId="TM3">
    <w:name w:val="toc 3"/>
    <w:basedOn w:val="Normal"/>
    <w:next w:val="Normal"/>
    <w:autoRedefine/>
    <w:uiPriority w:val="39"/>
    <w:unhideWhenUsed/>
    <w:rsid w:val="00072FDD"/>
    <w:pPr>
      <w:spacing w:after="100"/>
      <w:ind w:left="440"/>
    </w:pPr>
  </w:style>
  <w:style w:type="paragraph" w:styleId="Textedebulles">
    <w:name w:val="Balloon Text"/>
    <w:basedOn w:val="Normal"/>
    <w:link w:val="TextedebullesCar"/>
    <w:uiPriority w:val="99"/>
    <w:semiHidden/>
    <w:unhideWhenUsed/>
    <w:rsid w:val="00C24BF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4BFD"/>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missionministerielle.pme@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ssionministerielle.pme@defense.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com-nc.ach.fct@intradef.gouv.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icom-nc.resp-controle-prestations.fct@intradef.gouv.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dicom-nc.ach.fct@intradef.gouv.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E5CD1-2066-49D5-B1E1-4CE920C5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24</Pages>
  <Words>9262</Words>
  <Characters>50946</Characters>
  <Application>Microsoft Office Word</Application>
  <DocSecurity>0</DocSecurity>
  <Lines>424</Lines>
  <Paragraphs>120</Paragraphs>
  <ScaleCrop>false</ScaleCrop>
  <HeadingPairs>
    <vt:vector size="2" baseType="variant">
      <vt:variant>
        <vt:lpstr>Titre</vt:lpstr>
      </vt:variant>
      <vt:variant>
        <vt:i4>1</vt:i4>
      </vt:variant>
    </vt:vector>
  </HeadingPairs>
  <TitlesOfParts>
    <vt:vector size="1" baseType="lpstr">
      <vt:lpstr>VILLE DE LILLE</vt:lpstr>
    </vt:vector>
  </TitlesOfParts>
  <Company>Ministère des Armées</Company>
  <LinksUpToDate>false</LinksUpToDate>
  <CharactersWithSpaces>60088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LILLE</dc:title>
  <dc:subject/>
  <dc:creator>Packard Bell NEC, Inc.</dc:creator>
  <cp:keywords/>
  <cp:lastModifiedBy>MADEDDU Jerome OUVR ETAT CE HCA</cp:lastModifiedBy>
  <cp:revision>33</cp:revision>
  <cp:lastPrinted>2025-07-25T00:19:00Z</cp:lastPrinted>
  <dcterms:created xsi:type="dcterms:W3CDTF">2025-04-21T05:39:00Z</dcterms:created>
  <dcterms:modified xsi:type="dcterms:W3CDTF">2025-07-30T21:04:00Z</dcterms:modified>
</cp:coreProperties>
</file>