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76A61" w14:textId="67131048" w:rsidR="00D75B30" w:rsidRDefault="000536B0" w:rsidP="00D75B30">
      <w:pPr>
        <w:keepLines/>
        <w:spacing w:before="57"/>
        <w:jc w:val="both"/>
        <w:textAlignment w:val="center"/>
        <w:rPr>
          <w:rFonts w:ascii="Arial" w:eastAsia="Arial" w:hAnsi="Arial" w:cs="Arial"/>
          <w:b/>
          <w:bCs/>
          <w:sz w:val="20"/>
        </w:rPr>
      </w:pPr>
      <w:r>
        <w:rPr>
          <w:rFonts w:ascii="Arial" w:eastAsia="Arial" w:hAnsi="Arial" w:cs="Arial"/>
          <w:b/>
          <w:bCs/>
          <w:sz w:val="20"/>
        </w:rPr>
        <w:t xml:space="preserve">                                                                                                                                                                                                                                                                                                                                                                                                                                                                                                                                                                                                                                                                                                                                                                                                                                                                                                                                                                                                                                                                                                                                                                                                                          </w:t>
      </w:r>
    </w:p>
    <w:p w14:paraId="11D1700B" w14:textId="77777777" w:rsidR="00D75B30" w:rsidRDefault="00D75B30" w:rsidP="00D75B30">
      <w:pPr>
        <w:keepLines/>
        <w:spacing w:before="57"/>
        <w:jc w:val="both"/>
        <w:textAlignment w:val="center"/>
        <w:rPr>
          <w:rFonts w:ascii="Arial" w:eastAsia="Arial" w:hAnsi="Arial" w:cs="Arial"/>
          <w:b/>
          <w:bCs/>
          <w:sz w:val="20"/>
        </w:rPr>
      </w:pPr>
    </w:p>
    <w:p w14:paraId="3C67673E" w14:textId="77777777" w:rsidR="00D75B30" w:rsidRDefault="00D75B30" w:rsidP="00D75B30">
      <w:pPr>
        <w:keepLines/>
        <w:spacing w:before="57"/>
        <w:jc w:val="both"/>
        <w:textAlignment w:val="center"/>
        <w:rPr>
          <w:rFonts w:ascii="Arial" w:eastAsia="Arial" w:hAnsi="Arial" w:cs="Arial"/>
          <w:b/>
          <w:bCs/>
          <w:sz w:val="20"/>
        </w:rPr>
      </w:pPr>
    </w:p>
    <w:p w14:paraId="6676FE11" w14:textId="2AC40102" w:rsidR="00D75B30" w:rsidRDefault="00D75B30" w:rsidP="00D75B30">
      <w:pPr>
        <w:keepLines/>
        <w:spacing w:before="57"/>
        <w:jc w:val="both"/>
        <w:textAlignment w:val="center"/>
        <w:rPr>
          <w:rFonts w:ascii="Arial" w:eastAsia="Arial" w:hAnsi="Arial" w:cs="Arial"/>
          <w:b/>
          <w:bCs/>
          <w:sz w:val="20"/>
        </w:rPr>
      </w:pPr>
      <w:r>
        <w:rPr>
          <w:rFonts w:ascii="Arial" w:eastAsia="Arial" w:hAnsi="Arial" w:cs="Arial"/>
          <w:b/>
          <w:bCs/>
          <w:sz w:val="20"/>
        </w:rPr>
        <w:t>Ministère de la Culture</w:t>
      </w:r>
    </w:p>
    <w:p w14:paraId="7DFDBC32" w14:textId="77777777" w:rsidR="00D75B30" w:rsidRDefault="00D75B30" w:rsidP="00D75B30">
      <w:pPr>
        <w:keepLines/>
        <w:spacing w:before="57"/>
        <w:jc w:val="both"/>
        <w:textAlignment w:val="center"/>
        <w:rPr>
          <w:rFonts w:ascii="Arial" w:eastAsia="Arial" w:hAnsi="Arial" w:cs="Arial"/>
          <w:b/>
          <w:bCs/>
          <w:sz w:val="20"/>
        </w:rPr>
      </w:pPr>
      <w:r>
        <w:rPr>
          <w:rFonts w:ascii="Arial" w:eastAsia="Arial" w:hAnsi="Arial" w:cs="Arial"/>
          <w:b/>
          <w:bCs/>
          <w:sz w:val="20"/>
        </w:rPr>
        <w:t>ARCHIVES NATIONALES</w:t>
      </w:r>
    </w:p>
    <w:p w14:paraId="3BC00CC5" w14:textId="77777777" w:rsidR="000441C9" w:rsidRDefault="000441C9" w:rsidP="00522205">
      <w:pPr>
        <w:pStyle w:val="Textbody"/>
      </w:pPr>
    </w:p>
    <w:p w14:paraId="68A26913" w14:textId="77777777" w:rsidR="000441C9" w:rsidRDefault="000441C9" w:rsidP="00522205">
      <w:pPr>
        <w:pStyle w:val="Textbody"/>
      </w:pPr>
    </w:p>
    <w:p w14:paraId="39A5E946" w14:textId="77777777" w:rsidR="000441C9" w:rsidRDefault="000441C9" w:rsidP="00522205">
      <w:pPr>
        <w:pStyle w:val="Textbody"/>
      </w:pPr>
    </w:p>
    <w:p w14:paraId="2CF3076F" w14:textId="77777777" w:rsidR="000441C9" w:rsidRDefault="000441C9" w:rsidP="00522205">
      <w:pPr>
        <w:pStyle w:val="Textbody"/>
      </w:pPr>
    </w:p>
    <w:p w14:paraId="02710179" w14:textId="77777777" w:rsidR="000441C9" w:rsidRDefault="000441C9" w:rsidP="00522205">
      <w:pPr>
        <w:pStyle w:val="Textbody"/>
      </w:pPr>
    </w:p>
    <w:p w14:paraId="445231C2" w14:textId="77777777" w:rsidR="000441C9" w:rsidRDefault="000441C9" w:rsidP="00522205">
      <w:pPr>
        <w:pStyle w:val="Textbody"/>
      </w:pPr>
    </w:p>
    <w:p w14:paraId="204BBF2A" w14:textId="77777777" w:rsidR="000441C9" w:rsidRDefault="000441C9" w:rsidP="00522205">
      <w:pPr>
        <w:pStyle w:val="Textbody"/>
      </w:pPr>
    </w:p>
    <w:p w14:paraId="14F17704" w14:textId="77777777" w:rsidR="000441C9" w:rsidRDefault="000441C9" w:rsidP="00522205">
      <w:pPr>
        <w:pStyle w:val="Textbody"/>
      </w:pPr>
    </w:p>
    <w:p w14:paraId="0E6F963E" w14:textId="77777777" w:rsidR="000441C9" w:rsidRDefault="000441C9" w:rsidP="00522205">
      <w:pPr>
        <w:pStyle w:val="Textbody"/>
      </w:pPr>
    </w:p>
    <w:p w14:paraId="69E38E6E" w14:textId="77777777" w:rsidR="000441C9" w:rsidRDefault="000441C9" w:rsidP="00522205">
      <w:pPr>
        <w:pStyle w:val="Textbody"/>
      </w:pPr>
    </w:p>
    <w:tbl>
      <w:tblPr>
        <w:tblW w:w="9637" w:type="dxa"/>
        <w:jc w:val="center"/>
        <w:tblLayout w:type="fixed"/>
        <w:tblCellMar>
          <w:left w:w="10" w:type="dxa"/>
          <w:right w:w="10" w:type="dxa"/>
        </w:tblCellMar>
        <w:tblLook w:val="0000" w:firstRow="0" w:lastRow="0" w:firstColumn="0" w:lastColumn="0" w:noHBand="0" w:noVBand="0"/>
      </w:tblPr>
      <w:tblGrid>
        <w:gridCol w:w="557"/>
        <w:gridCol w:w="8520"/>
        <w:gridCol w:w="560"/>
      </w:tblGrid>
      <w:tr w:rsidR="000441C9" w14:paraId="787F7F78" w14:textId="77777777">
        <w:trPr>
          <w:trHeight w:val="1163"/>
          <w:jc w:val="center"/>
        </w:trPr>
        <w:tc>
          <w:tcPr>
            <w:tcW w:w="557" w:type="dxa"/>
            <w:tcBorders>
              <w:top w:val="single" w:sz="2" w:space="0" w:color="000000"/>
              <w:left w:val="single" w:sz="2" w:space="0" w:color="000000"/>
            </w:tcBorders>
            <w:tcMar>
              <w:top w:w="55" w:type="dxa"/>
              <w:left w:w="55" w:type="dxa"/>
              <w:bottom w:w="55" w:type="dxa"/>
              <w:right w:w="55" w:type="dxa"/>
            </w:tcMar>
          </w:tcPr>
          <w:p w14:paraId="59DBFDDB" w14:textId="77777777" w:rsidR="000441C9" w:rsidRPr="00894A82" w:rsidRDefault="000441C9" w:rsidP="00522205">
            <w:pPr>
              <w:pStyle w:val="TableContents"/>
            </w:pPr>
          </w:p>
        </w:tc>
        <w:tc>
          <w:tcPr>
            <w:tcW w:w="8520" w:type="dxa"/>
            <w:tcBorders>
              <w:top w:val="single" w:sz="2" w:space="0" w:color="000000"/>
            </w:tcBorders>
            <w:tcMar>
              <w:top w:w="55" w:type="dxa"/>
              <w:left w:w="55" w:type="dxa"/>
              <w:bottom w:w="55" w:type="dxa"/>
              <w:right w:w="55" w:type="dxa"/>
            </w:tcMar>
            <w:vAlign w:val="center"/>
          </w:tcPr>
          <w:p w14:paraId="67A6A9FA" w14:textId="35860A4D" w:rsidR="000441C9" w:rsidRPr="00CB4B91" w:rsidRDefault="00AF43EF" w:rsidP="00CB4B91">
            <w:pPr>
              <w:pStyle w:val="Standard"/>
              <w:jc w:val="center"/>
              <w:rPr>
                <w:b/>
                <w:bCs/>
                <w:sz w:val="36"/>
                <w:szCs w:val="44"/>
              </w:rPr>
            </w:pPr>
            <w:r w:rsidRPr="00AF43EF">
              <w:rPr>
                <w:b/>
                <w:bCs/>
                <w:sz w:val="32"/>
                <w:szCs w:val="40"/>
              </w:rPr>
              <w:t>PRESTATIONS DE SAUVEGARDE, RESTAURATION PHYSIQUE ET DE NUMERISATION PATRIMONIALE D’ARCHIVES SONORES CONSERVEES AUX ARCHIVES NATIONALES</w:t>
            </w:r>
          </w:p>
        </w:tc>
        <w:tc>
          <w:tcPr>
            <w:tcW w:w="560" w:type="dxa"/>
            <w:tcBorders>
              <w:top w:val="single" w:sz="2" w:space="0" w:color="000000"/>
              <w:right w:val="single" w:sz="2" w:space="0" w:color="000000"/>
            </w:tcBorders>
            <w:tcMar>
              <w:top w:w="55" w:type="dxa"/>
              <w:left w:w="55" w:type="dxa"/>
              <w:bottom w:w="55" w:type="dxa"/>
              <w:right w:w="55" w:type="dxa"/>
            </w:tcMar>
          </w:tcPr>
          <w:p w14:paraId="7FD3B97A" w14:textId="77777777" w:rsidR="000441C9" w:rsidRDefault="000441C9" w:rsidP="00522205">
            <w:pPr>
              <w:pStyle w:val="TableContents"/>
            </w:pPr>
          </w:p>
        </w:tc>
      </w:tr>
      <w:tr w:rsidR="000441C9" w14:paraId="6D934CC8" w14:textId="77777777">
        <w:trPr>
          <w:trHeight w:val="1068"/>
          <w:jc w:val="center"/>
        </w:trPr>
        <w:tc>
          <w:tcPr>
            <w:tcW w:w="557" w:type="dxa"/>
            <w:tcBorders>
              <w:left w:val="single" w:sz="2" w:space="0" w:color="000000"/>
              <w:bottom w:val="single" w:sz="2" w:space="0" w:color="000000"/>
            </w:tcBorders>
            <w:tcMar>
              <w:top w:w="55" w:type="dxa"/>
              <w:left w:w="55" w:type="dxa"/>
              <w:bottom w:w="55" w:type="dxa"/>
              <w:right w:w="55" w:type="dxa"/>
            </w:tcMar>
          </w:tcPr>
          <w:p w14:paraId="4E4A0C10" w14:textId="77777777" w:rsidR="000441C9" w:rsidRPr="00894A82" w:rsidRDefault="000441C9" w:rsidP="00522205">
            <w:pPr>
              <w:pStyle w:val="TableContents"/>
            </w:pPr>
          </w:p>
        </w:tc>
        <w:tc>
          <w:tcPr>
            <w:tcW w:w="8520" w:type="dxa"/>
            <w:tcBorders>
              <w:bottom w:val="single" w:sz="2" w:space="0" w:color="000000"/>
            </w:tcBorders>
            <w:tcMar>
              <w:top w:w="55" w:type="dxa"/>
              <w:left w:w="55" w:type="dxa"/>
              <w:bottom w:w="55" w:type="dxa"/>
              <w:right w:w="55" w:type="dxa"/>
            </w:tcMar>
            <w:vAlign w:val="center"/>
          </w:tcPr>
          <w:p w14:paraId="09BDAA31" w14:textId="1E721333" w:rsidR="000441C9" w:rsidRPr="00CB4B91" w:rsidRDefault="00D75B30" w:rsidP="00CB4B91">
            <w:pPr>
              <w:pStyle w:val="Textbody"/>
              <w:jc w:val="center"/>
              <w:rPr>
                <w:sz w:val="36"/>
                <w:szCs w:val="44"/>
              </w:rPr>
            </w:pPr>
            <w:r w:rsidRPr="00CB4B91">
              <w:rPr>
                <w:sz w:val="36"/>
                <w:szCs w:val="44"/>
              </w:rPr>
              <w:t>REGLEMENT DE CONSULTATION</w:t>
            </w:r>
          </w:p>
        </w:tc>
        <w:tc>
          <w:tcPr>
            <w:tcW w:w="560" w:type="dxa"/>
            <w:tcBorders>
              <w:bottom w:val="single" w:sz="2" w:space="0" w:color="000000"/>
              <w:right w:val="single" w:sz="2" w:space="0" w:color="000000"/>
            </w:tcBorders>
            <w:tcMar>
              <w:top w:w="55" w:type="dxa"/>
              <w:left w:w="55" w:type="dxa"/>
              <w:bottom w:w="55" w:type="dxa"/>
              <w:right w:w="55" w:type="dxa"/>
            </w:tcMar>
          </w:tcPr>
          <w:p w14:paraId="4C36CE40" w14:textId="77777777" w:rsidR="000441C9" w:rsidRDefault="000441C9" w:rsidP="00522205">
            <w:pPr>
              <w:pStyle w:val="TableContents"/>
            </w:pPr>
          </w:p>
        </w:tc>
      </w:tr>
    </w:tbl>
    <w:p w14:paraId="46F58533" w14:textId="77777777" w:rsidR="000441C9" w:rsidRDefault="000441C9" w:rsidP="00522205">
      <w:pPr>
        <w:pStyle w:val="Standard"/>
      </w:pPr>
    </w:p>
    <w:p w14:paraId="5403C8C6" w14:textId="77777777" w:rsidR="000441C9" w:rsidRDefault="000441C9" w:rsidP="00522205">
      <w:pPr>
        <w:pStyle w:val="Standard"/>
      </w:pPr>
    </w:p>
    <w:p w14:paraId="303A2634" w14:textId="77777777" w:rsidR="000441C9" w:rsidRDefault="000441C9" w:rsidP="00522205">
      <w:pPr>
        <w:pStyle w:val="Standard"/>
      </w:pPr>
    </w:p>
    <w:p w14:paraId="7BE3DB57" w14:textId="550D5277" w:rsidR="009078E3" w:rsidRDefault="009078E3" w:rsidP="009078E3">
      <w:pPr>
        <w:spacing w:before="57"/>
        <w:jc w:val="both"/>
        <w:textAlignment w:val="center"/>
        <w:rPr>
          <w:rFonts w:ascii="Arial" w:eastAsia="Arial" w:hAnsi="Arial" w:cs="Arial"/>
          <w:b/>
          <w:bCs/>
          <w:sz w:val="20"/>
        </w:rPr>
      </w:pPr>
      <w:r w:rsidRPr="002318A1">
        <w:rPr>
          <w:rFonts w:ascii="Arial" w:eastAsia="Arial" w:hAnsi="Arial" w:cs="Arial"/>
          <w:b/>
          <w:bCs/>
          <w:sz w:val="20"/>
          <w:u w:val="single"/>
        </w:rPr>
        <w:t>Numéro de consultation</w:t>
      </w:r>
      <w:r w:rsidRPr="002318A1">
        <w:rPr>
          <w:rFonts w:ascii="Arial" w:eastAsia="Arial" w:hAnsi="Arial" w:cs="Arial"/>
          <w:b/>
          <w:bCs/>
          <w:sz w:val="20"/>
        </w:rPr>
        <w:t xml:space="preserve"> : </w:t>
      </w:r>
      <w:r>
        <w:rPr>
          <w:rFonts w:ascii="Arial" w:eastAsia="Arial" w:hAnsi="Arial" w:cs="Arial"/>
          <w:b/>
          <w:bCs/>
          <w:sz w:val="20"/>
        </w:rPr>
        <w:t>2025-</w:t>
      </w:r>
      <w:r w:rsidR="00276946">
        <w:rPr>
          <w:rFonts w:ascii="Arial" w:eastAsia="Arial" w:hAnsi="Arial" w:cs="Arial"/>
          <w:b/>
          <w:bCs/>
          <w:sz w:val="20"/>
        </w:rPr>
        <w:t>015</w:t>
      </w:r>
    </w:p>
    <w:p w14:paraId="53DE31B9" w14:textId="77777777" w:rsidR="00CB4B91" w:rsidRPr="00276946" w:rsidRDefault="00CB4B91" w:rsidP="009078E3">
      <w:pPr>
        <w:spacing w:before="57"/>
        <w:jc w:val="both"/>
        <w:textAlignment w:val="center"/>
      </w:pPr>
    </w:p>
    <w:p w14:paraId="6F6294E9" w14:textId="77777777" w:rsidR="009078E3" w:rsidRDefault="009078E3" w:rsidP="009078E3">
      <w:pPr>
        <w:spacing w:before="57"/>
        <w:jc w:val="both"/>
        <w:textAlignment w:val="center"/>
      </w:pPr>
      <w:r w:rsidRPr="002318A1">
        <w:rPr>
          <w:rFonts w:ascii="Arial" w:eastAsia="Arial" w:hAnsi="Arial" w:cs="Arial"/>
          <w:b/>
          <w:bCs/>
          <w:sz w:val="20"/>
          <w:u w:val="single"/>
        </w:rPr>
        <w:t>Procédure de passation</w:t>
      </w:r>
      <w:r w:rsidRPr="002318A1">
        <w:rPr>
          <w:rFonts w:ascii="Arial" w:eastAsia="Arial" w:hAnsi="Arial" w:cs="Arial"/>
          <w:b/>
          <w:bCs/>
          <w:sz w:val="20"/>
        </w:rPr>
        <w:t xml:space="preserve"> :</w:t>
      </w:r>
      <w:r w:rsidRPr="002318A1">
        <w:rPr>
          <w:rFonts w:ascii="Arial" w:eastAsia="Arial" w:hAnsi="Arial" w:cs="Arial"/>
          <w:sz w:val="20"/>
        </w:rPr>
        <w:t xml:space="preserve"> Appel</w:t>
      </w:r>
      <w:r w:rsidRPr="00C071EE">
        <w:t xml:space="preserve"> </w:t>
      </w:r>
      <w:r w:rsidRPr="00C071EE">
        <w:rPr>
          <w:rFonts w:ascii="Arial" w:eastAsia="Arial" w:hAnsi="Arial" w:cs="Arial"/>
          <w:sz w:val="20"/>
        </w:rPr>
        <w:t>d’offres ouvert passé en application de l’article L.2124-2 du code de la commande</w:t>
      </w:r>
      <w:r>
        <w:rPr>
          <w:rFonts w:ascii="Arial" w:eastAsia="Arial" w:hAnsi="Arial" w:cs="Arial"/>
          <w:sz w:val="20"/>
        </w:rPr>
        <w:t xml:space="preserve"> </w:t>
      </w:r>
      <w:r w:rsidRPr="00C071EE">
        <w:rPr>
          <w:rFonts w:ascii="Arial" w:eastAsia="Arial" w:hAnsi="Arial" w:cs="Arial"/>
          <w:sz w:val="20"/>
        </w:rPr>
        <w:t>Publique</w:t>
      </w:r>
      <w:r>
        <w:rPr>
          <w:rFonts w:ascii="Arial" w:eastAsia="Arial" w:hAnsi="Arial" w:cs="Arial"/>
          <w:sz w:val="20"/>
        </w:rPr>
        <w:t xml:space="preserve"> </w:t>
      </w:r>
      <w:r w:rsidRPr="00CF2576">
        <w:t xml:space="preserve"> </w:t>
      </w:r>
    </w:p>
    <w:p w14:paraId="33F795AC" w14:textId="77777777" w:rsidR="009078E3" w:rsidRPr="00CF2576" w:rsidRDefault="009078E3" w:rsidP="009078E3">
      <w:pPr>
        <w:spacing w:before="57"/>
        <w:jc w:val="both"/>
        <w:textAlignment w:val="center"/>
        <w:rPr>
          <w:rFonts w:ascii="Arial" w:eastAsia="Arial" w:hAnsi="Arial" w:cs="Arial"/>
          <w:sz w:val="20"/>
        </w:rPr>
      </w:pPr>
    </w:p>
    <w:p w14:paraId="034B0CDC" w14:textId="77777777" w:rsidR="00EE1259" w:rsidRDefault="00EE1259" w:rsidP="00EE1259">
      <w:pPr>
        <w:spacing w:before="57"/>
        <w:jc w:val="both"/>
        <w:textAlignment w:val="center"/>
      </w:pPr>
    </w:p>
    <w:p w14:paraId="71390958" w14:textId="2FE51A3C" w:rsidR="00EE1259" w:rsidRPr="00CF2576" w:rsidRDefault="00EE1259" w:rsidP="00EE1259">
      <w:pPr>
        <w:spacing w:before="57"/>
        <w:jc w:val="both"/>
        <w:textAlignment w:val="center"/>
      </w:pPr>
      <w:r w:rsidRPr="00F542D8">
        <w:rPr>
          <w:rFonts w:ascii="Arial" w:eastAsia="Arial" w:hAnsi="Arial" w:cs="Arial"/>
          <w:b/>
          <w:bCs/>
          <w:sz w:val="20"/>
          <w:u w:val="single"/>
        </w:rPr>
        <w:t>Date de remise des plis</w:t>
      </w:r>
      <w:r w:rsidRPr="00F542D8">
        <w:rPr>
          <w:rFonts w:ascii="Arial" w:eastAsia="Arial" w:hAnsi="Arial" w:cs="Arial"/>
          <w:sz w:val="20"/>
        </w:rPr>
        <w:t xml:space="preserve"> :  le </w:t>
      </w:r>
      <w:r w:rsidR="00CB4B91">
        <w:rPr>
          <w:rFonts w:ascii="Arial" w:eastAsia="Arial" w:hAnsi="Arial" w:cs="Arial"/>
          <w:sz w:val="20"/>
        </w:rPr>
        <w:t>20</w:t>
      </w:r>
      <w:r w:rsidR="00276946">
        <w:rPr>
          <w:rFonts w:ascii="Arial" w:eastAsia="Arial" w:hAnsi="Arial" w:cs="Arial"/>
          <w:sz w:val="20"/>
        </w:rPr>
        <w:t>/10</w:t>
      </w:r>
      <w:r w:rsidRPr="00F542D8">
        <w:rPr>
          <w:rFonts w:ascii="Arial" w:eastAsia="Arial" w:hAnsi="Arial" w:cs="Arial"/>
          <w:sz w:val="20"/>
        </w:rPr>
        <w:t>/202</w:t>
      </w:r>
      <w:r w:rsidR="009516DE">
        <w:rPr>
          <w:rFonts w:ascii="Arial" w:eastAsia="Arial" w:hAnsi="Arial" w:cs="Arial"/>
          <w:sz w:val="20"/>
        </w:rPr>
        <w:t>5</w:t>
      </w:r>
      <w:r w:rsidRPr="00F542D8">
        <w:rPr>
          <w:rFonts w:ascii="Arial" w:eastAsia="Arial" w:hAnsi="Arial" w:cs="Arial"/>
          <w:sz w:val="20"/>
        </w:rPr>
        <w:t xml:space="preserve"> à 15h00</w:t>
      </w:r>
    </w:p>
    <w:p w14:paraId="55BF9C64" w14:textId="77777777" w:rsidR="002318A1" w:rsidRPr="002318A1" w:rsidRDefault="002318A1" w:rsidP="002318A1">
      <w:pPr>
        <w:spacing w:before="57"/>
        <w:jc w:val="both"/>
        <w:textAlignment w:val="center"/>
        <w:rPr>
          <w:rFonts w:ascii="Arial" w:hAnsi="Arial"/>
          <w:bCs/>
          <w:sz w:val="20"/>
        </w:rPr>
      </w:pPr>
    </w:p>
    <w:p w14:paraId="6FBA6900" w14:textId="77777777" w:rsidR="002318A1" w:rsidRPr="002318A1" w:rsidRDefault="002318A1" w:rsidP="002318A1">
      <w:pPr>
        <w:spacing w:before="57"/>
        <w:jc w:val="both"/>
        <w:textAlignment w:val="center"/>
        <w:rPr>
          <w:rFonts w:ascii="Arial" w:hAnsi="Arial"/>
          <w:bCs/>
          <w:sz w:val="20"/>
          <w:shd w:val="clear" w:color="auto" w:fill="FFFF00"/>
        </w:rPr>
      </w:pPr>
    </w:p>
    <w:p w14:paraId="47482495" w14:textId="77777777" w:rsidR="003C4518" w:rsidRDefault="003C4518" w:rsidP="00522205">
      <w:pPr>
        <w:pStyle w:val="Standard"/>
      </w:pPr>
    </w:p>
    <w:p w14:paraId="463E747F" w14:textId="77777777" w:rsidR="003C4518" w:rsidRDefault="003C4518" w:rsidP="00522205">
      <w:pPr>
        <w:pStyle w:val="Standard"/>
      </w:pPr>
    </w:p>
    <w:p w14:paraId="42E94FA9" w14:textId="77777777" w:rsidR="00F542D8" w:rsidRDefault="00F542D8" w:rsidP="00522205">
      <w:pPr>
        <w:pStyle w:val="Standard"/>
      </w:pPr>
    </w:p>
    <w:p w14:paraId="02393C7C" w14:textId="77777777" w:rsidR="00F542D8" w:rsidRDefault="00F542D8" w:rsidP="00522205">
      <w:pPr>
        <w:pStyle w:val="Standard"/>
      </w:pPr>
    </w:p>
    <w:p w14:paraId="26231572" w14:textId="77777777" w:rsidR="00F542D8" w:rsidRDefault="00F542D8" w:rsidP="00522205">
      <w:pPr>
        <w:pStyle w:val="Standard"/>
      </w:pPr>
    </w:p>
    <w:p w14:paraId="67D9322A" w14:textId="77777777" w:rsidR="00F542D8" w:rsidRDefault="00F542D8" w:rsidP="00522205">
      <w:pPr>
        <w:pStyle w:val="Standard"/>
      </w:pPr>
    </w:p>
    <w:p w14:paraId="08DB2947" w14:textId="77777777" w:rsidR="00F542D8" w:rsidRDefault="00F542D8" w:rsidP="00522205">
      <w:pPr>
        <w:pStyle w:val="Standard"/>
      </w:pPr>
    </w:p>
    <w:p w14:paraId="02669C24" w14:textId="77777777" w:rsidR="003C4518" w:rsidRDefault="003C4518" w:rsidP="00522205">
      <w:pPr>
        <w:pStyle w:val="Standard"/>
      </w:pPr>
    </w:p>
    <w:p w14:paraId="51CDD8E5" w14:textId="77777777" w:rsidR="003C4518" w:rsidRDefault="003C4518" w:rsidP="00522205">
      <w:pPr>
        <w:pStyle w:val="Standard"/>
      </w:pPr>
    </w:p>
    <w:p w14:paraId="7CDAC4F5" w14:textId="72937F32" w:rsidR="0065020C" w:rsidRDefault="003C20A7">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r>
        <w:rPr>
          <w:b/>
          <w:bCs/>
          <w:sz w:val="20"/>
        </w:rPr>
        <w:fldChar w:fldCharType="begin"/>
      </w:r>
      <w:r>
        <w:instrText xml:space="preserve"> TOC \o "1-2" \u \l 1-2 \h </w:instrText>
      </w:r>
      <w:r>
        <w:rPr>
          <w:b/>
          <w:bCs/>
          <w:sz w:val="20"/>
        </w:rPr>
        <w:fldChar w:fldCharType="separate"/>
      </w:r>
      <w:hyperlink w:anchor="_Toc208580581" w:history="1">
        <w:r w:rsidR="0065020C" w:rsidRPr="00B3295E">
          <w:rPr>
            <w:rStyle w:val="Lienhypertexte"/>
            <w:noProof/>
          </w:rPr>
          <w:t>Article 1 -</w:t>
        </w:r>
        <w:r w:rsidR="0065020C">
          <w:rPr>
            <w:rFonts w:asciiTheme="minorHAnsi" w:eastAsiaTheme="minorEastAsia" w:hAnsiTheme="minorHAnsi" w:cstheme="minorBidi"/>
            <w:noProof/>
            <w:kern w:val="2"/>
            <w:lang w:eastAsia="fr-FR" w:bidi="ar-SA"/>
            <w14:ligatures w14:val="standardContextual"/>
          </w:rPr>
          <w:tab/>
        </w:r>
        <w:r w:rsidR="0065020C" w:rsidRPr="00B3295E">
          <w:rPr>
            <w:rStyle w:val="Lienhypertexte"/>
            <w:noProof/>
          </w:rPr>
          <w:t>Acheteur</w:t>
        </w:r>
        <w:r w:rsidR="0065020C">
          <w:rPr>
            <w:noProof/>
          </w:rPr>
          <w:tab/>
        </w:r>
        <w:r w:rsidR="0065020C">
          <w:rPr>
            <w:noProof/>
          </w:rPr>
          <w:fldChar w:fldCharType="begin"/>
        </w:r>
        <w:r w:rsidR="0065020C">
          <w:rPr>
            <w:noProof/>
          </w:rPr>
          <w:instrText xml:space="preserve"> PAGEREF _Toc208580581 \h </w:instrText>
        </w:r>
        <w:r w:rsidR="0065020C">
          <w:rPr>
            <w:noProof/>
          </w:rPr>
        </w:r>
        <w:r w:rsidR="0065020C">
          <w:rPr>
            <w:noProof/>
          </w:rPr>
          <w:fldChar w:fldCharType="separate"/>
        </w:r>
        <w:r w:rsidR="0065020C">
          <w:rPr>
            <w:noProof/>
          </w:rPr>
          <w:t>4</w:t>
        </w:r>
        <w:r w:rsidR="0065020C">
          <w:rPr>
            <w:noProof/>
          </w:rPr>
          <w:fldChar w:fldCharType="end"/>
        </w:r>
      </w:hyperlink>
    </w:p>
    <w:p w14:paraId="6FC2F099" w14:textId="518CB83F" w:rsidR="0065020C" w:rsidRDefault="0065020C">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8580582" w:history="1">
        <w:r w:rsidRPr="00B3295E">
          <w:rPr>
            <w:rStyle w:val="Lienhypertexte"/>
            <w:noProof/>
          </w:rPr>
          <w:t>Article 2 -</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Objet de la consultation</w:t>
        </w:r>
        <w:r>
          <w:rPr>
            <w:noProof/>
          </w:rPr>
          <w:tab/>
        </w:r>
        <w:r>
          <w:rPr>
            <w:noProof/>
          </w:rPr>
          <w:fldChar w:fldCharType="begin"/>
        </w:r>
        <w:r>
          <w:rPr>
            <w:noProof/>
          </w:rPr>
          <w:instrText xml:space="preserve"> PAGEREF _Toc208580582 \h </w:instrText>
        </w:r>
        <w:r>
          <w:rPr>
            <w:noProof/>
          </w:rPr>
        </w:r>
        <w:r>
          <w:rPr>
            <w:noProof/>
          </w:rPr>
          <w:fldChar w:fldCharType="separate"/>
        </w:r>
        <w:r>
          <w:rPr>
            <w:noProof/>
          </w:rPr>
          <w:t>4</w:t>
        </w:r>
        <w:r>
          <w:rPr>
            <w:noProof/>
          </w:rPr>
          <w:fldChar w:fldCharType="end"/>
        </w:r>
      </w:hyperlink>
    </w:p>
    <w:p w14:paraId="249518B1" w14:textId="7383D765" w:rsidR="0065020C" w:rsidRDefault="0065020C">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8580583" w:history="1">
        <w:r w:rsidRPr="00B3295E">
          <w:rPr>
            <w:rStyle w:val="Lienhypertexte"/>
            <w:noProof/>
          </w:rPr>
          <w:t>Article 3 -</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Conditions de la consultation</w:t>
        </w:r>
        <w:r>
          <w:rPr>
            <w:noProof/>
          </w:rPr>
          <w:tab/>
        </w:r>
        <w:r>
          <w:rPr>
            <w:noProof/>
          </w:rPr>
          <w:fldChar w:fldCharType="begin"/>
        </w:r>
        <w:r>
          <w:rPr>
            <w:noProof/>
          </w:rPr>
          <w:instrText xml:space="preserve"> PAGEREF _Toc208580583 \h </w:instrText>
        </w:r>
        <w:r>
          <w:rPr>
            <w:noProof/>
          </w:rPr>
        </w:r>
        <w:r>
          <w:rPr>
            <w:noProof/>
          </w:rPr>
          <w:fldChar w:fldCharType="separate"/>
        </w:r>
        <w:r>
          <w:rPr>
            <w:noProof/>
          </w:rPr>
          <w:t>4</w:t>
        </w:r>
        <w:r>
          <w:rPr>
            <w:noProof/>
          </w:rPr>
          <w:fldChar w:fldCharType="end"/>
        </w:r>
      </w:hyperlink>
    </w:p>
    <w:p w14:paraId="06E10290" w14:textId="1330C640"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84" w:history="1">
        <w:r w:rsidRPr="00B3295E">
          <w:rPr>
            <w:rStyle w:val="Lienhypertexte"/>
            <w:noProof/>
          </w:rPr>
          <w:t>3.1</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Procédure de passation</w:t>
        </w:r>
        <w:r>
          <w:rPr>
            <w:noProof/>
          </w:rPr>
          <w:tab/>
        </w:r>
        <w:r>
          <w:rPr>
            <w:noProof/>
          </w:rPr>
          <w:fldChar w:fldCharType="begin"/>
        </w:r>
        <w:r>
          <w:rPr>
            <w:noProof/>
          </w:rPr>
          <w:instrText xml:space="preserve"> PAGEREF _Toc208580584 \h </w:instrText>
        </w:r>
        <w:r>
          <w:rPr>
            <w:noProof/>
          </w:rPr>
        </w:r>
        <w:r>
          <w:rPr>
            <w:noProof/>
          </w:rPr>
          <w:fldChar w:fldCharType="separate"/>
        </w:r>
        <w:r>
          <w:rPr>
            <w:noProof/>
          </w:rPr>
          <w:t>4</w:t>
        </w:r>
        <w:r>
          <w:rPr>
            <w:noProof/>
          </w:rPr>
          <w:fldChar w:fldCharType="end"/>
        </w:r>
      </w:hyperlink>
    </w:p>
    <w:p w14:paraId="012C1400" w14:textId="11438BE3"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85" w:history="1">
        <w:r w:rsidRPr="00B3295E">
          <w:rPr>
            <w:rStyle w:val="Lienhypertexte"/>
            <w:noProof/>
          </w:rPr>
          <w:t>3.2</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Allotissement</w:t>
        </w:r>
        <w:r>
          <w:rPr>
            <w:noProof/>
          </w:rPr>
          <w:tab/>
        </w:r>
        <w:r>
          <w:rPr>
            <w:noProof/>
          </w:rPr>
          <w:fldChar w:fldCharType="begin"/>
        </w:r>
        <w:r>
          <w:rPr>
            <w:noProof/>
          </w:rPr>
          <w:instrText xml:space="preserve"> PAGEREF _Toc208580585 \h </w:instrText>
        </w:r>
        <w:r>
          <w:rPr>
            <w:noProof/>
          </w:rPr>
        </w:r>
        <w:r>
          <w:rPr>
            <w:noProof/>
          </w:rPr>
          <w:fldChar w:fldCharType="separate"/>
        </w:r>
        <w:r>
          <w:rPr>
            <w:noProof/>
          </w:rPr>
          <w:t>4</w:t>
        </w:r>
        <w:r>
          <w:rPr>
            <w:noProof/>
          </w:rPr>
          <w:fldChar w:fldCharType="end"/>
        </w:r>
      </w:hyperlink>
    </w:p>
    <w:p w14:paraId="1307F4A2" w14:textId="0E72C544"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86" w:history="1">
        <w:r w:rsidRPr="00B3295E">
          <w:rPr>
            <w:rStyle w:val="Lienhypertexte"/>
            <w:noProof/>
          </w:rPr>
          <w:t>3.3</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Forme et étendue</w:t>
        </w:r>
        <w:r>
          <w:rPr>
            <w:noProof/>
          </w:rPr>
          <w:tab/>
        </w:r>
        <w:r>
          <w:rPr>
            <w:noProof/>
          </w:rPr>
          <w:fldChar w:fldCharType="begin"/>
        </w:r>
        <w:r>
          <w:rPr>
            <w:noProof/>
          </w:rPr>
          <w:instrText xml:space="preserve"> PAGEREF _Toc208580586 \h </w:instrText>
        </w:r>
        <w:r>
          <w:rPr>
            <w:noProof/>
          </w:rPr>
        </w:r>
        <w:r>
          <w:rPr>
            <w:noProof/>
          </w:rPr>
          <w:fldChar w:fldCharType="separate"/>
        </w:r>
        <w:r>
          <w:rPr>
            <w:noProof/>
          </w:rPr>
          <w:t>4</w:t>
        </w:r>
        <w:r>
          <w:rPr>
            <w:noProof/>
          </w:rPr>
          <w:fldChar w:fldCharType="end"/>
        </w:r>
      </w:hyperlink>
    </w:p>
    <w:p w14:paraId="334099E9" w14:textId="659C64F6"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87" w:history="1">
        <w:r w:rsidRPr="00B3295E">
          <w:rPr>
            <w:rStyle w:val="Lienhypertexte"/>
            <w:noProof/>
          </w:rPr>
          <w:t>3.4</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Tranches</w:t>
        </w:r>
        <w:r>
          <w:rPr>
            <w:noProof/>
          </w:rPr>
          <w:tab/>
        </w:r>
        <w:r>
          <w:rPr>
            <w:noProof/>
          </w:rPr>
          <w:fldChar w:fldCharType="begin"/>
        </w:r>
        <w:r>
          <w:rPr>
            <w:noProof/>
          </w:rPr>
          <w:instrText xml:space="preserve"> PAGEREF _Toc208580587 \h </w:instrText>
        </w:r>
        <w:r>
          <w:rPr>
            <w:noProof/>
          </w:rPr>
        </w:r>
        <w:r>
          <w:rPr>
            <w:noProof/>
          </w:rPr>
          <w:fldChar w:fldCharType="separate"/>
        </w:r>
        <w:r>
          <w:rPr>
            <w:noProof/>
          </w:rPr>
          <w:t>5</w:t>
        </w:r>
        <w:r>
          <w:rPr>
            <w:noProof/>
          </w:rPr>
          <w:fldChar w:fldCharType="end"/>
        </w:r>
      </w:hyperlink>
    </w:p>
    <w:p w14:paraId="505D4152" w14:textId="38769035"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88" w:history="1">
        <w:r w:rsidRPr="00B3295E">
          <w:rPr>
            <w:rStyle w:val="Lienhypertexte"/>
            <w:noProof/>
          </w:rPr>
          <w:t>3.5</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Durée</w:t>
        </w:r>
        <w:r>
          <w:rPr>
            <w:noProof/>
          </w:rPr>
          <w:tab/>
        </w:r>
        <w:r>
          <w:rPr>
            <w:noProof/>
          </w:rPr>
          <w:fldChar w:fldCharType="begin"/>
        </w:r>
        <w:r>
          <w:rPr>
            <w:noProof/>
          </w:rPr>
          <w:instrText xml:space="preserve"> PAGEREF _Toc208580588 \h </w:instrText>
        </w:r>
        <w:r>
          <w:rPr>
            <w:noProof/>
          </w:rPr>
        </w:r>
        <w:r>
          <w:rPr>
            <w:noProof/>
          </w:rPr>
          <w:fldChar w:fldCharType="separate"/>
        </w:r>
        <w:r>
          <w:rPr>
            <w:noProof/>
          </w:rPr>
          <w:t>5</w:t>
        </w:r>
        <w:r>
          <w:rPr>
            <w:noProof/>
          </w:rPr>
          <w:fldChar w:fldCharType="end"/>
        </w:r>
      </w:hyperlink>
    </w:p>
    <w:p w14:paraId="249FB56E" w14:textId="56B6C76A"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89" w:history="1">
        <w:r w:rsidRPr="00B3295E">
          <w:rPr>
            <w:rStyle w:val="Lienhypertexte"/>
            <w:noProof/>
          </w:rPr>
          <w:t>3.6</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Lieu d'exécution</w:t>
        </w:r>
        <w:r>
          <w:rPr>
            <w:noProof/>
          </w:rPr>
          <w:tab/>
        </w:r>
        <w:r>
          <w:rPr>
            <w:noProof/>
          </w:rPr>
          <w:fldChar w:fldCharType="begin"/>
        </w:r>
        <w:r>
          <w:rPr>
            <w:noProof/>
          </w:rPr>
          <w:instrText xml:space="preserve"> PAGEREF _Toc208580589 \h </w:instrText>
        </w:r>
        <w:r>
          <w:rPr>
            <w:noProof/>
          </w:rPr>
        </w:r>
        <w:r>
          <w:rPr>
            <w:noProof/>
          </w:rPr>
          <w:fldChar w:fldCharType="separate"/>
        </w:r>
        <w:r>
          <w:rPr>
            <w:noProof/>
          </w:rPr>
          <w:t>5</w:t>
        </w:r>
        <w:r>
          <w:rPr>
            <w:noProof/>
          </w:rPr>
          <w:fldChar w:fldCharType="end"/>
        </w:r>
      </w:hyperlink>
    </w:p>
    <w:p w14:paraId="1DFFF576" w14:textId="38330F41"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90" w:history="1">
        <w:r w:rsidRPr="00B3295E">
          <w:rPr>
            <w:rStyle w:val="Lienhypertexte"/>
            <w:noProof/>
          </w:rPr>
          <w:t>3.7</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Variantes</w:t>
        </w:r>
        <w:r>
          <w:rPr>
            <w:noProof/>
          </w:rPr>
          <w:tab/>
        </w:r>
        <w:r>
          <w:rPr>
            <w:noProof/>
          </w:rPr>
          <w:fldChar w:fldCharType="begin"/>
        </w:r>
        <w:r>
          <w:rPr>
            <w:noProof/>
          </w:rPr>
          <w:instrText xml:space="preserve"> PAGEREF _Toc208580590 \h </w:instrText>
        </w:r>
        <w:r>
          <w:rPr>
            <w:noProof/>
          </w:rPr>
        </w:r>
        <w:r>
          <w:rPr>
            <w:noProof/>
          </w:rPr>
          <w:fldChar w:fldCharType="separate"/>
        </w:r>
        <w:r>
          <w:rPr>
            <w:noProof/>
          </w:rPr>
          <w:t>5</w:t>
        </w:r>
        <w:r>
          <w:rPr>
            <w:noProof/>
          </w:rPr>
          <w:fldChar w:fldCharType="end"/>
        </w:r>
      </w:hyperlink>
    </w:p>
    <w:p w14:paraId="7F7861B1" w14:textId="4F2BFE38"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91" w:history="1">
        <w:r w:rsidRPr="00B3295E">
          <w:rPr>
            <w:rStyle w:val="Lienhypertexte"/>
            <w:noProof/>
          </w:rPr>
          <w:t>3.8</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Prestations supplémentaires éventuelles</w:t>
        </w:r>
        <w:r>
          <w:rPr>
            <w:noProof/>
          </w:rPr>
          <w:tab/>
        </w:r>
        <w:r>
          <w:rPr>
            <w:noProof/>
          </w:rPr>
          <w:fldChar w:fldCharType="begin"/>
        </w:r>
        <w:r>
          <w:rPr>
            <w:noProof/>
          </w:rPr>
          <w:instrText xml:space="preserve"> PAGEREF _Toc208580591 \h </w:instrText>
        </w:r>
        <w:r>
          <w:rPr>
            <w:noProof/>
          </w:rPr>
        </w:r>
        <w:r>
          <w:rPr>
            <w:noProof/>
          </w:rPr>
          <w:fldChar w:fldCharType="separate"/>
        </w:r>
        <w:r>
          <w:rPr>
            <w:noProof/>
          </w:rPr>
          <w:t>5</w:t>
        </w:r>
        <w:r>
          <w:rPr>
            <w:noProof/>
          </w:rPr>
          <w:fldChar w:fldCharType="end"/>
        </w:r>
      </w:hyperlink>
    </w:p>
    <w:p w14:paraId="4848BB7C" w14:textId="3EE4B2B0"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92" w:history="1">
        <w:r w:rsidRPr="00B3295E">
          <w:rPr>
            <w:rStyle w:val="Lienhypertexte"/>
            <w:noProof/>
          </w:rPr>
          <w:t>3.9</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Égalité professionnelle et lutte contre les discriminations</w:t>
        </w:r>
        <w:r>
          <w:rPr>
            <w:noProof/>
          </w:rPr>
          <w:tab/>
        </w:r>
        <w:r>
          <w:rPr>
            <w:noProof/>
          </w:rPr>
          <w:fldChar w:fldCharType="begin"/>
        </w:r>
        <w:r>
          <w:rPr>
            <w:noProof/>
          </w:rPr>
          <w:instrText xml:space="preserve"> PAGEREF _Toc208580592 \h </w:instrText>
        </w:r>
        <w:r>
          <w:rPr>
            <w:noProof/>
          </w:rPr>
        </w:r>
        <w:r>
          <w:rPr>
            <w:noProof/>
          </w:rPr>
          <w:fldChar w:fldCharType="separate"/>
        </w:r>
        <w:r>
          <w:rPr>
            <w:noProof/>
          </w:rPr>
          <w:t>5</w:t>
        </w:r>
        <w:r>
          <w:rPr>
            <w:noProof/>
          </w:rPr>
          <w:fldChar w:fldCharType="end"/>
        </w:r>
      </w:hyperlink>
    </w:p>
    <w:p w14:paraId="294D6B60" w14:textId="4F8CD57A"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93" w:history="1">
        <w:r w:rsidRPr="00B3295E">
          <w:rPr>
            <w:rStyle w:val="Lienhypertexte"/>
            <w:noProof/>
          </w:rPr>
          <w:t>3.10</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Considérations environnementales</w:t>
        </w:r>
        <w:r>
          <w:rPr>
            <w:noProof/>
          </w:rPr>
          <w:tab/>
        </w:r>
        <w:r>
          <w:rPr>
            <w:noProof/>
          </w:rPr>
          <w:fldChar w:fldCharType="begin"/>
        </w:r>
        <w:r>
          <w:rPr>
            <w:noProof/>
          </w:rPr>
          <w:instrText xml:space="preserve"> PAGEREF _Toc208580593 \h </w:instrText>
        </w:r>
        <w:r>
          <w:rPr>
            <w:noProof/>
          </w:rPr>
        </w:r>
        <w:r>
          <w:rPr>
            <w:noProof/>
          </w:rPr>
          <w:fldChar w:fldCharType="separate"/>
        </w:r>
        <w:r>
          <w:rPr>
            <w:noProof/>
          </w:rPr>
          <w:t>6</w:t>
        </w:r>
        <w:r>
          <w:rPr>
            <w:noProof/>
          </w:rPr>
          <w:fldChar w:fldCharType="end"/>
        </w:r>
      </w:hyperlink>
    </w:p>
    <w:p w14:paraId="1A1D07DC" w14:textId="6E50ECEB"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94" w:history="1">
        <w:r w:rsidRPr="00B3295E">
          <w:rPr>
            <w:rStyle w:val="Lienhypertexte"/>
            <w:noProof/>
          </w:rPr>
          <w:t>3.11</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Traitement des données à caractère personnel</w:t>
        </w:r>
        <w:r>
          <w:rPr>
            <w:noProof/>
          </w:rPr>
          <w:tab/>
        </w:r>
        <w:r>
          <w:rPr>
            <w:noProof/>
          </w:rPr>
          <w:fldChar w:fldCharType="begin"/>
        </w:r>
        <w:r>
          <w:rPr>
            <w:noProof/>
          </w:rPr>
          <w:instrText xml:space="preserve"> PAGEREF _Toc208580594 \h </w:instrText>
        </w:r>
        <w:r>
          <w:rPr>
            <w:noProof/>
          </w:rPr>
        </w:r>
        <w:r>
          <w:rPr>
            <w:noProof/>
          </w:rPr>
          <w:fldChar w:fldCharType="separate"/>
        </w:r>
        <w:r>
          <w:rPr>
            <w:noProof/>
          </w:rPr>
          <w:t>6</w:t>
        </w:r>
        <w:r>
          <w:rPr>
            <w:noProof/>
          </w:rPr>
          <w:fldChar w:fldCharType="end"/>
        </w:r>
      </w:hyperlink>
    </w:p>
    <w:p w14:paraId="66C34F6C" w14:textId="106E6491"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95" w:history="1">
        <w:r w:rsidRPr="00B3295E">
          <w:rPr>
            <w:rStyle w:val="Lienhypertexte"/>
            <w:noProof/>
          </w:rPr>
          <w:t>3.12</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Secret des affaires</w:t>
        </w:r>
        <w:r>
          <w:rPr>
            <w:noProof/>
          </w:rPr>
          <w:tab/>
        </w:r>
        <w:r>
          <w:rPr>
            <w:noProof/>
          </w:rPr>
          <w:fldChar w:fldCharType="begin"/>
        </w:r>
        <w:r>
          <w:rPr>
            <w:noProof/>
          </w:rPr>
          <w:instrText xml:space="preserve"> PAGEREF _Toc208580595 \h </w:instrText>
        </w:r>
        <w:r>
          <w:rPr>
            <w:noProof/>
          </w:rPr>
        </w:r>
        <w:r>
          <w:rPr>
            <w:noProof/>
          </w:rPr>
          <w:fldChar w:fldCharType="separate"/>
        </w:r>
        <w:r>
          <w:rPr>
            <w:noProof/>
          </w:rPr>
          <w:t>8</w:t>
        </w:r>
        <w:r>
          <w:rPr>
            <w:noProof/>
          </w:rPr>
          <w:fldChar w:fldCharType="end"/>
        </w:r>
      </w:hyperlink>
    </w:p>
    <w:p w14:paraId="6DCACD87" w14:textId="187FA047" w:rsidR="0065020C" w:rsidRDefault="0065020C">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8580596" w:history="1">
        <w:r w:rsidRPr="00B3295E">
          <w:rPr>
            <w:rStyle w:val="Lienhypertexte"/>
            <w:noProof/>
          </w:rPr>
          <w:t>Article 4 -</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Information des candidats</w:t>
        </w:r>
        <w:r>
          <w:rPr>
            <w:noProof/>
          </w:rPr>
          <w:tab/>
        </w:r>
        <w:r>
          <w:rPr>
            <w:noProof/>
          </w:rPr>
          <w:fldChar w:fldCharType="begin"/>
        </w:r>
        <w:r>
          <w:rPr>
            <w:noProof/>
          </w:rPr>
          <w:instrText xml:space="preserve"> PAGEREF _Toc208580596 \h </w:instrText>
        </w:r>
        <w:r>
          <w:rPr>
            <w:noProof/>
          </w:rPr>
        </w:r>
        <w:r>
          <w:rPr>
            <w:noProof/>
          </w:rPr>
          <w:fldChar w:fldCharType="separate"/>
        </w:r>
        <w:r>
          <w:rPr>
            <w:noProof/>
          </w:rPr>
          <w:t>8</w:t>
        </w:r>
        <w:r>
          <w:rPr>
            <w:noProof/>
          </w:rPr>
          <w:fldChar w:fldCharType="end"/>
        </w:r>
      </w:hyperlink>
    </w:p>
    <w:p w14:paraId="183BB872" w14:textId="416585FE"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597" w:history="1">
        <w:r w:rsidRPr="00B3295E">
          <w:rPr>
            <w:rStyle w:val="Lienhypertexte"/>
            <w:noProof/>
          </w:rPr>
          <w:t>4.1</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Contenu des documents de la consultation</w:t>
        </w:r>
        <w:r>
          <w:rPr>
            <w:noProof/>
          </w:rPr>
          <w:tab/>
        </w:r>
        <w:r>
          <w:rPr>
            <w:noProof/>
          </w:rPr>
          <w:fldChar w:fldCharType="begin"/>
        </w:r>
        <w:r>
          <w:rPr>
            <w:noProof/>
          </w:rPr>
          <w:instrText xml:space="preserve"> PAGEREF _Toc208580597 \h </w:instrText>
        </w:r>
        <w:r>
          <w:rPr>
            <w:noProof/>
          </w:rPr>
        </w:r>
        <w:r>
          <w:rPr>
            <w:noProof/>
          </w:rPr>
          <w:fldChar w:fldCharType="separate"/>
        </w:r>
        <w:r>
          <w:rPr>
            <w:noProof/>
          </w:rPr>
          <w:t>8</w:t>
        </w:r>
        <w:r>
          <w:rPr>
            <w:noProof/>
          </w:rPr>
          <w:fldChar w:fldCharType="end"/>
        </w:r>
      </w:hyperlink>
    </w:p>
    <w:p w14:paraId="461F9F64" w14:textId="13D08696" w:rsidR="0065020C" w:rsidRDefault="0065020C">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8580598" w:history="1">
        <w:r w:rsidRPr="00B3295E">
          <w:rPr>
            <w:rStyle w:val="Lienhypertexte"/>
            <w:noProof/>
          </w:rPr>
          <w:t>Article 5 -</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Principes généraux sur les échanges électroniques</w:t>
        </w:r>
        <w:r>
          <w:rPr>
            <w:noProof/>
          </w:rPr>
          <w:tab/>
        </w:r>
        <w:r>
          <w:rPr>
            <w:noProof/>
          </w:rPr>
          <w:fldChar w:fldCharType="begin"/>
        </w:r>
        <w:r>
          <w:rPr>
            <w:noProof/>
          </w:rPr>
          <w:instrText xml:space="preserve"> PAGEREF _Toc208580598 \h </w:instrText>
        </w:r>
        <w:r>
          <w:rPr>
            <w:noProof/>
          </w:rPr>
        </w:r>
        <w:r>
          <w:rPr>
            <w:noProof/>
          </w:rPr>
          <w:fldChar w:fldCharType="separate"/>
        </w:r>
        <w:r>
          <w:rPr>
            <w:noProof/>
          </w:rPr>
          <w:t>8</w:t>
        </w:r>
        <w:r>
          <w:rPr>
            <w:noProof/>
          </w:rPr>
          <w:fldChar w:fldCharType="end"/>
        </w:r>
      </w:hyperlink>
    </w:p>
    <w:p w14:paraId="46329F16" w14:textId="2E50E81C" w:rsidR="0065020C" w:rsidRDefault="0065020C">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8580599" w:history="1">
        <w:r w:rsidRPr="00B3295E">
          <w:rPr>
            <w:rStyle w:val="Lienhypertexte"/>
            <w:noProof/>
          </w:rPr>
          <w:t>Article 6 -</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Candidature</w:t>
        </w:r>
        <w:r>
          <w:rPr>
            <w:noProof/>
          </w:rPr>
          <w:tab/>
        </w:r>
        <w:r>
          <w:rPr>
            <w:noProof/>
          </w:rPr>
          <w:fldChar w:fldCharType="begin"/>
        </w:r>
        <w:r>
          <w:rPr>
            <w:noProof/>
          </w:rPr>
          <w:instrText xml:space="preserve"> PAGEREF _Toc208580599 \h </w:instrText>
        </w:r>
        <w:r>
          <w:rPr>
            <w:noProof/>
          </w:rPr>
        </w:r>
        <w:r>
          <w:rPr>
            <w:noProof/>
          </w:rPr>
          <w:fldChar w:fldCharType="separate"/>
        </w:r>
        <w:r>
          <w:rPr>
            <w:noProof/>
          </w:rPr>
          <w:t>12</w:t>
        </w:r>
        <w:r>
          <w:rPr>
            <w:noProof/>
          </w:rPr>
          <w:fldChar w:fldCharType="end"/>
        </w:r>
      </w:hyperlink>
    </w:p>
    <w:p w14:paraId="1F0DEE14" w14:textId="243A3DCA"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00" w:history="1">
        <w:r w:rsidRPr="00B3295E">
          <w:rPr>
            <w:rStyle w:val="Lienhypertexte"/>
            <w:noProof/>
          </w:rPr>
          <w:t>6.1</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Présentation de la candidature</w:t>
        </w:r>
        <w:r>
          <w:rPr>
            <w:noProof/>
          </w:rPr>
          <w:tab/>
        </w:r>
        <w:r>
          <w:rPr>
            <w:noProof/>
          </w:rPr>
          <w:fldChar w:fldCharType="begin"/>
        </w:r>
        <w:r>
          <w:rPr>
            <w:noProof/>
          </w:rPr>
          <w:instrText xml:space="preserve"> PAGEREF _Toc208580600 \h </w:instrText>
        </w:r>
        <w:r>
          <w:rPr>
            <w:noProof/>
          </w:rPr>
        </w:r>
        <w:r>
          <w:rPr>
            <w:noProof/>
          </w:rPr>
          <w:fldChar w:fldCharType="separate"/>
        </w:r>
        <w:r>
          <w:rPr>
            <w:noProof/>
          </w:rPr>
          <w:t>12</w:t>
        </w:r>
        <w:r>
          <w:rPr>
            <w:noProof/>
          </w:rPr>
          <w:fldChar w:fldCharType="end"/>
        </w:r>
      </w:hyperlink>
    </w:p>
    <w:p w14:paraId="74733BFF" w14:textId="4E8AC486"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01" w:history="1">
        <w:r w:rsidRPr="00B3295E">
          <w:rPr>
            <w:rStyle w:val="Lienhypertexte"/>
            <w:noProof/>
          </w:rPr>
          <w:t>6.2</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Précisions sur les groupements d’opérateurs économiques et la sous-traitance</w:t>
        </w:r>
        <w:r>
          <w:rPr>
            <w:noProof/>
          </w:rPr>
          <w:tab/>
        </w:r>
        <w:r>
          <w:rPr>
            <w:noProof/>
          </w:rPr>
          <w:fldChar w:fldCharType="begin"/>
        </w:r>
        <w:r>
          <w:rPr>
            <w:noProof/>
          </w:rPr>
          <w:instrText xml:space="preserve"> PAGEREF _Toc208580601 \h </w:instrText>
        </w:r>
        <w:r>
          <w:rPr>
            <w:noProof/>
          </w:rPr>
        </w:r>
        <w:r>
          <w:rPr>
            <w:noProof/>
          </w:rPr>
          <w:fldChar w:fldCharType="separate"/>
        </w:r>
        <w:r>
          <w:rPr>
            <w:noProof/>
          </w:rPr>
          <w:t>13</w:t>
        </w:r>
        <w:r>
          <w:rPr>
            <w:noProof/>
          </w:rPr>
          <w:fldChar w:fldCharType="end"/>
        </w:r>
      </w:hyperlink>
    </w:p>
    <w:p w14:paraId="03D19176" w14:textId="349FC824"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02" w:history="1">
        <w:r w:rsidRPr="00B3295E">
          <w:rPr>
            <w:rStyle w:val="Lienhypertexte"/>
            <w:noProof/>
          </w:rPr>
          <w:t>6.3</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Motifs d'exclusion</w:t>
        </w:r>
        <w:r>
          <w:rPr>
            <w:noProof/>
          </w:rPr>
          <w:tab/>
        </w:r>
        <w:r>
          <w:rPr>
            <w:noProof/>
          </w:rPr>
          <w:fldChar w:fldCharType="begin"/>
        </w:r>
        <w:r>
          <w:rPr>
            <w:noProof/>
          </w:rPr>
          <w:instrText xml:space="preserve"> PAGEREF _Toc208580602 \h </w:instrText>
        </w:r>
        <w:r>
          <w:rPr>
            <w:noProof/>
          </w:rPr>
        </w:r>
        <w:r>
          <w:rPr>
            <w:noProof/>
          </w:rPr>
          <w:fldChar w:fldCharType="separate"/>
        </w:r>
        <w:r>
          <w:rPr>
            <w:noProof/>
          </w:rPr>
          <w:t>13</w:t>
        </w:r>
        <w:r>
          <w:rPr>
            <w:noProof/>
          </w:rPr>
          <w:fldChar w:fldCharType="end"/>
        </w:r>
      </w:hyperlink>
    </w:p>
    <w:p w14:paraId="19C61E08" w14:textId="27120C2E"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03" w:history="1">
        <w:r w:rsidRPr="00B3295E">
          <w:rPr>
            <w:rStyle w:val="Lienhypertexte"/>
            <w:noProof/>
          </w:rPr>
          <w:t>6.4</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Examen des candidatures</w:t>
        </w:r>
        <w:r>
          <w:rPr>
            <w:noProof/>
          </w:rPr>
          <w:tab/>
        </w:r>
        <w:r>
          <w:rPr>
            <w:noProof/>
          </w:rPr>
          <w:fldChar w:fldCharType="begin"/>
        </w:r>
        <w:r>
          <w:rPr>
            <w:noProof/>
          </w:rPr>
          <w:instrText xml:space="preserve"> PAGEREF _Toc208580603 \h </w:instrText>
        </w:r>
        <w:r>
          <w:rPr>
            <w:noProof/>
          </w:rPr>
        </w:r>
        <w:r>
          <w:rPr>
            <w:noProof/>
          </w:rPr>
          <w:fldChar w:fldCharType="separate"/>
        </w:r>
        <w:r>
          <w:rPr>
            <w:noProof/>
          </w:rPr>
          <w:t>13</w:t>
        </w:r>
        <w:r>
          <w:rPr>
            <w:noProof/>
          </w:rPr>
          <w:fldChar w:fldCharType="end"/>
        </w:r>
      </w:hyperlink>
    </w:p>
    <w:p w14:paraId="607ADB4B" w14:textId="535B66F6"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04" w:history="1">
        <w:r w:rsidRPr="00B3295E">
          <w:rPr>
            <w:rStyle w:val="Lienhypertexte"/>
            <w:noProof/>
          </w:rPr>
          <w:t>6.5</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Vérification des conditions de participation : liste des documents justificatifs</w:t>
        </w:r>
        <w:r>
          <w:rPr>
            <w:noProof/>
          </w:rPr>
          <w:tab/>
        </w:r>
        <w:r>
          <w:rPr>
            <w:noProof/>
          </w:rPr>
          <w:fldChar w:fldCharType="begin"/>
        </w:r>
        <w:r>
          <w:rPr>
            <w:noProof/>
          </w:rPr>
          <w:instrText xml:space="preserve"> PAGEREF _Toc208580604 \h </w:instrText>
        </w:r>
        <w:r>
          <w:rPr>
            <w:noProof/>
          </w:rPr>
        </w:r>
        <w:r>
          <w:rPr>
            <w:noProof/>
          </w:rPr>
          <w:fldChar w:fldCharType="separate"/>
        </w:r>
        <w:r>
          <w:rPr>
            <w:noProof/>
          </w:rPr>
          <w:t>14</w:t>
        </w:r>
        <w:r>
          <w:rPr>
            <w:noProof/>
          </w:rPr>
          <w:fldChar w:fldCharType="end"/>
        </w:r>
      </w:hyperlink>
    </w:p>
    <w:p w14:paraId="643BA389" w14:textId="6875A4D9"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05" w:history="1">
        <w:r w:rsidRPr="00B3295E">
          <w:rPr>
            <w:rStyle w:val="Lienhypertexte"/>
            <w:noProof/>
          </w:rPr>
          <w:t>6.6</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Vérification des motifs d'exclusion</w:t>
        </w:r>
        <w:r>
          <w:rPr>
            <w:noProof/>
          </w:rPr>
          <w:tab/>
        </w:r>
        <w:r>
          <w:rPr>
            <w:noProof/>
          </w:rPr>
          <w:fldChar w:fldCharType="begin"/>
        </w:r>
        <w:r>
          <w:rPr>
            <w:noProof/>
          </w:rPr>
          <w:instrText xml:space="preserve"> PAGEREF _Toc208580605 \h </w:instrText>
        </w:r>
        <w:r>
          <w:rPr>
            <w:noProof/>
          </w:rPr>
        </w:r>
        <w:r>
          <w:rPr>
            <w:noProof/>
          </w:rPr>
          <w:fldChar w:fldCharType="separate"/>
        </w:r>
        <w:r>
          <w:rPr>
            <w:noProof/>
          </w:rPr>
          <w:t>14</w:t>
        </w:r>
        <w:r>
          <w:rPr>
            <w:noProof/>
          </w:rPr>
          <w:fldChar w:fldCharType="end"/>
        </w:r>
      </w:hyperlink>
    </w:p>
    <w:p w14:paraId="5EFDB00F" w14:textId="7626472E" w:rsidR="0065020C" w:rsidRDefault="0065020C">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8580606" w:history="1">
        <w:r w:rsidRPr="00B3295E">
          <w:rPr>
            <w:rStyle w:val="Lienhypertexte"/>
            <w:noProof/>
          </w:rPr>
          <w:t>Article 7 -</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Offre</w:t>
        </w:r>
        <w:r>
          <w:rPr>
            <w:noProof/>
          </w:rPr>
          <w:tab/>
        </w:r>
        <w:r>
          <w:rPr>
            <w:noProof/>
          </w:rPr>
          <w:fldChar w:fldCharType="begin"/>
        </w:r>
        <w:r>
          <w:rPr>
            <w:noProof/>
          </w:rPr>
          <w:instrText xml:space="preserve"> PAGEREF _Toc208580606 \h </w:instrText>
        </w:r>
        <w:r>
          <w:rPr>
            <w:noProof/>
          </w:rPr>
        </w:r>
        <w:r>
          <w:rPr>
            <w:noProof/>
          </w:rPr>
          <w:fldChar w:fldCharType="separate"/>
        </w:r>
        <w:r>
          <w:rPr>
            <w:noProof/>
          </w:rPr>
          <w:t>14</w:t>
        </w:r>
        <w:r>
          <w:rPr>
            <w:noProof/>
          </w:rPr>
          <w:fldChar w:fldCharType="end"/>
        </w:r>
      </w:hyperlink>
    </w:p>
    <w:p w14:paraId="455821DD" w14:textId="64C0357E"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07" w:history="1">
        <w:r w:rsidRPr="00B3295E">
          <w:rPr>
            <w:rStyle w:val="Lienhypertexte"/>
            <w:noProof/>
          </w:rPr>
          <w:t>7.1</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Présentation de l'offre</w:t>
        </w:r>
        <w:r>
          <w:rPr>
            <w:noProof/>
          </w:rPr>
          <w:tab/>
        </w:r>
        <w:r>
          <w:rPr>
            <w:noProof/>
          </w:rPr>
          <w:fldChar w:fldCharType="begin"/>
        </w:r>
        <w:r>
          <w:rPr>
            <w:noProof/>
          </w:rPr>
          <w:instrText xml:space="preserve"> PAGEREF _Toc208580607 \h </w:instrText>
        </w:r>
        <w:r>
          <w:rPr>
            <w:noProof/>
          </w:rPr>
        </w:r>
        <w:r>
          <w:rPr>
            <w:noProof/>
          </w:rPr>
          <w:fldChar w:fldCharType="separate"/>
        </w:r>
        <w:r>
          <w:rPr>
            <w:noProof/>
          </w:rPr>
          <w:t>14</w:t>
        </w:r>
        <w:r>
          <w:rPr>
            <w:noProof/>
          </w:rPr>
          <w:fldChar w:fldCharType="end"/>
        </w:r>
      </w:hyperlink>
    </w:p>
    <w:p w14:paraId="61180322" w14:textId="3DF58578"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08" w:history="1">
        <w:r w:rsidRPr="00B3295E">
          <w:rPr>
            <w:rStyle w:val="Lienhypertexte"/>
            <w:noProof/>
          </w:rPr>
          <w:t>7.2</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Examen des offres</w:t>
        </w:r>
        <w:r>
          <w:rPr>
            <w:noProof/>
          </w:rPr>
          <w:tab/>
        </w:r>
        <w:r>
          <w:rPr>
            <w:noProof/>
          </w:rPr>
          <w:fldChar w:fldCharType="begin"/>
        </w:r>
        <w:r>
          <w:rPr>
            <w:noProof/>
          </w:rPr>
          <w:instrText xml:space="preserve"> PAGEREF _Toc208580608 \h </w:instrText>
        </w:r>
        <w:r>
          <w:rPr>
            <w:noProof/>
          </w:rPr>
        </w:r>
        <w:r>
          <w:rPr>
            <w:noProof/>
          </w:rPr>
          <w:fldChar w:fldCharType="separate"/>
        </w:r>
        <w:r>
          <w:rPr>
            <w:noProof/>
          </w:rPr>
          <w:t>15</w:t>
        </w:r>
        <w:r>
          <w:rPr>
            <w:noProof/>
          </w:rPr>
          <w:fldChar w:fldCharType="end"/>
        </w:r>
      </w:hyperlink>
    </w:p>
    <w:p w14:paraId="713D261C" w14:textId="29C905D2"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09" w:history="1">
        <w:r w:rsidRPr="00B3295E">
          <w:rPr>
            <w:rStyle w:val="Lienhypertexte"/>
            <w:noProof/>
          </w:rPr>
          <w:t>7.3</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Critères d'attribution</w:t>
        </w:r>
        <w:r>
          <w:rPr>
            <w:noProof/>
          </w:rPr>
          <w:tab/>
        </w:r>
        <w:r>
          <w:rPr>
            <w:noProof/>
          </w:rPr>
          <w:fldChar w:fldCharType="begin"/>
        </w:r>
        <w:r>
          <w:rPr>
            <w:noProof/>
          </w:rPr>
          <w:instrText xml:space="preserve"> PAGEREF _Toc208580609 \h </w:instrText>
        </w:r>
        <w:r>
          <w:rPr>
            <w:noProof/>
          </w:rPr>
        </w:r>
        <w:r>
          <w:rPr>
            <w:noProof/>
          </w:rPr>
          <w:fldChar w:fldCharType="separate"/>
        </w:r>
        <w:r>
          <w:rPr>
            <w:noProof/>
          </w:rPr>
          <w:t>15</w:t>
        </w:r>
        <w:r>
          <w:rPr>
            <w:noProof/>
          </w:rPr>
          <w:fldChar w:fldCharType="end"/>
        </w:r>
      </w:hyperlink>
    </w:p>
    <w:p w14:paraId="51EBFC8D" w14:textId="7F64EB99"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10" w:history="1">
        <w:r w:rsidRPr="00B3295E">
          <w:rPr>
            <w:rStyle w:val="Lienhypertexte"/>
            <w:noProof/>
          </w:rPr>
          <w:t>7.4</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Méthode de notation des offres</w:t>
        </w:r>
        <w:r>
          <w:rPr>
            <w:noProof/>
          </w:rPr>
          <w:tab/>
        </w:r>
        <w:r>
          <w:rPr>
            <w:noProof/>
          </w:rPr>
          <w:fldChar w:fldCharType="begin"/>
        </w:r>
        <w:r>
          <w:rPr>
            <w:noProof/>
          </w:rPr>
          <w:instrText xml:space="preserve"> PAGEREF _Toc208580610 \h </w:instrText>
        </w:r>
        <w:r>
          <w:rPr>
            <w:noProof/>
          </w:rPr>
        </w:r>
        <w:r>
          <w:rPr>
            <w:noProof/>
          </w:rPr>
          <w:fldChar w:fldCharType="separate"/>
        </w:r>
        <w:r>
          <w:rPr>
            <w:noProof/>
          </w:rPr>
          <w:t>15</w:t>
        </w:r>
        <w:r>
          <w:rPr>
            <w:noProof/>
          </w:rPr>
          <w:fldChar w:fldCharType="end"/>
        </w:r>
      </w:hyperlink>
    </w:p>
    <w:p w14:paraId="65449B24" w14:textId="297AA8D5" w:rsidR="0065020C" w:rsidRDefault="0065020C">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8580611" w:history="1">
        <w:r w:rsidRPr="00B3295E">
          <w:rPr>
            <w:rStyle w:val="Lienhypertexte"/>
            <w:noProof/>
          </w:rPr>
          <w:t>Article 8 -</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Durée de validité des offres</w:t>
        </w:r>
        <w:r>
          <w:rPr>
            <w:noProof/>
          </w:rPr>
          <w:tab/>
        </w:r>
        <w:r>
          <w:rPr>
            <w:noProof/>
          </w:rPr>
          <w:fldChar w:fldCharType="begin"/>
        </w:r>
        <w:r>
          <w:rPr>
            <w:noProof/>
          </w:rPr>
          <w:instrText xml:space="preserve"> PAGEREF _Toc208580611 \h </w:instrText>
        </w:r>
        <w:r>
          <w:rPr>
            <w:noProof/>
          </w:rPr>
        </w:r>
        <w:r>
          <w:rPr>
            <w:noProof/>
          </w:rPr>
          <w:fldChar w:fldCharType="separate"/>
        </w:r>
        <w:r>
          <w:rPr>
            <w:noProof/>
          </w:rPr>
          <w:t>16</w:t>
        </w:r>
        <w:r>
          <w:rPr>
            <w:noProof/>
          </w:rPr>
          <w:fldChar w:fldCharType="end"/>
        </w:r>
      </w:hyperlink>
    </w:p>
    <w:p w14:paraId="14009FD4" w14:textId="170C4D99" w:rsidR="0065020C" w:rsidRDefault="0065020C">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8580612" w:history="1">
        <w:r w:rsidRPr="00B3295E">
          <w:rPr>
            <w:rStyle w:val="Lienhypertexte"/>
            <w:noProof/>
          </w:rPr>
          <w:t>Article 9 -</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Attribution</w:t>
        </w:r>
        <w:r>
          <w:rPr>
            <w:noProof/>
          </w:rPr>
          <w:tab/>
        </w:r>
        <w:r>
          <w:rPr>
            <w:noProof/>
          </w:rPr>
          <w:fldChar w:fldCharType="begin"/>
        </w:r>
        <w:r>
          <w:rPr>
            <w:noProof/>
          </w:rPr>
          <w:instrText xml:space="preserve"> PAGEREF _Toc208580612 \h </w:instrText>
        </w:r>
        <w:r>
          <w:rPr>
            <w:noProof/>
          </w:rPr>
        </w:r>
        <w:r>
          <w:rPr>
            <w:noProof/>
          </w:rPr>
          <w:fldChar w:fldCharType="separate"/>
        </w:r>
        <w:r>
          <w:rPr>
            <w:noProof/>
          </w:rPr>
          <w:t>16</w:t>
        </w:r>
        <w:r>
          <w:rPr>
            <w:noProof/>
          </w:rPr>
          <w:fldChar w:fldCharType="end"/>
        </w:r>
      </w:hyperlink>
    </w:p>
    <w:p w14:paraId="77004322" w14:textId="604B6FEC"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13" w:history="1">
        <w:r w:rsidRPr="00B3295E">
          <w:rPr>
            <w:rStyle w:val="Lienhypertexte"/>
            <w:noProof/>
          </w:rPr>
          <w:t>9.1</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Vérification des motifs d'exclusion : transmission des moyens de preuve</w:t>
        </w:r>
        <w:r>
          <w:rPr>
            <w:noProof/>
          </w:rPr>
          <w:tab/>
        </w:r>
        <w:r>
          <w:rPr>
            <w:noProof/>
          </w:rPr>
          <w:fldChar w:fldCharType="begin"/>
        </w:r>
        <w:r>
          <w:rPr>
            <w:noProof/>
          </w:rPr>
          <w:instrText xml:space="preserve"> PAGEREF _Toc208580613 \h </w:instrText>
        </w:r>
        <w:r>
          <w:rPr>
            <w:noProof/>
          </w:rPr>
        </w:r>
        <w:r>
          <w:rPr>
            <w:noProof/>
          </w:rPr>
          <w:fldChar w:fldCharType="separate"/>
        </w:r>
        <w:r>
          <w:rPr>
            <w:noProof/>
          </w:rPr>
          <w:t>16</w:t>
        </w:r>
        <w:r>
          <w:rPr>
            <w:noProof/>
          </w:rPr>
          <w:fldChar w:fldCharType="end"/>
        </w:r>
      </w:hyperlink>
    </w:p>
    <w:p w14:paraId="601C5541" w14:textId="4492F1D2"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14" w:history="1">
        <w:r w:rsidRPr="00B3295E">
          <w:rPr>
            <w:rStyle w:val="Lienhypertexte"/>
            <w:noProof/>
          </w:rPr>
          <w:t>9.2</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Interdiction d’attribution</w:t>
        </w:r>
        <w:r>
          <w:rPr>
            <w:noProof/>
          </w:rPr>
          <w:tab/>
        </w:r>
        <w:r>
          <w:rPr>
            <w:noProof/>
          </w:rPr>
          <w:fldChar w:fldCharType="begin"/>
        </w:r>
        <w:r>
          <w:rPr>
            <w:noProof/>
          </w:rPr>
          <w:instrText xml:space="preserve"> PAGEREF _Toc208580614 \h </w:instrText>
        </w:r>
        <w:r>
          <w:rPr>
            <w:noProof/>
          </w:rPr>
        </w:r>
        <w:r>
          <w:rPr>
            <w:noProof/>
          </w:rPr>
          <w:fldChar w:fldCharType="separate"/>
        </w:r>
        <w:r>
          <w:rPr>
            <w:noProof/>
          </w:rPr>
          <w:t>18</w:t>
        </w:r>
        <w:r>
          <w:rPr>
            <w:noProof/>
          </w:rPr>
          <w:fldChar w:fldCharType="end"/>
        </w:r>
      </w:hyperlink>
    </w:p>
    <w:p w14:paraId="39FF79A7" w14:textId="2F08B928"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15" w:history="1">
        <w:r w:rsidRPr="00B3295E">
          <w:rPr>
            <w:rStyle w:val="Lienhypertexte"/>
            <w:noProof/>
          </w:rPr>
          <w:t>9.3</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Mise au point</w:t>
        </w:r>
        <w:r>
          <w:rPr>
            <w:noProof/>
          </w:rPr>
          <w:tab/>
        </w:r>
        <w:r>
          <w:rPr>
            <w:noProof/>
          </w:rPr>
          <w:fldChar w:fldCharType="begin"/>
        </w:r>
        <w:r>
          <w:rPr>
            <w:noProof/>
          </w:rPr>
          <w:instrText xml:space="preserve"> PAGEREF _Toc208580615 \h </w:instrText>
        </w:r>
        <w:r>
          <w:rPr>
            <w:noProof/>
          </w:rPr>
        </w:r>
        <w:r>
          <w:rPr>
            <w:noProof/>
          </w:rPr>
          <w:fldChar w:fldCharType="separate"/>
        </w:r>
        <w:r>
          <w:rPr>
            <w:noProof/>
          </w:rPr>
          <w:t>18</w:t>
        </w:r>
        <w:r>
          <w:rPr>
            <w:noProof/>
          </w:rPr>
          <w:fldChar w:fldCharType="end"/>
        </w:r>
      </w:hyperlink>
    </w:p>
    <w:p w14:paraId="18EAC9BF" w14:textId="1EB49240" w:rsidR="0065020C" w:rsidRDefault="0065020C">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8580616" w:history="1">
        <w:r w:rsidRPr="00B3295E">
          <w:rPr>
            <w:rStyle w:val="Lienhypertexte"/>
            <w:noProof/>
          </w:rPr>
          <w:t>9.4</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Signature</w:t>
        </w:r>
        <w:r>
          <w:rPr>
            <w:noProof/>
          </w:rPr>
          <w:tab/>
        </w:r>
        <w:r>
          <w:rPr>
            <w:noProof/>
          </w:rPr>
          <w:fldChar w:fldCharType="begin"/>
        </w:r>
        <w:r>
          <w:rPr>
            <w:noProof/>
          </w:rPr>
          <w:instrText xml:space="preserve"> PAGEREF _Toc208580616 \h </w:instrText>
        </w:r>
        <w:r>
          <w:rPr>
            <w:noProof/>
          </w:rPr>
        </w:r>
        <w:r>
          <w:rPr>
            <w:noProof/>
          </w:rPr>
          <w:fldChar w:fldCharType="separate"/>
        </w:r>
        <w:r>
          <w:rPr>
            <w:noProof/>
          </w:rPr>
          <w:t>18</w:t>
        </w:r>
        <w:r>
          <w:rPr>
            <w:noProof/>
          </w:rPr>
          <w:fldChar w:fldCharType="end"/>
        </w:r>
      </w:hyperlink>
    </w:p>
    <w:p w14:paraId="024A6235" w14:textId="1F2F42CF" w:rsidR="0065020C" w:rsidRDefault="0065020C">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8580617" w:history="1">
        <w:r w:rsidRPr="00B3295E">
          <w:rPr>
            <w:rStyle w:val="Lienhypertexte"/>
            <w:noProof/>
          </w:rPr>
          <w:t>Article 10 -</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Langue</w:t>
        </w:r>
        <w:r>
          <w:rPr>
            <w:noProof/>
          </w:rPr>
          <w:tab/>
        </w:r>
        <w:r>
          <w:rPr>
            <w:noProof/>
          </w:rPr>
          <w:fldChar w:fldCharType="begin"/>
        </w:r>
        <w:r>
          <w:rPr>
            <w:noProof/>
          </w:rPr>
          <w:instrText xml:space="preserve"> PAGEREF _Toc208580617 \h </w:instrText>
        </w:r>
        <w:r>
          <w:rPr>
            <w:noProof/>
          </w:rPr>
        </w:r>
        <w:r>
          <w:rPr>
            <w:noProof/>
          </w:rPr>
          <w:fldChar w:fldCharType="separate"/>
        </w:r>
        <w:r>
          <w:rPr>
            <w:noProof/>
          </w:rPr>
          <w:t>18</w:t>
        </w:r>
        <w:r>
          <w:rPr>
            <w:noProof/>
          </w:rPr>
          <w:fldChar w:fldCharType="end"/>
        </w:r>
      </w:hyperlink>
    </w:p>
    <w:p w14:paraId="7AA6391B" w14:textId="15B76251" w:rsidR="0065020C" w:rsidRDefault="0065020C">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8580618" w:history="1">
        <w:r w:rsidRPr="00B3295E">
          <w:rPr>
            <w:rStyle w:val="Lienhypertexte"/>
            <w:noProof/>
          </w:rPr>
          <w:t>Article 11 -</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Contentieux</w:t>
        </w:r>
        <w:r>
          <w:rPr>
            <w:noProof/>
          </w:rPr>
          <w:tab/>
        </w:r>
        <w:r>
          <w:rPr>
            <w:noProof/>
          </w:rPr>
          <w:fldChar w:fldCharType="begin"/>
        </w:r>
        <w:r>
          <w:rPr>
            <w:noProof/>
          </w:rPr>
          <w:instrText xml:space="preserve"> PAGEREF _Toc208580618 \h </w:instrText>
        </w:r>
        <w:r>
          <w:rPr>
            <w:noProof/>
          </w:rPr>
        </w:r>
        <w:r>
          <w:rPr>
            <w:noProof/>
          </w:rPr>
          <w:fldChar w:fldCharType="separate"/>
        </w:r>
        <w:r>
          <w:rPr>
            <w:noProof/>
          </w:rPr>
          <w:t>19</w:t>
        </w:r>
        <w:r>
          <w:rPr>
            <w:noProof/>
          </w:rPr>
          <w:fldChar w:fldCharType="end"/>
        </w:r>
      </w:hyperlink>
    </w:p>
    <w:p w14:paraId="55E9C74E" w14:textId="305DAA74" w:rsidR="0065020C" w:rsidRDefault="0065020C">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8580619" w:history="1">
        <w:r w:rsidRPr="00B3295E">
          <w:rPr>
            <w:rStyle w:val="Lienhypertexte"/>
            <w:noProof/>
          </w:rPr>
          <w:t>Article 12 -</w:t>
        </w:r>
        <w:r>
          <w:rPr>
            <w:rFonts w:asciiTheme="minorHAnsi" w:eastAsiaTheme="minorEastAsia" w:hAnsiTheme="minorHAnsi" w:cstheme="minorBidi"/>
            <w:noProof/>
            <w:kern w:val="2"/>
            <w:lang w:eastAsia="fr-FR" w:bidi="ar-SA"/>
            <w14:ligatures w14:val="standardContextual"/>
          </w:rPr>
          <w:tab/>
        </w:r>
        <w:r w:rsidRPr="00B3295E">
          <w:rPr>
            <w:rStyle w:val="Lienhypertexte"/>
            <w:noProof/>
          </w:rPr>
          <w:t>Aménagement en cas de menace sanitaire grave appelant des mesures d'urgence</w:t>
        </w:r>
        <w:r>
          <w:rPr>
            <w:noProof/>
          </w:rPr>
          <w:tab/>
        </w:r>
        <w:r>
          <w:rPr>
            <w:noProof/>
          </w:rPr>
          <w:fldChar w:fldCharType="begin"/>
        </w:r>
        <w:r>
          <w:rPr>
            <w:noProof/>
          </w:rPr>
          <w:instrText xml:space="preserve"> PAGEREF _Toc208580619 \h </w:instrText>
        </w:r>
        <w:r>
          <w:rPr>
            <w:noProof/>
          </w:rPr>
        </w:r>
        <w:r>
          <w:rPr>
            <w:noProof/>
          </w:rPr>
          <w:fldChar w:fldCharType="separate"/>
        </w:r>
        <w:r>
          <w:rPr>
            <w:noProof/>
          </w:rPr>
          <w:t>19</w:t>
        </w:r>
        <w:r>
          <w:rPr>
            <w:noProof/>
          </w:rPr>
          <w:fldChar w:fldCharType="end"/>
        </w:r>
      </w:hyperlink>
    </w:p>
    <w:p w14:paraId="7A5E236F" w14:textId="048FEDE8" w:rsidR="000441C9" w:rsidRDefault="003C20A7" w:rsidP="00522205">
      <w:pPr>
        <w:pStyle w:val="Contents3"/>
      </w:pPr>
      <w:r>
        <w:rPr>
          <w:sz w:val="18"/>
        </w:rPr>
        <w:fldChar w:fldCharType="end"/>
      </w:r>
      <w:r>
        <w:t xml:space="preserve"> </w:t>
      </w:r>
      <w:r>
        <w:br w:type="page"/>
      </w:r>
    </w:p>
    <w:p w14:paraId="088247FF" w14:textId="77777777" w:rsidR="000441C9" w:rsidRDefault="003C20A7" w:rsidP="00522205">
      <w:pPr>
        <w:pStyle w:val="Titre1"/>
      </w:pPr>
      <w:bookmarkStart w:id="0" w:name="_Toc208580581"/>
      <w:r>
        <w:lastRenderedPageBreak/>
        <w:t>Acheteur</w:t>
      </w:r>
      <w:bookmarkEnd w:id="0"/>
    </w:p>
    <w:p w14:paraId="0910C00E" w14:textId="77777777" w:rsidR="000441C9" w:rsidRDefault="000441C9" w:rsidP="00522205">
      <w:pPr>
        <w:pStyle w:val="Standard"/>
      </w:pPr>
    </w:p>
    <w:p w14:paraId="58312081" w14:textId="77777777" w:rsidR="002318A1" w:rsidRPr="002318A1" w:rsidRDefault="002318A1" w:rsidP="002318A1">
      <w:pPr>
        <w:spacing w:before="57"/>
        <w:jc w:val="both"/>
        <w:textAlignment w:val="center"/>
        <w:rPr>
          <w:rFonts w:ascii="Arial" w:hAnsi="Arial"/>
          <w:bCs/>
          <w:sz w:val="20"/>
        </w:rPr>
      </w:pPr>
      <w:r w:rsidRPr="002318A1">
        <w:rPr>
          <w:rFonts w:ascii="Arial" w:hAnsi="Arial"/>
          <w:bCs/>
          <w:sz w:val="20"/>
        </w:rPr>
        <w:t>Le présent marché est porté par les Archives nationales – Service à compétence nationale</w:t>
      </w:r>
    </w:p>
    <w:p w14:paraId="6FB8CBC7" w14:textId="77777777" w:rsidR="002318A1" w:rsidRPr="002318A1" w:rsidRDefault="002318A1" w:rsidP="002318A1">
      <w:pPr>
        <w:spacing w:before="57"/>
        <w:jc w:val="both"/>
        <w:textAlignment w:val="center"/>
        <w:rPr>
          <w:rFonts w:ascii="Arial" w:hAnsi="Arial"/>
          <w:bCs/>
          <w:sz w:val="20"/>
        </w:rPr>
      </w:pPr>
    </w:p>
    <w:p w14:paraId="1F6E861C" w14:textId="77777777" w:rsidR="002318A1" w:rsidRPr="00172813" w:rsidRDefault="002318A1" w:rsidP="002318A1">
      <w:pPr>
        <w:spacing w:before="57"/>
        <w:jc w:val="both"/>
        <w:textAlignment w:val="center"/>
        <w:rPr>
          <w:rFonts w:ascii="Arial" w:hAnsi="Arial"/>
          <w:b/>
          <w:i/>
          <w:iCs/>
          <w:sz w:val="20"/>
        </w:rPr>
      </w:pPr>
      <w:r w:rsidRPr="00172813">
        <w:rPr>
          <w:rFonts w:ascii="Arial" w:hAnsi="Arial"/>
          <w:b/>
          <w:i/>
          <w:iCs/>
          <w:sz w:val="20"/>
        </w:rPr>
        <w:t>59 rue Guynemer</w:t>
      </w:r>
    </w:p>
    <w:p w14:paraId="6F1B3268" w14:textId="5E4D543E" w:rsidR="009516DE" w:rsidRPr="00172813" w:rsidRDefault="008841F2" w:rsidP="009516DE">
      <w:pPr>
        <w:spacing w:before="57"/>
        <w:jc w:val="both"/>
        <w:textAlignment w:val="center"/>
        <w:rPr>
          <w:rFonts w:ascii="Arial" w:hAnsi="Arial"/>
          <w:b/>
          <w:i/>
          <w:iCs/>
          <w:sz w:val="20"/>
        </w:rPr>
      </w:pPr>
      <w:r w:rsidRPr="00172813">
        <w:rPr>
          <w:rFonts w:ascii="Arial" w:hAnsi="Arial"/>
          <w:b/>
          <w:i/>
          <w:iCs/>
          <w:sz w:val="20"/>
        </w:rPr>
        <w:t xml:space="preserve">90001 </w:t>
      </w:r>
      <w:r w:rsidR="009516DE" w:rsidRPr="00172813">
        <w:rPr>
          <w:rFonts w:ascii="Arial" w:hAnsi="Arial"/>
          <w:b/>
          <w:i/>
          <w:iCs/>
          <w:sz w:val="20"/>
        </w:rPr>
        <w:t>Pierrefitte-sur-Seine</w:t>
      </w:r>
    </w:p>
    <w:p w14:paraId="6E1B9A8A" w14:textId="6802A43D" w:rsidR="002318A1" w:rsidRPr="00172813" w:rsidRDefault="002318A1" w:rsidP="002318A1">
      <w:pPr>
        <w:spacing w:before="57"/>
        <w:jc w:val="both"/>
        <w:textAlignment w:val="center"/>
        <w:rPr>
          <w:rFonts w:ascii="Arial" w:hAnsi="Arial"/>
          <w:b/>
          <w:i/>
          <w:iCs/>
          <w:sz w:val="20"/>
        </w:rPr>
      </w:pPr>
      <w:r w:rsidRPr="00172813">
        <w:rPr>
          <w:rFonts w:ascii="Arial" w:hAnsi="Arial"/>
          <w:b/>
          <w:i/>
          <w:iCs/>
          <w:sz w:val="20"/>
        </w:rPr>
        <w:t>93</w:t>
      </w:r>
      <w:r w:rsidR="009516DE" w:rsidRPr="00172813">
        <w:rPr>
          <w:rFonts w:ascii="Arial" w:hAnsi="Arial"/>
          <w:b/>
          <w:i/>
          <w:iCs/>
          <w:sz w:val="20"/>
        </w:rPr>
        <w:t> </w:t>
      </w:r>
      <w:r w:rsidRPr="00172813">
        <w:rPr>
          <w:rFonts w:ascii="Arial" w:hAnsi="Arial"/>
          <w:b/>
          <w:i/>
          <w:iCs/>
          <w:sz w:val="20"/>
        </w:rPr>
        <w:t>383</w:t>
      </w:r>
      <w:r w:rsidR="009516DE" w:rsidRPr="00172813">
        <w:rPr>
          <w:rFonts w:ascii="Arial" w:hAnsi="Arial"/>
          <w:b/>
          <w:i/>
          <w:iCs/>
          <w:sz w:val="20"/>
        </w:rPr>
        <w:t xml:space="preserve"> SAINT-DENIS</w:t>
      </w:r>
    </w:p>
    <w:p w14:paraId="2DA5164D" w14:textId="77777777" w:rsidR="002318A1" w:rsidRPr="002318A1" w:rsidRDefault="002318A1" w:rsidP="002318A1">
      <w:pPr>
        <w:spacing w:before="57"/>
        <w:jc w:val="both"/>
        <w:textAlignment w:val="center"/>
        <w:rPr>
          <w:rFonts w:ascii="Arial" w:hAnsi="Arial"/>
          <w:bCs/>
          <w:sz w:val="20"/>
        </w:rPr>
      </w:pPr>
      <w:r w:rsidRPr="002318A1">
        <w:rPr>
          <w:rFonts w:ascii="Arial" w:hAnsi="Arial"/>
          <w:bCs/>
          <w:sz w:val="20"/>
          <w:u w:val="single"/>
        </w:rPr>
        <w:t xml:space="preserve">Tél </w:t>
      </w:r>
      <w:r w:rsidRPr="002318A1">
        <w:rPr>
          <w:rFonts w:ascii="Arial" w:hAnsi="Arial"/>
          <w:bCs/>
          <w:sz w:val="20"/>
        </w:rPr>
        <w:t>: 01 75 47 20 00</w:t>
      </w:r>
    </w:p>
    <w:p w14:paraId="3155603D" w14:textId="77777777" w:rsidR="002318A1" w:rsidRPr="002318A1" w:rsidRDefault="002318A1" w:rsidP="002318A1">
      <w:pPr>
        <w:spacing w:before="57"/>
        <w:jc w:val="both"/>
        <w:textAlignment w:val="center"/>
        <w:rPr>
          <w:rFonts w:ascii="Arial" w:hAnsi="Arial"/>
          <w:bCs/>
          <w:sz w:val="20"/>
        </w:rPr>
      </w:pPr>
    </w:p>
    <w:p w14:paraId="3359DCF4" w14:textId="74714E91" w:rsidR="002318A1" w:rsidRPr="002318A1" w:rsidRDefault="002318A1" w:rsidP="002318A1">
      <w:pPr>
        <w:spacing w:before="57"/>
        <w:jc w:val="both"/>
        <w:textAlignment w:val="center"/>
        <w:rPr>
          <w:rFonts w:ascii="Arial" w:hAnsi="Arial"/>
          <w:bCs/>
          <w:sz w:val="20"/>
        </w:rPr>
      </w:pPr>
      <w:r w:rsidRPr="002318A1">
        <w:rPr>
          <w:rFonts w:ascii="Arial" w:hAnsi="Arial"/>
          <w:bCs/>
          <w:sz w:val="20"/>
        </w:rPr>
        <w:t xml:space="preserve">Il est représenté par </w:t>
      </w:r>
      <w:bookmarkStart w:id="1" w:name="_Hlk196921559"/>
      <w:r w:rsidR="009516DE">
        <w:rPr>
          <w:rFonts w:ascii="Arial" w:hAnsi="Arial"/>
          <w:bCs/>
          <w:sz w:val="20"/>
        </w:rPr>
        <w:t>Madame Marie-Françoise LIMON-BONNET</w:t>
      </w:r>
      <w:r w:rsidR="00EA1CFB">
        <w:rPr>
          <w:rFonts w:ascii="Arial" w:hAnsi="Arial"/>
          <w:bCs/>
          <w:sz w:val="20"/>
        </w:rPr>
        <w:t xml:space="preserve"> </w:t>
      </w:r>
      <w:bookmarkEnd w:id="1"/>
      <w:r w:rsidR="00EA1CFB">
        <w:rPr>
          <w:rFonts w:ascii="Arial" w:hAnsi="Arial"/>
          <w:bCs/>
          <w:sz w:val="20"/>
        </w:rPr>
        <w:t>- D</w:t>
      </w:r>
      <w:r w:rsidRPr="002318A1">
        <w:rPr>
          <w:rFonts w:ascii="Arial" w:hAnsi="Arial"/>
          <w:bCs/>
          <w:sz w:val="20"/>
        </w:rPr>
        <w:t>irect</w:t>
      </w:r>
      <w:r w:rsidR="009516DE">
        <w:rPr>
          <w:rFonts w:ascii="Arial" w:hAnsi="Arial"/>
          <w:bCs/>
          <w:sz w:val="20"/>
        </w:rPr>
        <w:t>rice</w:t>
      </w:r>
      <w:r w:rsidRPr="002318A1">
        <w:rPr>
          <w:rFonts w:ascii="Arial" w:hAnsi="Arial"/>
          <w:bCs/>
          <w:sz w:val="20"/>
        </w:rPr>
        <w:t xml:space="preserve"> des Archives nationales.</w:t>
      </w:r>
    </w:p>
    <w:p w14:paraId="1749ABA0" w14:textId="77777777" w:rsidR="002318A1" w:rsidRDefault="002318A1" w:rsidP="00522205">
      <w:pPr>
        <w:pStyle w:val="Standard"/>
      </w:pPr>
    </w:p>
    <w:p w14:paraId="5A221D16" w14:textId="29BF5A2C" w:rsidR="000441C9" w:rsidRDefault="003C20A7" w:rsidP="00522205">
      <w:pPr>
        <w:pStyle w:val="Titre1"/>
      </w:pPr>
      <w:bookmarkStart w:id="2" w:name="_Toc208580582"/>
      <w:r>
        <w:t>Objet de la consultation</w:t>
      </w:r>
      <w:bookmarkEnd w:id="2"/>
    </w:p>
    <w:p w14:paraId="69C2C4B5" w14:textId="77777777" w:rsidR="000441C9" w:rsidRDefault="000441C9" w:rsidP="00522205">
      <w:pPr>
        <w:pStyle w:val="Standard"/>
      </w:pPr>
    </w:p>
    <w:p w14:paraId="43EE2525" w14:textId="25F94C6C" w:rsidR="002318A1" w:rsidRDefault="002318A1" w:rsidP="002318A1">
      <w:pPr>
        <w:spacing w:before="57"/>
        <w:jc w:val="both"/>
        <w:textAlignment w:val="center"/>
        <w:rPr>
          <w:rFonts w:ascii="Arial" w:hAnsi="Arial"/>
          <w:bCs/>
          <w:sz w:val="20"/>
        </w:rPr>
      </w:pPr>
      <w:r w:rsidRPr="002318A1">
        <w:rPr>
          <w:rFonts w:ascii="Arial" w:hAnsi="Arial"/>
          <w:bCs/>
          <w:sz w:val="20"/>
        </w:rPr>
        <w:t xml:space="preserve">Le marché a pour objet </w:t>
      </w:r>
      <w:r w:rsidR="00276946">
        <w:rPr>
          <w:rFonts w:ascii="Arial" w:hAnsi="Arial"/>
          <w:bCs/>
          <w:sz w:val="20"/>
        </w:rPr>
        <w:t>des</w:t>
      </w:r>
      <w:r w:rsidRPr="002318A1">
        <w:rPr>
          <w:rFonts w:ascii="Arial" w:hAnsi="Arial"/>
          <w:bCs/>
          <w:sz w:val="20"/>
        </w:rPr>
        <w:t xml:space="preserve"> </w:t>
      </w:r>
      <w:r w:rsidR="00276946" w:rsidRPr="00276946">
        <w:rPr>
          <w:rFonts w:ascii="Arial" w:hAnsi="Arial"/>
          <w:bCs/>
          <w:sz w:val="20"/>
        </w:rPr>
        <w:t>prestations de sauvegarde, restauration physique et de numérisation patrimoniale d’archives sonores conserv</w:t>
      </w:r>
      <w:r w:rsidR="00AF43EF">
        <w:rPr>
          <w:rFonts w:ascii="Arial" w:hAnsi="Arial"/>
          <w:bCs/>
          <w:sz w:val="20"/>
        </w:rPr>
        <w:t>ée</w:t>
      </w:r>
      <w:r w:rsidR="00276946" w:rsidRPr="00276946">
        <w:rPr>
          <w:rFonts w:ascii="Arial" w:hAnsi="Arial"/>
          <w:bCs/>
          <w:sz w:val="20"/>
        </w:rPr>
        <w:t xml:space="preserve">s aux </w:t>
      </w:r>
      <w:r w:rsidR="00406704">
        <w:rPr>
          <w:rFonts w:ascii="Arial" w:hAnsi="Arial"/>
          <w:bCs/>
          <w:sz w:val="20"/>
        </w:rPr>
        <w:t>A</w:t>
      </w:r>
      <w:r w:rsidR="00276946" w:rsidRPr="00276946">
        <w:rPr>
          <w:rFonts w:ascii="Arial" w:hAnsi="Arial"/>
          <w:bCs/>
          <w:sz w:val="20"/>
        </w:rPr>
        <w:t>rchives nationales</w:t>
      </w:r>
      <w:r w:rsidR="00276946">
        <w:rPr>
          <w:rFonts w:ascii="Arial" w:hAnsi="Arial"/>
          <w:bCs/>
          <w:sz w:val="20"/>
        </w:rPr>
        <w:t>.</w:t>
      </w:r>
    </w:p>
    <w:p w14:paraId="5C35C8D8" w14:textId="77777777" w:rsidR="00276946" w:rsidRPr="002318A1" w:rsidRDefault="00276946" w:rsidP="002318A1">
      <w:pPr>
        <w:spacing w:before="57"/>
        <w:jc w:val="both"/>
        <w:textAlignment w:val="center"/>
        <w:rPr>
          <w:rFonts w:ascii="Arial" w:hAnsi="Arial"/>
          <w:bCs/>
          <w:sz w:val="20"/>
        </w:rPr>
      </w:pPr>
    </w:p>
    <w:p w14:paraId="6D0225FB" w14:textId="39E01141" w:rsidR="002318A1" w:rsidRPr="002318A1" w:rsidRDefault="002318A1" w:rsidP="002318A1">
      <w:pPr>
        <w:spacing w:before="57"/>
        <w:jc w:val="both"/>
        <w:textAlignment w:val="center"/>
        <w:rPr>
          <w:rFonts w:ascii="Arial" w:hAnsi="Arial"/>
          <w:bCs/>
          <w:sz w:val="20"/>
        </w:rPr>
      </w:pPr>
      <w:r w:rsidRPr="002318A1">
        <w:rPr>
          <w:rFonts w:ascii="Arial" w:hAnsi="Arial"/>
          <w:bCs/>
          <w:sz w:val="20"/>
        </w:rPr>
        <w:t>Le marché est un marché de prestations de services.</w:t>
      </w:r>
    </w:p>
    <w:p w14:paraId="067811B0" w14:textId="77777777" w:rsidR="002318A1" w:rsidRPr="002318A1" w:rsidRDefault="002318A1" w:rsidP="002318A1">
      <w:pPr>
        <w:spacing w:before="57"/>
        <w:jc w:val="both"/>
        <w:textAlignment w:val="center"/>
        <w:rPr>
          <w:rFonts w:ascii="Arial" w:hAnsi="Arial"/>
          <w:bCs/>
          <w:sz w:val="20"/>
        </w:rPr>
      </w:pPr>
    </w:p>
    <w:p w14:paraId="474B3805" w14:textId="1249AB08" w:rsidR="002318A1" w:rsidRPr="002318A1" w:rsidRDefault="002318A1" w:rsidP="002318A1">
      <w:pPr>
        <w:spacing w:before="57"/>
        <w:jc w:val="both"/>
        <w:textAlignment w:val="center"/>
        <w:rPr>
          <w:rFonts w:ascii="Arial" w:hAnsi="Arial"/>
          <w:bCs/>
          <w:sz w:val="20"/>
        </w:rPr>
      </w:pPr>
      <w:r w:rsidRPr="002318A1">
        <w:rPr>
          <w:rFonts w:ascii="Arial" w:hAnsi="Arial"/>
          <w:bCs/>
          <w:sz w:val="20"/>
        </w:rPr>
        <w:t xml:space="preserve">Codes CPV de la consultation : </w:t>
      </w:r>
      <w:r w:rsidR="001B2F48" w:rsidRPr="001B2F48">
        <w:rPr>
          <w:rFonts w:ascii="Arial" w:hAnsi="Arial"/>
          <w:bCs/>
          <w:sz w:val="20"/>
        </w:rPr>
        <w:t>92111100</w:t>
      </w:r>
    </w:p>
    <w:p w14:paraId="24136890" w14:textId="77777777" w:rsidR="000441C9" w:rsidRDefault="000441C9" w:rsidP="00522205">
      <w:pPr>
        <w:pStyle w:val="Standard"/>
      </w:pPr>
    </w:p>
    <w:p w14:paraId="0817BEA7" w14:textId="77777777" w:rsidR="000441C9" w:rsidRDefault="003C20A7" w:rsidP="00522205">
      <w:pPr>
        <w:pStyle w:val="Titre1"/>
      </w:pPr>
      <w:bookmarkStart w:id="3" w:name="_Toc208580583"/>
      <w:r>
        <w:t>Conditions de la consultation</w:t>
      </w:r>
      <w:bookmarkEnd w:id="3"/>
    </w:p>
    <w:p w14:paraId="11F9B030" w14:textId="77777777" w:rsidR="000441C9" w:rsidRDefault="003C20A7" w:rsidP="00522205">
      <w:pPr>
        <w:pStyle w:val="Titre2"/>
      </w:pPr>
      <w:bookmarkStart w:id="4" w:name="_Toc208580584"/>
      <w:r>
        <w:t>Procédure de passation</w:t>
      </w:r>
      <w:bookmarkEnd w:id="4"/>
    </w:p>
    <w:p w14:paraId="32E8D8A9" w14:textId="77777777" w:rsidR="000441C9" w:rsidRDefault="000441C9" w:rsidP="00522205">
      <w:pPr>
        <w:pStyle w:val="Standard"/>
      </w:pPr>
    </w:p>
    <w:p w14:paraId="6E36CEA0" w14:textId="08F258D1" w:rsidR="000B0290" w:rsidRDefault="004420AD" w:rsidP="00522205">
      <w:pPr>
        <w:pStyle w:val="Standard"/>
      </w:pPr>
      <w:r>
        <w:t xml:space="preserve">Le marché </w:t>
      </w:r>
      <w:r w:rsidR="003C20A7">
        <w:t>est passé selon la procédure d'appel d'offres ouvert</w:t>
      </w:r>
      <w:r w:rsidR="000B0290">
        <w:t>.</w:t>
      </w:r>
    </w:p>
    <w:p w14:paraId="54D5DE4F" w14:textId="53D78F3C" w:rsidR="000441C9" w:rsidRDefault="003C20A7" w:rsidP="00522205">
      <w:pPr>
        <w:pStyle w:val="Titre2"/>
      </w:pPr>
      <w:bookmarkStart w:id="5" w:name="_Toc208580585"/>
      <w:r>
        <w:t>Allotissement</w:t>
      </w:r>
      <w:bookmarkEnd w:id="5"/>
    </w:p>
    <w:p w14:paraId="2BBE5830" w14:textId="77777777" w:rsidR="000441C9" w:rsidRDefault="000441C9" w:rsidP="00522205">
      <w:pPr>
        <w:pStyle w:val="Standard"/>
      </w:pPr>
    </w:p>
    <w:p w14:paraId="6A925F51" w14:textId="72ECB2F0" w:rsidR="000B0290" w:rsidRPr="0002238D" w:rsidRDefault="000B0290" w:rsidP="00522205">
      <w:pPr>
        <w:pStyle w:val="Standard"/>
      </w:pPr>
      <w:r w:rsidRPr="0002238D">
        <w:t>Les prestations</w:t>
      </w:r>
      <w:r w:rsidR="00D15BC4">
        <w:t xml:space="preserve"> ne</w:t>
      </w:r>
      <w:r w:rsidRPr="0002238D">
        <w:t xml:space="preserve"> sont</w:t>
      </w:r>
      <w:r w:rsidR="00D15BC4">
        <w:t xml:space="preserve"> pas</w:t>
      </w:r>
      <w:r w:rsidRPr="0002238D">
        <w:t xml:space="preserve"> alloties</w:t>
      </w:r>
      <w:r w:rsidR="00D15BC4">
        <w:t xml:space="preserve">. </w:t>
      </w:r>
    </w:p>
    <w:p w14:paraId="408D1B04" w14:textId="77777777" w:rsidR="000441C9" w:rsidRDefault="003C20A7" w:rsidP="00522205">
      <w:pPr>
        <w:pStyle w:val="Titre2"/>
      </w:pPr>
      <w:bookmarkStart w:id="6" w:name="_Toc208580586"/>
      <w:r>
        <w:t>Forme et étendue</w:t>
      </w:r>
      <w:bookmarkEnd w:id="6"/>
    </w:p>
    <w:p w14:paraId="00524CA3" w14:textId="77777777" w:rsidR="000441C9" w:rsidRDefault="000441C9" w:rsidP="00522205">
      <w:pPr>
        <w:pStyle w:val="Standard"/>
      </w:pPr>
    </w:p>
    <w:p w14:paraId="32FD682D" w14:textId="46EAEA51" w:rsidR="000B0290" w:rsidRDefault="000B0290" w:rsidP="00276946">
      <w:pPr>
        <w:spacing w:before="57"/>
        <w:jc w:val="both"/>
        <w:textAlignment w:val="center"/>
        <w:rPr>
          <w:rFonts w:ascii="Arial" w:hAnsi="Arial"/>
          <w:bCs/>
          <w:sz w:val="20"/>
        </w:rPr>
      </w:pPr>
      <w:bookmarkStart w:id="7" w:name="_Hlk165653392"/>
      <w:r w:rsidRPr="000B0290">
        <w:rPr>
          <w:rFonts w:ascii="Arial" w:hAnsi="Arial"/>
          <w:bCs/>
          <w:sz w:val="20"/>
        </w:rPr>
        <w:t>Le présent marché public est</w:t>
      </w:r>
      <w:r w:rsidR="00276946">
        <w:rPr>
          <w:rFonts w:ascii="Arial" w:hAnsi="Arial"/>
          <w:bCs/>
          <w:sz w:val="20"/>
        </w:rPr>
        <w:t xml:space="preserve"> un </w:t>
      </w:r>
      <w:r w:rsidR="009516DE">
        <w:rPr>
          <w:rFonts w:ascii="Arial" w:hAnsi="Arial"/>
          <w:b/>
          <w:sz w:val="20"/>
          <w:u w:val="single"/>
        </w:rPr>
        <w:t xml:space="preserve">accord-cadre mono-attributaire à </w:t>
      </w:r>
      <w:r w:rsidR="004420AD" w:rsidRPr="004420AD">
        <w:rPr>
          <w:rFonts w:ascii="Arial" w:hAnsi="Arial"/>
          <w:b/>
          <w:sz w:val="20"/>
          <w:u w:val="single"/>
        </w:rPr>
        <w:t>bon</w:t>
      </w:r>
      <w:r w:rsidR="004420AD">
        <w:rPr>
          <w:rFonts w:ascii="Arial" w:hAnsi="Arial"/>
          <w:b/>
          <w:sz w:val="20"/>
          <w:u w:val="single"/>
        </w:rPr>
        <w:t>s</w:t>
      </w:r>
      <w:r w:rsidR="004420AD" w:rsidRPr="004420AD">
        <w:rPr>
          <w:rFonts w:ascii="Arial" w:hAnsi="Arial"/>
          <w:b/>
          <w:sz w:val="20"/>
          <w:u w:val="single"/>
        </w:rPr>
        <w:t xml:space="preserve"> de commandes</w:t>
      </w:r>
      <w:r w:rsidR="004420AD" w:rsidRPr="004420AD">
        <w:rPr>
          <w:rFonts w:ascii="Arial" w:hAnsi="Arial"/>
          <w:bCs/>
          <w:sz w:val="20"/>
        </w:rPr>
        <w:t xml:space="preserve"> </w:t>
      </w:r>
      <w:r w:rsidR="001260BE">
        <w:rPr>
          <w:rFonts w:ascii="Arial" w:hAnsi="Arial"/>
          <w:bCs/>
          <w:sz w:val="20"/>
        </w:rPr>
        <w:t>pour les prestations figurant au bordereau de prix unitaire</w:t>
      </w:r>
      <w:r w:rsidR="00406704">
        <w:rPr>
          <w:rFonts w:ascii="Arial" w:hAnsi="Arial"/>
          <w:bCs/>
          <w:sz w:val="20"/>
        </w:rPr>
        <w:t>s</w:t>
      </w:r>
      <w:r w:rsidR="001260BE">
        <w:rPr>
          <w:rFonts w:ascii="Arial" w:hAnsi="Arial"/>
          <w:bCs/>
          <w:sz w:val="20"/>
        </w:rPr>
        <w:t xml:space="preserve"> (BPU)</w:t>
      </w:r>
      <w:r w:rsidR="004420AD" w:rsidRPr="004420AD">
        <w:rPr>
          <w:rFonts w:ascii="Arial" w:hAnsi="Arial"/>
          <w:bCs/>
          <w:sz w:val="20"/>
        </w:rPr>
        <w:t xml:space="preserve">. </w:t>
      </w:r>
      <w:r w:rsidR="005A4ED1">
        <w:rPr>
          <w:rFonts w:ascii="Arial" w:hAnsi="Arial"/>
          <w:bCs/>
          <w:sz w:val="20"/>
        </w:rPr>
        <w:t xml:space="preserve">Le marché </w:t>
      </w:r>
      <w:r w:rsidR="005A4ED1" w:rsidRPr="004420AD">
        <w:rPr>
          <w:rFonts w:ascii="Arial" w:hAnsi="Arial"/>
          <w:bCs/>
          <w:sz w:val="20"/>
        </w:rPr>
        <w:t>dispose</w:t>
      </w:r>
      <w:r w:rsidR="004420AD" w:rsidRPr="004420AD">
        <w:rPr>
          <w:rFonts w:ascii="Arial" w:hAnsi="Arial"/>
          <w:bCs/>
          <w:sz w:val="20"/>
        </w:rPr>
        <w:t xml:space="preserve"> d’un </w:t>
      </w:r>
      <w:r w:rsidRPr="004420AD">
        <w:rPr>
          <w:rFonts w:ascii="Arial" w:hAnsi="Arial"/>
          <w:bCs/>
          <w:sz w:val="20"/>
        </w:rPr>
        <w:t>montant maximum annuel passé</w:t>
      </w:r>
      <w:r w:rsidR="004420AD">
        <w:rPr>
          <w:rFonts w:ascii="Arial" w:hAnsi="Arial"/>
          <w:bCs/>
          <w:sz w:val="20"/>
        </w:rPr>
        <w:t xml:space="preserve"> </w:t>
      </w:r>
      <w:r w:rsidRPr="004420AD">
        <w:rPr>
          <w:rFonts w:ascii="Arial" w:hAnsi="Arial"/>
          <w:bCs/>
          <w:sz w:val="20"/>
        </w:rPr>
        <w:t>en application des dispositions des articles R. 2162-13 et R.2162-14 du code de la commande publique</w:t>
      </w:r>
      <w:r w:rsidR="004420AD">
        <w:rPr>
          <w:rFonts w:ascii="Arial" w:hAnsi="Arial"/>
          <w:bCs/>
          <w:sz w:val="20"/>
        </w:rPr>
        <w:t xml:space="preserve"> détaillé au tableau ci-dessous : </w:t>
      </w:r>
    </w:p>
    <w:p w14:paraId="75903C50" w14:textId="77777777" w:rsidR="004420AD" w:rsidRPr="004420AD" w:rsidRDefault="004420AD" w:rsidP="004420AD">
      <w:pPr>
        <w:pStyle w:val="Paragraphedeliste"/>
        <w:spacing w:before="57"/>
        <w:jc w:val="both"/>
        <w:textAlignment w:val="center"/>
        <w:rPr>
          <w:rFonts w:ascii="Arial" w:hAnsi="Arial"/>
          <w:bCs/>
          <w:sz w:val="20"/>
        </w:rPr>
      </w:pPr>
    </w:p>
    <w:tbl>
      <w:tblPr>
        <w:tblW w:w="9717" w:type="dxa"/>
        <w:tblLayout w:type="fixed"/>
        <w:tblCellMar>
          <w:left w:w="10" w:type="dxa"/>
          <w:right w:w="10" w:type="dxa"/>
        </w:tblCellMar>
        <w:tblLook w:val="04A0" w:firstRow="1" w:lastRow="0" w:firstColumn="1" w:lastColumn="0" w:noHBand="0" w:noVBand="1"/>
      </w:tblPr>
      <w:tblGrid>
        <w:gridCol w:w="9717"/>
      </w:tblGrid>
      <w:tr w:rsidR="00276946" w:rsidRPr="000B0290" w14:paraId="5B1BC98B" w14:textId="77777777" w:rsidTr="00276946">
        <w:tc>
          <w:tcPr>
            <w:tcW w:w="9717" w:type="dxa"/>
            <w:tcBorders>
              <w:top w:val="single" w:sz="2" w:space="0" w:color="000000"/>
              <w:left w:val="single" w:sz="2" w:space="0" w:color="000000"/>
              <w:bottom w:val="single" w:sz="4" w:space="0" w:color="000000"/>
              <w:right w:val="single" w:sz="2" w:space="0" w:color="000000"/>
            </w:tcBorders>
            <w:shd w:val="clear" w:color="auto" w:fill="C0C0C0"/>
            <w:tcMar>
              <w:top w:w="55" w:type="dxa"/>
              <w:left w:w="55" w:type="dxa"/>
              <w:bottom w:w="55" w:type="dxa"/>
              <w:right w:w="55" w:type="dxa"/>
            </w:tcMar>
          </w:tcPr>
          <w:p w14:paraId="10670447" w14:textId="77777777" w:rsidR="00276946" w:rsidRPr="004E406F" w:rsidRDefault="00276946" w:rsidP="004E406F">
            <w:pPr>
              <w:suppressLineNumbers/>
              <w:spacing w:before="120" w:after="120"/>
              <w:jc w:val="center"/>
              <w:textAlignment w:val="center"/>
              <w:rPr>
                <w:rFonts w:ascii="Arial" w:hAnsi="Arial"/>
                <w:b/>
                <w:iCs/>
                <w:sz w:val="20"/>
                <w:szCs w:val="32"/>
              </w:rPr>
            </w:pPr>
            <w:r w:rsidRPr="004E406F">
              <w:rPr>
                <w:rFonts w:ascii="Arial" w:hAnsi="Arial"/>
                <w:b/>
                <w:iCs/>
                <w:sz w:val="20"/>
                <w:szCs w:val="32"/>
              </w:rPr>
              <w:t>Montant HT maximum annuel</w:t>
            </w:r>
          </w:p>
        </w:tc>
      </w:tr>
      <w:tr w:rsidR="00276946" w:rsidRPr="000B0290" w14:paraId="1CF41853" w14:textId="77777777" w:rsidTr="00276946">
        <w:tc>
          <w:tcPr>
            <w:tcW w:w="971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16ACE8" w14:textId="4AE0C5DF" w:rsidR="00276946" w:rsidRPr="002875A0" w:rsidRDefault="00276946" w:rsidP="00CC3325">
            <w:pPr>
              <w:suppressLineNumbers/>
              <w:spacing w:before="120" w:after="120"/>
              <w:jc w:val="center"/>
              <w:textAlignment w:val="center"/>
              <w:rPr>
                <w:rFonts w:ascii="Arial" w:hAnsi="Arial"/>
                <w:b/>
                <w:iCs/>
                <w:sz w:val="20"/>
                <w:szCs w:val="32"/>
              </w:rPr>
            </w:pPr>
            <w:r w:rsidRPr="002875A0">
              <w:rPr>
                <w:rFonts w:ascii="Arial" w:hAnsi="Arial"/>
                <w:b/>
                <w:iCs/>
                <w:sz w:val="20"/>
                <w:szCs w:val="32"/>
              </w:rPr>
              <w:t>1</w:t>
            </w:r>
            <w:r>
              <w:rPr>
                <w:rFonts w:ascii="Arial" w:hAnsi="Arial"/>
                <w:b/>
                <w:iCs/>
                <w:sz w:val="20"/>
                <w:szCs w:val="32"/>
              </w:rPr>
              <w:t>5</w:t>
            </w:r>
            <w:r w:rsidRPr="002875A0">
              <w:rPr>
                <w:rFonts w:ascii="Arial" w:hAnsi="Arial"/>
                <w:b/>
                <w:iCs/>
                <w:sz w:val="20"/>
                <w:szCs w:val="32"/>
              </w:rPr>
              <w:t>0 000€</w:t>
            </w:r>
          </w:p>
        </w:tc>
      </w:tr>
    </w:tbl>
    <w:p w14:paraId="0B0DACCC" w14:textId="77777777" w:rsidR="000B0290" w:rsidRPr="000B0290" w:rsidRDefault="000B0290" w:rsidP="000B0290">
      <w:pPr>
        <w:spacing w:before="57"/>
        <w:jc w:val="both"/>
        <w:textAlignment w:val="center"/>
        <w:rPr>
          <w:rFonts w:ascii="Arial" w:hAnsi="Arial"/>
          <w:bCs/>
          <w:sz w:val="20"/>
        </w:rPr>
      </w:pPr>
    </w:p>
    <w:p w14:paraId="3B880215" w14:textId="0562611E" w:rsidR="004420AD" w:rsidRDefault="004420AD" w:rsidP="000B0290">
      <w:pPr>
        <w:rPr>
          <w:rFonts w:ascii="Arial" w:hAnsi="Arial"/>
          <w:sz w:val="20"/>
        </w:rPr>
      </w:pPr>
      <w:r w:rsidRPr="004420AD">
        <w:rPr>
          <w:rFonts w:ascii="Arial" w:hAnsi="Arial"/>
          <w:sz w:val="20"/>
        </w:rPr>
        <w:t xml:space="preserve">Les bons de commande seront notifiés par le pouvoir adjudicateur au fur et à mesure des besoins. </w:t>
      </w:r>
      <w:r w:rsidR="00E65EED">
        <w:rPr>
          <w:rFonts w:ascii="Arial" w:hAnsi="Arial"/>
          <w:sz w:val="20"/>
        </w:rPr>
        <w:t xml:space="preserve">Le marché </w:t>
      </w:r>
      <w:r w:rsidRPr="004420AD">
        <w:rPr>
          <w:rFonts w:ascii="Arial" w:hAnsi="Arial"/>
          <w:sz w:val="20"/>
        </w:rPr>
        <w:t>n’</w:t>
      </w:r>
      <w:r w:rsidR="00E65EED">
        <w:rPr>
          <w:rFonts w:ascii="Arial" w:hAnsi="Arial"/>
          <w:sz w:val="20"/>
        </w:rPr>
        <w:t>a</w:t>
      </w:r>
      <w:r w:rsidRPr="004420AD">
        <w:rPr>
          <w:rFonts w:ascii="Arial" w:hAnsi="Arial"/>
          <w:sz w:val="20"/>
        </w:rPr>
        <w:t xml:space="preserve"> pas de montant minimum.</w:t>
      </w:r>
    </w:p>
    <w:p w14:paraId="51BFC54D" w14:textId="77777777" w:rsidR="004420AD" w:rsidRDefault="004420AD" w:rsidP="000B0290">
      <w:pPr>
        <w:rPr>
          <w:rFonts w:ascii="Arial" w:hAnsi="Arial"/>
          <w:sz w:val="20"/>
        </w:rPr>
      </w:pPr>
    </w:p>
    <w:p w14:paraId="26AACEC6" w14:textId="16E82459" w:rsidR="000B0290" w:rsidRPr="000B0290" w:rsidRDefault="000B0290" w:rsidP="000B0290">
      <w:pPr>
        <w:rPr>
          <w:rFonts w:ascii="Arial" w:hAnsi="Arial"/>
          <w:sz w:val="20"/>
        </w:rPr>
      </w:pPr>
      <w:r w:rsidRPr="000B0290">
        <w:rPr>
          <w:rFonts w:ascii="Arial" w:hAnsi="Arial"/>
          <w:sz w:val="20"/>
        </w:rPr>
        <w:t xml:space="preserve">L'émission des bons de commande s'effectue sans négociation ni remise en concurrence préalable et selon les modalités fixées </w:t>
      </w:r>
      <w:r w:rsidR="00EA1CFB" w:rsidRPr="000B0290">
        <w:rPr>
          <w:rFonts w:ascii="Arial" w:hAnsi="Arial"/>
          <w:sz w:val="20"/>
        </w:rPr>
        <w:t>au CCAP</w:t>
      </w:r>
      <w:r w:rsidRPr="000B0290">
        <w:rPr>
          <w:rFonts w:ascii="Arial" w:hAnsi="Arial"/>
          <w:sz w:val="20"/>
        </w:rPr>
        <w:t>.</w:t>
      </w:r>
    </w:p>
    <w:p w14:paraId="7F269A53" w14:textId="77777777" w:rsidR="000441C9" w:rsidRDefault="003C20A7" w:rsidP="00522205">
      <w:pPr>
        <w:pStyle w:val="Titre2"/>
      </w:pPr>
      <w:bookmarkStart w:id="8" w:name="_Toc208580587"/>
      <w:bookmarkEnd w:id="7"/>
      <w:r>
        <w:lastRenderedPageBreak/>
        <w:t>Tranches</w:t>
      </w:r>
      <w:bookmarkEnd w:id="8"/>
    </w:p>
    <w:p w14:paraId="06FB5060" w14:textId="77777777" w:rsidR="000441C9" w:rsidRDefault="000441C9" w:rsidP="00522205">
      <w:pPr>
        <w:pStyle w:val="Standard"/>
      </w:pPr>
    </w:p>
    <w:p w14:paraId="177BD9B6" w14:textId="021E1FD7" w:rsidR="000441C9" w:rsidRDefault="009516DE" w:rsidP="00522205">
      <w:pPr>
        <w:pStyle w:val="Standard"/>
      </w:pPr>
      <w:r>
        <w:t>Le marché</w:t>
      </w:r>
      <w:r w:rsidR="003C20A7">
        <w:t xml:space="preserve"> ne comporte pas de tranches.</w:t>
      </w:r>
    </w:p>
    <w:p w14:paraId="587ED69D" w14:textId="77777777" w:rsidR="000441C9" w:rsidRDefault="003C20A7" w:rsidP="00522205">
      <w:pPr>
        <w:pStyle w:val="Titre2"/>
      </w:pPr>
      <w:bookmarkStart w:id="9" w:name="_Toc208580588"/>
      <w:r>
        <w:t>Durée</w:t>
      </w:r>
      <w:bookmarkEnd w:id="9"/>
    </w:p>
    <w:p w14:paraId="14FC2BC4" w14:textId="77777777" w:rsidR="000441C9" w:rsidRDefault="000441C9" w:rsidP="00522205">
      <w:pPr>
        <w:pStyle w:val="Standard"/>
      </w:pPr>
    </w:p>
    <w:p w14:paraId="254DE3C4" w14:textId="77777777" w:rsidR="001B2F48" w:rsidRPr="00C76833" w:rsidRDefault="001B2F48" w:rsidP="001B2F48">
      <w:pPr>
        <w:rPr>
          <w:rFonts w:ascii="Arial" w:hAnsi="Arial"/>
          <w:sz w:val="20"/>
        </w:rPr>
      </w:pPr>
      <w:bookmarkStart w:id="10" w:name="_Hlk165633937"/>
      <w:bookmarkStart w:id="11" w:name="_Hlk165633795"/>
      <w:r w:rsidRPr="00C76833">
        <w:rPr>
          <w:rFonts w:ascii="Arial" w:hAnsi="Arial"/>
          <w:sz w:val="20"/>
        </w:rPr>
        <w:t>Le marché public est conclu pour une durée de 12 mois à compter de sa date de notification au titulaire.</w:t>
      </w:r>
    </w:p>
    <w:p w14:paraId="3827AC72" w14:textId="77777777" w:rsidR="001B2F48" w:rsidRPr="00C76833" w:rsidRDefault="001B2F48" w:rsidP="001B2F48">
      <w:pPr>
        <w:rPr>
          <w:rFonts w:ascii="Arial" w:hAnsi="Arial"/>
          <w:sz w:val="20"/>
        </w:rPr>
      </w:pPr>
    </w:p>
    <w:p w14:paraId="650F6DE0" w14:textId="77777777" w:rsidR="001B2F48" w:rsidRPr="00C76833" w:rsidRDefault="001B2F48" w:rsidP="001B2F48">
      <w:pPr>
        <w:rPr>
          <w:rFonts w:ascii="Arial" w:hAnsi="Arial"/>
          <w:sz w:val="20"/>
        </w:rPr>
      </w:pPr>
      <w:r w:rsidRPr="00C76833">
        <w:rPr>
          <w:rFonts w:ascii="Arial" w:hAnsi="Arial"/>
          <w:sz w:val="20"/>
        </w:rPr>
        <w:t>Le marché public est reconductible ; il peut être reconduit, tacitement, trois fois, par période successive de douze mois. La durée totale du marché public, reconductions comprises, n'excédera donc pas 48 mois.</w:t>
      </w:r>
    </w:p>
    <w:p w14:paraId="1BF709C3" w14:textId="77777777" w:rsidR="001B2F48" w:rsidRPr="00C76833" w:rsidRDefault="001B2F48" w:rsidP="001B2F48">
      <w:pPr>
        <w:rPr>
          <w:rFonts w:ascii="Arial" w:hAnsi="Arial"/>
          <w:sz w:val="20"/>
        </w:rPr>
      </w:pPr>
    </w:p>
    <w:p w14:paraId="6F3E3A14" w14:textId="77777777" w:rsidR="001B2F48" w:rsidRPr="00C76833" w:rsidRDefault="001B2F48" w:rsidP="001B2F48">
      <w:pPr>
        <w:rPr>
          <w:rFonts w:ascii="Arial" w:hAnsi="Arial"/>
          <w:sz w:val="20"/>
        </w:rPr>
      </w:pPr>
      <w:r w:rsidRPr="00C76833">
        <w:rPr>
          <w:rFonts w:ascii="Arial" w:hAnsi="Arial"/>
          <w:sz w:val="20"/>
        </w:rPr>
        <w:t xml:space="preserve">       La non-reconduction prendra la forme d'une décision expresse de la part du représentant du pouvoir adjudicateur (courrier avec accusé de réception postal) et interviendra dans un délai de trois mois avant l'échéance du renouvellement.</w:t>
      </w:r>
    </w:p>
    <w:p w14:paraId="414712F7" w14:textId="77777777" w:rsidR="001B2F48" w:rsidRPr="00C76833" w:rsidRDefault="001B2F48" w:rsidP="001B2F48">
      <w:pPr>
        <w:rPr>
          <w:rFonts w:ascii="Arial" w:hAnsi="Arial"/>
          <w:sz w:val="20"/>
        </w:rPr>
      </w:pPr>
    </w:p>
    <w:p w14:paraId="6566A1DD" w14:textId="7653247B" w:rsidR="004F68DF" w:rsidRPr="001B2F48" w:rsidRDefault="001B2F48" w:rsidP="001B2F48">
      <w:pPr>
        <w:rPr>
          <w:rFonts w:ascii="Arial" w:hAnsi="Arial"/>
          <w:sz w:val="20"/>
        </w:rPr>
      </w:pPr>
      <w:r w:rsidRPr="00C76833">
        <w:rPr>
          <w:rFonts w:ascii="Arial" w:hAnsi="Arial"/>
          <w:sz w:val="20"/>
        </w:rPr>
        <w:t xml:space="preserve">Conformément à l'article R2112-4 du code de la commande publique, si le pouvoir adjudicateur décide de reconduire le marché public, le titulaire ne pourra pas refuser cette reconduction. </w:t>
      </w:r>
      <w:bookmarkEnd w:id="10"/>
    </w:p>
    <w:p w14:paraId="0880698C" w14:textId="2C13CB36" w:rsidR="000441C9" w:rsidRDefault="003C20A7" w:rsidP="00522205">
      <w:pPr>
        <w:pStyle w:val="Titre2"/>
      </w:pPr>
      <w:bookmarkStart w:id="12" w:name="_Toc208580589"/>
      <w:bookmarkEnd w:id="11"/>
      <w:r>
        <w:t>Lieu d'exécution</w:t>
      </w:r>
      <w:bookmarkEnd w:id="12"/>
    </w:p>
    <w:p w14:paraId="415DD43C" w14:textId="77777777" w:rsidR="000441C9" w:rsidRDefault="000441C9" w:rsidP="00522205">
      <w:pPr>
        <w:pStyle w:val="Standard"/>
      </w:pPr>
    </w:p>
    <w:p w14:paraId="3C884F53" w14:textId="1C9FC1E5" w:rsidR="004F68DF" w:rsidRDefault="001B2F48" w:rsidP="00522205">
      <w:pPr>
        <w:pStyle w:val="Standard"/>
      </w:pPr>
      <w:r w:rsidRPr="001B2F48">
        <w:t xml:space="preserve">Les prestations sont exécutées dans les locaux du titulaire. Les fonds sont à retirer sur le site de Pierrefitte-sur-Seine des Archives nationales, sis, 59 rue Guynemer, 90001 - </w:t>
      </w:r>
      <w:r w:rsidR="00406704" w:rsidRPr="001B2F48">
        <w:t xml:space="preserve">Pierrefitte-sur-Seine </w:t>
      </w:r>
      <w:r w:rsidRPr="001B2F48">
        <w:t>93</w:t>
      </w:r>
      <w:r w:rsidR="005A4ED1">
        <w:t> </w:t>
      </w:r>
      <w:r w:rsidRPr="001B2F48">
        <w:t>383</w:t>
      </w:r>
      <w:r w:rsidR="005A4ED1">
        <w:t xml:space="preserve"> -</w:t>
      </w:r>
      <w:r w:rsidR="00406704">
        <w:t xml:space="preserve"> Saint-Denis</w:t>
      </w:r>
      <w:r w:rsidR="007778AD" w:rsidRPr="001B2F48">
        <w:t>.</w:t>
      </w:r>
    </w:p>
    <w:p w14:paraId="2096288A" w14:textId="77777777" w:rsidR="000441C9" w:rsidRDefault="003C20A7" w:rsidP="00522205">
      <w:pPr>
        <w:pStyle w:val="Titre2"/>
      </w:pPr>
      <w:bookmarkStart w:id="13" w:name="_Toc208580590"/>
      <w:r>
        <w:t>Variantes</w:t>
      </w:r>
      <w:bookmarkEnd w:id="13"/>
    </w:p>
    <w:p w14:paraId="37E92B60" w14:textId="77777777" w:rsidR="000441C9" w:rsidRDefault="000441C9" w:rsidP="00522205">
      <w:pPr>
        <w:pStyle w:val="Standard"/>
      </w:pPr>
    </w:p>
    <w:p w14:paraId="2F757649" w14:textId="567223DD" w:rsidR="000441C9" w:rsidRDefault="003C20A7" w:rsidP="00522205">
      <w:pPr>
        <w:pStyle w:val="Standard"/>
      </w:pPr>
      <w:r>
        <w:t>Les soumissionnaires ne sont pas autorisés à présenter de variantes</w:t>
      </w:r>
      <w:r w:rsidR="004F68DF">
        <w:t>.</w:t>
      </w:r>
    </w:p>
    <w:p w14:paraId="484793C1" w14:textId="77777777" w:rsidR="000441C9" w:rsidRDefault="003C20A7" w:rsidP="00522205">
      <w:pPr>
        <w:pStyle w:val="Titre2"/>
      </w:pPr>
      <w:bookmarkStart w:id="14" w:name="_Toc208580591"/>
      <w:r>
        <w:t>Prestations supplémentaires éventuelles</w:t>
      </w:r>
      <w:bookmarkEnd w:id="14"/>
    </w:p>
    <w:p w14:paraId="7CFC350B" w14:textId="77777777" w:rsidR="000441C9" w:rsidRDefault="000441C9" w:rsidP="00522205">
      <w:pPr>
        <w:pStyle w:val="Standard"/>
      </w:pPr>
    </w:p>
    <w:p w14:paraId="05C92835" w14:textId="7B2748B6" w:rsidR="000441C9" w:rsidRDefault="003C20A7" w:rsidP="00522205">
      <w:pPr>
        <w:pStyle w:val="Standard"/>
      </w:pPr>
      <w:r>
        <w:t xml:space="preserve">Aucune prestation supplémentaire éventuelle n'est prévue. </w:t>
      </w:r>
    </w:p>
    <w:p w14:paraId="33084789" w14:textId="77777777" w:rsidR="00B6696A" w:rsidRPr="00B6696A" w:rsidRDefault="00B6696A" w:rsidP="00522205">
      <w:pPr>
        <w:pStyle w:val="Titre2"/>
      </w:pPr>
      <w:bookmarkStart w:id="15" w:name="_Hlk181869558"/>
      <w:bookmarkStart w:id="16" w:name="_Toc208580592"/>
      <w:r w:rsidRPr="00B6696A">
        <w:t>Égalité professionnelle et lutte contre les discriminations</w:t>
      </w:r>
      <w:bookmarkEnd w:id="16"/>
    </w:p>
    <w:p w14:paraId="4B003A2E" w14:textId="77777777" w:rsidR="00B6696A" w:rsidRDefault="00B6696A" w:rsidP="00522205">
      <w:pPr>
        <w:pStyle w:val="Standard"/>
      </w:pPr>
    </w:p>
    <w:p w14:paraId="70074243" w14:textId="772469EA" w:rsidR="00B6696A" w:rsidRDefault="00B6696A" w:rsidP="00522205">
      <w:pPr>
        <w:pStyle w:val="Standard"/>
      </w:pPr>
      <w:r>
        <w:t>Le ministère de la Culture est détenteur depuis 2017 des labels « Égalité professionnelle » et « Diversité » délivrés par l'AFNOR. Il s’engage à ce titre à mettre en œuvre des procédures et outils relatifs aux problématiques de lutte contre les discriminations et pour la promotion de l’égalité professionnelle entre les femmes et les hommes, comme notamment :</w:t>
      </w:r>
    </w:p>
    <w:p w14:paraId="6185F69B" w14:textId="77777777" w:rsidR="00B6696A" w:rsidRDefault="00B6696A" w:rsidP="00522205">
      <w:pPr>
        <w:pStyle w:val="Standard"/>
      </w:pPr>
    </w:p>
    <w:p w14:paraId="6B52724C" w14:textId="77777777" w:rsidR="00B6696A" w:rsidRDefault="00B6696A" w:rsidP="00522205">
      <w:pPr>
        <w:pStyle w:val="Standard"/>
      </w:pPr>
      <w:r>
        <w:t>-des actions de sensibilisation et de formation à la prévention des discriminations à l’attention de tous les personnels, en ciblant plus particulièrement l’encadrement et les équipes de gestion des ressources humaines ;</w:t>
      </w:r>
    </w:p>
    <w:p w14:paraId="54F7AD38" w14:textId="77777777" w:rsidR="00B6696A" w:rsidRDefault="00B6696A" w:rsidP="00522205">
      <w:pPr>
        <w:pStyle w:val="Standard"/>
      </w:pPr>
      <w:r>
        <w:t>-un plan d’actions pluriannuel afin de progresser en matière d’égalité entre les femmes et les hommes. Le ministère s’engage ainsi à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3CBD0E7E" w14:textId="77777777" w:rsidR="00B6696A" w:rsidRDefault="00B6696A" w:rsidP="00522205">
      <w:pPr>
        <w:pStyle w:val="Standard"/>
      </w:pPr>
    </w:p>
    <w:p w14:paraId="3BE1C6C0" w14:textId="77777777" w:rsidR="00B6696A" w:rsidRDefault="00B6696A" w:rsidP="00522205">
      <w:pPr>
        <w:pStyle w:val="Standard"/>
      </w:pPr>
      <w:r>
        <w:t>Dans le cadre de cette politique d'achats responsables et de lutte contre les discriminations, le ministère de la Culture souhaite mobiliser ses fournisseurs afin d’être informé de leurs propres actions en matière d’égalité femmes-hommes et de diversité professionnelle et/ou de les sensibiliser davantage à ces enjeux.</w:t>
      </w:r>
    </w:p>
    <w:p w14:paraId="5F927875" w14:textId="77777777" w:rsidR="00B6696A" w:rsidRDefault="00B6696A" w:rsidP="00522205">
      <w:pPr>
        <w:pStyle w:val="Standard"/>
      </w:pPr>
    </w:p>
    <w:p w14:paraId="11241000" w14:textId="77777777" w:rsidR="00B6696A" w:rsidRDefault="00B6696A" w:rsidP="00522205">
      <w:pPr>
        <w:pStyle w:val="Standard"/>
      </w:pPr>
      <w:r>
        <w:t xml:space="preserve">Compte tenu de cette ambition, il est demandé au Titulaire de remplir au moment de la signature du marché le questionnaire « Egalité professionnelle et diversité professionnelle » proposé par le ministère. Ce </w:t>
      </w:r>
      <w:r>
        <w:lastRenderedPageBreak/>
        <w:t>questionnaire n’est exigé que du seul Titulaire. Il prend la forme d’un formulaire informatique dont l’adresse lui sera communiquée au moment de l’attribution du marché.</w:t>
      </w:r>
    </w:p>
    <w:p w14:paraId="2F868E44" w14:textId="77777777" w:rsidR="00B6696A" w:rsidRDefault="00B6696A" w:rsidP="00522205">
      <w:pPr>
        <w:pStyle w:val="Standard"/>
      </w:pPr>
    </w:p>
    <w:p w14:paraId="3D49579B" w14:textId="3547F06D" w:rsidR="00B6696A" w:rsidRPr="00B6696A" w:rsidRDefault="00B6696A" w:rsidP="00522205">
      <w:pPr>
        <w:pStyle w:val="Standard"/>
      </w:pPr>
      <w:r>
        <w:t>Dans une démarche d’amélioration et de progrès, le Titulaire s’engage à renseigner à nouveau le questionnaire en cours d’exécution du marché si le pouvoir adjudicateur lui en fait la demande. Celle-ci peut interv</w:t>
      </w:r>
      <w:r w:rsidR="009516DE">
        <w:t>enir</w:t>
      </w:r>
      <w:r>
        <w:t xml:space="preserve"> à la date anniversaire de la notification du </w:t>
      </w:r>
      <w:r w:rsidR="00547DE2">
        <w:t>marché.</w:t>
      </w:r>
      <w:r>
        <w:t xml:space="preserve"> Le représentant de l’Acheteur compare alors la situation décrite à celle présentée initialement.</w:t>
      </w:r>
    </w:p>
    <w:p w14:paraId="4F08335D" w14:textId="77777777" w:rsidR="000441C9" w:rsidRDefault="003C20A7" w:rsidP="00522205">
      <w:pPr>
        <w:pStyle w:val="Titre2"/>
      </w:pPr>
      <w:bookmarkStart w:id="17" w:name="_Toc208580593"/>
      <w:bookmarkEnd w:id="15"/>
      <w:r>
        <w:t>Considérations environnementales</w:t>
      </w:r>
      <w:bookmarkEnd w:id="17"/>
    </w:p>
    <w:p w14:paraId="08A75247" w14:textId="77777777" w:rsidR="000441C9" w:rsidRDefault="000441C9" w:rsidP="00522205">
      <w:pPr>
        <w:pStyle w:val="Standard"/>
      </w:pPr>
    </w:p>
    <w:p w14:paraId="23C12663" w14:textId="0C75990C" w:rsidR="006233E7" w:rsidRDefault="006233E7" w:rsidP="00522205">
      <w:pPr>
        <w:pStyle w:val="Standard"/>
      </w:pPr>
      <w:bookmarkStart w:id="18" w:name="_Hlk181869789"/>
      <w:r>
        <w:t xml:space="preserve">Dans une volonté de protection de l’environnement, le présent marché public comprend un critère environnemental comme critère d’attribution. </w:t>
      </w:r>
    </w:p>
    <w:p w14:paraId="43EA574A" w14:textId="77777777" w:rsidR="006233E7" w:rsidRDefault="006233E7" w:rsidP="00522205">
      <w:pPr>
        <w:pStyle w:val="Standard"/>
      </w:pPr>
    </w:p>
    <w:p w14:paraId="10239BFC" w14:textId="77777777" w:rsidR="006233E7" w:rsidRDefault="006233E7" w:rsidP="00522205">
      <w:pPr>
        <w:pStyle w:val="Standard"/>
      </w:pPr>
      <w:r>
        <w:t xml:space="preserve">En application de l’article L 229-25 du code de l’environnement, le titulaire s’engage à fournir aux Archives nationales le bilan carbone engendré par les prestations réalisées dans le cadre du marché objet de la consultation. </w:t>
      </w:r>
    </w:p>
    <w:p w14:paraId="4123CDD1" w14:textId="77777777" w:rsidR="006233E7" w:rsidRDefault="006233E7" w:rsidP="00522205">
      <w:pPr>
        <w:pStyle w:val="Standard"/>
      </w:pPr>
    </w:p>
    <w:p w14:paraId="159B9868" w14:textId="77777777" w:rsidR="006233E7" w:rsidRDefault="006233E7" w:rsidP="00522205">
      <w:pPr>
        <w:pStyle w:val="Standard"/>
      </w:pPr>
      <w:r>
        <w:t xml:space="preserve">La réalisation d’un bilan d'émissions de gaz à effet de serre (BEGES) a pour but d’évaluer la quantité de gaz à effet de serre dans l’atmosphère issue des activités des entreprises et de les réduire. </w:t>
      </w:r>
    </w:p>
    <w:p w14:paraId="0D327A38" w14:textId="1493349A" w:rsidR="006233E7" w:rsidRDefault="006233E7" w:rsidP="00522205">
      <w:pPr>
        <w:pStyle w:val="Standard"/>
      </w:pPr>
      <w:r>
        <w:t xml:space="preserve">Pour accompagner les entreprises dans cette démarche, plusieurs ressources sont mises à disposition. Le ministère de l’économie accompagne les personnes morales et recense des ressources sur les bilans de gaz à effet de serre, propose des ressources réglementaires et méthodologiques permettant aux entreprises d’évaluer leurs empreintes carbones et le cas échéant des pistes pour la réduire :   </w:t>
      </w:r>
      <w:hyperlink r:id="rId8" w:history="1">
        <w:r w:rsidRPr="00265CCF">
          <w:rPr>
            <w:rStyle w:val="Lienhypertexte"/>
          </w:rPr>
          <w:t>https://www.economie.gouv.fr/cedef/bilan-carbone-entreprise</w:t>
        </w:r>
      </w:hyperlink>
      <w:r>
        <w:t xml:space="preserve">     </w:t>
      </w:r>
    </w:p>
    <w:p w14:paraId="64875ECE" w14:textId="77777777" w:rsidR="006233E7" w:rsidRDefault="006233E7" w:rsidP="00522205">
      <w:pPr>
        <w:pStyle w:val="Standard"/>
      </w:pPr>
    </w:p>
    <w:p w14:paraId="69261417" w14:textId="3359E44B" w:rsidR="000441C9" w:rsidRDefault="006233E7" w:rsidP="00522205">
      <w:pPr>
        <w:pStyle w:val="Standard"/>
      </w:pPr>
      <w:r>
        <w:t xml:space="preserve">Les informations relatives aux procédures et en particulier les méthodes éditées par le ministère de la transition écologique et les guides sectoriels réalisés avec </w:t>
      </w:r>
      <w:proofErr w:type="spellStart"/>
      <w:r>
        <w:t>l'Ademe</w:t>
      </w:r>
      <w:proofErr w:type="spellEnd"/>
      <w:r>
        <w:t xml:space="preserve"> : </w:t>
      </w:r>
      <w:hyperlink r:id="rId9" w:history="1">
        <w:r w:rsidRPr="00265CCF">
          <w:rPr>
            <w:rStyle w:val="Lienhypertexte"/>
          </w:rPr>
          <w:t>https://bilans-ges.ademe.fr/ressources/etapes-dun-bilan-ges</w:t>
        </w:r>
      </w:hyperlink>
      <w:r>
        <w:t xml:space="preserve">    </w:t>
      </w:r>
    </w:p>
    <w:p w14:paraId="22662262" w14:textId="77777777" w:rsidR="000441C9" w:rsidRDefault="003C20A7" w:rsidP="00522205">
      <w:pPr>
        <w:pStyle w:val="Titre2"/>
      </w:pPr>
      <w:bookmarkStart w:id="19" w:name="_Toc208580594"/>
      <w:bookmarkEnd w:id="18"/>
      <w:r>
        <w:t>Traitement des données à caractère personnel</w:t>
      </w:r>
      <w:bookmarkEnd w:id="19"/>
    </w:p>
    <w:p w14:paraId="4341BE47" w14:textId="77777777" w:rsidR="000441C9" w:rsidRDefault="000441C9" w:rsidP="00522205">
      <w:pPr>
        <w:pStyle w:val="Standard"/>
      </w:pPr>
    </w:p>
    <w:p w14:paraId="27ED20A5" w14:textId="21C55D20" w:rsidR="00C9100F" w:rsidRPr="009516DE" w:rsidRDefault="00C9100F" w:rsidP="00522205">
      <w:pPr>
        <w:pStyle w:val="Textbody"/>
      </w:pPr>
      <w:bookmarkStart w:id="20" w:name="_Hlk181869822"/>
      <w:r w:rsidRPr="00BC7893">
        <w:t>Titulair</w:t>
      </w:r>
      <w:r w:rsidR="00C317BE" w:rsidRPr="00BC7893">
        <w:t xml:space="preserve">e </w:t>
      </w:r>
      <w:r w:rsidRPr="009516DE">
        <w:t>:</w:t>
      </w:r>
    </w:p>
    <w:p w14:paraId="4F0A106A" w14:textId="690CADC0" w:rsidR="00C9100F" w:rsidRPr="00C9100F" w:rsidRDefault="00C9100F" w:rsidP="00C9100F">
      <w:pPr>
        <w:keepLines/>
        <w:widowControl/>
        <w:spacing w:before="57" w:after="156"/>
        <w:ind w:right="340"/>
        <w:jc w:val="both"/>
        <w:textAlignment w:val="center"/>
        <w:rPr>
          <w:rFonts w:ascii="Arial, sans-serif" w:eastAsia="Arial" w:hAnsi="Arial, sans-serif" w:cs="Arial"/>
          <w:sz w:val="20"/>
        </w:rPr>
      </w:pPr>
      <w:r w:rsidRPr="00C9100F">
        <w:rPr>
          <w:rFonts w:ascii="Arial, sans-serif" w:eastAsia="Arial" w:hAnsi="Arial, sans-serif" w:cs="Arial"/>
          <w:sz w:val="20"/>
        </w:rPr>
        <w:t xml:space="preserve">En cas de traitement de données à caractère personnel par un titulaire, chaque titulaire est tenu au respect de la règlementation en vigueur applicable au traitement des données à caractère personnel et, en particulier, le règlement général sur la protection des données (règlement (UE) 2016/679 du Parlement européen et du Conseil du 27 avril 2016. Il apporte à l'acheteur des garanties suffisantes quant à la mise en œuvre de mesures techniques et organisationnelles appropriées </w:t>
      </w:r>
      <w:proofErr w:type="gramStart"/>
      <w:r w:rsidRPr="00C9100F">
        <w:rPr>
          <w:rFonts w:ascii="Arial, sans-serif" w:eastAsia="Arial" w:hAnsi="Arial, sans-serif" w:cs="Arial"/>
          <w:sz w:val="20"/>
        </w:rPr>
        <w:t>de manière à ce</w:t>
      </w:r>
      <w:proofErr w:type="gramEnd"/>
      <w:r w:rsidRPr="00C9100F">
        <w:rPr>
          <w:rFonts w:ascii="Arial, sans-serif" w:eastAsia="Arial" w:hAnsi="Arial, sans-serif" w:cs="Arial"/>
          <w:sz w:val="20"/>
        </w:rPr>
        <w:t xml:space="preserve"> que le traitement réponde aux exigences du règlement européen et garantisse la protection des droits des personnes concernées.</w:t>
      </w:r>
    </w:p>
    <w:p w14:paraId="50248E5F" w14:textId="77777777" w:rsidR="00C9100F" w:rsidRPr="00C9100F" w:rsidRDefault="00C9100F" w:rsidP="00C9100F">
      <w:pPr>
        <w:keepLines/>
        <w:widowControl/>
        <w:spacing w:before="57" w:after="156"/>
        <w:ind w:right="340"/>
        <w:jc w:val="both"/>
        <w:textAlignment w:val="center"/>
        <w:rPr>
          <w:rFonts w:ascii="Arial, sans-serif" w:eastAsia="Arial" w:hAnsi="Arial, sans-serif" w:cs="Arial"/>
          <w:sz w:val="20"/>
        </w:rPr>
      </w:pPr>
      <w:r w:rsidRPr="00C9100F">
        <w:rPr>
          <w:rFonts w:ascii="Arial, sans-serif" w:eastAsia="Arial" w:hAnsi="Arial, sans-serif" w:cs="Arial"/>
          <w:sz w:val="20"/>
        </w:rPr>
        <w:t>Lorsqu'un titulaire fait appel à un sous-traitant pour mener des activités de traitement spécifiques, il informe préalablement et par écrit l'acheteur de tout changement envisagé concernant l'ajout ou le remplacement de sous-traitants. Cette information doit indiquer clairement les activités de traitement sous-traitées, l'identité et les coordonnées du sous-traitant et les dates du contrat de sous-traitance.</w:t>
      </w:r>
    </w:p>
    <w:p w14:paraId="2576A084" w14:textId="77777777" w:rsidR="00C9100F" w:rsidRPr="00C9100F" w:rsidRDefault="00C9100F" w:rsidP="00C9100F">
      <w:pPr>
        <w:keepLines/>
        <w:widowControl/>
        <w:spacing w:before="57" w:after="156"/>
        <w:ind w:right="340"/>
        <w:jc w:val="both"/>
        <w:textAlignment w:val="center"/>
      </w:pPr>
      <w:r w:rsidRPr="00C9100F">
        <w:rPr>
          <w:rFonts w:ascii="Arial, sans-serif" w:eastAsia="Arial" w:hAnsi="Arial, sans-serif" w:cs="Arial"/>
          <w:sz w:val="20"/>
        </w:rPr>
        <w:t xml:space="preserve">Afin d'obtenir l'acceptation et l'agrément de l'acheteur, le titulaire concerné doit présenter son sous-traitant par le biais de l'acte spécial de sous-traitance, dont les formalités sont comprises dans le formulaire DC4 ou tout autre document équivalent (téléchargeable sur </w:t>
      </w:r>
      <w:hyperlink r:id="rId10" w:history="1">
        <w:r w:rsidRPr="00C9100F">
          <w:rPr>
            <w:rFonts w:ascii="Arial, sans-serif" w:eastAsia="Arial" w:hAnsi="Arial, sans-serif" w:cs="Arial"/>
            <w:sz w:val="20"/>
          </w:rPr>
          <w:t>https://www.economie.gouv.fr/daj/formulaires-declaration-du-candidat</w:t>
        </w:r>
      </w:hyperlink>
      <w:r w:rsidRPr="00C9100F">
        <w:rPr>
          <w:rFonts w:ascii="Arial, sans-serif" w:eastAsia="Arial" w:hAnsi="Arial, sans-serif" w:cs="Arial"/>
          <w:sz w:val="20"/>
        </w:rPr>
        <w:t>).</w:t>
      </w:r>
    </w:p>
    <w:p w14:paraId="52F89ECD" w14:textId="77777777" w:rsidR="00C9100F" w:rsidRPr="00C9100F" w:rsidRDefault="00C9100F" w:rsidP="00C9100F">
      <w:pPr>
        <w:keepLines/>
        <w:widowControl/>
        <w:spacing w:before="57" w:after="156"/>
        <w:ind w:right="340"/>
        <w:jc w:val="both"/>
        <w:textAlignment w:val="center"/>
      </w:pPr>
      <w:r w:rsidRPr="00C9100F">
        <w:rPr>
          <w:rFonts w:ascii="Arial, sans-serif" w:eastAsia="Arial" w:hAnsi="Arial, sans-serif" w:cs="Arial"/>
          <w:sz w:val="20"/>
        </w:rPr>
        <w:t xml:space="preserve">Il appartient au titulaire concerné de s'assurer que le sous-traitant présente les mêmes garanties suffisantes quant à la mise en œuvre de mesures techniques et organisationnelles appropriées </w:t>
      </w:r>
      <w:proofErr w:type="gramStart"/>
      <w:r w:rsidRPr="00C9100F">
        <w:rPr>
          <w:rFonts w:ascii="Arial, sans-serif" w:eastAsia="Arial" w:hAnsi="Arial, sans-serif" w:cs="Arial"/>
          <w:sz w:val="20"/>
        </w:rPr>
        <w:t>de manière à ce</w:t>
      </w:r>
      <w:proofErr w:type="gramEnd"/>
      <w:r w:rsidRPr="00C9100F">
        <w:rPr>
          <w:rFonts w:ascii="Arial, sans-serif" w:eastAsia="Arial" w:hAnsi="Arial, sans-serif" w:cs="Arial"/>
          <w:sz w:val="20"/>
        </w:rPr>
        <w:t xml:space="preserve"> que le traitement réponde aux exigences de la législation et de la règlementation en vigueur sur la protection des données. Chaque titulaire demeure pleinement responsable devant l'acheteur de l'exécution par son sous-traitant de ses obligations.</w:t>
      </w:r>
    </w:p>
    <w:p w14:paraId="0C51C24C" w14:textId="77777777" w:rsidR="00EA1CFB" w:rsidRDefault="00C9100F" w:rsidP="00EA1CFB">
      <w:pPr>
        <w:keepLines/>
        <w:widowControl/>
        <w:spacing w:before="57" w:after="156"/>
        <w:ind w:right="340"/>
        <w:jc w:val="both"/>
        <w:textAlignment w:val="center"/>
      </w:pPr>
      <w:r w:rsidRPr="00C9100F">
        <w:rPr>
          <w:rFonts w:ascii="Arial, sans-serif" w:eastAsia="Arial" w:hAnsi="Arial, sans-serif" w:cs="Arial"/>
          <w:sz w:val="20"/>
          <w:u w:val="single"/>
        </w:rPr>
        <w:lastRenderedPageBreak/>
        <w:t>L'acheteur</w:t>
      </w:r>
      <w:r w:rsidRPr="00C9100F">
        <w:rPr>
          <w:rFonts w:ascii="Arial, sans-serif" w:eastAsia="Arial" w:hAnsi="Arial, sans-serif" w:cs="Arial"/>
          <w:sz w:val="20"/>
        </w:rPr>
        <w:t xml:space="preserve"> :</w:t>
      </w:r>
    </w:p>
    <w:p w14:paraId="05396953" w14:textId="43A0D680" w:rsidR="00C9100F" w:rsidRPr="00C9100F" w:rsidRDefault="00C9100F" w:rsidP="00EA1CFB">
      <w:pPr>
        <w:keepLines/>
        <w:widowControl/>
        <w:spacing w:before="57" w:after="156"/>
        <w:ind w:right="340"/>
        <w:jc w:val="both"/>
        <w:textAlignment w:val="center"/>
      </w:pPr>
      <w:r w:rsidRPr="00C9100F">
        <w:rPr>
          <w:rFonts w:ascii="Arial" w:eastAsia="Arial" w:hAnsi="Arial" w:cs="Arial"/>
          <w:bCs/>
          <w:sz w:val="20"/>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titulaires sont informés que des données à caractère personnel (notamment nom, prénom, adresse mail) collectées dans le cadre de</w:t>
      </w:r>
      <w:r w:rsidR="00176112">
        <w:rPr>
          <w:rFonts w:ascii="Arial" w:eastAsia="Arial" w:hAnsi="Arial" w:cs="Arial"/>
          <w:bCs/>
          <w:sz w:val="20"/>
        </w:rPr>
        <w:t xml:space="preserve"> la procédure de passation puis de</w:t>
      </w:r>
      <w:r w:rsidRPr="00C9100F">
        <w:rPr>
          <w:rFonts w:ascii="Arial" w:eastAsia="Arial" w:hAnsi="Arial" w:cs="Arial"/>
          <w:bCs/>
          <w:sz w:val="20"/>
        </w:rPr>
        <w:t xml:space="preserve"> l'exécution du présent marché public sont susceptibles de faire l'objet de traitements.</w:t>
      </w:r>
    </w:p>
    <w:p w14:paraId="068A4DE0" w14:textId="77777777" w:rsidR="00C9100F" w:rsidRPr="00C9100F" w:rsidRDefault="00C9100F" w:rsidP="00C9100F">
      <w:pPr>
        <w:widowControl/>
        <w:spacing w:before="57"/>
        <w:ind w:right="340"/>
        <w:jc w:val="both"/>
        <w:textAlignment w:val="center"/>
      </w:pPr>
      <w:r w:rsidRPr="00C9100F">
        <w:rPr>
          <w:rFonts w:ascii="Arial" w:eastAsia="Arial" w:hAnsi="Arial" w:cs="Arial"/>
          <w:bCs/>
          <w:sz w:val="20"/>
        </w:rPr>
        <w:br/>
      </w:r>
      <w:r w:rsidRPr="00C9100F">
        <w:rPr>
          <w:rFonts w:ascii="Arial" w:eastAsia="Arial" w:hAnsi="Arial" w:cs="Arial"/>
          <w:b/>
          <w:bCs/>
          <w:sz w:val="20"/>
        </w:rPr>
        <w:t>Identité et coordonnées du responsable de traitement et de son représentant :</w:t>
      </w:r>
    </w:p>
    <w:p w14:paraId="02DA511D" w14:textId="77777777" w:rsidR="00C9100F" w:rsidRPr="00C9100F" w:rsidRDefault="00C9100F" w:rsidP="00C9100F">
      <w:pPr>
        <w:widowControl/>
        <w:spacing w:before="57"/>
        <w:ind w:right="340"/>
        <w:jc w:val="both"/>
        <w:textAlignment w:val="center"/>
      </w:pPr>
      <w:r w:rsidRPr="00C9100F">
        <w:rPr>
          <w:rFonts w:ascii="Arial" w:eastAsia="Arial" w:hAnsi="Arial" w:cs="Arial"/>
          <w:bCs/>
          <w:sz w:val="20"/>
        </w:rPr>
        <w:br/>
      </w:r>
      <w:r w:rsidRPr="00C9100F">
        <w:rPr>
          <w:rFonts w:ascii="Arial" w:eastAsia="Arial" w:hAnsi="Arial" w:cs="Arial"/>
          <w:i/>
          <w:iCs/>
          <w:color w:val="000000"/>
          <w:sz w:val="20"/>
        </w:rPr>
        <w:t>Ministère de la culture</w:t>
      </w:r>
    </w:p>
    <w:p w14:paraId="0C6664A2" w14:textId="77777777" w:rsidR="00C9100F" w:rsidRPr="00C9100F" w:rsidRDefault="00C9100F" w:rsidP="00C9100F">
      <w:pPr>
        <w:widowControl/>
        <w:tabs>
          <w:tab w:val="left" w:pos="739"/>
          <w:tab w:val="left" w:pos="763"/>
          <w:tab w:val="left" w:pos="850"/>
        </w:tabs>
        <w:spacing w:before="57"/>
        <w:ind w:right="340"/>
        <w:jc w:val="both"/>
        <w:textAlignment w:val="center"/>
        <w:rPr>
          <w:rFonts w:ascii="Arial" w:eastAsia="Arial" w:hAnsi="Arial" w:cs="Arial"/>
          <w:i/>
          <w:iCs/>
          <w:color w:val="000000"/>
          <w:sz w:val="20"/>
        </w:rPr>
      </w:pPr>
      <w:r w:rsidRPr="00C9100F">
        <w:rPr>
          <w:rFonts w:ascii="Arial" w:eastAsia="Arial" w:hAnsi="Arial" w:cs="Arial"/>
          <w:i/>
          <w:iCs/>
          <w:color w:val="000000"/>
          <w:sz w:val="20"/>
        </w:rPr>
        <w:t>182, rue Saint Honoré</w:t>
      </w:r>
    </w:p>
    <w:p w14:paraId="4F2F5CF1" w14:textId="77777777" w:rsidR="00C9100F" w:rsidRPr="00C9100F" w:rsidRDefault="00C9100F" w:rsidP="00C9100F">
      <w:pPr>
        <w:widowControl/>
        <w:tabs>
          <w:tab w:val="left" w:pos="739"/>
          <w:tab w:val="left" w:pos="763"/>
          <w:tab w:val="left" w:pos="850"/>
        </w:tabs>
        <w:spacing w:before="57"/>
        <w:ind w:right="340"/>
        <w:jc w:val="both"/>
        <w:textAlignment w:val="center"/>
        <w:rPr>
          <w:rFonts w:ascii="Arial" w:eastAsia="Arial" w:hAnsi="Arial" w:cs="Arial"/>
          <w:i/>
          <w:iCs/>
          <w:color w:val="000000"/>
          <w:sz w:val="20"/>
        </w:rPr>
      </w:pPr>
      <w:r w:rsidRPr="00C9100F">
        <w:rPr>
          <w:rFonts w:ascii="Arial" w:eastAsia="Arial" w:hAnsi="Arial" w:cs="Arial"/>
          <w:i/>
          <w:iCs/>
          <w:color w:val="000000"/>
          <w:sz w:val="20"/>
        </w:rPr>
        <w:t>75033 Paris cedex 01</w:t>
      </w:r>
    </w:p>
    <w:p w14:paraId="670D5BF6" w14:textId="77777777" w:rsidR="00C9100F" w:rsidRPr="00C9100F" w:rsidRDefault="00C9100F" w:rsidP="00C9100F">
      <w:pPr>
        <w:widowControl/>
        <w:spacing w:before="57"/>
        <w:ind w:right="340"/>
        <w:jc w:val="both"/>
        <w:textAlignment w:val="center"/>
        <w:rPr>
          <w:rFonts w:ascii="Arial" w:eastAsia="Arial" w:hAnsi="Arial" w:cs="Arial"/>
          <w:i/>
          <w:iCs/>
          <w:color w:val="000000"/>
          <w:sz w:val="20"/>
        </w:rPr>
      </w:pPr>
      <w:r w:rsidRPr="00C9100F">
        <w:rPr>
          <w:rFonts w:ascii="Arial" w:eastAsia="Arial" w:hAnsi="Arial" w:cs="Arial"/>
          <w:i/>
          <w:iCs/>
          <w:color w:val="000000"/>
          <w:sz w:val="20"/>
        </w:rPr>
        <w:t>Représenté par le secrétaire général</w:t>
      </w:r>
    </w:p>
    <w:p w14:paraId="068DD5CC" w14:textId="77777777" w:rsidR="00C9100F" w:rsidRPr="00C9100F" w:rsidRDefault="00C9100F" w:rsidP="00C9100F">
      <w:pPr>
        <w:widowControl/>
        <w:spacing w:before="57"/>
        <w:ind w:right="340"/>
        <w:jc w:val="both"/>
        <w:textAlignment w:val="center"/>
      </w:pPr>
      <w:r w:rsidRPr="00C9100F">
        <w:rPr>
          <w:rFonts w:ascii="Arial" w:eastAsia="Arial" w:hAnsi="Arial" w:cs="Arial"/>
          <w:b/>
          <w:bCs/>
          <w:sz w:val="20"/>
        </w:rPr>
        <w:t>Responsable de Traitement Opérationnel (RTO) :</w:t>
      </w:r>
    </w:p>
    <w:p w14:paraId="0A4F9608" w14:textId="77777777" w:rsidR="00C9100F" w:rsidRPr="00C9100F" w:rsidRDefault="00C9100F" w:rsidP="00C9100F">
      <w:pPr>
        <w:widowControl/>
        <w:spacing w:before="57"/>
        <w:ind w:right="340"/>
        <w:jc w:val="both"/>
        <w:textAlignment w:val="center"/>
        <w:rPr>
          <w:rFonts w:ascii="Arial" w:eastAsia="Arial" w:hAnsi="Arial" w:cs="Arial"/>
          <w:bCs/>
          <w:sz w:val="20"/>
        </w:rPr>
      </w:pPr>
      <w:r w:rsidRPr="00C9100F">
        <w:rPr>
          <w:rFonts w:ascii="Arial" w:eastAsia="Arial" w:hAnsi="Arial" w:cs="Arial"/>
          <w:bCs/>
          <w:sz w:val="20"/>
        </w:rPr>
        <w:t>Le service à compétence nationale Archives nationales</w:t>
      </w:r>
    </w:p>
    <w:p w14:paraId="2A3B56BF" w14:textId="765C0D89" w:rsidR="00C9100F" w:rsidRPr="00C9100F" w:rsidRDefault="00C9100F" w:rsidP="00C9100F">
      <w:pPr>
        <w:widowControl/>
        <w:spacing w:before="57"/>
        <w:ind w:right="340"/>
        <w:jc w:val="both"/>
        <w:textAlignment w:val="center"/>
        <w:rPr>
          <w:rFonts w:ascii="Arial" w:eastAsia="Arial" w:hAnsi="Arial" w:cs="Arial"/>
          <w:bCs/>
          <w:sz w:val="20"/>
        </w:rPr>
      </w:pPr>
      <w:r w:rsidRPr="00C9100F">
        <w:rPr>
          <w:rFonts w:ascii="Arial" w:eastAsia="Arial" w:hAnsi="Arial" w:cs="Arial"/>
          <w:bCs/>
          <w:sz w:val="20"/>
        </w:rPr>
        <w:t xml:space="preserve">Représenté par </w:t>
      </w:r>
      <w:r w:rsidR="009516DE">
        <w:rPr>
          <w:rFonts w:ascii="Arial" w:eastAsia="Arial" w:hAnsi="Arial" w:cs="Arial"/>
          <w:bCs/>
          <w:sz w:val="20"/>
        </w:rPr>
        <w:t>sa directrice</w:t>
      </w:r>
    </w:p>
    <w:p w14:paraId="417BACD0" w14:textId="77777777" w:rsidR="00C9100F" w:rsidRPr="00C9100F" w:rsidRDefault="00C9100F" w:rsidP="00C9100F">
      <w:pPr>
        <w:widowControl/>
        <w:spacing w:before="57"/>
        <w:ind w:right="340"/>
        <w:jc w:val="both"/>
        <w:textAlignment w:val="center"/>
        <w:rPr>
          <w:rFonts w:ascii="Arial" w:eastAsia="Arial" w:hAnsi="Arial" w:cs="Arial"/>
          <w:b/>
          <w:bCs/>
          <w:sz w:val="20"/>
        </w:rPr>
      </w:pPr>
    </w:p>
    <w:p w14:paraId="40A16FB8" w14:textId="77777777" w:rsidR="00C9100F" w:rsidRPr="00C9100F" w:rsidRDefault="00C9100F" w:rsidP="00C9100F">
      <w:pPr>
        <w:widowControl/>
        <w:spacing w:before="57"/>
        <w:ind w:right="340"/>
        <w:jc w:val="both"/>
        <w:textAlignment w:val="center"/>
        <w:rPr>
          <w:rFonts w:ascii="Arial" w:eastAsia="Arial" w:hAnsi="Arial" w:cs="Arial"/>
          <w:bCs/>
          <w:sz w:val="20"/>
        </w:rPr>
      </w:pPr>
      <w:r w:rsidRPr="00C9100F">
        <w:rPr>
          <w:rFonts w:ascii="Arial" w:eastAsia="Arial" w:hAnsi="Arial" w:cs="Arial"/>
          <w:bCs/>
          <w:sz w:val="20"/>
        </w:rPr>
        <w:t>Coordonnées du délégué à la protection des données :</w:t>
      </w:r>
    </w:p>
    <w:p w14:paraId="0C47BC9D" w14:textId="77777777" w:rsidR="00C9100F" w:rsidRPr="00C9100F" w:rsidRDefault="00C9100F" w:rsidP="00C9100F">
      <w:pPr>
        <w:widowControl/>
        <w:spacing w:before="57"/>
        <w:ind w:right="340"/>
        <w:jc w:val="both"/>
        <w:textAlignment w:val="center"/>
      </w:pPr>
      <w:hyperlink r:id="rId11" w:history="1">
        <w:r w:rsidRPr="00C9100F">
          <w:rPr>
            <w:rFonts w:ascii="Arial" w:eastAsia="Arial" w:hAnsi="Arial" w:cs="Arial"/>
            <w:bCs/>
            <w:sz w:val="20"/>
          </w:rPr>
          <w:t>delegue-protection-donnees@culture.gouv.fr</w:t>
        </w:r>
      </w:hyperlink>
      <w:r w:rsidRPr="00C9100F">
        <w:rPr>
          <w:rFonts w:ascii="Arial" w:eastAsia="Arial" w:hAnsi="Arial" w:cs="Arial"/>
          <w:bCs/>
          <w:sz w:val="20"/>
        </w:rPr>
        <w:br/>
      </w:r>
    </w:p>
    <w:p w14:paraId="371B938D" w14:textId="2B925EF5" w:rsidR="00C9100F" w:rsidRPr="00C9100F" w:rsidRDefault="00C9100F" w:rsidP="00C9100F">
      <w:pPr>
        <w:widowControl/>
        <w:spacing w:before="57"/>
        <w:ind w:right="340"/>
        <w:jc w:val="both"/>
        <w:textAlignment w:val="center"/>
      </w:pPr>
      <w:r w:rsidRPr="00C9100F">
        <w:rPr>
          <w:rFonts w:ascii="Arial" w:eastAsia="Arial" w:hAnsi="Arial" w:cs="Arial"/>
          <w:b/>
          <w:bCs/>
          <w:sz w:val="20"/>
        </w:rPr>
        <w:t>Bases juridiques du traitement </w:t>
      </w:r>
      <w:r w:rsidRPr="00C9100F">
        <w:rPr>
          <w:rFonts w:ascii="Arial" w:eastAsia="Arial" w:hAnsi="Arial" w:cs="Arial"/>
          <w:bCs/>
          <w:sz w:val="20"/>
        </w:rPr>
        <w:t>: b), c) de l'article 6.1 du RGPD</w:t>
      </w:r>
    </w:p>
    <w:p w14:paraId="37F84AC3" w14:textId="3A3483F1" w:rsidR="00C9100F" w:rsidRPr="00C9100F" w:rsidRDefault="00C9100F" w:rsidP="00C9100F">
      <w:pPr>
        <w:widowControl/>
        <w:spacing w:before="57"/>
        <w:ind w:right="340"/>
        <w:jc w:val="both"/>
        <w:textAlignment w:val="center"/>
      </w:pPr>
      <w:r w:rsidRPr="00C9100F">
        <w:rPr>
          <w:rFonts w:ascii="Arial" w:eastAsia="Arial" w:hAnsi="Arial" w:cs="Arial"/>
          <w:bCs/>
          <w:sz w:val="20"/>
        </w:rPr>
        <w:br/>
      </w:r>
      <w:r w:rsidRPr="00C9100F">
        <w:rPr>
          <w:rFonts w:ascii="Arial" w:eastAsia="Arial" w:hAnsi="Arial" w:cs="Arial"/>
          <w:b/>
          <w:bCs/>
          <w:sz w:val="20"/>
        </w:rPr>
        <w:t>Finalité d</w:t>
      </w:r>
      <w:r w:rsidR="00176112">
        <w:rPr>
          <w:rFonts w:ascii="Arial" w:eastAsia="Arial" w:hAnsi="Arial" w:cs="Arial"/>
          <w:b/>
          <w:bCs/>
          <w:sz w:val="20"/>
        </w:rPr>
        <w:t>es</w:t>
      </w:r>
      <w:r w:rsidRPr="00C9100F">
        <w:rPr>
          <w:rFonts w:ascii="Arial" w:eastAsia="Arial" w:hAnsi="Arial" w:cs="Arial"/>
          <w:b/>
          <w:bCs/>
          <w:sz w:val="20"/>
        </w:rPr>
        <w:t xml:space="preserve"> traitement</w:t>
      </w:r>
      <w:r w:rsidR="00C317BE">
        <w:rPr>
          <w:rFonts w:ascii="Arial" w:eastAsia="Arial" w:hAnsi="Arial" w:cs="Arial"/>
          <w:b/>
          <w:bCs/>
          <w:sz w:val="20"/>
        </w:rPr>
        <w:t>s</w:t>
      </w:r>
      <w:r w:rsidRPr="00C9100F">
        <w:rPr>
          <w:rFonts w:ascii="Arial" w:eastAsia="Arial" w:hAnsi="Arial" w:cs="Arial"/>
          <w:bCs/>
          <w:sz w:val="20"/>
        </w:rPr>
        <w:t xml:space="preserve"> : suivi de </w:t>
      </w:r>
      <w:r w:rsidR="00176112">
        <w:rPr>
          <w:rFonts w:ascii="Arial" w:eastAsia="Arial" w:hAnsi="Arial" w:cs="Arial"/>
          <w:bCs/>
          <w:sz w:val="20"/>
        </w:rPr>
        <w:t xml:space="preserve">la procédure de passation et d’attribution, de </w:t>
      </w:r>
      <w:r w:rsidRPr="00C9100F">
        <w:rPr>
          <w:rFonts w:ascii="Arial" w:eastAsia="Arial" w:hAnsi="Arial" w:cs="Arial"/>
          <w:bCs/>
          <w:sz w:val="20"/>
        </w:rPr>
        <w:t>l'exécution du marché public et obligation légale de conservation du marché public (durée d'utilité administrative (DUA) applicable aux marchés publics).</w:t>
      </w:r>
    </w:p>
    <w:p w14:paraId="4B58D9B4" w14:textId="77777777" w:rsidR="00C9100F" w:rsidRPr="00C9100F" w:rsidRDefault="00C9100F" w:rsidP="00C9100F">
      <w:pPr>
        <w:widowControl/>
        <w:spacing w:before="57"/>
        <w:ind w:right="340"/>
        <w:jc w:val="both"/>
        <w:textAlignment w:val="center"/>
      </w:pPr>
      <w:r w:rsidRPr="00C9100F">
        <w:rPr>
          <w:rFonts w:ascii="Arial" w:eastAsia="Arial" w:hAnsi="Arial" w:cs="Arial"/>
          <w:bCs/>
          <w:sz w:val="20"/>
        </w:rPr>
        <w:br/>
      </w:r>
      <w:r w:rsidRPr="00C9100F">
        <w:rPr>
          <w:rFonts w:ascii="Arial" w:eastAsia="Arial" w:hAnsi="Arial" w:cs="Arial"/>
          <w:b/>
          <w:bCs/>
          <w:sz w:val="20"/>
        </w:rPr>
        <w:t>Destinataires ou catégorie de destinataires </w:t>
      </w:r>
      <w:r w:rsidRPr="00C9100F">
        <w:rPr>
          <w:rFonts w:ascii="Arial" w:eastAsia="Arial" w:hAnsi="Arial" w:cs="Arial"/>
          <w:bCs/>
          <w:sz w:val="20"/>
        </w:rPr>
        <w:t>: les données à caractère personnel concernées sont destinées exclusivement aux agents de l'Acheteur en charge du suivi de l'exécution du présent contrat et de sa conservation.</w:t>
      </w:r>
    </w:p>
    <w:p w14:paraId="2AA4B771" w14:textId="77777777" w:rsidR="00C9100F" w:rsidRPr="00C9100F" w:rsidRDefault="00C9100F" w:rsidP="00C9100F">
      <w:pPr>
        <w:widowControl/>
        <w:spacing w:before="57"/>
        <w:ind w:right="340"/>
        <w:jc w:val="both"/>
        <w:textAlignment w:val="center"/>
      </w:pPr>
      <w:r w:rsidRPr="00C9100F">
        <w:rPr>
          <w:rFonts w:ascii="Arial" w:eastAsia="Arial" w:hAnsi="Arial" w:cs="Arial"/>
          <w:bCs/>
          <w:sz w:val="20"/>
        </w:rPr>
        <w:br/>
      </w:r>
      <w:r w:rsidRPr="00C9100F">
        <w:rPr>
          <w:rFonts w:ascii="Arial" w:eastAsia="Arial" w:hAnsi="Arial" w:cs="Arial"/>
          <w:b/>
          <w:bCs/>
          <w:sz w:val="20"/>
        </w:rPr>
        <w:t>Durée de conservation </w:t>
      </w:r>
      <w:r w:rsidRPr="00C9100F">
        <w:rPr>
          <w:rFonts w:ascii="Arial" w:eastAsia="Arial" w:hAnsi="Arial" w:cs="Arial"/>
          <w:bCs/>
          <w:sz w:val="20"/>
        </w:rPr>
        <w:t>: ces données sont conservées pendant toute la durée d'exécution du contrat ainsi que durant la DUA applicable au contrat.</w:t>
      </w:r>
    </w:p>
    <w:p w14:paraId="0C1E36DB" w14:textId="77777777" w:rsidR="00C9100F" w:rsidRPr="00C9100F" w:rsidRDefault="00C9100F" w:rsidP="00C9100F">
      <w:pPr>
        <w:widowControl/>
        <w:spacing w:before="57"/>
        <w:ind w:right="340"/>
        <w:jc w:val="both"/>
        <w:textAlignment w:val="center"/>
        <w:rPr>
          <w:rFonts w:ascii="Arial" w:eastAsia="Arial" w:hAnsi="Arial" w:cs="Arial"/>
          <w:bCs/>
          <w:sz w:val="20"/>
        </w:rPr>
      </w:pPr>
    </w:p>
    <w:p w14:paraId="7E2B2A00" w14:textId="77777777" w:rsidR="00C9100F" w:rsidRPr="00C9100F" w:rsidRDefault="00C9100F" w:rsidP="00C9100F">
      <w:pPr>
        <w:widowControl/>
        <w:spacing w:before="57"/>
        <w:ind w:right="340"/>
        <w:jc w:val="both"/>
        <w:textAlignment w:val="center"/>
        <w:rPr>
          <w:rFonts w:ascii="Arial" w:eastAsia="Arial" w:hAnsi="Arial" w:cs="Arial"/>
          <w:bCs/>
          <w:sz w:val="20"/>
        </w:rPr>
      </w:pPr>
      <w:r w:rsidRPr="00C9100F">
        <w:rPr>
          <w:rFonts w:ascii="Arial" w:eastAsia="Arial" w:hAnsi="Arial" w:cs="Arial"/>
          <w:bCs/>
          <w:sz w:val="20"/>
        </w:rPr>
        <w:t>Conformément aux dispositions des articles 15 à 21 du RGPD, les personnes dont les données à caractère personnel sont collectées disposent notamment d'un droit d'accès, de transparence et information, de rectification et de limitation des informations qui les concernent. Elles peuvent également s'opposer au traitement de ces données le cas échéant, pour des motifs légitimes. L'exercice des droits d'information et d'accès aux données à caractère personnel peut être effectué auprès du délégué à la protection des données.</w:t>
      </w:r>
    </w:p>
    <w:p w14:paraId="58F735EA" w14:textId="77777777" w:rsidR="00C9100F" w:rsidRPr="00C9100F" w:rsidRDefault="00C9100F" w:rsidP="00C9100F">
      <w:pPr>
        <w:widowControl/>
        <w:spacing w:before="57"/>
        <w:ind w:right="340"/>
        <w:jc w:val="both"/>
        <w:textAlignment w:val="center"/>
      </w:pPr>
      <w:r w:rsidRPr="00C9100F">
        <w:rPr>
          <w:rFonts w:ascii="Arial" w:eastAsia="Arial" w:hAnsi="Arial" w:cs="Arial"/>
          <w:bCs/>
          <w:sz w:val="20"/>
          <w:u w:val="single"/>
        </w:rPr>
        <w:br/>
        <w:t>Pour exercer vos droits :</w:t>
      </w:r>
    </w:p>
    <w:p w14:paraId="1EDC2BD9" w14:textId="5F6272EE" w:rsidR="00C9100F" w:rsidRPr="00C9100F" w:rsidRDefault="00C9100F" w:rsidP="00C9100F">
      <w:pPr>
        <w:widowControl/>
        <w:spacing w:before="57"/>
        <w:ind w:right="340"/>
        <w:jc w:val="both"/>
        <w:textAlignment w:val="center"/>
      </w:pPr>
      <w:r w:rsidRPr="00C9100F">
        <w:rPr>
          <w:rFonts w:ascii="Arial" w:eastAsia="Arial" w:hAnsi="Arial" w:cs="Arial"/>
          <w:bCs/>
          <w:sz w:val="20"/>
          <w:szCs w:val="20"/>
        </w:rPr>
        <w:t xml:space="preserve">- par courrier électronique à l’adresse suivante : </w:t>
      </w:r>
      <w:hyperlink r:id="rId12" w:history="1">
        <w:r w:rsidRPr="00C9100F">
          <w:rPr>
            <w:rFonts w:ascii="Arial" w:eastAsia="Arial" w:hAnsi="Arial" w:cs="Arial"/>
            <w:bCs/>
            <w:color w:val="0563C1"/>
            <w:sz w:val="20"/>
            <w:szCs w:val="20"/>
            <w:u w:val="single"/>
          </w:rPr>
          <w:t>marches.archives-nationales@culture.gouv.fr</w:t>
        </w:r>
      </w:hyperlink>
      <w:r w:rsidRPr="00C9100F">
        <w:rPr>
          <w:rFonts w:ascii="Arial" w:eastAsia="Arial" w:hAnsi="Arial" w:cs="Arial"/>
          <w:bCs/>
          <w:sz w:val="20"/>
          <w:szCs w:val="20"/>
        </w:rPr>
        <w:t xml:space="preserve"> ou par courrier postal à l’adresse suivante : Direction administrative et financière / service juridique – 59 rue Guynemer – 90001 Pierrefitte sur Seine</w:t>
      </w:r>
      <w:r w:rsidR="00C317BE">
        <w:rPr>
          <w:rFonts w:ascii="Arial" w:eastAsia="Arial" w:hAnsi="Arial" w:cs="Arial"/>
          <w:bCs/>
          <w:sz w:val="20"/>
          <w:szCs w:val="20"/>
        </w:rPr>
        <w:t xml:space="preserve"> </w:t>
      </w:r>
      <w:r w:rsidR="005A4ED1" w:rsidRPr="00C9100F">
        <w:rPr>
          <w:rFonts w:ascii="Arial" w:eastAsia="Arial" w:hAnsi="Arial" w:cs="Arial"/>
          <w:bCs/>
          <w:sz w:val="20"/>
          <w:szCs w:val="20"/>
        </w:rPr>
        <w:t>– 93</w:t>
      </w:r>
      <w:r w:rsidR="00C317BE">
        <w:rPr>
          <w:rFonts w:ascii="Arial" w:eastAsia="Arial" w:hAnsi="Arial" w:cs="Arial"/>
          <w:bCs/>
          <w:sz w:val="20"/>
          <w:szCs w:val="20"/>
        </w:rPr>
        <w:t> </w:t>
      </w:r>
      <w:r w:rsidR="00C317BE" w:rsidRPr="00C9100F">
        <w:rPr>
          <w:rFonts w:ascii="Arial" w:eastAsia="Arial" w:hAnsi="Arial" w:cs="Arial"/>
          <w:bCs/>
          <w:sz w:val="20"/>
          <w:szCs w:val="20"/>
        </w:rPr>
        <w:t xml:space="preserve">383 </w:t>
      </w:r>
      <w:r w:rsidR="00C317BE">
        <w:rPr>
          <w:rFonts w:ascii="Arial" w:eastAsia="Arial" w:hAnsi="Arial" w:cs="Arial"/>
          <w:bCs/>
          <w:sz w:val="20"/>
          <w:szCs w:val="20"/>
        </w:rPr>
        <w:t>SAINT DENIS</w:t>
      </w:r>
      <w:r w:rsidRPr="00C9100F">
        <w:rPr>
          <w:rFonts w:ascii="Arial" w:eastAsia="Arial" w:hAnsi="Arial" w:cs="Arial"/>
          <w:bCs/>
          <w:sz w:val="20"/>
          <w:szCs w:val="20"/>
        </w:rPr>
        <w:t xml:space="preserve"> ou auprès du Délégué à la protection des données</w:t>
      </w:r>
    </w:p>
    <w:p w14:paraId="7F8AF580" w14:textId="77777777" w:rsidR="00C9100F" w:rsidRPr="00C9100F" w:rsidRDefault="00C9100F" w:rsidP="00C9100F">
      <w:pPr>
        <w:widowControl/>
        <w:spacing w:before="57"/>
        <w:ind w:right="340"/>
        <w:jc w:val="both"/>
        <w:textAlignment w:val="center"/>
      </w:pPr>
      <w:r w:rsidRPr="00C9100F">
        <w:rPr>
          <w:rFonts w:ascii="Arial" w:eastAsia="Arial" w:hAnsi="Arial" w:cs="Arial"/>
          <w:bCs/>
          <w:sz w:val="20"/>
          <w:szCs w:val="20"/>
        </w:rPr>
        <w:t xml:space="preserve">- par courrier électronique à l’adresse suivante : </w:t>
      </w:r>
      <w:r w:rsidRPr="00C9100F">
        <w:rPr>
          <w:rFonts w:ascii="Arial" w:eastAsia="Arial" w:hAnsi="Arial" w:cs="Arial"/>
          <w:b/>
          <w:bCs/>
          <w:color w:val="000080"/>
          <w:sz w:val="20"/>
          <w:szCs w:val="20"/>
          <w:u w:val="single"/>
          <w:lang w:bidi="ar-SA"/>
        </w:rPr>
        <w:t>delegue-protection-donnees@culture.gouv.fr</w:t>
      </w:r>
      <w:r w:rsidRPr="00C9100F">
        <w:rPr>
          <w:rFonts w:ascii="Arial" w:eastAsia="Arial" w:hAnsi="Arial" w:cs="Arial"/>
          <w:bCs/>
          <w:sz w:val="20"/>
          <w:szCs w:val="20"/>
        </w:rPr>
        <w:t xml:space="preserve"> ou par courrier postal à l’adresse suivante : Monsieur le Délégué à la protection des données – 182, rue Saint-Honoré – 75033 Paris cedex 01, en justifiant de votre identité par tout moyen.</w:t>
      </w:r>
    </w:p>
    <w:p w14:paraId="10F92F42" w14:textId="77777777" w:rsidR="00C9100F" w:rsidRPr="00C9100F" w:rsidRDefault="00C9100F" w:rsidP="00C9100F">
      <w:pPr>
        <w:keepLines/>
        <w:widowControl/>
        <w:spacing w:before="57"/>
        <w:ind w:right="340"/>
        <w:jc w:val="both"/>
        <w:textAlignment w:val="center"/>
        <w:rPr>
          <w:rFonts w:ascii="Arial" w:eastAsia="Arial" w:hAnsi="Arial" w:cs="Arial"/>
          <w:b/>
          <w:bCs/>
          <w:sz w:val="20"/>
          <w:szCs w:val="20"/>
        </w:rPr>
      </w:pPr>
    </w:p>
    <w:p w14:paraId="42969EEA" w14:textId="48FBDA2C" w:rsidR="00C9100F" w:rsidRDefault="00C9100F" w:rsidP="00C9100F">
      <w:pPr>
        <w:widowControl/>
        <w:spacing w:before="57"/>
        <w:jc w:val="both"/>
        <w:textAlignment w:val="center"/>
        <w:rPr>
          <w:rFonts w:ascii="Arial" w:eastAsia="Arial" w:hAnsi="Arial" w:cs="Arial"/>
          <w:bCs/>
          <w:sz w:val="20"/>
          <w:szCs w:val="20"/>
        </w:rPr>
      </w:pPr>
      <w:r w:rsidRPr="00C9100F">
        <w:rPr>
          <w:rFonts w:ascii="Arial" w:eastAsia="Arial" w:hAnsi="Arial" w:cs="Arial"/>
          <w:bCs/>
          <w:sz w:val="20"/>
          <w:szCs w:val="20"/>
        </w:rPr>
        <w:t xml:space="preserve">Si vous estimez, après nous avoir contactés, que vos droits relatifs à la réglementation sur la protection des données ne sont pas respectés, vous avez le droit d’introduire une réclamation auprès de la Commission </w:t>
      </w:r>
      <w:r w:rsidRPr="00C9100F">
        <w:rPr>
          <w:rFonts w:ascii="Arial" w:eastAsia="Arial" w:hAnsi="Arial" w:cs="Arial"/>
          <w:bCs/>
          <w:sz w:val="20"/>
          <w:szCs w:val="20"/>
        </w:rPr>
        <w:lastRenderedPageBreak/>
        <w:t>Nationale de l’Informatique et des Libertés (CNIL), autorité de contrôle en charge du respect des obligations en matière de données à caractère personnel.</w:t>
      </w:r>
    </w:p>
    <w:p w14:paraId="2A072A4E" w14:textId="76721850" w:rsidR="00C317BE" w:rsidRDefault="00C317BE" w:rsidP="00522205">
      <w:pPr>
        <w:pStyle w:val="Titre2"/>
      </w:pPr>
      <w:bookmarkStart w:id="21" w:name="_Toc208580595"/>
      <w:r w:rsidRPr="00C317BE">
        <w:t>Secret des affaires</w:t>
      </w:r>
      <w:bookmarkEnd w:id="21"/>
      <w:r>
        <w:t xml:space="preserve"> </w:t>
      </w:r>
    </w:p>
    <w:p w14:paraId="6FEEC1FB" w14:textId="77777777" w:rsidR="00C317BE" w:rsidRDefault="00C317BE" w:rsidP="00522205">
      <w:pPr>
        <w:pStyle w:val="Standard"/>
      </w:pPr>
    </w:p>
    <w:p w14:paraId="21E38A90" w14:textId="44802E2A" w:rsidR="000441C9" w:rsidRDefault="003C20A7" w:rsidP="00522205">
      <w:pPr>
        <w:pStyle w:val="Standard"/>
      </w:pPr>
      <w:r>
        <w:t xml:space="preserve">L'acheteur se réserve la possibilité de recourir à l'expertise d'un tiers pour l'analyse des offres du présent </w:t>
      </w:r>
      <w:r w:rsidR="009516DE">
        <w:t>marché</w:t>
      </w:r>
      <w:r>
        <w:t>.</w:t>
      </w:r>
    </w:p>
    <w:p w14:paraId="3147721B" w14:textId="77777777" w:rsidR="000441C9" w:rsidRDefault="000441C9" w:rsidP="00522205">
      <w:pPr>
        <w:pStyle w:val="Standard"/>
      </w:pPr>
    </w:p>
    <w:p w14:paraId="1CF14DB4" w14:textId="77777777" w:rsidR="000441C9" w:rsidRDefault="003C20A7" w:rsidP="00522205">
      <w:pPr>
        <w:pStyle w:val="Standard"/>
      </w:pPr>
      <w:r>
        <w:t>Le tiers est tenu à une obligation de confidentialité prévue par le marché dont il est titulaire. En particulier, les candidats sont informés que ce tiers ne peut divulguer les données et informations couvertes par le secret des affaires dont il aurait connaissance pendant la durée d'exécution de ses prestations. Ce tiers a l'obligation de mettre en œuvre l'ensemble des moyens nécessaires afin de réduire les risques de divulgation, notamment au moyen d'engagements de confidentialité individuels, de cloisonnement organisationnel et de paramétrage des droits d'accès.</w:t>
      </w:r>
    </w:p>
    <w:p w14:paraId="703EA856" w14:textId="77777777" w:rsidR="000441C9" w:rsidRDefault="000441C9" w:rsidP="00522205">
      <w:pPr>
        <w:pStyle w:val="Standard"/>
      </w:pPr>
    </w:p>
    <w:p w14:paraId="2ECCE30E" w14:textId="77777777" w:rsidR="000441C9" w:rsidRDefault="003C20A7" w:rsidP="00522205">
      <w:pPr>
        <w:pStyle w:val="Standard"/>
      </w:pPr>
      <w:r>
        <w:t>Cette obligation ne prend pas fin à l'issue du marché entre l'acheteur et ce tiers.</w:t>
      </w:r>
    </w:p>
    <w:p w14:paraId="087EA178" w14:textId="77777777" w:rsidR="00B26F34" w:rsidRDefault="00B26F34" w:rsidP="00522205">
      <w:pPr>
        <w:pStyle w:val="Standard"/>
      </w:pPr>
    </w:p>
    <w:p w14:paraId="052F54A6" w14:textId="77777777" w:rsidR="000441C9" w:rsidRDefault="003C20A7" w:rsidP="00522205">
      <w:pPr>
        <w:pStyle w:val="Titre1"/>
      </w:pPr>
      <w:bookmarkStart w:id="22" w:name="_Toc208580596"/>
      <w:bookmarkEnd w:id="20"/>
      <w:r>
        <w:t>Information des candidats</w:t>
      </w:r>
      <w:bookmarkEnd w:id="22"/>
    </w:p>
    <w:p w14:paraId="03CF1F81" w14:textId="77777777" w:rsidR="000441C9" w:rsidRDefault="003C20A7" w:rsidP="00522205">
      <w:pPr>
        <w:pStyle w:val="Titre2"/>
      </w:pPr>
      <w:bookmarkStart w:id="23" w:name="_Toc208580597"/>
      <w:r>
        <w:t>Contenu des documents de la consultation</w:t>
      </w:r>
      <w:bookmarkEnd w:id="23"/>
    </w:p>
    <w:p w14:paraId="3BF83802" w14:textId="77777777" w:rsidR="000441C9" w:rsidRDefault="000441C9" w:rsidP="00522205">
      <w:pPr>
        <w:pStyle w:val="Standard"/>
      </w:pPr>
    </w:p>
    <w:p w14:paraId="01593765" w14:textId="77777777" w:rsidR="000441C9" w:rsidRDefault="003C20A7" w:rsidP="00522205">
      <w:pPr>
        <w:pStyle w:val="Standard"/>
      </w:pPr>
      <w:bookmarkStart w:id="24" w:name="_Hlk181869963"/>
      <w:r>
        <w:t>Les documents de la consultation mis à disposition sont les suivants :</w:t>
      </w:r>
    </w:p>
    <w:p w14:paraId="51D92541" w14:textId="77777777" w:rsidR="00B04D2F" w:rsidRDefault="00B04D2F" w:rsidP="00522205">
      <w:pPr>
        <w:pStyle w:val="Standard"/>
      </w:pPr>
    </w:p>
    <w:p w14:paraId="334A381B" w14:textId="03136CA5" w:rsidR="000441C9" w:rsidRDefault="003C20A7" w:rsidP="00522205">
      <w:pPr>
        <w:pStyle w:val="Standard"/>
        <w:numPr>
          <w:ilvl w:val="0"/>
          <w:numId w:val="16"/>
        </w:numPr>
      </w:pPr>
      <w:proofErr w:type="gramStart"/>
      <w:r>
        <w:t>le</w:t>
      </w:r>
      <w:proofErr w:type="gramEnd"/>
      <w:r>
        <w:t xml:space="preserve"> présent règlement de consultation</w:t>
      </w:r>
      <w:r w:rsidR="00B26F34">
        <w:t> ;</w:t>
      </w:r>
    </w:p>
    <w:p w14:paraId="4830E11A" w14:textId="498D5FE7" w:rsidR="000441C9" w:rsidRDefault="003C20A7" w:rsidP="00522205">
      <w:pPr>
        <w:pStyle w:val="Standard"/>
        <w:numPr>
          <w:ilvl w:val="0"/>
          <w:numId w:val="16"/>
        </w:numPr>
      </w:pPr>
      <w:proofErr w:type="gramStart"/>
      <w:r>
        <w:t>le</w:t>
      </w:r>
      <w:proofErr w:type="gramEnd"/>
      <w:r>
        <w:t xml:space="preserve"> bordereau de prix unitaires</w:t>
      </w:r>
      <w:r w:rsidR="00B26F34">
        <w:t> </w:t>
      </w:r>
      <w:r w:rsidR="00B04D2F">
        <w:t>(BPU)</w:t>
      </w:r>
      <w:r w:rsidR="00B26F34">
        <w:t>;</w:t>
      </w:r>
    </w:p>
    <w:p w14:paraId="3024F797" w14:textId="13FA33CC" w:rsidR="00845294" w:rsidRDefault="00845294" w:rsidP="00522205">
      <w:pPr>
        <w:pStyle w:val="Standard"/>
        <w:numPr>
          <w:ilvl w:val="0"/>
          <w:numId w:val="16"/>
        </w:numPr>
      </w:pPr>
      <w:proofErr w:type="gramStart"/>
      <w:r>
        <w:t>le</w:t>
      </w:r>
      <w:proofErr w:type="gramEnd"/>
      <w:r>
        <w:t xml:space="preserve"> </w:t>
      </w:r>
      <w:r w:rsidRPr="00845294">
        <w:t>Détail Quantitatif Estimatif (DQE)</w:t>
      </w:r>
    </w:p>
    <w:p w14:paraId="0D9ACA00" w14:textId="3B422CCA" w:rsidR="000441C9" w:rsidRDefault="003C20A7" w:rsidP="00522205">
      <w:pPr>
        <w:pStyle w:val="Standard"/>
        <w:numPr>
          <w:ilvl w:val="0"/>
          <w:numId w:val="16"/>
        </w:numPr>
      </w:pPr>
      <w:proofErr w:type="gramStart"/>
      <w:r>
        <w:t>le</w:t>
      </w:r>
      <w:proofErr w:type="gramEnd"/>
      <w:r>
        <w:t xml:space="preserve"> cahier des clauses administratives particulières</w:t>
      </w:r>
      <w:r w:rsidR="00C317BE">
        <w:t xml:space="preserve"> </w:t>
      </w:r>
      <w:r w:rsidR="00B04D2F">
        <w:t>;</w:t>
      </w:r>
    </w:p>
    <w:p w14:paraId="7D74556D" w14:textId="6B43A93A" w:rsidR="000441C9" w:rsidRDefault="003C20A7" w:rsidP="00522205">
      <w:pPr>
        <w:pStyle w:val="Standard"/>
        <w:numPr>
          <w:ilvl w:val="0"/>
          <w:numId w:val="16"/>
        </w:numPr>
      </w:pPr>
      <w:proofErr w:type="gramStart"/>
      <w:r>
        <w:t>les</w:t>
      </w:r>
      <w:proofErr w:type="gramEnd"/>
      <w:r>
        <w:t xml:space="preserve"> annexes au cahier des clauses administratives particulières</w:t>
      </w:r>
      <w:r w:rsidR="00B04D2F">
        <w:t> ;</w:t>
      </w:r>
    </w:p>
    <w:p w14:paraId="1FA86FB4" w14:textId="4E475597" w:rsidR="000441C9" w:rsidRDefault="003C20A7" w:rsidP="00522205">
      <w:pPr>
        <w:pStyle w:val="Standard"/>
        <w:numPr>
          <w:ilvl w:val="0"/>
          <w:numId w:val="16"/>
        </w:numPr>
      </w:pPr>
      <w:proofErr w:type="gramStart"/>
      <w:r>
        <w:t>le</w:t>
      </w:r>
      <w:proofErr w:type="gramEnd"/>
      <w:r>
        <w:t xml:space="preserve"> cahier des clauses techniques particulières</w:t>
      </w:r>
      <w:r w:rsidR="00B04D2F">
        <w:t xml:space="preserve"> ; </w:t>
      </w:r>
    </w:p>
    <w:p w14:paraId="66458BCC" w14:textId="52B41CD0" w:rsidR="000441C9" w:rsidRDefault="003C20A7" w:rsidP="00522205">
      <w:pPr>
        <w:pStyle w:val="Standard"/>
        <w:numPr>
          <w:ilvl w:val="0"/>
          <w:numId w:val="16"/>
        </w:numPr>
      </w:pPr>
      <w:proofErr w:type="gramStart"/>
      <w:r>
        <w:t>l'acte</w:t>
      </w:r>
      <w:proofErr w:type="gramEnd"/>
      <w:r>
        <w:t xml:space="preserve"> d'engagement</w:t>
      </w:r>
      <w:r w:rsidR="00C317BE">
        <w:t> ;</w:t>
      </w:r>
    </w:p>
    <w:p w14:paraId="4614F24F" w14:textId="33BA83B5" w:rsidR="000441C9" w:rsidRDefault="003C20A7" w:rsidP="00522205">
      <w:pPr>
        <w:pStyle w:val="Standard"/>
        <w:numPr>
          <w:ilvl w:val="0"/>
          <w:numId w:val="16"/>
        </w:numPr>
      </w:pPr>
      <w:proofErr w:type="gramStart"/>
      <w:r>
        <w:t>les</w:t>
      </w:r>
      <w:proofErr w:type="gramEnd"/>
      <w:r>
        <w:t xml:space="preserve"> annexes au cahier des clauses techniques particulières</w:t>
      </w:r>
      <w:r w:rsidR="00B04D2F">
        <w:t> ;</w:t>
      </w:r>
    </w:p>
    <w:p w14:paraId="14D73B6C" w14:textId="20B68500" w:rsidR="000441C9" w:rsidRDefault="003C20A7" w:rsidP="00522205">
      <w:pPr>
        <w:pStyle w:val="Standard"/>
        <w:numPr>
          <w:ilvl w:val="0"/>
          <w:numId w:val="16"/>
        </w:numPr>
      </w:pPr>
      <w:proofErr w:type="gramStart"/>
      <w:r>
        <w:t>le</w:t>
      </w:r>
      <w:proofErr w:type="gramEnd"/>
      <w:r>
        <w:t xml:space="preserve"> cadre de réponse</w:t>
      </w:r>
      <w:r w:rsidR="00B04D2F">
        <w:t xml:space="preserve"> </w:t>
      </w:r>
      <w:r w:rsidR="00176112">
        <w:t xml:space="preserve">(annexe </w:t>
      </w:r>
      <w:r w:rsidR="00BC7893">
        <w:t xml:space="preserve">1 </w:t>
      </w:r>
      <w:r w:rsidR="00176112">
        <w:t>au RC)</w:t>
      </w:r>
      <w:r w:rsidR="00B04D2F">
        <w:t xml:space="preserve">. </w:t>
      </w:r>
    </w:p>
    <w:p w14:paraId="6FAA018B" w14:textId="77777777" w:rsidR="006859AB" w:rsidRDefault="006859AB" w:rsidP="00522205">
      <w:pPr>
        <w:pStyle w:val="Standard"/>
      </w:pPr>
    </w:p>
    <w:p w14:paraId="5BEA8DB3" w14:textId="77777777" w:rsidR="006859AB" w:rsidRDefault="006859AB" w:rsidP="00522205">
      <w:pPr>
        <w:pStyle w:val="Standard"/>
      </w:pPr>
      <w:r>
        <w:t>De plus, sont joints les documents administratifs suivants :</w:t>
      </w:r>
    </w:p>
    <w:p w14:paraId="504B01F7" w14:textId="77777777" w:rsidR="006859AB" w:rsidRDefault="006859AB" w:rsidP="00522205">
      <w:pPr>
        <w:pStyle w:val="Standard"/>
      </w:pPr>
      <w:r>
        <w:t>- DC1 lettre de candidature, DC2 déclaration du candidat, DC4 déclaration de sous-traitance et leurs notices explicatives ;</w:t>
      </w:r>
    </w:p>
    <w:p w14:paraId="070E8341" w14:textId="7DFAE72A" w:rsidR="006859AB" w:rsidRDefault="006859AB" w:rsidP="00522205">
      <w:pPr>
        <w:pStyle w:val="Standard"/>
      </w:pPr>
      <w:r>
        <w:t xml:space="preserve">- Modèle d’attestation sur l’honneur. </w:t>
      </w:r>
    </w:p>
    <w:p w14:paraId="3D9DFFCE" w14:textId="1A4AA27B" w:rsidR="00A03E79" w:rsidRDefault="00A03E79" w:rsidP="00522205">
      <w:pPr>
        <w:pStyle w:val="Standard"/>
      </w:pPr>
      <w:r>
        <w:t>- DUME</w:t>
      </w:r>
    </w:p>
    <w:bookmarkEnd w:id="24"/>
    <w:p w14:paraId="586BC8EE" w14:textId="77777777" w:rsidR="00B04D2F" w:rsidRDefault="00B04D2F" w:rsidP="00522205">
      <w:pPr>
        <w:pStyle w:val="Standard"/>
      </w:pPr>
    </w:p>
    <w:p w14:paraId="697A6FD6" w14:textId="77777777" w:rsidR="000441C9" w:rsidRDefault="003C20A7" w:rsidP="00522205">
      <w:pPr>
        <w:pStyle w:val="Titre1"/>
      </w:pPr>
      <w:bookmarkStart w:id="25" w:name="_Toc208580598"/>
      <w:r>
        <w:t>Principes généraux sur les échanges électroniques</w:t>
      </w:r>
      <w:bookmarkEnd w:id="25"/>
    </w:p>
    <w:p w14:paraId="1921586F" w14:textId="77777777" w:rsidR="000441C9" w:rsidRDefault="003C20A7" w:rsidP="00522205">
      <w:pPr>
        <w:pStyle w:val="Titre3"/>
      </w:pPr>
      <w:r>
        <w:t>Modalités de retrait et de consultation des documents</w:t>
      </w:r>
    </w:p>
    <w:p w14:paraId="2F4A5F2F" w14:textId="77777777" w:rsidR="000441C9" w:rsidRDefault="000441C9" w:rsidP="00522205">
      <w:pPr>
        <w:pStyle w:val="Standard"/>
      </w:pPr>
    </w:p>
    <w:p w14:paraId="02892752" w14:textId="14900FAC" w:rsidR="006859AB" w:rsidRDefault="006859AB" w:rsidP="00522205">
      <w:pPr>
        <w:pStyle w:val="Standard"/>
      </w:pPr>
      <w:bookmarkStart w:id="26" w:name="_Hlk181870087"/>
      <w:r>
        <w:t xml:space="preserve">Les documents de la consultation sont accessibles uniquement par voie électronique, sur la plate-forme des achats de l'Etat (PLACE) </w:t>
      </w:r>
      <w:hyperlink r:id="rId13" w:history="1">
        <w:r w:rsidRPr="00265CCF">
          <w:rPr>
            <w:rStyle w:val="Lienhypertexte"/>
          </w:rPr>
          <w:t>www.marches-publics.gouv.fr</w:t>
        </w:r>
      </w:hyperlink>
      <w:r>
        <w:t xml:space="preserve"> </w:t>
      </w:r>
    </w:p>
    <w:p w14:paraId="39A0012E" w14:textId="77777777" w:rsidR="00405F3E" w:rsidRDefault="00405F3E" w:rsidP="00522205">
      <w:pPr>
        <w:pStyle w:val="Standard"/>
      </w:pPr>
    </w:p>
    <w:p w14:paraId="4F5EF277" w14:textId="4E634169" w:rsidR="000441C9" w:rsidRDefault="006859AB" w:rsidP="00522205">
      <w:pPr>
        <w:pStyle w:val="Standard"/>
      </w:pPr>
      <w:r>
        <w:lastRenderedPageBreak/>
        <w:t xml:space="preserve">Le dossier est enregistré sous la référence : </w:t>
      </w:r>
      <w:r w:rsidR="00C317BE">
        <w:rPr>
          <w:b/>
          <w:bCs/>
        </w:rPr>
        <w:t>2025</w:t>
      </w:r>
      <w:r w:rsidR="008841F2">
        <w:rPr>
          <w:b/>
          <w:bCs/>
        </w:rPr>
        <w:t>-</w:t>
      </w:r>
      <w:r w:rsidR="00C317BE">
        <w:rPr>
          <w:b/>
          <w:bCs/>
        </w:rPr>
        <w:t>0</w:t>
      </w:r>
      <w:r w:rsidR="00BC7893">
        <w:rPr>
          <w:b/>
          <w:bCs/>
        </w:rPr>
        <w:t>15</w:t>
      </w:r>
    </w:p>
    <w:bookmarkEnd w:id="26"/>
    <w:p w14:paraId="5CE738E8" w14:textId="77777777" w:rsidR="000441C9" w:rsidRDefault="003C20A7" w:rsidP="00522205">
      <w:pPr>
        <w:pStyle w:val="Titre3"/>
      </w:pPr>
      <w:r>
        <w:t>Conditions de transmission des plis</w:t>
      </w:r>
    </w:p>
    <w:p w14:paraId="2D7F0389" w14:textId="77777777" w:rsidR="000441C9" w:rsidRDefault="000441C9" w:rsidP="00522205">
      <w:pPr>
        <w:pStyle w:val="Standard"/>
      </w:pPr>
    </w:p>
    <w:p w14:paraId="2580E668" w14:textId="77777777" w:rsidR="006859AB" w:rsidRDefault="006859AB" w:rsidP="00522205">
      <w:pPr>
        <w:pStyle w:val="Standard"/>
      </w:pPr>
      <w:bookmarkStart w:id="27" w:name="_Hlk181870142"/>
      <w:r>
        <w:t xml:space="preserve">Pour cette consultation, seuls sont autorisés les dépôts électroniques à l'adresse suivante : </w:t>
      </w:r>
      <w:hyperlink r:id="rId14" w:history="1">
        <w:r w:rsidRPr="00CB66FD">
          <w:rPr>
            <w:rStyle w:val="Lienhypertexte"/>
          </w:rPr>
          <w:t>https://www.marches-publics.gouv.fr</w:t>
        </w:r>
      </w:hyperlink>
    </w:p>
    <w:p w14:paraId="5D13E0B2" w14:textId="77777777" w:rsidR="006859AB" w:rsidRDefault="006859AB" w:rsidP="00522205">
      <w:pPr>
        <w:pStyle w:val="Standard"/>
      </w:pPr>
    </w:p>
    <w:p w14:paraId="5EA0005A" w14:textId="77777777" w:rsidR="006859AB" w:rsidRPr="00C5672F" w:rsidRDefault="006859AB" w:rsidP="00522205">
      <w:pPr>
        <w:pStyle w:val="Standard"/>
      </w:pPr>
      <w:r w:rsidRPr="00C32EE5">
        <w:t>En cas d'envois de plis successifs et conformément à l’arrêt "Société TDS" du Conseil d’Etat du 20 décembre 2021, l’acheteur considèrera le dernier pli réceptionné avant la date limite de remise des plis comme pli à prendre en compte au titre de l’offre et la candidature du soumissionnaire. Néanmoins, l’acheteur accepte d’ouvrir les plis précédents transmis par le même soumissionnaire s’ils s’avèrent complémentaires du dernier pli envoyé. Chaque pli sera donc ouvert si les circonstances l’exigent, tout en respectant le principe d’égalité de traitement des candidats.</w:t>
      </w:r>
    </w:p>
    <w:p w14:paraId="3B3A67EB" w14:textId="77777777" w:rsidR="006859AB" w:rsidRDefault="006859AB" w:rsidP="00522205">
      <w:pPr>
        <w:pStyle w:val="Standard"/>
      </w:pPr>
    </w:p>
    <w:p w14:paraId="4DFFA351" w14:textId="77777777" w:rsidR="006859AB" w:rsidRDefault="006859AB" w:rsidP="00522205">
      <w:pPr>
        <w:pStyle w:val="Standard"/>
      </w:pPr>
      <w:r>
        <w:t>Aucun envoi papier, par télécopie ou courriel ne sera accepté.</w:t>
      </w:r>
    </w:p>
    <w:p w14:paraId="63294127" w14:textId="77777777" w:rsidR="006859AB" w:rsidRDefault="006859AB" w:rsidP="00522205">
      <w:pPr>
        <w:pStyle w:val="Standard"/>
      </w:pPr>
    </w:p>
    <w:p w14:paraId="40B55022" w14:textId="77777777" w:rsidR="006859AB" w:rsidRDefault="006859AB" w:rsidP="00522205">
      <w:pPr>
        <w:pStyle w:val="Standard"/>
      </w:pPr>
      <w:r>
        <w:t>Le dépôt s'effectue uniquement en utilisant la fonctionnalité de dépôt de plis de la plate-forme. Pour ce faire :</w:t>
      </w:r>
    </w:p>
    <w:p w14:paraId="06CFEF76" w14:textId="77777777" w:rsidR="006859AB" w:rsidRDefault="006859AB" w:rsidP="00522205">
      <w:pPr>
        <w:pStyle w:val="Standard"/>
      </w:pPr>
      <w:r>
        <w:t>- Le candidat accède à la consultation avec le bouton « Accéder à cette consultation » depuis la colonne « Actions » du tableau de bord.</w:t>
      </w:r>
    </w:p>
    <w:p w14:paraId="722243CD" w14:textId="77777777" w:rsidR="006859AB" w:rsidRDefault="006859AB" w:rsidP="00522205">
      <w:pPr>
        <w:pStyle w:val="Standard"/>
      </w:pPr>
      <w:r>
        <w:t>- Puis, le candidat doit sélectionner l'onglet « Dépôt ».</w:t>
      </w:r>
    </w:p>
    <w:p w14:paraId="279009AF" w14:textId="77777777" w:rsidR="006859AB" w:rsidRDefault="006859AB" w:rsidP="00522205">
      <w:pPr>
        <w:pStyle w:val="Standard"/>
      </w:pPr>
    </w:p>
    <w:p w14:paraId="5BD03BF0" w14:textId="77777777" w:rsidR="006859AB" w:rsidRDefault="006859AB" w:rsidP="00522205">
      <w:pPr>
        <w:pStyle w:val="Standard"/>
      </w:pPr>
      <w:r>
        <w:t>La fonctionnalité de « Messagerie sécurisée » de PLACE ne doit pas être utilisée par le candidat pour déposer son pli. Celle-ci est réservée aux échanges et autres questions avec l'acheteur avant la date limite de remise des offres.</w:t>
      </w:r>
    </w:p>
    <w:p w14:paraId="5E985D52" w14:textId="77777777" w:rsidR="006859AB" w:rsidRDefault="006859AB" w:rsidP="00522205">
      <w:pPr>
        <w:pStyle w:val="Standard"/>
      </w:pPr>
    </w:p>
    <w:p w14:paraId="16410BA7" w14:textId="77777777" w:rsidR="006859AB" w:rsidRDefault="006859AB" w:rsidP="00522205">
      <w:pPr>
        <w:pStyle w:val="Standard"/>
      </w:pPr>
      <w:r>
        <w:t>Les frais d'accès au réseau et de recours à la signature électronique sont à la charge de chaque candidat/soumissionnaire.</w:t>
      </w:r>
    </w:p>
    <w:p w14:paraId="5868B89E" w14:textId="77777777" w:rsidR="006859AB" w:rsidRDefault="006859AB" w:rsidP="00522205">
      <w:pPr>
        <w:pStyle w:val="Standard"/>
      </w:pPr>
    </w:p>
    <w:p w14:paraId="447F7305" w14:textId="77777777" w:rsidR="006859AB" w:rsidRDefault="006859AB" w:rsidP="00522205">
      <w:pPr>
        <w:pStyle w:val="Standard"/>
      </w:pPr>
      <w:r>
        <w:t>Les candidats ou les soumissionnaires trouveront dans la rubrique « aide » de PLACE plusieurs documents et informations :</w:t>
      </w:r>
    </w:p>
    <w:p w14:paraId="686C56B0" w14:textId="77777777" w:rsidR="006859AB" w:rsidRDefault="006859AB" w:rsidP="00522205">
      <w:pPr>
        <w:pStyle w:val="Standard"/>
      </w:pPr>
      <w:r>
        <w:t xml:space="preserve">- guide utilisateur téléchargeable, précisant les conditions d'utilisations de la plate-forme des achats de l'État, notamment les </w:t>
      </w:r>
      <w:proofErr w:type="spellStart"/>
      <w:r>
        <w:t>pré-requis</w:t>
      </w:r>
      <w:proofErr w:type="spellEnd"/>
      <w:r>
        <w:t xml:space="preserve"> techniques et certificats électroniques ;</w:t>
      </w:r>
    </w:p>
    <w:p w14:paraId="1F468FE8" w14:textId="77777777" w:rsidR="006859AB" w:rsidRDefault="006859AB" w:rsidP="00522205">
      <w:pPr>
        <w:pStyle w:val="Standard"/>
      </w:pPr>
      <w:r>
        <w:t>- mode opératoire DUME pour les opérateurs ;</w:t>
      </w:r>
    </w:p>
    <w:p w14:paraId="710B7552" w14:textId="77777777" w:rsidR="006859AB" w:rsidRDefault="006859AB" w:rsidP="00522205">
      <w:pPr>
        <w:pStyle w:val="Standard"/>
      </w:pPr>
      <w:r>
        <w:t>- assistance téléphonique ;</w:t>
      </w:r>
    </w:p>
    <w:p w14:paraId="5FA0B3E9" w14:textId="77777777" w:rsidR="006859AB" w:rsidRDefault="006859AB" w:rsidP="00522205">
      <w:pPr>
        <w:pStyle w:val="Standard"/>
      </w:pPr>
      <w:r>
        <w:t xml:space="preserve">- module d'autoformation à destination des </w:t>
      </w:r>
      <w:proofErr w:type="gramStart"/>
      <w:r>
        <w:t>opérateurs;</w:t>
      </w:r>
      <w:proofErr w:type="gramEnd"/>
    </w:p>
    <w:p w14:paraId="3322EBDB" w14:textId="77777777" w:rsidR="006859AB" w:rsidRDefault="006859AB" w:rsidP="00522205">
      <w:pPr>
        <w:pStyle w:val="Standard"/>
      </w:pPr>
      <w:r>
        <w:t>- foire aux questions ;</w:t>
      </w:r>
    </w:p>
    <w:p w14:paraId="5DBEEDD9" w14:textId="77777777" w:rsidR="006859AB" w:rsidRDefault="006859AB" w:rsidP="00522205">
      <w:pPr>
        <w:pStyle w:val="Standard"/>
      </w:pPr>
      <w:r>
        <w:t>- lien vers des documents de référence ;</w:t>
      </w:r>
    </w:p>
    <w:p w14:paraId="00B78E01" w14:textId="77777777" w:rsidR="006859AB" w:rsidRDefault="006859AB" w:rsidP="00522205">
      <w:pPr>
        <w:pStyle w:val="Standard"/>
      </w:pPr>
      <w:r>
        <w:t>- outils informatiques.</w:t>
      </w:r>
    </w:p>
    <w:p w14:paraId="1CCF6C9F" w14:textId="77777777" w:rsidR="006859AB" w:rsidRDefault="006859AB" w:rsidP="00522205">
      <w:pPr>
        <w:pStyle w:val="Standard"/>
      </w:pPr>
    </w:p>
    <w:p w14:paraId="5C86C257" w14:textId="77777777" w:rsidR="006859AB" w:rsidRDefault="006859AB" w:rsidP="00522205">
      <w:pPr>
        <w:pStyle w:val="Standard"/>
      </w:pPr>
      <w:r>
        <w:t>Les candidats ou les soumissionnaires sont invités à tester la configuration de leur poste de travail et répondre à une consultation test, afin de s'assurer du bon fonctionnement de l'environnement informatique.</w:t>
      </w:r>
    </w:p>
    <w:p w14:paraId="38DA59E3" w14:textId="77777777" w:rsidR="006859AB" w:rsidRDefault="006859AB" w:rsidP="00522205">
      <w:pPr>
        <w:pStyle w:val="Standard"/>
      </w:pPr>
    </w:p>
    <w:p w14:paraId="2BB72631" w14:textId="77777777" w:rsidR="006859AB" w:rsidRDefault="006859AB" w:rsidP="00522205">
      <w:pPr>
        <w:pStyle w:val="Standard"/>
      </w:pPr>
      <w:r>
        <w:t>Ils doivent également prévoir le temps nécessaire pour que le dépôt soit effectif dans le délai fixé par l'acheteur, notamment lorsque les fichiers sont volumineux et/ou si le réseau à un faible débit. Attention, les plis dont le téléchargement a commencé avant la date et l'heure limite mais s'est achevé hors délai sont éliminés par l'acheteur.</w:t>
      </w:r>
    </w:p>
    <w:p w14:paraId="2C40FFA4" w14:textId="77777777" w:rsidR="006859AB" w:rsidRDefault="006859AB" w:rsidP="00522205">
      <w:pPr>
        <w:pStyle w:val="Standard"/>
      </w:pPr>
    </w:p>
    <w:p w14:paraId="549C0840" w14:textId="77777777" w:rsidR="006859AB" w:rsidRDefault="006859AB" w:rsidP="00522205">
      <w:pPr>
        <w:pStyle w:val="Standard"/>
      </w:pPr>
      <w:r>
        <w:t>Par ailleurs, la plate-forme déconnecte automatiquement l'utilisateur en cas d'inactivité supérieure à trente minutes.</w:t>
      </w:r>
    </w:p>
    <w:p w14:paraId="00F558A5" w14:textId="77777777" w:rsidR="006859AB" w:rsidRDefault="006859AB" w:rsidP="00522205">
      <w:pPr>
        <w:pStyle w:val="Standard"/>
      </w:pPr>
    </w:p>
    <w:p w14:paraId="5F5659CD" w14:textId="77777777" w:rsidR="006859AB" w:rsidRDefault="006859AB" w:rsidP="00522205">
      <w:pPr>
        <w:pStyle w:val="Standard"/>
      </w:pPr>
      <w:r>
        <w:t xml:space="preserve">Les candidats ou les soumissionnaires ont la possibilité de poser des questions sur les documents de la </w:t>
      </w:r>
      <w:r>
        <w:lastRenderedPageBreak/>
        <w:t>consultation.</w:t>
      </w:r>
    </w:p>
    <w:p w14:paraId="0EBFFF98" w14:textId="77777777" w:rsidR="006859AB" w:rsidRDefault="006859AB" w:rsidP="00522205">
      <w:pPr>
        <w:pStyle w:val="Standard"/>
      </w:pPr>
    </w:p>
    <w:p w14:paraId="76BD1B4B" w14:textId="77777777" w:rsidR="006859AB" w:rsidRDefault="006859AB" w:rsidP="00522205">
      <w:pPr>
        <w:pStyle w:val="Standard"/>
      </w:pPr>
      <w: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4FCD0B79" w14:textId="77777777" w:rsidR="006859AB" w:rsidRDefault="006859AB" w:rsidP="00522205">
      <w:pPr>
        <w:pStyle w:val="Standard"/>
      </w:pPr>
    </w:p>
    <w:p w14:paraId="083E0B49" w14:textId="77777777" w:rsidR="006859AB" w:rsidRDefault="006859AB" w:rsidP="00522205">
      <w:pPr>
        <w:pStyle w:val="Standard"/>
      </w:pPr>
      <w:r>
        <w:t>L'absence de message de confirmation de bonne réception ou d'accusé de réception électronique signifie que la réponse n'est pas parvenue à l'acheteur.</w:t>
      </w:r>
    </w:p>
    <w:p w14:paraId="4F439954" w14:textId="77777777" w:rsidR="006859AB" w:rsidRDefault="006859AB" w:rsidP="00522205">
      <w:pPr>
        <w:pStyle w:val="Standard"/>
      </w:pPr>
    </w:p>
    <w:p w14:paraId="6F5E12FD" w14:textId="77777777" w:rsidR="006859AB" w:rsidRDefault="006859AB" w:rsidP="00522205">
      <w:pPr>
        <w:pStyle w:val="Standard"/>
      </w:pPr>
      <w:r>
        <w:t xml:space="preserve">L'opérateur économique s'assure que les messages envoyés par la Plate-forme des achats de l'État (PLACE) notamment, </w:t>
      </w:r>
      <w:hyperlink r:id="rId15" w:history="1">
        <w:r w:rsidRPr="00262D30">
          <w:rPr>
            <w:rStyle w:val="Lienhypertexte"/>
          </w:rPr>
          <w:t>nepasrepondre@marches-publics.gouv.fr</w:t>
        </w:r>
      </w:hyperlink>
      <w:r>
        <w:t xml:space="preserve"> , ne sont pas traités comme des courriels indésirables.</w:t>
      </w:r>
    </w:p>
    <w:p w14:paraId="070B6E32" w14:textId="77777777" w:rsidR="006859AB" w:rsidRDefault="006859AB" w:rsidP="00522205">
      <w:pPr>
        <w:pStyle w:val="Standard"/>
      </w:pPr>
    </w:p>
    <w:p w14:paraId="6C8E8034" w14:textId="77777777" w:rsidR="006859AB" w:rsidRDefault="006859AB" w:rsidP="00522205">
      <w:pPr>
        <w:pStyle w:val="Standard"/>
      </w:pPr>
      <w:r>
        <w:t>Présentation des dossiers et format des fichiers</w:t>
      </w:r>
    </w:p>
    <w:p w14:paraId="31D93FB4" w14:textId="77777777" w:rsidR="006859AB" w:rsidRDefault="006859AB" w:rsidP="00522205">
      <w:pPr>
        <w:pStyle w:val="Standard"/>
      </w:pPr>
      <w:r>
        <w:t>Les formats acceptés sont les suivants : .</w:t>
      </w:r>
      <w:proofErr w:type="spellStart"/>
      <w:r>
        <w:t>pdf</w:t>
      </w:r>
      <w:proofErr w:type="spellEnd"/>
      <w:r>
        <w:t>, .doc, .</w:t>
      </w:r>
      <w:proofErr w:type="spellStart"/>
      <w:r>
        <w:t>xls</w:t>
      </w:r>
      <w:proofErr w:type="spellEnd"/>
      <w:r>
        <w:t>, .</w:t>
      </w:r>
      <w:proofErr w:type="spellStart"/>
      <w:r>
        <w:t>ppt</w:t>
      </w:r>
      <w:proofErr w:type="spellEnd"/>
      <w:r>
        <w:t>, .</w:t>
      </w:r>
      <w:proofErr w:type="spellStart"/>
      <w:proofErr w:type="gramStart"/>
      <w:r>
        <w:t>odt</w:t>
      </w:r>
      <w:proofErr w:type="spellEnd"/>
      <w:r>
        <w:t xml:space="preserve"> ,</w:t>
      </w:r>
      <w:proofErr w:type="gramEnd"/>
      <w:r>
        <w:t xml:space="preserve"> .</w:t>
      </w:r>
      <w:proofErr w:type="spellStart"/>
      <w:r>
        <w:t>ods</w:t>
      </w:r>
      <w:proofErr w:type="spellEnd"/>
      <w:r>
        <w:t>, .</w:t>
      </w:r>
      <w:proofErr w:type="spellStart"/>
      <w:r>
        <w:t>odp</w:t>
      </w:r>
      <w:proofErr w:type="spellEnd"/>
      <w:r>
        <w:t>, ainsi que les formats images .jpg, .png et les documents au format .html.</w:t>
      </w:r>
    </w:p>
    <w:p w14:paraId="766DBD1F" w14:textId="77777777" w:rsidR="006859AB" w:rsidRDefault="006859AB" w:rsidP="00522205">
      <w:pPr>
        <w:pStyle w:val="Standard"/>
      </w:pPr>
      <w:r>
        <w:t>Le candidat ou le soumissionnaire ne doit pas utiliser de code actif dans sa réponse, tels que :</w:t>
      </w:r>
    </w:p>
    <w:p w14:paraId="6AFD3B35" w14:textId="77777777" w:rsidR="006859AB" w:rsidRDefault="006859AB" w:rsidP="00522205">
      <w:pPr>
        <w:pStyle w:val="Standard"/>
      </w:pPr>
      <w:r>
        <w:t>- Formats exécutables, notamment : .exe, .com, .</w:t>
      </w:r>
      <w:proofErr w:type="spellStart"/>
      <w:r>
        <w:t>scr</w:t>
      </w:r>
      <w:proofErr w:type="spellEnd"/>
    </w:p>
    <w:p w14:paraId="0FD53E4B" w14:textId="77777777" w:rsidR="006859AB" w:rsidRDefault="006859AB" w:rsidP="00522205">
      <w:pPr>
        <w:pStyle w:val="Standard"/>
      </w:pPr>
      <w:r>
        <w:t>- Macros ;</w:t>
      </w:r>
    </w:p>
    <w:p w14:paraId="02C3753A" w14:textId="77777777" w:rsidR="006859AB" w:rsidRDefault="006859AB" w:rsidP="00522205">
      <w:pPr>
        <w:pStyle w:val="Standard"/>
      </w:pPr>
      <w:r>
        <w:t>- ActiveX, Applets, scripts</w:t>
      </w:r>
    </w:p>
    <w:p w14:paraId="1F74EB78" w14:textId="77777777" w:rsidR="006859AB" w:rsidRDefault="006859AB" w:rsidP="00522205">
      <w:pPr>
        <w:pStyle w:val="Standard"/>
      </w:pPr>
    </w:p>
    <w:p w14:paraId="637A1351" w14:textId="77777777" w:rsidR="006859AB" w:rsidRDefault="006859AB" w:rsidP="00522205">
      <w:pPr>
        <w:pStyle w:val="Standard"/>
      </w:pPr>
      <w:r>
        <w:t>La taille de chaque fichier déposé par les entreprises ne peut excéder 1 Go.</w:t>
      </w:r>
    </w:p>
    <w:p w14:paraId="5D43E829" w14:textId="77777777" w:rsidR="006859AB" w:rsidRDefault="006859AB" w:rsidP="00522205">
      <w:pPr>
        <w:pStyle w:val="Standard"/>
      </w:pPr>
    </w:p>
    <w:p w14:paraId="112E4FA7" w14:textId="5C3DC889" w:rsidR="006859AB" w:rsidRPr="006859AB" w:rsidRDefault="006859AB" w:rsidP="00522205">
      <w:pPr>
        <w:pStyle w:val="Standard"/>
      </w:pPr>
      <w:r w:rsidRPr="006859AB">
        <w:t>Horodatage</w:t>
      </w:r>
      <w:r>
        <w:t> :</w:t>
      </w:r>
    </w:p>
    <w:p w14:paraId="38B27C94" w14:textId="77777777" w:rsidR="006859AB" w:rsidRDefault="006859AB" w:rsidP="00522205">
      <w:pPr>
        <w:pStyle w:val="Standard"/>
      </w:pPr>
      <w:r>
        <w:t xml:space="preserve">Les plis (candidatures et/ou offres) transmis par voie électronique sont horodatés. Les plis reçus après la date et l'heure </w:t>
      </w:r>
      <w:proofErr w:type="gramStart"/>
      <w:r>
        <w:t>limite fixées</w:t>
      </w:r>
      <w:proofErr w:type="gramEnd"/>
      <w:r>
        <w:t xml:space="preserve"> par la présente consultation sont considérés comme hors délai et sont rejetés.</w:t>
      </w:r>
    </w:p>
    <w:p w14:paraId="32621B79" w14:textId="77777777" w:rsidR="006859AB" w:rsidRDefault="006859AB" w:rsidP="00522205">
      <w:pPr>
        <w:pStyle w:val="Standard"/>
      </w:pPr>
      <w:r>
        <w:t>En cas d'indisponibilité de la plate-forme, la date et l'heure limite de remise des plis peuvent être modifiées.</w:t>
      </w:r>
    </w:p>
    <w:p w14:paraId="78C4C566" w14:textId="77777777" w:rsidR="006859AB" w:rsidRDefault="006859AB" w:rsidP="00522205">
      <w:pPr>
        <w:pStyle w:val="Standard"/>
      </w:pPr>
    </w:p>
    <w:p w14:paraId="2FD5CF18" w14:textId="77777777" w:rsidR="006859AB" w:rsidRPr="006859AB" w:rsidRDefault="006859AB" w:rsidP="00522205">
      <w:pPr>
        <w:pStyle w:val="Standard"/>
      </w:pPr>
      <w:r w:rsidRPr="006859AB">
        <w:t>Copie de sauvegarde papier / physique électronique</w:t>
      </w:r>
    </w:p>
    <w:p w14:paraId="3927C2BA" w14:textId="77777777" w:rsidR="006859AB" w:rsidRDefault="006859AB" w:rsidP="00522205">
      <w:pPr>
        <w:pStyle w:val="Standard"/>
      </w:pPr>
      <w:r>
        <w:t>Le candidat ou le soumissionnaire peut faire parvenir une copie de sauvegarde dans les délais impartis pour la remise des candidatures ou des offres.</w:t>
      </w:r>
    </w:p>
    <w:p w14:paraId="45663475" w14:textId="77777777" w:rsidR="006859AB" w:rsidRDefault="006859AB" w:rsidP="00522205">
      <w:pPr>
        <w:pStyle w:val="Standard"/>
      </w:pPr>
    </w:p>
    <w:p w14:paraId="7CF75301" w14:textId="77777777" w:rsidR="006859AB" w:rsidRDefault="006859AB" w:rsidP="00522205">
      <w:pPr>
        <w:pStyle w:val="Standard"/>
      </w:pPr>
      <w:r>
        <w:t>Cette copie de sauvegarde, transmise à l'acheteur sur support papier ou sur support physique électronique doit être placée dans un pli comportant les mentions suivantes :</w:t>
      </w:r>
    </w:p>
    <w:p w14:paraId="373839C9" w14:textId="77777777" w:rsidR="006859AB" w:rsidRDefault="006859AB" w:rsidP="00522205">
      <w:pPr>
        <w:pStyle w:val="Standard"/>
      </w:pPr>
      <w:r>
        <w:t>- « Copie de sauvegarde » ;</w:t>
      </w:r>
    </w:p>
    <w:p w14:paraId="030DA792" w14:textId="77777777" w:rsidR="006859AB" w:rsidRDefault="006859AB" w:rsidP="00522205">
      <w:pPr>
        <w:pStyle w:val="Standard"/>
      </w:pPr>
      <w:r>
        <w:t>- Intitulé de la consultation ;</w:t>
      </w:r>
    </w:p>
    <w:p w14:paraId="3DE22D75" w14:textId="77777777" w:rsidR="006859AB" w:rsidRDefault="006859AB" w:rsidP="00522205">
      <w:pPr>
        <w:pStyle w:val="Standard"/>
      </w:pPr>
      <w:r>
        <w:t>- Nom ou dénomination du candidat.</w:t>
      </w:r>
    </w:p>
    <w:p w14:paraId="28F6BBCC" w14:textId="77777777" w:rsidR="006859AB" w:rsidRDefault="006859AB" w:rsidP="00522205">
      <w:pPr>
        <w:pStyle w:val="Standard"/>
      </w:pPr>
    </w:p>
    <w:p w14:paraId="1C8F46DF" w14:textId="77777777" w:rsidR="006859AB" w:rsidRDefault="006859AB" w:rsidP="00522205">
      <w:pPr>
        <w:pStyle w:val="Standard"/>
      </w:pPr>
      <w:r>
        <w:t>La copie de sauvegarde ne peut être ouverte que dans les deux cas suivants :</w:t>
      </w:r>
    </w:p>
    <w:p w14:paraId="3F9E909C" w14:textId="77777777" w:rsidR="006859AB" w:rsidRDefault="006859AB" w:rsidP="00522205">
      <w:pPr>
        <w:pStyle w:val="Standard"/>
      </w:pPr>
      <w:r>
        <w:t>- en cas de détection d'un programme informatique malveillant dans les candidatures ou les offres transmises par voie électronique ;</w:t>
      </w:r>
    </w:p>
    <w:p w14:paraId="411E81F8" w14:textId="77777777" w:rsidR="006859AB" w:rsidRDefault="006859AB" w:rsidP="00522205">
      <w:pPr>
        <w:pStyle w:val="Standard"/>
      </w:pPr>
      <w: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4A6CE401" w14:textId="77777777" w:rsidR="006859AB" w:rsidRDefault="006859AB" w:rsidP="00522205">
      <w:pPr>
        <w:pStyle w:val="Standard"/>
      </w:pPr>
    </w:p>
    <w:p w14:paraId="4E73DD31" w14:textId="77777777" w:rsidR="006859AB" w:rsidRDefault="006859AB" w:rsidP="00522205">
      <w:pPr>
        <w:pStyle w:val="Standard"/>
      </w:pPr>
      <w:r>
        <w:t>Si un programme informatique malveillant est détecté, la copie de sauvegarde est écartée par l'acheteur.</w:t>
      </w:r>
    </w:p>
    <w:p w14:paraId="4DF9910B" w14:textId="77777777" w:rsidR="006859AB" w:rsidRDefault="006859AB" w:rsidP="00522205">
      <w:pPr>
        <w:pStyle w:val="Standard"/>
      </w:pPr>
    </w:p>
    <w:p w14:paraId="7A3E3094" w14:textId="77777777" w:rsidR="006859AB" w:rsidRDefault="006859AB" w:rsidP="00522205">
      <w:pPr>
        <w:pStyle w:val="Standard"/>
      </w:pPr>
      <w:r>
        <w:t xml:space="preserve">La copie de sauvegarde ouverte est conservée en cas d'ouverture conformément aux dispositions des articles R.2184-12 et R.2184-13 du code de la commande publique. Si au contraire elle n'a pas été ouverte ou si elle a été écartée </w:t>
      </w:r>
      <w:proofErr w:type="gramStart"/>
      <w:r>
        <w:t>suite à</w:t>
      </w:r>
      <w:proofErr w:type="gramEnd"/>
      <w:r>
        <w:t xml:space="preserve"> la détection d'un programme malveillant, celle-ci est détruite.</w:t>
      </w:r>
    </w:p>
    <w:p w14:paraId="3EDA98F3" w14:textId="77777777" w:rsidR="006859AB" w:rsidRDefault="006859AB" w:rsidP="00522205">
      <w:pPr>
        <w:pStyle w:val="Standard"/>
      </w:pPr>
    </w:p>
    <w:p w14:paraId="632A6D6E" w14:textId="5D1C9048" w:rsidR="006859AB" w:rsidRDefault="006859AB" w:rsidP="00522205">
      <w:pPr>
        <w:pStyle w:val="Standard"/>
        <w:rPr>
          <w:b/>
        </w:rPr>
      </w:pPr>
      <w:r>
        <w:lastRenderedPageBreak/>
        <w:t xml:space="preserve">Le candidat ou le soumissionnaire qui envoie sa copie de sauvegarde </w:t>
      </w:r>
      <w:r w:rsidR="008841F2">
        <w:t>en courrier recommandé avec AR</w:t>
      </w:r>
      <w:r>
        <w:t xml:space="preserve">, le fait à l'adresse suivante : </w:t>
      </w:r>
    </w:p>
    <w:p w14:paraId="6DB4F5EA" w14:textId="77777777" w:rsidR="006859AB" w:rsidRDefault="006859AB" w:rsidP="00522205">
      <w:pPr>
        <w:pStyle w:val="Standard"/>
      </w:pPr>
    </w:p>
    <w:p w14:paraId="524B13DC" w14:textId="77777777" w:rsidR="006859AB" w:rsidRPr="00BC7893" w:rsidRDefault="006859AB" w:rsidP="00522205">
      <w:pPr>
        <w:pStyle w:val="Standard"/>
      </w:pPr>
      <w:r w:rsidRPr="00BC7893">
        <w:t>Archives nationales</w:t>
      </w:r>
    </w:p>
    <w:p w14:paraId="2545B085" w14:textId="77777777" w:rsidR="006859AB" w:rsidRPr="00BC7893" w:rsidRDefault="006859AB" w:rsidP="00522205">
      <w:pPr>
        <w:pStyle w:val="Standard"/>
      </w:pPr>
      <w:r w:rsidRPr="00BC7893">
        <w:t>Direction administrative et financière – Service Juridique</w:t>
      </w:r>
    </w:p>
    <w:p w14:paraId="38965349" w14:textId="77777777" w:rsidR="005B017F" w:rsidRPr="00BC7893" w:rsidRDefault="006859AB" w:rsidP="00522205">
      <w:pPr>
        <w:pStyle w:val="Standard"/>
      </w:pPr>
      <w:r w:rsidRPr="00BC7893">
        <w:t xml:space="preserve">59, rue Guynemer </w:t>
      </w:r>
    </w:p>
    <w:p w14:paraId="7D91B0BC" w14:textId="140169C5" w:rsidR="006859AB" w:rsidRPr="00BC7893" w:rsidRDefault="006859AB" w:rsidP="00522205">
      <w:pPr>
        <w:pStyle w:val="Standard"/>
      </w:pPr>
      <w:r w:rsidRPr="00BC7893">
        <w:t>90 001</w:t>
      </w:r>
      <w:r w:rsidR="005B017F" w:rsidRPr="00BC7893">
        <w:t xml:space="preserve"> Pierrefitte-sur-Seine </w:t>
      </w:r>
    </w:p>
    <w:p w14:paraId="59361501" w14:textId="7B998944" w:rsidR="006859AB" w:rsidRPr="00BC7893" w:rsidRDefault="006859AB" w:rsidP="00522205">
      <w:pPr>
        <w:pStyle w:val="Standard"/>
      </w:pPr>
      <w:r w:rsidRPr="00BC7893">
        <w:t xml:space="preserve">93 383 </w:t>
      </w:r>
      <w:r w:rsidR="005B017F" w:rsidRPr="00BC7893">
        <w:t>SAINT-DENIS</w:t>
      </w:r>
    </w:p>
    <w:p w14:paraId="045CF02F" w14:textId="79893B9F" w:rsidR="006859AB" w:rsidRDefault="006859AB" w:rsidP="00522205">
      <w:pPr>
        <w:pStyle w:val="Standard"/>
      </w:pPr>
      <w:r w:rsidRPr="00C17FC2">
        <w:t>Avec la mention ; “Copie de sauvegarde –</w:t>
      </w:r>
      <w:r w:rsidR="00003557" w:rsidRPr="00003557">
        <w:t xml:space="preserve"> </w:t>
      </w:r>
      <w:r w:rsidR="00BC7893" w:rsidRPr="00BC7893">
        <w:t>Marché de prestations de sauvegarde, restauration physique et de numérisation patrimoniale d’archives sonores conserv</w:t>
      </w:r>
      <w:r w:rsidR="00406704">
        <w:t>é</w:t>
      </w:r>
      <w:r w:rsidR="00BC7893" w:rsidRPr="00BC7893">
        <w:t>es aux archives nationales</w:t>
      </w:r>
      <w:r w:rsidR="00BC7893">
        <w:t>.</w:t>
      </w:r>
    </w:p>
    <w:p w14:paraId="6C196378" w14:textId="77777777" w:rsidR="00BC7893" w:rsidRDefault="00BC7893" w:rsidP="00522205">
      <w:pPr>
        <w:pStyle w:val="Standard"/>
      </w:pPr>
    </w:p>
    <w:p w14:paraId="7C76DFB6" w14:textId="28EB4D5A" w:rsidR="006859AB" w:rsidRPr="006859AB" w:rsidRDefault="006859AB" w:rsidP="00522205">
      <w:pPr>
        <w:pStyle w:val="Standard"/>
      </w:pPr>
      <w:r w:rsidRPr="00BC7893">
        <w:t>Copie de sauvegarde électronique</w:t>
      </w:r>
      <w:r w:rsidR="00D94D54">
        <w:t> :</w:t>
      </w:r>
    </w:p>
    <w:p w14:paraId="4F110C3B" w14:textId="77777777" w:rsidR="006859AB" w:rsidRDefault="006859AB" w:rsidP="00522205">
      <w:pPr>
        <w:pStyle w:val="Standard"/>
      </w:pPr>
      <w:r>
        <w:t>Le dépôt d'une copie de sauvegarde électronique n’est pas autorisé dans la présente consultation.</w:t>
      </w:r>
    </w:p>
    <w:p w14:paraId="5C0F0448" w14:textId="77777777" w:rsidR="006859AB" w:rsidRDefault="006859AB" w:rsidP="00522205">
      <w:pPr>
        <w:pStyle w:val="Standard"/>
      </w:pPr>
    </w:p>
    <w:p w14:paraId="4724179F" w14:textId="77777777" w:rsidR="006859AB" w:rsidRPr="00BC7893" w:rsidRDefault="006859AB" w:rsidP="00522205">
      <w:pPr>
        <w:pStyle w:val="Standard"/>
      </w:pPr>
      <w:r w:rsidRPr="00BC7893">
        <w:t>Antivirus</w:t>
      </w:r>
    </w:p>
    <w:p w14:paraId="4EAB03F4" w14:textId="77777777" w:rsidR="006859AB" w:rsidRDefault="006859AB" w:rsidP="00522205">
      <w:pPr>
        <w:pStyle w:val="Standard"/>
      </w:pPr>
      <w:r>
        <w:t>Le candidat ou le soumissionnaire doit s'assurer que les fichiers transmis ne comportent pas de virus.</w:t>
      </w:r>
    </w:p>
    <w:p w14:paraId="11C395A3" w14:textId="77777777" w:rsidR="006859AB" w:rsidRDefault="006859AB" w:rsidP="00522205">
      <w:pPr>
        <w:pStyle w:val="Standard"/>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p>
    <w:bookmarkEnd w:id="27"/>
    <w:p w14:paraId="35F28013" w14:textId="77777777" w:rsidR="000441C9" w:rsidRDefault="003C20A7" w:rsidP="00522205">
      <w:pPr>
        <w:pStyle w:val="Titre3"/>
      </w:pPr>
      <w:r>
        <w:t>Date et heure de réception des plis</w:t>
      </w:r>
    </w:p>
    <w:p w14:paraId="20825BF7" w14:textId="77777777" w:rsidR="00405F3E" w:rsidRDefault="00405F3E" w:rsidP="00522205">
      <w:pPr>
        <w:pStyle w:val="Standard"/>
      </w:pPr>
    </w:p>
    <w:p w14:paraId="1A80D3FD" w14:textId="038AAC5E" w:rsidR="000441C9" w:rsidRDefault="003C20A7" w:rsidP="00522205">
      <w:pPr>
        <w:pStyle w:val="Standard"/>
      </w:pPr>
      <w:bookmarkStart w:id="28" w:name="_Hlk181870282"/>
      <w:r>
        <w:t xml:space="preserve">Les plis devront être transmis au plus tard le </w:t>
      </w:r>
      <w:r w:rsidR="00BC7893">
        <w:rPr>
          <w:b/>
          <w:bCs/>
          <w:highlight w:val="yellow"/>
        </w:rPr>
        <w:t>20/10</w:t>
      </w:r>
      <w:r w:rsidR="00CC44D5" w:rsidRPr="00CC44D5">
        <w:rPr>
          <w:b/>
          <w:bCs/>
          <w:highlight w:val="yellow"/>
        </w:rPr>
        <w:t>/2025</w:t>
      </w:r>
      <w:r w:rsidR="00CC44D5" w:rsidRPr="00CC44D5">
        <w:rPr>
          <w:b/>
          <w:bCs/>
        </w:rPr>
        <w:t xml:space="preserve"> </w:t>
      </w:r>
      <w:r w:rsidR="00D94D54" w:rsidRPr="00D94D54">
        <w:rPr>
          <w:b/>
          <w:bCs/>
          <w:highlight w:val="yellow"/>
        </w:rPr>
        <w:t>à 15h00.</w:t>
      </w:r>
    </w:p>
    <w:p w14:paraId="5B51480E" w14:textId="77777777" w:rsidR="000441C9" w:rsidRDefault="003C20A7" w:rsidP="00522205">
      <w:pPr>
        <w:pStyle w:val="Standard"/>
      </w:pPr>
      <w:r>
        <w:t>Seuls peuvent être ouverts les plis qui ont été reçus au plus tard à la date et à l'heure limites mentionnées ci-dessus. Les plis qui sont reçus ou remis après ces date et heure ne sont pas ouverts.</w:t>
      </w:r>
    </w:p>
    <w:p w14:paraId="5846354C" w14:textId="77777777" w:rsidR="000441C9" w:rsidRDefault="003C20A7" w:rsidP="00522205">
      <w:pPr>
        <w:pStyle w:val="Standard"/>
      </w:pPr>
      <w:r>
        <w:t>Les plis et la "copie de sauvegarde" parvenus hors délai sont inscrits au registre des dépôts et sont rejetés.</w:t>
      </w:r>
    </w:p>
    <w:bookmarkEnd w:id="28"/>
    <w:p w14:paraId="18779A40" w14:textId="77777777" w:rsidR="000441C9" w:rsidRDefault="003C20A7" w:rsidP="00522205">
      <w:pPr>
        <w:pStyle w:val="Titre3"/>
      </w:pPr>
      <w:r>
        <w:t>Demandes de renseignements complémentaires et questions</w:t>
      </w:r>
    </w:p>
    <w:p w14:paraId="3F654378" w14:textId="77777777" w:rsidR="000441C9" w:rsidRDefault="000441C9" w:rsidP="00522205">
      <w:pPr>
        <w:pStyle w:val="Standard"/>
      </w:pPr>
    </w:p>
    <w:p w14:paraId="0FADC713" w14:textId="5BB5DCBB" w:rsidR="000441C9" w:rsidRDefault="003C20A7" w:rsidP="00522205">
      <w:pPr>
        <w:pStyle w:val="Standard"/>
      </w:pPr>
      <w:bookmarkStart w:id="29" w:name="_Hlk181870393"/>
      <w:r>
        <w:t xml:space="preserve">Pendant la phase de consultation, les candidats peuvent faire parvenir leurs questions et les demandes de renseignements complémentaires sur la plate-forme des achats de l'Etat (PLACE) : </w:t>
      </w:r>
      <w:hyperlink r:id="rId16" w:history="1">
        <w:r w:rsidR="00B73D1F" w:rsidRPr="00265CCF">
          <w:rPr>
            <w:rStyle w:val="Lienhypertexte"/>
          </w:rPr>
          <w:t>https://www.marches-publics.gouv.fr</w:t>
        </w:r>
      </w:hyperlink>
      <w:r w:rsidR="00B73D1F">
        <w:t xml:space="preserve"> </w:t>
      </w:r>
    </w:p>
    <w:p w14:paraId="18BAED7C" w14:textId="6AE1D463" w:rsidR="000441C9" w:rsidRDefault="000441C9" w:rsidP="00522205">
      <w:pPr>
        <w:pStyle w:val="Standard"/>
      </w:pPr>
    </w:p>
    <w:p w14:paraId="56356FC2" w14:textId="5B14E0A8" w:rsidR="000441C9" w:rsidRDefault="00B73D1F" w:rsidP="00522205">
      <w:pPr>
        <w:pStyle w:val="Standard"/>
      </w:pPr>
      <w:r w:rsidRPr="00B73D1F">
        <w:t xml:space="preserve">Les réponses aux demandes de renseignements complémentaires reçues en temps utile au plus tard le </w:t>
      </w:r>
      <w:r w:rsidR="00BC7893">
        <w:rPr>
          <w:b/>
          <w:bCs/>
          <w:highlight w:val="yellow"/>
          <w:u w:val="single"/>
        </w:rPr>
        <w:t>10</w:t>
      </w:r>
      <w:r w:rsidR="00674021" w:rsidRPr="00D94D54">
        <w:rPr>
          <w:b/>
          <w:bCs/>
          <w:highlight w:val="yellow"/>
          <w:u w:val="single"/>
        </w:rPr>
        <w:t>/</w:t>
      </w:r>
      <w:r w:rsidR="00BC7893">
        <w:rPr>
          <w:b/>
          <w:bCs/>
          <w:highlight w:val="yellow"/>
          <w:u w:val="single"/>
        </w:rPr>
        <w:t>10</w:t>
      </w:r>
      <w:r w:rsidR="00674021" w:rsidRPr="00D94D54">
        <w:rPr>
          <w:b/>
          <w:bCs/>
          <w:highlight w:val="yellow"/>
          <w:u w:val="single"/>
        </w:rPr>
        <w:t>/202</w:t>
      </w:r>
      <w:r w:rsidR="00D94D54" w:rsidRPr="00D94D54">
        <w:rPr>
          <w:b/>
          <w:bCs/>
          <w:highlight w:val="yellow"/>
          <w:u w:val="single"/>
        </w:rPr>
        <w:t>5</w:t>
      </w:r>
      <w:r w:rsidRPr="00B73D1F">
        <w:t xml:space="preserve"> sont transmises aux opérateurs économiques au plus tard 6 jours avant la date limite de réception des offres</w:t>
      </w:r>
    </w:p>
    <w:bookmarkEnd w:id="29"/>
    <w:p w14:paraId="557E59BE" w14:textId="77777777" w:rsidR="000441C9" w:rsidRDefault="003C20A7" w:rsidP="00522205">
      <w:pPr>
        <w:pStyle w:val="Titre3"/>
      </w:pPr>
      <w:r>
        <w:t>Modification des documents de la consultation</w:t>
      </w:r>
    </w:p>
    <w:p w14:paraId="6B45AF34" w14:textId="77777777" w:rsidR="000441C9" w:rsidRDefault="000441C9" w:rsidP="00522205">
      <w:pPr>
        <w:pStyle w:val="Standard"/>
      </w:pPr>
    </w:p>
    <w:p w14:paraId="424B0BAE" w14:textId="187B0535" w:rsidR="000441C9" w:rsidRDefault="003C20A7" w:rsidP="00522205">
      <w:pPr>
        <w:pStyle w:val="Standard"/>
      </w:pPr>
      <w:bookmarkStart w:id="30" w:name="_Hlk181870484"/>
      <w:r>
        <w:t xml:space="preserve">Des modifications peuvent être apportées aux documents de la consultation au plus tard </w:t>
      </w:r>
      <w:r>
        <w:rPr>
          <w:b/>
        </w:rPr>
        <w:t>6 jours</w:t>
      </w:r>
      <w:r>
        <w:t xml:space="preserve"> avant la date limite de réception des offres.</w:t>
      </w:r>
    </w:p>
    <w:p w14:paraId="7A8C00FC" w14:textId="77777777" w:rsidR="0042203F" w:rsidRDefault="0042203F" w:rsidP="00522205">
      <w:pPr>
        <w:pStyle w:val="Standard"/>
      </w:pPr>
    </w:p>
    <w:p w14:paraId="2EC0AF53" w14:textId="69E467C0" w:rsidR="000441C9" w:rsidRDefault="003C20A7" w:rsidP="00522205">
      <w:pPr>
        <w:pStyle w:val="Standard"/>
      </w:pPr>
      <w:r>
        <w:t xml:space="preserve">Les modifications sont communiquées aux seuls opérateurs économiques dûment identifiés lors du </w:t>
      </w:r>
      <w:r w:rsidR="0042203F">
        <w:t>retrait des</w:t>
      </w:r>
      <w:r>
        <w:t xml:space="preserve"> documents de la consultation.</w:t>
      </w:r>
    </w:p>
    <w:p w14:paraId="3112DC2B" w14:textId="77777777" w:rsidR="000441C9" w:rsidRDefault="000441C9" w:rsidP="00522205">
      <w:pPr>
        <w:pStyle w:val="Standard"/>
      </w:pPr>
    </w:p>
    <w:p w14:paraId="3B952F5E" w14:textId="171FA99B" w:rsidR="000441C9" w:rsidRDefault="003C20A7" w:rsidP="00522205">
      <w:pPr>
        <w:pStyle w:val="Standard"/>
      </w:pPr>
      <w: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bookmarkEnd w:id="30"/>
      <w:r>
        <w:t>.</w:t>
      </w:r>
    </w:p>
    <w:p w14:paraId="67AD872C" w14:textId="77777777" w:rsidR="00110631" w:rsidRDefault="00110631" w:rsidP="00522205">
      <w:pPr>
        <w:pStyle w:val="Standard"/>
      </w:pPr>
    </w:p>
    <w:p w14:paraId="3481BC5E" w14:textId="77777777" w:rsidR="000441C9" w:rsidRDefault="003C20A7" w:rsidP="00522205">
      <w:pPr>
        <w:pStyle w:val="Titre1"/>
      </w:pPr>
      <w:bookmarkStart w:id="31" w:name="_Toc208580599"/>
      <w:r>
        <w:lastRenderedPageBreak/>
        <w:t>Candidature</w:t>
      </w:r>
      <w:bookmarkEnd w:id="31"/>
    </w:p>
    <w:p w14:paraId="5AB932F0" w14:textId="77777777" w:rsidR="000441C9" w:rsidRDefault="003C20A7" w:rsidP="00522205">
      <w:pPr>
        <w:pStyle w:val="Titre2"/>
      </w:pPr>
      <w:bookmarkStart w:id="32" w:name="_Toc208580600"/>
      <w:r>
        <w:t>Présentation de la candidature</w:t>
      </w:r>
      <w:bookmarkEnd w:id="32"/>
    </w:p>
    <w:p w14:paraId="0DE419AD" w14:textId="77777777" w:rsidR="000441C9" w:rsidRDefault="000441C9" w:rsidP="00522205">
      <w:pPr>
        <w:pStyle w:val="Standard"/>
      </w:pPr>
    </w:p>
    <w:p w14:paraId="722B8954" w14:textId="1B32A3DE" w:rsidR="009319F4" w:rsidRPr="009319F4" w:rsidRDefault="003C20A7" w:rsidP="00522205">
      <w:pPr>
        <w:pStyle w:val="Standard"/>
      </w:pPr>
      <w:bookmarkStart w:id="33" w:name="_Hlk181870794"/>
      <w:r w:rsidRPr="009319F4">
        <w:t xml:space="preserve">Dans le cadre de la consultation, l'acheteur </w:t>
      </w:r>
      <w:r w:rsidRPr="009319F4">
        <w:rPr>
          <w:u w:val="single"/>
        </w:rPr>
        <w:t>autorise</w:t>
      </w:r>
      <w:r w:rsidRPr="009319F4">
        <w:t xml:space="preserve"> le candidat à présenter plusieurs offres en agissant à la fois :</w:t>
      </w:r>
    </w:p>
    <w:p w14:paraId="03F5F56D" w14:textId="3D79512A" w:rsidR="000441C9" w:rsidRPr="009319F4" w:rsidRDefault="003C20A7" w:rsidP="00522205">
      <w:pPr>
        <w:pStyle w:val="Standard"/>
      </w:pPr>
      <w:r w:rsidRPr="009319F4">
        <w:t xml:space="preserve">- en qualité de candidat individuel et de membre d'un ou plusieurs groupements d'opérateurs </w:t>
      </w:r>
      <w:r w:rsidR="005D047B" w:rsidRPr="009319F4">
        <w:t>économiques ;</w:t>
      </w:r>
    </w:p>
    <w:p w14:paraId="0DD4F9D1" w14:textId="0F733D82" w:rsidR="000441C9" w:rsidRPr="009319F4" w:rsidRDefault="003C20A7" w:rsidP="00522205">
      <w:pPr>
        <w:pStyle w:val="Standard"/>
      </w:pPr>
      <w:r w:rsidRPr="009319F4">
        <w:t>- en qualité de membres de plusieurs groupements d'opérateurs économiques.</w:t>
      </w:r>
    </w:p>
    <w:p w14:paraId="3E8088A3" w14:textId="77777777" w:rsidR="000441C9" w:rsidRPr="009319F4" w:rsidRDefault="000441C9" w:rsidP="00522205">
      <w:pPr>
        <w:pStyle w:val="Standard"/>
      </w:pPr>
    </w:p>
    <w:p w14:paraId="08F0A967" w14:textId="77777777" w:rsidR="000441C9" w:rsidRPr="009319F4" w:rsidRDefault="003C20A7" w:rsidP="00522205">
      <w:pPr>
        <w:pStyle w:val="Standard"/>
      </w:pPr>
      <w:r w:rsidRPr="009319F4">
        <w:t>Les candidats ont le choix de présenter leur candidature :</w:t>
      </w:r>
    </w:p>
    <w:p w14:paraId="6AFC248D" w14:textId="0C316465" w:rsidR="000441C9" w:rsidRPr="009319F4" w:rsidRDefault="003C20A7" w:rsidP="00522205">
      <w:pPr>
        <w:pStyle w:val="Standard"/>
      </w:pPr>
      <w:r w:rsidRPr="009319F4">
        <w:t>■sous forme de document unique de marché européen électronique (DUME) en utilisant le service DUME ou le service exposé de PLACE</w:t>
      </w:r>
      <w:r w:rsidR="009319F4" w:rsidRPr="009319F4">
        <w:t> ;</w:t>
      </w:r>
    </w:p>
    <w:p w14:paraId="05AB59C0" w14:textId="3B3C290B" w:rsidR="000441C9" w:rsidRDefault="003C20A7" w:rsidP="00522205">
      <w:pPr>
        <w:pStyle w:val="Standard"/>
      </w:pPr>
      <w:r w:rsidRPr="009319F4">
        <w:t>■sous forme de candidature standard en utilisant les formulaires DC1 et DC2</w:t>
      </w:r>
      <w:r w:rsidR="009319F4" w:rsidRPr="009319F4">
        <w:t>.</w:t>
      </w:r>
    </w:p>
    <w:bookmarkEnd w:id="33"/>
    <w:p w14:paraId="199ED619" w14:textId="77777777" w:rsidR="000441C9" w:rsidRDefault="003C20A7" w:rsidP="00522205">
      <w:pPr>
        <w:pStyle w:val="Titre3"/>
      </w:pPr>
      <w:r>
        <w:t>Candidature sous forme de DUME</w:t>
      </w:r>
    </w:p>
    <w:p w14:paraId="7D882B29" w14:textId="77777777" w:rsidR="000441C9" w:rsidRDefault="000441C9" w:rsidP="00522205">
      <w:pPr>
        <w:pStyle w:val="Standard"/>
      </w:pPr>
    </w:p>
    <w:p w14:paraId="737F782C" w14:textId="7209BEBE" w:rsidR="000441C9" w:rsidRDefault="003C20A7" w:rsidP="00522205">
      <w:pPr>
        <w:pStyle w:val="Standard"/>
      </w:pPr>
      <w:bookmarkStart w:id="34" w:name="_Hlk181870880"/>
      <w:r>
        <w:t>Les candidats peuvent présenter leur candidature en renseignant le formulaire DUME accessible :</w:t>
      </w:r>
    </w:p>
    <w:p w14:paraId="7C32179B" w14:textId="77777777" w:rsidR="000441C9" w:rsidRDefault="003C20A7" w:rsidP="00522205">
      <w:pPr>
        <w:pStyle w:val="Standard"/>
      </w:pPr>
      <w:r>
        <w:t>- depuis le service exposé de PLACE</w:t>
      </w:r>
    </w:p>
    <w:p w14:paraId="28C09D9B" w14:textId="3B0B0218" w:rsidR="000441C9" w:rsidRDefault="003C20A7" w:rsidP="00522205">
      <w:pPr>
        <w:pStyle w:val="Standard"/>
      </w:pPr>
      <w:r>
        <w:t xml:space="preserve">- depuis l'adresse URL suivante : </w:t>
      </w:r>
      <w:hyperlink r:id="rId17" w:history="1">
        <w:r w:rsidR="005D047B" w:rsidRPr="00265CCF">
          <w:rPr>
            <w:rStyle w:val="Lienhypertexte"/>
          </w:rPr>
          <w:t>https://dume.chorus-pro.gouv.fr</w:t>
        </w:r>
      </w:hyperlink>
      <w:r w:rsidR="005D047B">
        <w:t xml:space="preserve"> </w:t>
      </w:r>
    </w:p>
    <w:p w14:paraId="006B0660" w14:textId="77777777" w:rsidR="000441C9" w:rsidRDefault="003C20A7" w:rsidP="00522205">
      <w:pPr>
        <w:pStyle w:val="Standard"/>
      </w:pPr>
      <w:r>
        <w:t>Les parties II (informations concernant l'opérateur économique), III (motifs d'exclusion), IV (critères de sélection) et le cas échéant V (réduction du nombre de candidats qualifiés) du formulaire sont à renseigner.</w:t>
      </w:r>
    </w:p>
    <w:p w14:paraId="24E033CB" w14:textId="77777777" w:rsidR="000441C9" w:rsidRDefault="000441C9" w:rsidP="00522205">
      <w:pPr>
        <w:pStyle w:val="Standard"/>
      </w:pPr>
    </w:p>
    <w:p w14:paraId="482FBEF3" w14:textId="243ADF3D" w:rsidR="000441C9" w:rsidRDefault="003C20A7" w:rsidP="00522205">
      <w:pPr>
        <w:pStyle w:val="Standard"/>
      </w:pPr>
      <w:r>
        <w:t xml:space="preserve">Des renseignements complémentaires au sujet du DUME électronique sont disponibles à l'adresse URL suivante : </w:t>
      </w:r>
      <w:hyperlink r:id="rId18" w:history="1">
        <w:r w:rsidR="005D047B" w:rsidRPr="00265CCF">
          <w:rPr>
            <w:rStyle w:val="Lienhypertexte"/>
          </w:rPr>
          <w:t>https://communaute.chorus-pro.gouv.fr/pour-les-entreprises/</w:t>
        </w:r>
      </w:hyperlink>
      <w:r w:rsidR="005D047B">
        <w:t xml:space="preserve"> </w:t>
      </w:r>
    </w:p>
    <w:p w14:paraId="6ABD4B33" w14:textId="77777777" w:rsidR="000441C9" w:rsidRDefault="000441C9" w:rsidP="00522205">
      <w:pPr>
        <w:pStyle w:val="Standard"/>
      </w:pPr>
    </w:p>
    <w:p w14:paraId="058973E9" w14:textId="77777777" w:rsidR="000441C9" w:rsidRDefault="003C20A7" w:rsidP="00522205">
      <w:pPr>
        <w:pStyle w:val="Standard"/>
      </w:pPr>
      <w:r>
        <w:t>Si le groupement d'opérateurs économiques présente sa candidature sous la forme du DUME, chacun des membres du groupement doit fournir un DUME distinct.</w:t>
      </w:r>
    </w:p>
    <w:p w14:paraId="05307442" w14:textId="77777777" w:rsidR="000441C9" w:rsidRDefault="000441C9" w:rsidP="00522205">
      <w:pPr>
        <w:pStyle w:val="Standard"/>
      </w:pPr>
    </w:p>
    <w:p w14:paraId="342C6321" w14:textId="77777777" w:rsidR="000441C9" w:rsidRDefault="003C20A7" w:rsidP="00522205">
      <w:pPr>
        <w:pStyle w:val="Standard"/>
      </w:pPr>
      <w:r>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w:t>
      </w:r>
      <w:proofErr w:type="gramStart"/>
      <w:r>
        <w:t>sections  A</w:t>
      </w:r>
      <w:proofErr w:type="gramEnd"/>
      <w:r>
        <w:t xml:space="preserve"> et B de la partie II ainsi que celles de la partie III et, le cas échéant, les parties IV et V.</w:t>
      </w:r>
    </w:p>
    <w:p w14:paraId="25E3B62B" w14:textId="720110D5" w:rsidR="000441C9" w:rsidRDefault="003C20A7" w:rsidP="00522205">
      <w:pPr>
        <w:pStyle w:val="Standard"/>
      </w:pPr>
      <w:r>
        <w:t xml:space="preserve">Le candidat remet également l'imprimé DC 4 (Déclaration de sous-traitance, </w:t>
      </w:r>
      <w:hyperlink r:id="rId19" w:history="1">
        <w:r w:rsidR="00777C57" w:rsidRPr="00265CCF">
          <w:rPr>
            <w:rStyle w:val="Lienhypertexte"/>
          </w:rPr>
          <w:t>https://www.economie.gouv.fr/daj/formulaires-mise-a-jour-formulaire-declaration-sous-traitance-dans-marches-publics</w:t>
        </w:r>
      </w:hyperlink>
      <w:r w:rsidR="00777C57">
        <w:t xml:space="preserve"> </w:t>
      </w:r>
      <w:r>
        <w:t>) dûment rempli par le sous-traitant et le candidat</w:t>
      </w:r>
      <w:r w:rsidR="00777C57">
        <w:t xml:space="preserve">.   </w:t>
      </w:r>
    </w:p>
    <w:p w14:paraId="2BD0468C" w14:textId="77777777" w:rsidR="000441C9" w:rsidRDefault="000441C9" w:rsidP="00522205">
      <w:pPr>
        <w:pStyle w:val="Standard"/>
      </w:pPr>
    </w:p>
    <w:p w14:paraId="702F21CD" w14:textId="77777777" w:rsidR="000441C9" w:rsidRDefault="003C20A7" w:rsidP="00522205">
      <w:pPr>
        <w:pStyle w:val="Standard"/>
      </w:pPr>
      <w:r>
        <w:t>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w:t>
      </w:r>
      <w:bookmarkEnd w:id="34"/>
      <w:r>
        <w:t>.</w:t>
      </w:r>
    </w:p>
    <w:p w14:paraId="5B30B779" w14:textId="77777777" w:rsidR="000441C9" w:rsidRDefault="003C20A7" w:rsidP="00522205">
      <w:pPr>
        <w:pStyle w:val="Titre3"/>
      </w:pPr>
      <w:r>
        <w:t>Candidature sous forme de DC1 et DC2</w:t>
      </w:r>
    </w:p>
    <w:p w14:paraId="76FB7C7D" w14:textId="77777777" w:rsidR="000441C9" w:rsidRDefault="000441C9" w:rsidP="00522205">
      <w:pPr>
        <w:pStyle w:val="Standard"/>
      </w:pPr>
    </w:p>
    <w:p w14:paraId="4314DEE3" w14:textId="5406B6B1" w:rsidR="000441C9" w:rsidRDefault="003C20A7" w:rsidP="00522205">
      <w:pPr>
        <w:pStyle w:val="Standard"/>
      </w:pPr>
      <w:bookmarkStart w:id="35" w:name="_Hlk181870910"/>
      <w:r>
        <w:t>Les candidats transmettent les renseignements suivants</w:t>
      </w:r>
      <w:r w:rsidR="00777C57">
        <w:t> :</w:t>
      </w:r>
    </w:p>
    <w:p w14:paraId="0A316682" w14:textId="77777777" w:rsidR="00777C57" w:rsidRDefault="00777C57" w:rsidP="00522205">
      <w:pPr>
        <w:pStyle w:val="Standard"/>
      </w:pPr>
    </w:p>
    <w:p w14:paraId="3F033D29" w14:textId="10ED61DA" w:rsidR="000441C9" w:rsidRDefault="003C20A7" w:rsidP="00522205">
      <w:pPr>
        <w:pStyle w:val="Standard"/>
      </w:pPr>
      <w:r>
        <w:t xml:space="preserve">■Lettre de candidature ou formulaire DC1 (téléchargeable à partir du lien </w:t>
      </w:r>
      <w:hyperlink r:id="rId20" w:history="1">
        <w:r w:rsidR="00777C57" w:rsidRPr="00265CCF">
          <w:rPr>
            <w:rStyle w:val="Lienhypertexte"/>
          </w:rPr>
          <w:t>https://www.economie.gouv.fr/daj/formulaires-declaration-du-candidat</w:t>
        </w:r>
      </w:hyperlink>
      <w:r w:rsidR="00777C57">
        <w:t xml:space="preserve"> </w:t>
      </w:r>
      <w:r>
        <w:t>) ou équivalent, dûment rempli, et daté. Dans le cas d'un groupement d'opérateurs économiques, le formulaire DC1 sera complété pour chaque membre du groupement</w:t>
      </w:r>
    </w:p>
    <w:p w14:paraId="7A4E1CA4" w14:textId="77777777" w:rsidR="000441C9" w:rsidRDefault="000441C9" w:rsidP="00522205">
      <w:pPr>
        <w:pStyle w:val="Standard"/>
      </w:pPr>
    </w:p>
    <w:p w14:paraId="21ADBC1C" w14:textId="452AC532" w:rsidR="000441C9" w:rsidRDefault="003C20A7" w:rsidP="00522205">
      <w:pPr>
        <w:pStyle w:val="Standard"/>
      </w:pPr>
      <w:r>
        <w:lastRenderedPageBreak/>
        <w:t>■Déclaration du candidat ou formulaire DC2 (téléchargeable à partir du lien</w:t>
      </w:r>
    </w:p>
    <w:p w14:paraId="211653D1" w14:textId="3A4C01C9" w:rsidR="000441C9" w:rsidRDefault="003C20A7" w:rsidP="00522205">
      <w:pPr>
        <w:pStyle w:val="Standard"/>
      </w:pPr>
      <w:r>
        <w:t xml:space="preserve"> </w:t>
      </w:r>
      <w:hyperlink r:id="rId21" w:history="1">
        <w:r w:rsidR="00777C57" w:rsidRPr="00265CCF">
          <w:rPr>
            <w:rStyle w:val="Lienhypertexte"/>
          </w:rPr>
          <w:t>https://www.economie.gouv.fr/daj/formulaires-declaration-du-candidat</w:t>
        </w:r>
      </w:hyperlink>
      <w:r w:rsidR="00777C57">
        <w:t xml:space="preserve"> </w:t>
      </w:r>
      <w:r>
        <w:t>), ou équivalent, dûment rempli et </w:t>
      </w:r>
      <w:proofErr w:type="gramStart"/>
      <w:r>
        <w:t>daté;</w:t>
      </w:r>
      <w:proofErr w:type="gramEnd"/>
      <w:r>
        <w:t xml:space="preserve"> en cas de candidature groupée, le DC2 est rempli par chaque membre du groupement.</w:t>
      </w:r>
    </w:p>
    <w:p w14:paraId="709A4400" w14:textId="77777777" w:rsidR="000441C9" w:rsidRDefault="000441C9" w:rsidP="00522205">
      <w:pPr>
        <w:pStyle w:val="Standard"/>
      </w:pPr>
    </w:p>
    <w:p w14:paraId="4EB3E7DA" w14:textId="77777777" w:rsidR="00522205" w:rsidRDefault="00522205" w:rsidP="00522205">
      <w:pPr>
        <w:pStyle w:val="Titre2"/>
      </w:pPr>
      <w:bookmarkStart w:id="36" w:name="_Toc208580601"/>
      <w:r>
        <w:t>Précisions sur les groupements d’opérateurs économiques et la sous-traitance</w:t>
      </w:r>
      <w:bookmarkEnd w:id="36"/>
    </w:p>
    <w:p w14:paraId="66D27055" w14:textId="77777777" w:rsidR="00522205" w:rsidRDefault="00522205" w:rsidP="00522205">
      <w:pPr>
        <w:pStyle w:val="Standard"/>
      </w:pPr>
    </w:p>
    <w:p w14:paraId="322C5A6D" w14:textId="77777777" w:rsidR="00522205" w:rsidRDefault="00522205" w:rsidP="00522205">
      <w:pPr>
        <w:pStyle w:val="Standard"/>
      </w:pPr>
      <w:bookmarkStart w:id="37" w:name="_Hlk181870681"/>
      <w:r>
        <w:t>Un service de bourse à la cotraitance est proposé sur le portail « entreprises » du profil d'acheteur de l'Etat (Plateforme des achats de l'Etat : PLACE) utilisé par les ministères et les établissements publics d'Etat. Ce service entend faciliter les contacts des entreprises entre elles qui souhaitent répondre à des marchés publics de manière groupée sous la forme d'un groupement d'opérateurs économiques.</w:t>
      </w:r>
    </w:p>
    <w:p w14:paraId="6A95D080" w14:textId="77777777" w:rsidR="00522205" w:rsidRDefault="00522205" w:rsidP="00522205">
      <w:pPr>
        <w:pStyle w:val="Standard"/>
      </w:pPr>
    </w:p>
    <w:p w14:paraId="106CB497" w14:textId="77777777" w:rsidR="00522205" w:rsidRDefault="00522205" w:rsidP="00522205">
      <w:pPr>
        <w:pStyle w:val="Standard"/>
      </w:pPr>
      <w:r>
        <w:t>Des fiches explicatives et le mode d'emploi de ce service sont disponibles aux adresses suivantes :</w:t>
      </w:r>
    </w:p>
    <w:p w14:paraId="3558C286" w14:textId="77777777" w:rsidR="00522205" w:rsidRDefault="00522205" w:rsidP="00522205">
      <w:pPr>
        <w:pStyle w:val="Standard"/>
      </w:pPr>
    </w:p>
    <w:p w14:paraId="292B54F7" w14:textId="77777777" w:rsidR="00522205" w:rsidRDefault="00522205" w:rsidP="00522205">
      <w:pPr>
        <w:pStyle w:val="Standard"/>
      </w:pPr>
      <w:hyperlink r:id="rId22" w:history="1">
        <w:r w:rsidRPr="00265CCF">
          <w:rPr>
            <w:rStyle w:val="Lienhypertexte"/>
          </w:rPr>
          <w:t>https://www.marches-publics.gouv.fr/docs/outils-esr-2017/place/Bourse_cotraitance_mode_emploi6.pdf</w:t>
        </w:r>
      </w:hyperlink>
      <w:r>
        <w:t xml:space="preserve"> </w:t>
      </w:r>
    </w:p>
    <w:p w14:paraId="7E6749BD" w14:textId="77777777" w:rsidR="00522205" w:rsidRDefault="00522205" w:rsidP="00522205">
      <w:pPr>
        <w:pStyle w:val="Standard"/>
      </w:pPr>
      <w:hyperlink r:id="rId23" w:history="1">
        <w:r w:rsidRPr="00265CCF">
          <w:rPr>
            <w:rStyle w:val="Lienhypertexte"/>
          </w:rPr>
          <w:t>https://www.economie.gouv.fr/dae/bourse-a-cotraitance-service-pour-aider-entreprises</w:t>
        </w:r>
      </w:hyperlink>
      <w:r>
        <w:t xml:space="preserve"> </w:t>
      </w:r>
    </w:p>
    <w:p w14:paraId="5B84D8D6" w14:textId="77777777" w:rsidR="00522205" w:rsidRDefault="00522205" w:rsidP="00522205">
      <w:pPr>
        <w:pStyle w:val="Standard"/>
      </w:pPr>
    </w:p>
    <w:p w14:paraId="127F6947" w14:textId="77777777" w:rsidR="00522205" w:rsidRDefault="00522205" w:rsidP="00522205">
      <w:pPr>
        <w:pStyle w:val="Standard"/>
      </w:pPr>
      <w:r>
        <w:t>La forme du groupement n'est pas imposée. En cas de groupement conjoint, le mandataire est solidaire pour l'exécution du marché de chacun des membres du groupement pour ses obligations contractuelles à l'égard de l'acheteur.</w:t>
      </w:r>
    </w:p>
    <w:p w14:paraId="3CF692F9" w14:textId="77777777" w:rsidR="00522205" w:rsidRDefault="00522205" w:rsidP="00522205">
      <w:pPr>
        <w:pStyle w:val="Standard"/>
      </w:pPr>
    </w:p>
    <w:p w14:paraId="5A712D8D" w14:textId="77777777" w:rsidR="00522205" w:rsidRDefault="00522205" w:rsidP="00522205">
      <w:pPr>
        <w:pStyle w:val="Standard"/>
      </w:pPr>
      <w:r>
        <w:t xml:space="preserve">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w:t>
      </w:r>
      <w:hyperlink r:id="rId24" w:history="1">
        <w:r w:rsidRPr="00265CCF">
          <w:rPr>
            <w:rStyle w:val="Lienhypertexte"/>
          </w:rPr>
          <w:t>https://www.economie.gouv.fr/daj/formulaires-mise-a-jour-formulaire-declaration-sous-traitance-dans-marches-publics</w:t>
        </w:r>
      </w:hyperlink>
      <w:r>
        <w:t xml:space="preserve"> </w:t>
      </w:r>
    </w:p>
    <w:p w14:paraId="42ED64EC" w14:textId="77777777" w:rsidR="00522205" w:rsidRDefault="00522205" w:rsidP="00522205">
      <w:pPr>
        <w:pStyle w:val="Titre2"/>
      </w:pPr>
      <w:bookmarkStart w:id="38" w:name="_Toc208580602"/>
      <w:bookmarkEnd w:id="37"/>
      <w:r>
        <w:t>Motifs d'exclusion</w:t>
      </w:r>
      <w:bookmarkEnd w:id="38"/>
    </w:p>
    <w:p w14:paraId="28457E63" w14:textId="77777777" w:rsidR="00522205" w:rsidRDefault="00522205" w:rsidP="00522205">
      <w:pPr>
        <w:pStyle w:val="Standard"/>
      </w:pPr>
    </w:p>
    <w:p w14:paraId="0D0E6ED7" w14:textId="77777777" w:rsidR="00522205" w:rsidRDefault="00522205" w:rsidP="00522205">
      <w:pPr>
        <w:pStyle w:val="Standard"/>
      </w:pPr>
      <w:bookmarkStart w:id="39" w:name="_Hlk181870761"/>
      <w:r>
        <w:t>Conformément aux dispositions du code de la commande publique relatives aux exclusions de plein droit, les personnes se trouvant dans un des cas d'exclusion sont exclues de la procédure. Lorsqu'un opérateur économique se trouve, en cours de procédure, en situation d'exclusion, il en informe sans délai l'acheteur qui l'exclut pour ce motif.</w:t>
      </w:r>
    </w:p>
    <w:p w14:paraId="7DBEDD88" w14:textId="77777777" w:rsidR="00522205" w:rsidRDefault="00522205" w:rsidP="00522205">
      <w:pPr>
        <w:pStyle w:val="Standard"/>
      </w:pPr>
    </w:p>
    <w:p w14:paraId="1E45A9C9" w14:textId="77777777" w:rsidR="00522205" w:rsidRDefault="00522205" w:rsidP="00522205">
      <w:pPr>
        <w:pStyle w:val="Standard"/>
      </w:pPr>
      <w:r>
        <w:t>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A défaut, le groupement est exclu de la procédure</w:t>
      </w:r>
    </w:p>
    <w:p w14:paraId="718F55C3" w14:textId="77777777" w:rsidR="00522205" w:rsidRDefault="00522205" w:rsidP="00522205">
      <w:pPr>
        <w:pStyle w:val="Standard"/>
      </w:pPr>
    </w:p>
    <w:p w14:paraId="22DA2090" w14:textId="77777777" w:rsidR="00522205" w:rsidRDefault="00522205" w:rsidP="00522205">
      <w:pPr>
        <w:pStyle w:val="Standard"/>
      </w:pPr>
      <w:r>
        <w:t>Les personnes à l'encontre desquelles il existe un motif d'exclusion ne peuvent être acceptées en tant que sous-traitant. 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A défaut, le candidat est exclu de la procédure</w:t>
      </w:r>
      <w:bookmarkEnd w:id="39"/>
      <w:r>
        <w:t>.</w:t>
      </w:r>
    </w:p>
    <w:p w14:paraId="2B895227" w14:textId="77777777" w:rsidR="000441C9" w:rsidRDefault="003C20A7" w:rsidP="00522205">
      <w:pPr>
        <w:pStyle w:val="Titre2"/>
      </w:pPr>
      <w:bookmarkStart w:id="40" w:name="_Toc208580603"/>
      <w:bookmarkEnd w:id="35"/>
      <w:r>
        <w:t>Examen des candidatures</w:t>
      </w:r>
      <w:bookmarkEnd w:id="40"/>
    </w:p>
    <w:p w14:paraId="71D760ED" w14:textId="77777777" w:rsidR="00166C10" w:rsidRDefault="00166C10" w:rsidP="00522205">
      <w:pPr>
        <w:pStyle w:val="Standard"/>
      </w:pPr>
      <w:bookmarkStart w:id="41" w:name="_Hlk181871114"/>
    </w:p>
    <w:p w14:paraId="0DEE470F" w14:textId="41C475A5" w:rsidR="008841F2" w:rsidRDefault="003C20A7" w:rsidP="00522205">
      <w:pPr>
        <w:pStyle w:val="Standard"/>
      </w:pPr>
      <w:r>
        <w:t>En application des dispositions de l'article R.2161-4 du code de la commande publique, l'acheteur décide d'examiner les offres avant les candidatures.</w:t>
      </w:r>
      <w:r w:rsidR="00522205">
        <w:t xml:space="preserve"> </w:t>
      </w:r>
      <w:r>
        <w:t xml:space="preserve">Les documents justificatifs concernant l'aptitude et les capacités ainsi que les moyens de preuve relatifs aux motifs d'exclusion ne sont demandés par l'acheteur qu'au(x) </w:t>
      </w:r>
      <w:r>
        <w:lastRenderedPageBreak/>
        <w:t>soumissionnaire(s) auquel(s) il est envisagé d'attribuer le marché public</w:t>
      </w:r>
      <w:r w:rsidR="00F834A2">
        <w:t xml:space="preserve">. </w:t>
      </w:r>
      <w:bookmarkEnd w:id="41"/>
    </w:p>
    <w:p w14:paraId="6FA3E3C6" w14:textId="77777777" w:rsidR="000441C9" w:rsidRDefault="003C20A7" w:rsidP="00522205">
      <w:pPr>
        <w:pStyle w:val="Titre2"/>
      </w:pPr>
      <w:bookmarkStart w:id="42" w:name="_Toc208580604"/>
      <w:r>
        <w:t>Vérification des conditions de participation : liste des documents justificatifs</w:t>
      </w:r>
      <w:bookmarkEnd w:id="42"/>
    </w:p>
    <w:p w14:paraId="7D661C3C" w14:textId="77777777" w:rsidR="000441C9" w:rsidRDefault="000441C9" w:rsidP="00522205">
      <w:pPr>
        <w:pStyle w:val="Standard"/>
      </w:pPr>
    </w:p>
    <w:p w14:paraId="1F22435A" w14:textId="77777777" w:rsidR="00F834A2" w:rsidRPr="00F834A2" w:rsidRDefault="00F834A2" w:rsidP="00F834A2">
      <w:pPr>
        <w:spacing w:before="57"/>
        <w:jc w:val="both"/>
        <w:textAlignment w:val="center"/>
        <w:rPr>
          <w:rFonts w:ascii="Arial" w:eastAsia="Arial" w:hAnsi="Arial" w:cs="Arial"/>
          <w:sz w:val="20"/>
          <w:szCs w:val="20"/>
        </w:rPr>
      </w:pPr>
      <w:bookmarkStart w:id="43" w:name="_Hlk181871285"/>
      <w:r w:rsidRPr="00F834A2">
        <w:rPr>
          <w:rFonts w:ascii="Arial" w:eastAsia="Arial" w:hAnsi="Arial" w:cs="Arial"/>
          <w:sz w:val="20"/>
          <w:szCs w:val="20"/>
        </w:rPr>
        <w:t>Les candidats ne sont pas tenus de fournir les documents justificatifs lorsque l'acheteur peut les obtenir :</w:t>
      </w:r>
    </w:p>
    <w:p w14:paraId="007E8920" w14:textId="77777777" w:rsidR="00F834A2" w:rsidRPr="00F834A2" w:rsidRDefault="00F834A2" w:rsidP="00F834A2">
      <w:pPr>
        <w:spacing w:before="57"/>
        <w:jc w:val="both"/>
        <w:textAlignment w:val="center"/>
        <w:rPr>
          <w:rFonts w:ascii="Arial" w:eastAsia="Arial" w:hAnsi="Arial" w:cs="Arial"/>
          <w:sz w:val="20"/>
          <w:szCs w:val="20"/>
        </w:rPr>
      </w:pPr>
      <w:r w:rsidRPr="00F834A2">
        <w:rPr>
          <w:rFonts w:ascii="Arial" w:eastAsia="Arial" w:hAnsi="Arial" w:cs="Arial"/>
          <w:sz w:val="20"/>
          <w:szCs w:val="20"/>
        </w:rPr>
        <w:t>- directement par le biais d'un système électronique de mise à disposition d'informations administré par un organisme officiel ;</w:t>
      </w:r>
    </w:p>
    <w:p w14:paraId="115F314C" w14:textId="77777777" w:rsidR="00F834A2" w:rsidRPr="00F834A2" w:rsidRDefault="00F834A2" w:rsidP="00F834A2">
      <w:pPr>
        <w:spacing w:before="57"/>
        <w:jc w:val="both"/>
        <w:textAlignment w:val="center"/>
        <w:rPr>
          <w:rFonts w:ascii="Arial" w:eastAsia="Arial" w:hAnsi="Arial" w:cs="Arial"/>
          <w:sz w:val="20"/>
          <w:szCs w:val="20"/>
        </w:rPr>
      </w:pPr>
      <w:r w:rsidRPr="00F834A2">
        <w:rPr>
          <w:rFonts w:ascii="Arial" w:eastAsia="Arial" w:hAnsi="Arial" w:cs="Arial"/>
          <w:sz w:val="20"/>
          <w:szCs w:val="20"/>
        </w:rPr>
        <w:t>- d'un espace de stockage numérique, à condition que figurent dans le dossier de candidature toutes les informations nécessaires à la consultation de ce système ou de cet espace et que l'accès soit gratuit.</w:t>
      </w:r>
    </w:p>
    <w:p w14:paraId="0BF2EB95" w14:textId="77777777" w:rsidR="00F834A2" w:rsidRPr="00F834A2" w:rsidRDefault="00F834A2" w:rsidP="00F834A2">
      <w:pPr>
        <w:spacing w:before="57"/>
        <w:jc w:val="both"/>
        <w:textAlignment w:val="center"/>
        <w:rPr>
          <w:rFonts w:ascii="Arial" w:eastAsia="Arial" w:hAnsi="Arial" w:cs="Arial"/>
          <w:sz w:val="20"/>
          <w:szCs w:val="20"/>
        </w:rPr>
      </w:pPr>
      <w:r w:rsidRPr="00F834A2">
        <w:rPr>
          <w:rFonts w:ascii="Arial" w:eastAsia="Arial" w:hAnsi="Arial" w:cs="Arial"/>
          <w:sz w:val="20"/>
          <w:szCs w:val="20"/>
        </w:rPr>
        <w:t>Le candidat n'est pas tenu de fournir les documents justificatifs déjà transmis à l'acheteur dans le cadre d'une précédente consultation et qui demeurent valables. Dans ce cas, il indique les moyens de preuve concernés ainsi que la référence de la ou des consultation(s) pour la ou lesquelles ces moyens de preuve ont déjà été transmis.</w:t>
      </w:r>
    </w:p>
    <w:p w14:paraId="0144703D" w14:textId="77777777" w:rsidR="00F834A2" w:rsidRPr="00F834A2" w:rsidRDefault="00F834A2" w:rsidP="00F834A2">
      <w:pPr>
        <w:spacing w:before="57"/>
        <w:jc w:val="both"/>
        <w:textAlignment w:val="center"/>
        <w:rPr>
          <w:rFonts w:ascii="Arial" w:eastAsia="Arial" w:hAnsi="Arial" w:cs="Arial"/>
          <w:sz w:val="20"/>
          <w:szCs w:val="20"/>
        </w:rPr>
      </w:pPr>
      <w:r w:rsidRPr="00F834A2">
        <w:rPr>
          <w:rFonts w:ascii="Arial" w:eastAsia="Arial" w:hAnsi="Arial" w:cs="Arial"/>
          <w:sz w:val="20"/>
          <w:szCs w:val="20"/>
        </w:rPr>
        <w:t>Les documents justificatifs concernant les aptitudes et capacités sont :</w:t>
      </w:r>
    </w:p>
    <w:p w14:paraId="3992795D" w14:textId="3334C9C5" w:rsidR="00F834A2" w:rsidRPr="00F834A2" w:rsidRDefault="00F834A2" w:rsidP="00F834A2">
      <w:pPr>
        <w:numPr>
          <w:ilvl w:val="0"/>
          <w:numId w:val="17"/>
        </w:numPr>
        <w:spacing w:before="57"/>
        <w:jc w:val="both"/>
        <w:textAlignment w:val="center"/>
        <w:rPr>
          <w:rFonts w:ascii="Arial" w:eastAsia="Arial" w:hAnsi="Arial" w:cs="Arial"/>
          <w:sz w:val="20"/>
          <w:szCs w:val="20"/>
        </w:rPr>
      </w:pPr>
      <w:r w:rsidRPr="00F834A2">
        <w:rPr>
          <w:rFonts w:ascii="Arial" w:eastAsia="Arial" w:hAnsi="Arial" w:cs="Arial"/>
          <w:b/>
          <w:bCs/>
          <w:sz w:val="18"/>
          <w:szCs w:val="18"/>
        </w:rPr>
        <w:t xml:space="preserve">La lettre de candidature et de désignation du mandataire par ses cotraitants (exemple formulaire DC1 modèle joint) obligatoire en cas de </w:t>
      </w:r>
      <w:r w:rsidR="00CC78CD" w:rsidRPr="00F834A2">
        <w:rPr>
          <w:rFonts w:ascii="Arial" w:eastAsia="Arial" w:hAnsi="Arial" w:cs="Arial"/>
          <w:b/>
          <w:bCs/>
          <w:sz w:val="18"/>
          <w:szCs w:val="18"/>
          <w:shd w:val="clear" w:color="auto" w:fill="FFFFFF"/>
        </w:rPr>
        <w:t>groupement ;</w:t>
      </w:r>
    </w:p>
    <w:p w14:paraId="4346B286" w14:textId="7AAB0D87" w:rsidR="00F834A2" w:rsidRPr="00F834A2" w:rsidRDefault="00F834A2" w:rsidP="00F834A2">
      <w:pPr>
        <w:numPr>
          <w:ilvl w:val="0"/>
          <w:numId w:val="17"/>
        </w:numPr>
        <w:spacing w:before="57"/>
        <w:jc w:val="both"/>
        <w:textAlignment w:val="center"/>
        <w:rPr>
          <w:rFonts w:ascii="Arial" w:eastAsia="Arial" w:hAnsi="Arial" w:cs="Arial"/>
          <w:b/>
          <w:bCs/>
          <w:sz w:val="18"/>
          <w:szCs w:val="18"/>
        </w:rPr>
      </w:pPr>
      <w:r w:rsidRPr="00F834A2">
        <w:rPr>
          <w:rFonts w:ascii="Arial" w:eastAsia="Arial" w:hAnsi="Arial" w:cs="Arial"/>
          <w:b/>
          <w:bCs/>
          <w:sz w:val="18"/>
          <w:szCs w:val="18"/>
        </w:rPr>
        <w:t>Une déclaration sur l’honneur pour justifie</w:t>
      </w:r>
      <w:r w:rsidRPr="00F834A2">
        <w:rPr>
          <w:rFonts w:ascii="Arial" w:eastAsia="Arial" w:hAnsi="Arial" w:cs="Arial"/>
          <w:b/>
          <w:bCs/>
          <w:sz w:val="18"/>
          <w:szCs w:val="18"/>
          <w:shd w:val="clear" w:color="auto" w:fill="FFFFFF"/>
        </w:rPr>
        <w:t xml:space="preserve">r que le candidat n’entre dans aucun des cas mentionnés à l’article R2143-3 du code de la commande publique et qu’il est en règle au regard des </w:t>
      </w:r>
      <w:r w:rsidR="00CC78CD" w:rsidRPr="00F834A2">
        <w:rPr>
          <w:rFonts w:ascii="Arial" w:eastAsia="Arial" w:hAnsi="Arial" w:cs="Arial"/>
          <w:b/>
          <w:bCs/>
          <w:sz w:val="18"/>
          <w:szCs w:val="18"/>
          <w:shd w:val="clear" w:color="auto" w:fill="FFFFFF"/>
        </w:rPr>
        <w:t>articles L.5212</w:t>
      </w:r>
      <w:r w:rsidRPr="00F834A2">
        <w:rPr>
          <w:rFonts w:ascii="Arial" w:eastAsia="Arial" w:hAnsi="Arial" w:cs="Arial"/>
          <w:b/>
          <w:bCs/>
          <w:sz w:val="18"/>
          <w:szCs w:val="18"/>
          <w:shd w:val="clear" w:color="auto" w:fill="FFFFFF"/>
        </w:rPr>
        <w:t>-1 à L.5212-11 du code du travail concernant l’emploi des travailleurs handicapés (modèle joint) ;</w:t>
      </w:r>
    </w:p>
    <w:p w14:paraId="13D2CA8F" w14:textId="6D8758B5" w:rsidR="005A4ED1" w:rsidRDefault="00F834A2" w:rsidP="000E4ECF">
      <w:pPr>
        <w:numPr>
          <w:ilvl w:val="0"/>
          <w:numId w:val="17"/>
        </w:numPr>
        <w:spacing w:before="57"/>
        <w:jc w:val="both"/>
        <w:textAlignment w:val="center"/>
        <w:rPr>
          <w:rFonts w:ascii="Arial" w:eastAsia="Arial" w:hAnsi="Arial" w:cs="Arial"/>
          <w:b/>
          <w:bCs/>
          <w:sz w:val="18"/>
          <w:szCs w:val="18"/>
        </w:rPr>
      </w:pPr>
      <w:r w:rsidRPr="005A4ED1">
        <w:rPr>
          <w:rFonts w:ascii="Arial" w:eastAsia="Arial" w:hAnsi="Arial" w:cs="Arial"/>
          <w:b/>
          <w:bCs/>
          <w:sz w:val="18"/>
          <w:szCs w:val="18"/>
        </w:rPr>
        <w:t xml:space="preserve">Une déclaration concernant le chiffre d’affaires global réalisé au cours </w:t>
      </w:r>
      <w:r w:rsidR="00F36567" w:rsidRPr="005A4ED1">
        <w:rPr>
          <w:rFonts w:ascii="Arial" w:eastAsia="Arial" w:hAnsi="Arial" w:cs="Arial"/>
          <w:b/>
          <w:bCs/>
          <w:sz w:val="18"/>
          <w:szCs w:val="18"/>
        </w:rPr>
        <w:t>d</w:t>
      </w:r>
      <w:r w:rsidR="005A4ED1" w:rsidRPr="005A4ED1">
        <w:rPr>
          <w:rFonts w:ascii="Arial" w:eastAsia="Arial" w:hAnsi="Arial" w:cs="Arial"/>
          <w:b/>
          <w:bCs/>
          <w:sz w:val="18"/>
          <w:szCs w:val="18"/>
        </w:rPr>
        <w:t xml:space="preserve">u </w:t>
      </w:r>
      <w:r w:rsidRPr="005A4ED1">
        <w:rPr>
          <w:rFonts w:ascii="Arial" w:eastAsia="Arial" w:hAnsi="Arial" w:cs="Arial"/>
          <w:b/>
          <w:bCs/>
          <w:sz w:val="18"/>
          <w:szCs w:val="18"/>
        </w:rPr>
        <w:t>dernier exercice exemple : DC2 modèle joint ou DUME) ;</w:t>
      </w:r>
    </w:p>
    <w:p w14:paraId="2CC9C74F" w14:textId="47892E69" w:rsidR="00F834A2" w:rsidRPr="005A4ED1" w:rsidRDefault="00F834A2" w:rsidP="000E4ECF">
      <w:pPr>
        <w:numPr>
          <w:ilvl w:val="0"/>
          <w:numId w:val="17"/>
        </w:numPr>
        <w:spacing w:before="57"/>
        <w:jc w:val="both"/>
        <w:textAlignment w:val="center"/>
        <w:rPr>
          <w:rFonts w:ascii="Arial" w:eastAsia="Arial" w:hAnsi="Arial" w:cs="Arial"/>
          <w:b/>
          <w:bCs/>
          <w:sz w:val="18"/>
          <w:szCs w:val="18"/>
        </w:rPr>
      </w:pPr>
      <w:r w:rsidRPr="005A4ED1">
        <w:rPr>
          <w:rFonts w:ascii="Arial" w:eastAsia="Arial" w:hAnsi="Arial" w:cs="Arial"/>
          <w:b/>
          <w:bCs/>
          <w:sz w:val="18"/>
          <w:szCs w:val="18"/>
        </w:rPr>
        <w:t>La liste des principales prestations - références - de même nature effectuées au cours d</w:t>
      </w:r>
      <w:r w:rsidR="005A4ED1">
        <w:rPr>
          <w:rFonts w:ascii="Arial" w:eastAsia="Arial" w:hAnsi="Arial" w:cs="Arial"/>
          <w:b/>
          <w:bCs/>
          <w:sz w:val="18"/>
          <w:szCs w:val="18"/>
        </w:rPr>
        <w:t xml:space="preserve">e la </w:t>
      </w:r>
      <w:r w:rsidR="005A4ED1" w:rsidRPr="005A4ED1">
        <w:rPr>
          <w:rFonts w:ascii="Arial" w:eastAsia="Arial" w:hAnsi="Arial" w:cs="Arial"/>
          <w:b/>
          <w:bCs/>
          <w:sz w:val="18"/>
          <w:szCs w:val="18"/>
        </w:rPr>
        <w:t>dernièr</w:t>
      </w:r>
      <w:r w:rsidR="005A4ED1">
        <w:rPr>
          <w:rFonts w:ascii="Arial" w:eastAsia="Arial" w:hAnsi="Arial" w:cs="Arial"/>
          <w:b/>
          <w:bCs/>
          <w:sz w:val="18"/>
          <w:szCs w:val="18"/>
        </w:rPr>
        <w:t>e</w:t>
      </w:r>
      <w:r w:rsidR="005A4ED1" w:rsidRPr="005A4ED1">
        <w:rPr>
          <w:rFonts w:ascii="Arial" w:eastAsia="Arial" w:hAnsi="Arial" w:cs="Arial"/>
          <w:b/>
          <w:bCs/>
          <w:sz w:val="18"/>
          <w:szCs w:val="18"/>
        </w:rPr>
        <w:t xml:space="preserve"> année</w:t>
      </w:r>
      <w:r w:rsidRPr="005A4ED1">
        <w:rPr>
          <w:rFonts w:ascii="Arial" w:eastAsia="Arial" w:hAnsi="Arial" w:cs="Arial"/>
          <w:b/>
          <w:bCs/>
          <w:sz w:val="18"/>
          <w:szCs w:val="18"/>
        </w:rPr>
        <w:t>, indiquant le montant, la date et le destinataire public ou privé (exemple : DC2 modèle joint) ;</w:t>
      </w:r>
    </w:p>
    <w:p w14:paraId="6134C85F" w14:textId="348CFE83" w:rsidR="00F01754" w:rsidRPr="00AA7079" w:rsidRDefault="00F834A2" w:rsidP="00F01754">
      <w:pPr>
        <w:numPr>
          <w:ilvl w:val="0"/>
          <w:numId w:val="17"/>
        </w:numPr>
        <w:spacing w:before="57"/>
        <w:jc w:val="both"/>
        <w:textAlignment w:val="center"/>
      </w:pPr>
      <w:r w:rsidRPr="00AA7079">
        <w:rPr>
          <w:rFonts w:ascii="Arial" w:eastAsia="Arial" w:hAnsi="Arial" w:cs="Arial"/>
          <w:b/>
          <w:bCs/>
          <w:sz w:val="18"/>
          <w:szCs w:val="18"/>
        </w:rPr>
        <w:t xml:space="preserve">Une déclaration indiquant les effectifs moyens annuels du candidat pour </w:t>
      </w:r>
      <w:r w:rsidR="00003557">
        <w:rPr>
          <w:rFonts w:ascii="Arial" w:eastAsia="Arial" w:hAnsi="Arial" w:cs="Arial"/>
          <w:b/>
          <w:bCs/>
          <w:sz w:val="18"/>
          <w:szCs w:val="18"/>
        </w:rPr>
        <w:t xml:space="preserve">la </w:t>
      </w:r>
      <w:r w:rsidRPr="00AA7079">
        <w:rPr>
          <w:rFonts w:ascii="Arial" w:eastAsia="Arial" w:hAnsi="Arial" w:cs="Arial"/>
          <w:b/>
          <w:bCs/>
          <w:sz w:val="18"/>
          <w:szCs w:val="18"/>
        </w:rPr>
        <w:t>dernière année (exemple : DC2 modèle joint).</w:t>
      </w:r>
    </w:p>
    <w:p w14:paraId="00E98CD1" w14:textId="77777777" w:rsidR="000441C9" w:rsidRPr="00F834A2" w:rsidRDefault="000441C9" w:rsidP="00522205">
      <w:pPr>
        <w:pStyle w:val="Standard"/>
        <w:rPr>
          <w:highlight w:val="yellow"/>
        </w:rPr>
      </w:pPr>
    </w:p>
    <w:p w14:paraId="7038B2C9" w14:textId="77777777" w:rsidR="000441C9" w:rsidRDefault="003C20A7" w:rsidP="00522205">
      <w:pPr>
        <w:pStyle w:val="Standard"/>
      </w:pPr>
      <w:r>
        <w:t>Si, pour une raison justifiée, le candidat n'est pas en mesure de produire les renseignements et documents demandés par l'acheteur, il est autorisé à prouver sa capacité économique et financière par tout autre moyen considéré comme approprié par l'acheteur</w:t>
      </w:r>
      <w:bookmarkEnd w:id="43"/>
      <w:r>
        <w:t>.</w:t>
      </w:r>
    </w:p>
    <w:p w14:paraId="4A2FB36B" w14:textId="77777777" w:rsidR="000441C9" w:rsidRDefault="003C20A7" w:rsidP="00522205">
      <w:pPr>
        <w:pStyle w:val="Titre2"/>
      </w:pPr>
      <w:bookmarkStart w:id="44" w:name="_Toc208580605"/>
      <w:r>
        <w:t>Vérification des motifs d'exclusion</w:t>
      </w:r>
      <w:bookmarkEnd w:id="44"/>
    </w:p>
    <w:p w14:paraId="2302E704" w14:textId="77777777" w:rsidR="000441C9" w:rsidRDefault="000441C9" w:rsidP="00522205">
      <w:pPr>
        <w:pStyle w:val="Standard"/>
      </w:pPr>
    </w:p>
    <w:p w14:paraId="648C86B5" w14:textId="39205EE8" w:rsidR="000441C9" w:rsidRDefault="003C20A7" w:rsidP="00522205">
      <w:pPr>
        <w:pStyle w:val="Standard"/>
      </w:pPr>
      <w:r>
        <w:t>En application des dispositions de R.2144-4 du code de la commande publique, l'acheteur n'exige que du seul soumissionnaire auquel il est envisagé d'attribuer le marché public qu'il justifie ne pas se trouver dans un des cas des motifs d'exclusion.</w:t>
      </w:r>
    </w:p>
    <w:p w14:paraId="70F207AB" w14:textId="77777777" w:rsidR="00CB48BB" w:rsidRDefault="00CB48BB" w:rsidP="00522205">
      <w:pPr>
        <w:pStyle w:val="Standard"/>
      </w:pPr>
    </w:p>
    <w:p w14:paraId="7E18B4DA" w14:textId="77777777" w:rsidR="000441C9" w:rsidRDefault="003C20A7" w:rsidP="00522205">
      <w:pPr>
        <w:pStyle w:val="Titre1"/>
      </w:pPr>
      <w:bookmarkStart w:id="45" w:name="_Toc208580606"/>
      <w:r>
        <w:t>Offre</w:t>
      </w:r>
      <w:bookmarkEnd w:id="45"/>
    </w:p>
    <w:p w14:paraId="14DF0D01" w14:textId="77777777" w:rsidR="000441C9" w:rsidRDefault="003C20A7" w:rsidP="00522205">
      <w:pPr>
        <w:pStyle w:val="Titre2"/>
      </w:pPr>
      <w:bookmarkStart w:id="46" w:name="_Toc208580607"/>
      <w:r>
        <w:t>Présentation de l'offre</w:t>
      </w:r>
      <w:bookmarkEnd w:id="46"/>
    </w:p>
    <w:p w14:paraId="4C0291F1" w14:textId="77777777" w:rsidR="000441C9" w:rsidRDefault="000441C9" w:rsidP="00522205">
      <w:pPr>
        <w:pStyle w:val="Standard"/>
      </w:pPr>
    </w:p>
    <w:p w14:paraId="005E9C00" w14:textId="77777777" w:rsidR="000441C9" w:rsidRDefault="003C20A7" w:rsidP="00522205">
      <w:pPr>
        <w:pStyle w:val="Standard"/>
      </w:pPr>
      <w:bookmarkStart w:id="47" w:name="_Hlk181871389"/>
      <w:r>
        <w:t>L'offre du candidat comporte les pièces suivantes :</w:t>
      </w:r>
    </w:p>
    <w:p w14:paraId="5F57BC16" w14:textId="77777777" w:rsidR="00CB48BB" w:rsidRDefault="00CB48BB" w:rsidP="00522205">
      <w:pPr>
        <w:pStyle w:val="Standard"/>
      </w:pPr>
    </w:p>
    <w:p w14:paraId="48934F5E" w14:textId="72877DAA" w:rsidR="000441C9" w:rsidRDefault="00CB48BB" w:rsidP="00522205">
      <w:pPr>
        <w:pStyle w:val="Standard"/>
        <w:numPr>
          <w:ilvl w:val="0"/>
          <w:numId w:val="21"/>
        </w:numPr>
      </w:pPr>
      <w:r w:rsidRPr="00CB48BB">
        <w:t>L’acte d’engagement dûment complété ;</w:t>
      </w:r>
    </w:p>
    <w:p w14:paraId="6C09E1F8" w14:textId="15A6FF96" w:rsidR="000441C9" w:rsidRDefault="003C20A7" w:rsidP="00522205">
      <w:pPr>
        <w:pStyle w:val="Standard"/>
        <w:numPr>
          <w:ilvl w:val="0"/>
          <w:numId w:val="21"/>
        </w:numPr>
      </w:pPr>
      <w:proofErr w:type="gramStart"/>
      <w:r>
        <w:t>le</w:t>
      </w:r>
      <w:proofErr w:type="gramEnd"/>
      <w:r>
        <w:t xml:space="preserve"> bordereau de prix (BPU) ;</w:t>
      </w:r>
    </w:p>
    <w:p w14:paraId="6EB53AB0" w14:textId="091B76E8" w:rsidR="00337C70" w:rsidRDefault="00337C70" w:rsidP="00522205">
      <w:pPr>
        <w:pStyle w:val="Standard"/>
        <w:numPr>
          <w:ilvl w:val="0"/>
          <w:numId w:val="21"/>
        </w:numPr>
      </w:pPr>
      <w:proofErr w:type="gramStart"/>
      <w:r>
        <w:t>le</w:t>
      </w:r>
      <w:proofErr w:type="gramEnd"/>
      <w:r>
        <w:t xml:space="preserve"> </w:t>
      </w:r>
      <w:r w:rsidRPr="00337C70">
        <w:t>Détail Quantitatif Estimatif (DQE)</w:t>
      </w:r>
    </w:p>
    <w:p w14:paraId="45FFCB2E" w14:textId="41972CC2" w:rsidR="00CB48BB" w:rsidRDefault="00CB48BB" w:rsidP="00522205">
      <w:pPr>
        <w:pStyle w:val="Standard"/>
        <w:numPr>
          <w:ilvl w:val="0"/>
          <w:numId w:val="21"/>
        </w:numPr>
      </w:pPr>
      <w:proofErr w:type="gramStart"/>
      <w:r>
        <w:t>le</w:t>
      </w:r>
      <w:proofErr w:type="gramEnd"/>
      <w:r>
        <w:t xml:space="preserve"> cadre de réponse technique </w:t>
      </w:r>
      <w:r w:rsidR="00F36567" w:rsidRPr="00F36567">
        <w:rPr>
          <w:b/>
          <w:bCs/>
          <w:u w:val="single"/>
        </w:rPr>
        <w:t>OBLIGATOIRE</w:t>
      </w:r>
      <w:r w:rsidR="00F36567">
        <w:t xml:space="preserve"> </w:t>
      </w:r>
      <w:r>
        <w:t>dûment complété</w:t>
      </w:r>
      <w:r w:rsidR="00F36567">
        <w:t xml:space="preserve"> </w:t>
      </w:r>
      <w:r>
        <w:t>;</w:t>
      </w:r>
    </w:p>
    <w:p w14:paraId="3F4155D7" w14:textId="65018C46" w:rsidR="000441C9" w:rsidRDefault="00CB48BB" w:rsidP="00522205">
      <w:pPr>
        <w:pStyle w:val="Standard"/>
        <w:numPr>
          <w:ilvl w:val="0"/>
          <w:numId w:val="21"/>
        </w:numPr>
      </w:pPr>
      <w:r w:rsidRPr="00CB48BB">
        <w:t xml:space="preserve">Le cas échéant, la déclaration de sous-traitance (DC4) accompagnée des documents mentionnés au sein de la réglementation en </w:t>
      </w:r>
      <w:r w:rsidR="009078E3" w:rsidRPr="00CB48BB">
        <w:t>vigueur ;</w:t>
      </w:r>
    </w:p>
    <w:p w14:paraId="3635F421" w14:textId="09FF9693" w:rsidR="00CB48BB" w:rsidRDefault="00CB48BB" w:rsidP="00522205">
      <w:pPr>
        <w:pStyle w:val="Standard"/>
        <w:numPr>
          <w:ilvl w:val="0"/>
          <w:numId w:val="21"/>
        </w:numPr>
      </w:pPr>
      <w:r>
        <w:t>Relevé d’identité bancaire</w:t>
      </w:r>
      <w:r w:rsidR="008841F2">
        <w:t> ;</w:t>
      </w:r>
    </w:p>
    <w:p w14:paraId="3A21372E" w14:textId="5456561A" w:rsidR="008841F2" w:rsidRDefault="008841F2" w:rsidP="00522205">
      <w:pPr>
        <w:pStyle w:val="Standard"/>
        <w:numPr>
          <w:ilvl w:val="0"/>
          <w:numId w:val="21"/>
        </w:numPr>
      </w:pPr>
      <w:r>
        <w:lastRenderedPageBreak/>
        <w:t xml:space="preserve">Le </w:t>
      </w:r>
      <w:proofErr w:type="spellStart"/>
      <w:r>
        <w:t>Kbis</w:t>
      </w:r>
      <w:proofErr w:type="spellEnd"/>
    </w:p>
    <w:p w14:paraId="167FBD0A" w14:textId="77777777" w:rsidR="000441C9" w:rsidRDefault="003C20A7" w:rsidP="00522205">
      <w:pPr>
        <w:pStyle w:val="Titre2"/>
      </w:pPr>
      <w:bookmarkStart w:id="48" w:name="_Toc208580608"/>
      <w:bookmarkEnd w:id="47"/>
      <w:r>
        <w:t>Examen des offres</w:t>
      </w:r>
      <w:bookmarkEnd w:id="48"/>
    </w:p>
    <w:p w14:paraId="3D83F4AF" w14:textId="77777777" w:rsidR="000441C9" w:rsidRDefault="000441C9" w:rsidP="00522205">
      <w:pPr>
        <w:pStyle w:val="Standard"/>
      </w:pPr>
    </w:p>
    <w:p w14:paraId="02912AA9" w14:textId="2AE68B2D" w:rsidR="000441C9" w:rsidRDefault="003C20A7" w:rsidP="00522205">
      <w:pPr>
        <w:pStyle w:val="Standard"/>
      </w:pPr>
      <w:bookmarkStart w:id="49" w:name="_Hlk181871465"/>
      <w:r>
        <w:t>Les soumissionnaires sont informés que l'acheteur examinera les offres avant les candidatures.</w:t>
      </w:r>
    </w:p>
    <w:p w14:paraId="2DAC90A5" w14:textId="67FED78F" w:rsidR="000441C9" w:rsidRDefault="003C20A7" w:rsidP="00522205">
      <w:pPr>
        <w:pStyle w:val="Standard"/>
      </w:pPr>
      <w:r>
        <w:t>Les offres inappropriées</w:t>
      </w:r>
      <w:r w:rsidR="00364EC3">
        <w:t xml:space="preserve"> </w:t>
      </w:r>
      <w:r>
        <w:t>ou inacceptables, sont éliminées.</w:t>
      </w:r>
    </w:p>
    <w:p w14:paraId="40F27BBE" w14:textId="77777777" w:rsidR="003E2CB7" w:rsidRDefault="003E2CB7" w:rsidP="00522205">
      <w:pPr>
        <w:pStyle w:val="Standard"/>
      </w:pPr>
    </w:p>
    <w:p w14:paraId="5035E6C7" w14:textId="3181FA98" w:rsidR="000441C9" w:rsidRDefault="003C20A7" w:rsidP="00522205">
      <w:pPr>
        <w:pStyle w:val="Standard"/>
      </w:pPr>
      <w:r>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3EE33C28" w14:textId="77777777" w:rsidR="000441C9" w:rsidRDefault="000441C9" w:rsidP="00522205">
      <w:pPr>
        <w:pStyle w:val="Standard"/>
      </w:pPr>
    </w:p>
    <w:p w14:paraId="22F3769F" w14:textId="77777777" w:rsidR="000441C9" w:rsidRDefault="003C20A7" w:rsidP="00522205">
      <w:pPr>
        <w:pStyle w:val="Standard"/>
      </w:pPr>
      <w:r>
        <w:t>L'acheteur peut demander aux soumissionnaires de préciser la teneur de leur offre.</w:t>
      </w:r>
    </w:p>
    <w:p w14:paraId="711A63BC" w14:textId="77777777" w:rsidR="000441C9" w:rsidRDefault="003C20A7" w:rsidP="00522205">
      <w:pPr>
        <w:pStyle w:val="Standard"/>
      </w:pPr>
      <w:r>
        <w:t>Cette demande ne peut ni aboutir à une négociation ni à une modification de l'offre.</w:t>
      </w:r>
    </w:p>
    <w:p w14:paraId="1C71296C" w14:textId="77777777" w:rsidR="000441C9" w:rsidRDefault="003C20A7" w:rsidP="00522205">
      <w:pPr>
        <w:pStyle w:val="Titre2"/>
      </w:pPr>
      <w:bookmarkStart w:id="50" w:name="_Toc208580609"/>
      <w:bookmarkEnd w:id="49"/>
      <w:r>
        <w:t>Critères d'attribution</w:t>
      </w:r>
      <w:bookmarkEnd w:id="50"/>
    </w:p>
    <w:p w14:paraId="3C4ECD1B" w14:textId="77777777" w:rsidR="000441C9" w:rsidRDefault="000441C9" w:rsidP="00522205">
      <w:pPr>
        <w:pStyle w:val="Standard"/>
      </w:pPr>
    </w:p>
    <w:p w14:paraId="7C9212E6" w14:textId="77777777" w:rsidR="003E2CB7" w:rsidRDefault="003E2CB7" w:rsidP="00522205">
      <w:pPr>
        <w:pStyle w:val="Standard"/>
      </w:pPr>
      <w:bookmarkStart w:id="51" w:name="_Hlk181871547"/>
      <w:r>
        <w:t>Les critères d'attribution sont listés dans le tableau suivant :</w:t>
      </w:r>
    </w:p>
    <w:p w14:paraId="0AEBF3E6" w14:textId="77777777" w:rsidR="003E2CB7" w:rsidRDefault="003E2CB7" w:rsidP="00522205">
      <w:pPr>
        <w:pStyle w:val="Standard"/>
      </w:pPr>
    </w:p>
    <w:tbl>
      <w:tblPr>
        <w:tblW w:w="9638" w:type="dxa"/>
        <w:tblLayout w:type="fixed"/>
        <w:tblCellMar>
          <w:left w:w="10" w:type="dxa"/>
          <w:right w:w="10" w:type="dxa"/>
        </w:tblCellMar>
        <w:tblLook w:val="0000" w:firstRow="0" w:lastRow="0" w:firstColumn="0" w:lastColumn="0" w:noHBand="0" w:noVBand="0"/>
      </w:tblPr>
      <w:tblGrid>
        <w:gridCol w:w="706"/>
        <w:gridCol w:w="5103"/>
        <w:gridCol w:w="3829"/>
      </w:tblGrid>
      <w:tr w:rsidR="00BE6435" w14:paraId="7375B2A8" w14:textId="77777777" w:rsidTr="00AA7079">
        <w:tc>
          <w:tcPr>
            <w:tcW w:w="706" w:type="dxa"/>
            <w:tcBorders>
              <w:top w:val="single" w:sz="2" w:space="0" w:color="000000"/>
              <w:left w:val="single" w:sz="2" w:space="0" w:color="000000"/>
              <w:bottom w:val="single" w:sz="2" w:space="0" w:color="000000"/>
            </w:tcBorders>
            <w:shd w:val="clear" w:color="auto" w:fill="ADC5E7"/>
            <w:tcMar>
              <w:top w:w="55" w:type="dxa"/>
              <w:left w:w="55" w:type="dxa"/>
              <w:bottom w:w="55" w:type="dxa"/>
              <w:right w:w="55" w:type="dxa"/>
            </w:tcMar>
          </w:tcPr>
          <w:p w14:paraId="1D42C33D" w14:textId="3711CA71" w:rsidR="00BE6435" w:rsidRPr="001865F1" w:rsidRDefault="00BE6435" w:rsidP="001865F1">
            <w:pPr>
              <w:pStyle w:val="Table"/>
              <w:jc w:val="center"/>
              <w:rPr>
                <w:b/>
                <w:bCs/>
                <w:sz w:val="20"/>
                <w:szCs w:val="32"/>
              </w:rPr>
            </w:pPr>
          </w:p>
        </w:tc>
        <w:tc>
          <w:tcPr>
            <w:tcW w:w="5103" w:type="dxa"/>
            <w:tcBorders>
              <w:top w:val="single" w:sz="2" w:space="0" w:color="000000"/>
              <w:left w:val="single" w:sz="2" w:space="0" w:color="000000"/>
              <w:bottom w:val="single" w:sz="2" w:space="0" w:color="000000"/>
              <w:right w:val="single" w:sz="2" w:space="0" w:color="000000"/>
            </w:tcBorders>
            <w:shd w:val="clear" w:color="auto" w:fill="ADC5E7"/>
          </w:tcPr>
          <w:p w14:paraId="017029F7" w14:textId="35946EBA" w:rsidR="00BE6435" w:rsidRPr="001865F1" w:rsidRDefault="00BE6435" w:rsidP="001865F1">
            <w:pPr>
              <w:pStyle w:val="Table"/>
              <w:jc w:val="center"/>
              <w:rPr>
                <w:b/>
                <w:bCs/>
                <w:sz w:val="20"/>
                <w:szCs w:val="32"/>
              </w:rPr>
            </w:pPr>
            <w:r w:rsidRPr="001865F1">
              <w:rPr>
                <w:b/>
                <w:bCs/>
                <w:sz w:val="20"/>
                <w:szCs w:val="32"/>
              </w:rPr>
              <w:t>Critères</w:t>
            </w:r>
          </w:p>
        </w:tc>
        <w:tc>
          <w:tcPr>
            <w:tcW w:w="3829" w:type="dxa"/>
            <w:tcBorders>
              <w:top w:val="single" w:sz="2" w:space="0" w:color="000000"/>
              <w:left w:val="single" w:sz="2" w:space="0" w:color="000000"/>
              <w:bottom w:val="single" w:sz="2" w:space="0" w:color="000000"/>
              <w:right w:val="single" w:sz="2" w:space="0" w:color="000000"/>
            </w:tcBorders>
            <w:shd w:val="clear" w:color="auto" w:fill="ADC5E7"/>
            <w:tcMar>
              <w:top w:w="55" w:type="dxa"/>
              <w:left w:w="55" w:type="dxa"/>
              <w:bottom w:w="55" w:type="dxa"/>
              <w:right w:w="55" w:type="dxa"/>
            </w:tcMar>
          </w:tcPr>
          <w:p w14:paraId="0F4F622B" w14:textId="77777777" w:rsidR="00BE6435" w:rsidRPr="001865F1" w:rsidRDefault="00BE6435" w:rsidP="001865F1">
            <w:pPr>
              <w:pStyle w:val="Table"/>
              <w:jc w:val="center"/>
              <w:rPr>
                <w:b/>
                <w:bCs/>
                <w:sz w:val="20"/>
                <w:szCs w:val="32"/>
              </w:rPr>
            </w:pPr>
            <w:r w:rsidRPr="001865F1">
              <w:rPr>
                <w:b/>
                <w:bCs/>
                <w:sz w:val="20"/>
                <w:szCs w:val="32"/>
              </w:rPr>
              <w:t>Pondération</w:t>
            </w:r>
          </w:p>
        </w:tc>
      </w:tr>
      <w:tr w:rsidR="00BE6435" w14:paraId="1EE47D6E" w14:textId="77777777" w:rsidTr="00AA7079">
        <w:trPr>
          <w:trHeight w:val="591"/>
        </w:trPr>
        <w:tc>
          <w:tcPr>
            <w:tcW w:w="706" w:type="dxa"/>
            <w:tcBorders>
              <w:left w:val="single" w:sz="2" w:space="0" w:color="000000"/>
              <w:bottom w:val="single" w:sz="4" w:space="0" w:color="auto"/>
            </w:tcBorders>
            <w:shd w:val="clear" w:color="auto" w:fill="auto"/>
            <w:tcMar>
              <w:top w:w="55" w:type="dxa"/>
              <w:left w:w="55" w:type="dxa"/>
              <w:bottom w:w="55" w:type="dxa"/>
              <w:right w:w="55" w:type="dxa"/>
            </w:tcMar>
          </w:tcPr>
          <w:p w14:paraId="50D71587" w14:textId="545D1A90" w:rsidR="00BE6435" w:rsidRPr="001865F1" w:rsidRDefault="00BE6435" w:rsidP="001865F1">
            <w:pPr>
              <w:pStyle w:val="Table"/>
              <w:jc w:val="center"/>
              <w:rPr>
                <w:b/>
                <w:bCs/>
                <w:sz w:val="20"/>
                <w:szCs w:val="32"/>
              </w:rPr>
            </w:pPr>
            <w:r w:rsidRPr="001865F1">
              <w:rPr>
                <w:b/>
                <w:bCs/>
                <w:sz w:val="20"/>
                <w:szCs w:val="32"/>
              </w:rPr>
              <w:t>1</w:t>
            </w:r>
          </w:p>
        </w:tc>
        <w:tc>
          <w:tcPr>
            <w:tcW w:w="5103" w:type="dxa"/>
            <w:tcBorders>
              <w:left w:val="single" w:sz="2" w:space="0" w:color="000000"/>
              <w:bottom w:val="single" w:sz="4" w:space="0" w:color="auto"/>
              <w:right w:val="single" w:sz="2" w:space="0" w:color="000000"/>
            </w:tcBorders>
          </w:tcPr>
          <w:p w14:paraId="61E5E2F8" w14:textId="12D0F80F" w:rsidR="00BE6435" w:rsidRPr="001865F1" w:rsidRDefault="00BE6435" w:rsidP="001865F1">
            <w:pPr>
              <w:pStyle w:val="Table"/>
              <w:jc w:val="center"/>
              <w:rPr>
                <w:b/>
                <w:bCs/>
                <w:sz w:val="20"/>
                <w:szCs w:val="32"/>
              </w:rPr>
            </w:pPr>
            <w:r w:rsidRPr="001865F1">
              <w:rPr>
                <w:b/>
                <w:bCs/>
                <w:sz w:val="20"/>
                <w:szCs w:val="32"/>
              </w:rPr>
              <w:t>Qualité de la prestation</w:t>
            </w:r>
          </w:p>
        </w:tc>
        <w:tc>
          <w:tcPr>
            <w:tcW w:w="3829"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7A5B62A6" w14:textId="789E07EE" w:rsidR="00BE6435" w:rsidRPr="001865F1" w:rsidRDefault="001865F1" w:rsidP="001865F1">
            <w:pPr>
              <w:pStyle w:val="Table"/>
              <w:jc w:val="center"/>
              <w:rPr>
                <w:b/>
                <w:bCs/>
                <w:sz w:val="20"/>
                <w:szCs w:val="32"/>
              </w:rPr>
            </w:pPr>
            <w:r w:rsidRPr="001865F1">
              <w:rPr>
                <w:b/>
                <w:bCs/>
                <w:sz w:val="20"/>
                <w:szCs w:val="32"/>
              </w:rPr>
              <w:t>6</w:t>
            </w:r>
            <w:r w:rsidR="006A779B" w:rsidRPr="001865F1">
              <w:rPr>
                <w:b/>
                <w:bCs/>
                <w:sz w:val="20"/>
                <w:szCs w:val="32"/>
              </w:rPr>
              <w:t>5</w:t>
            </w:r>
            <w:r w:rsidR="00BE6435" w:rsidRPr="001865F1">
              <w:rPr>
                <w:b/>
                <w:bCs/>
                <w:sz w:val="20"/>
                <w:szCs w:val="32"/>
              </w:rPr>
              <w:t>,00 %</w:t>
            </w:r>
          </w:p>
        </w:tc>
      </w:tr>
      <w:tr w:rsidR="00BE6435" w14:paraId="5EAC3BD4" w14:textId="77777777" w:rsidTr="00AA7079">
        <w:trPr>
          <w:trHeight w:val="428"/>
        </w:trPr>
        <w:tc>
          <w:tcPr>
            <w:tcW w:w="70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7C434E7" w14:textId="75C90095" w:rsidR="00BE6435" w:rsidRPr="001865F1" w:rsidRDefault="00BE6435" w:rsidP="001865F1">
            <w:pPr>
              <w:pStyle w:val="Table"/>
              <w:jc w:val="center"/>
              <w:rPr>
                <w:b/>
                <w:bCs/>
                <w:sz w:val="20"/>
                <w:szCs w:val="32"/>
              </w:rPr>
            </w:pPr>
            <w:r w:rsidRPr="001865F1">
              <w:rPr>
                <w:b/>
                <w:bCs/>
                <w:sz w:val="20"/>
                <w:szCs w:val="32"/>
              </w:rPr>
              <w:t>2</w:t>
            </w:r>
          </w:p>
        </w:tc>
        <w:tc>
          <w:tcPr>
            <w:tcW w:w="5103" w:type="dxa"/>
            <w:tcBorders>
              <w:top w:val="single" w:sz="4" w:space="0" w:color="auto"/>
              <w:left w:val="single" w:sz="4" w:space="0" w:color="auto"/>
              <w:bottom w:val="single" w:sz="4" w:space="0" w:color="auto"/>
              <w:right w:val="single" w:sz="4" w:space="0" w:color="auto"/>
            </w:tcBorders>
          </w:tcPr>
          <w:p w14:paraId="2189ED6C" w14:textId="3A861EB1" w:rsidR="00BE6435" w:rsidRPr="001865F1" w:rsidRDefault="00BE6435" w:rsidP="001865F1">
            <w:pPr>
              <w:pStyle w:val="Table"/>
              <w:jc w:val="center"/>
              <w:rPr>
                <w:b/>
                <w:bCs/>
                <w:sz w:val="20"/>
                <w:szCs w:val="32"/>
              </w:rPr>
            </w:pPr>
            <w:r w:rsidRPr="001865F1">
              <w:rPr>
                <w:b/>
                <w:bCs/>
                <w:sz w:val="20"/>
                <w:szCs w:val="32"/>
              </w:rPr>
              <w:t>Prix</w:t>
            </w:r>
          </w:p>
        </w:tc>
        <w:tc>
          <w:tcPr>
            <w:tcW w:w="38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368986D" w14:textId="4AC4E9BB" w:rsidR="00BE6435" w:rsidRPr="001865F1" w:rsidRDefault="001865F1" w:rsidP="001865F1">
            <w:pPr>
              <w:pStyle w:val="Table"/>
              <w:jc w:val="center"/>
              <w:rPr>
                <w:b/>
                <w:bCs/>
                <w:sz w:val="20"/>
                <w:szCs w:val="32"/>
              </w:rPr>
            </w:pPr>
            <w:r w:rsidRPr="001865F1">
              <w:rPr>
                <w:b/>
                <w:bCs/>
                <w:sz w:val="20"/>
                <w:szCs w:val="32"/>
              </w:rPr>
              <w:t>3</w:t>
            </w:r>
            <w:r w:rsidR="006A779B" w:rsidRPr="001865F1">
              <w:rPr>
                <w:b/>
                <w:bCs/>
                <w:sz w:val="20"/>
                <w:szCs w:val="32"/>
              </w:rPr>
              <w:t>0</w:t>
            </w:r>
            <w:r w:rsidR="00BE6435" w:rsidRPr="001865F1">
              <w:rPr>
                <w:b/>
                <w:bCs/>
                <w:sz w:val="20"/>
                <w:szCs w:val="32"/>
              </w:rPr>
              <w:t>,00 %</w:t>
            </w:r>
          </w:p>
        </w:tc>
      </w:tr>
      <w:tr w:rsidR="009078E3" w14:paraId="3CC339E9" w14:textId="77777777" w:rsidTr="00AA7079">
        <w:trPr>
          <w:trHeight w:val="428"/>
        </w:trPr>
        <w:tc>
          <w:tcPr>
            <w:tcW w:w="706"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5AAFDE3" w14:textId="28916867" w:rsidR="009078E3" w:rsidRPr="001865F1" w:rsidRDefault="009078E3" w:rsidP="001865F1">
            <w:pPr>
              <w:pStyle w:val="Table"/>
              <w:jc w:val="center"/>
              <w:rPr>
                <w:b/>
                <w:bCs/>
                <w:sz w:val="20"/>
                <w:szCs w:val="32"/>
              </w:rPr>
            </w:pPr>
            <w:r w:rsidRPr="001865F1">
              <w:rPr>
                <w:b/>
                <w:bCs/>
                <w:sz w:val="20"/>
                <w:szCs w:val="32"/>
              </w:rPr>
              <w:t>3</w:t>
            </w:r>
          </w:p>
        </w:tc>
        <w:tc>
          <w:tcPr>
            <w:tcW w:w="5103" w:type="dxa"/>
            <w:tcBorders>
              <w:top w:val="single" w:sz="4" w:space="0" w:color="auto"/>
              <w:left w:val="single" w:sz="4" w:space="0" w:color="auto"/>
              <w:bottom w:val="single" w:sz="4" w:space="0" w:color="auto"/>
              <w:right w:val="single" w:sz="4" w:space="0" w:color="auto"/>
            </w:tcBorders>
          </w:tcPr>
          <w:p w14:paraId="4BDABE89" w14:textId="10264F2F" w:rsidR="009078E3" w:rsidRPr="001865F1" w:rsidRDefault="009078E3" w:rsidP="001865F1">
            <w:pPr>
              <w:pStyle w:val="Table"/>
              <w:jc w:val="center"/>
              <w:rPr>
                <w:b/>
                <w:bCs/>
                <w:sz w:val="20"/>
                <w:szCs w:val="32"/>
              </w:rPr>
            </w:pPr>
            <w:r w:rsidRPr="001865F1">
              <w:rPr>
                <w:b/>
                <w:bCs/>
                <w:sz w:val="20"/>
                <w:szCs w:val="32"/>
              </w:rPr>
              <w:t>Performance environnementale</w:t>
            </w:r>
          </w:p>
        </w:tc>
        <w:tc>
          <w:tcPr>
            <w:tcW w:w="382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CC7C24" w14:textId="59AABA0C" w:rsidR="009078E3" w:rsidRPr="001865F1" w:rsidRDefault="00D15BC4" w:rsidP="001865F1">
            <w:pPr>
              <w:pStyle w:val="Table"/>
              <w:jc w:val="center"/>
              <w:rPr>
                <w:b/>
                <w:bCs/>
                <w:sz w:val="20"/>
                <w:szCs w:val="32"/>
              </w:rPr>
            </w:pPr>
            <w:r w:rsidRPr="001865F1">
              <w:rPr>
                <w:b/>
                <w:bCs/>
                <w:sz w:val="20"/>
                <w:szCs w:val="32"/>
              </w:rPr>
              <w:t>5</w:t>
            </w:r>
            <w:r w:rsidR="009078E3" w:rsidRPr="001865F1">
              <w:rPr>
                <w:b/>
                <w:bCs/>
                <w:sz w:val="20"/>
                <w:szCs w:val="32"/>
              </w:rPr>
              <w:t>%</w:t>
            </w:r>
          </w:p>
        </w:tc>
      </w:tr>
    </w:tbl>
    <w:bookmarkEnd w:id="51"/>
    <w:p w14:paraId="6BB880E6" w14:textId="77777777" w:rsidR="000441C9" w:rsidRDefault="003C20A7" w:rsidP="00522205">
      <w:pPr>
        <w:pStyle w:val="Standard"/>
      </w:pPr>
      <w:r>
        <w:t xml:space="preserve"> </w:t>
      </w:r>
    </w:p>
    <w:p w14:paraId="04593459" w14:textId="77777777" w:rsidR="000441C9" w:rsidRDefault="003C20A7" w:rsidP="00522205">
      <w:pPr>
        <w:pStyle w:val="Titre2"/>
      </w:pPr>
      <w:bookmarkStart w:id="52" w:name="_Toc208580610"/>
      <w:r>
        <w:t>Méthode de notation des offres</w:t>
      </w:r>
      <w:bookmarkEnd w:id="52"/>
    </w:p>
    <w:p w14:paraId="6D39F659" w14:textId="77777777" w:rsidR="000441C9" w:rsidRDefault="000441C9" w:rsidP="00522205">
      <w:pPr>
        <w:pStyle w:val="Standard"/>
      </w:pPr>
    </w:p>
    <w:p w14:paraId="1552DF23" w14:textId="736DBE73" w:rsidR="00D15BC4" w:rsidRPr="00E87C71" w:rsidRDefault="00FC4C8B" w:rsidP="00522205">
      <w:pPr>
        <w:pStyle w:val="Standard"/>
      </w:pPr>
      <w:bookmarkStart w:id="53" w:name="_Hlk181871675"/>
      <w:r w:rsidRPr="00894A82">
        <w:t>Méthode de notation des offres </w:t>
      </w:r>
      <w:r w:rsidR="00894A82" w:rsidRPr="00894A82">
        <w:t xml:space="preserve">- </w:t>
      </w:r>
      <w:r w:rsidR="00D15BC4" w:rsidRPr="00894A82">
        <w:t>Le barème de notation final est le suivant</w:t>
      </w:r>
      <w:r w:rsidR="00D15BC4" w:rsidRPr="00E87C71">
        <w:t xml:space="preserve"> :</w:t>
      </w:r>
    </w:p>
    <w:p w14:paraId="2746F498" w14:textId="77777777" w:rsidR="00D15BC4" w:rsidRPr="00E87C71" w:rsidRDefault="00D15BC4" w:rsidP="00522205">
      <w:pPr>
        <w:pStyle w:val="Standard"/>
      </w:pPr>
      <w:r w:rsidRPr="00E87C71">
        <w:t>0 à 2 : Très insuffisant</w:t>
      </w:r>
    </w:p>
    <w:p w14:paraId="68222B81" w14:textId="77777777" w:rsidR="00D15BC4" w:rsidRPr="00E87C71" w:rsidRDefault="00D15BC4" w:rsidP="00522205">
      <w:pPr>
        <w:pStyle w:val="Standard"/>
      </w:pPr>
      <w:r w:rsidRPr="00E87C71">
        <w:t>2,1 à 4 : Insuffisant</w:t>
      </w:r>
    </w:p>
    <w:p w14:paraId="01EBEE3A" w14:textId="77777777" w:rsidR="00D15BC4" w:rsidRPr="00E87C71" w:rsidRDefault="00D15BC4" w:rsidP="00522205">
      <w:pPr>
        <w:pStyle w:val="Standard"/>
      </w:pPr>
      <w:r w:rsidRPr="00E87C71">
        <w:t>4,1 à 6 : Moyen</w:t>
      </w:r>
    </w:p>
    <w:p w14:paraId="531ECBEF" w14:textId="77777777" w:rsidR="00D15BC4" w:rsidRPr="00E87C71" w:rsidRDefault="00D15BC4" w:rsidP="00522205">
      <w:pPr>
        <w:pStyle w:val="Standard"/>
      </w:pPr>
      <w:r w:rsidRPr="00E87C71">
        <w:t>6,1 à 8 : Satisfaisant</w:t>
      </w:r>
    </w:p>
    <w:p w14:paraId="5F8277C0" w14:textId="77777777" w:rsidR="00D15BC4" w:rsidRPr="00E87C71" w:rsidRDefault="00D15BC4" w:rsidP="00522205">
      <w:pPr>
        <w:pStyle w:val="Standard"/>
      </w:pPr>
      <w:r w:rsidRPr="00E87C71">
        <w:t>8,1 à 10 : Très satisfaisant</w:t>
      </w:r>
    </w:p>
    <w:p w14:paraId="2B38EF1F" w14:textId="77777777" w:rsidR="00D15BC4" w:rsidRPr="00E87C71" w:rsidRDefault="00D15BC4" w:rsidP="00522205">
      <w:pPr>
        <w:pStyle w:val="Standard"/>
      </w:pPr>
      <w:bookmarkStart w:id="54" w:name="_Hlk208473498"/>
      <w:r w:rsidRPr="00E87C71">
        <w:t>Toute note inférieure ou égale à 4 pour l’évaluation totale de la qualité technique de l’offre sera éliminatoire, car le niveau de l’offre serait jugé globalement insuffisant.</w:t>
      </w:r>
    </w:p>
    <w:bookmarkEnd w:id="54"/>
    <w:p w14:paraId="423A4118" w14:textId="77777777" w:rsidR="00D15BC4" w:rsidRDefault="00D15BC4" w:rsidP="00522205">
      <w:pPr>
        <w:pStyle w:val="Standard"/>
      </w:pPr>
      <w:r>
        <w:tab/>
      </w:r>
    </w:p>
    <w:p w14:paraId="732CD2B7" w14:textId="71616B4C" w:rsidR="00FC4C8B" w:rsidRPr="001865F1" w:rsidRDefault="00FC4C8B" w:rsidP="001865F1">
      <w:pPr>
        <w:pStyle w:val="Standard"/>
        <w:numPr>
          <w:ilvl w:val="0"/>
          <w:numId w:val="39"/>
        </w:numPr>
        <w:rPr>
          <w:b/>
          <w:bCs/>
          <w:u w:val="single"/>
        </w:rPr>
      </w:pPr>
      <w:r w:rsidRPr="001865F1">
        <w:rPr>
          <w:b/>
          <w:bCs/>
          <w:u w:val="single"/>
        </w:rPr>
        <w:t xml:space="preserve">Critère n°1 : </w:t>
      </w:r>
      <w:r w:rsidR="00894A82" w:rsidRPr="001865F1">
        <w:rPr>
          <w:b/>
          <w:bCs/>
          <w:u w:val="single"/>
        </w:rPr>
        <w:t>Q</w:t>
      </w:r>
      <w:r w:rsidRPr="001865F1">
        <w:rPr>
          <w:b/>
          <w:bCs/>
          <w:u w:val="single"/>
        </w:rPr>
        <w:t xml:space="preserve">ualité technique de l'offre jugée au regard du cadre de réponse - </w:t>
      </w:r>
      <w:r w:rsidR="00406704">
        <w:rPr>
          <w:b/>
          <w:bCs/>
          <w:u w:val="single"/>
        </w:rPr>
        <w:t>6</w:t>
      </w:r>
      <w:r w:rsidR="006A779B" w:rsidRPr="001865F1">
        <w:rPr>
          <w:b/>
          <w:bCs/>
          <w:u w:val="single"/>
        </w:rPr>
        <w:t>5</w:t>
      </w:r>
      <w:r w:rsidRPr="001865F1">
        <w:rPr>
          <w:b/>
          <w:bCs/>
          <w:u w:val="single"/>
        </w:rPr>
        <w:t>%</w:t>
      </w:r>
    </w:p>
    <w:p w14:paraId="4DF391AB" w14:textId="77777777" w:rsidR="001865F1" w:rsidRPr="001865F1" w:rsidRDefault="001865F1" w:rsidP="001865F1">
      <w:pPr>
        <w:pStyle w:val="Standard"/>
        <w:ind w:left="720"/>
        <w:rPr>
          <w:b/>
          <w:bCs/>
        </w:rPr>
      </w:pPr>
    </w:p>
    <w:p w14:paraId="06729746" w14:textId="20EFEAEF" w:rsidR="001865F1" w:rsidRPr="00437DA3" w:rsidRDefault="001865F1" w:rsidP="001865F1">
      <w:pPr>
        <w:pStyle w:val="Standard"/>
        <w:ind w:left="720"/>
        <w:rPr>
          <w:b/>
        </w:rPr>
      </w:pPr>
      <w:r w:rsidRPr="00437DA3">
        <w:rPr>
          <w:b/>
        </w:rPr>
        <w:t>Sous-critère 1 - Qualité équipes et chaîne de production (25%)</w:t>
      </w:r>
    </w:p>
    <w:p w14:paraId="707DFE24" w14:textId="66F9470A" w:rsidR="00437DA3" w:rsidRPr="00437DA3" w:rsidRDefault="00437DA3" w:rsidP="00437DA3">
      <w:pPr>
        <w:pStyle w:val="Standard"/>
        <w:ind w:left="1412"/>
        <w:rPr>
          <w:bCs/>
        </w:rPr>
      </w:pPr>
      <w:r w:rsidRPr="00437DA3">
        <w:rPr>
          <w:bCs/>
        </w:rPr>
        <w:t>•</w:t>
      </w:r>
      <w:r w:rsidRPr="00437DA3">
        <w:rPr>
          <w:bCs/>
        </w:rPr>
        <w:tab/>
        <w:t>renseignements sur la structure de l’équipe intervenante</w:t>
      </w:r>
      <w:r>
        <w:rPr>
          <w:bCs/>
        </w:rPr>
        <w:t>,</w:t>
      </w:r>
    </w:p>
    <w:p w14:paraId="2C8BB04D" w14:textId="04272932" w:rsidR="00437DA3" w:rsidRPr="00437DA3" w:rsidRDefault="00437DA3" w:rsidP="00437DA3">
      <w:pPr>
        <w:pStyle w:val="Standard"/>
        <w:ind w:left="1412"/>
        <w:rPr>
          <w:bCs/>
        </w:rPr>
      </w:pPr>
      <w:r w:rsidRPr="00437DA3">
        <w:rPr>
          <w:bCs/>
        </w:rPr>
        <w:t>•</w:t>
      </w:r>
      <w:r w:rsidRPr="00437DA3">
        <w:rPr>
          <w:bCs/>
        </w:rPr>
        <w:tab/>
        <w:t xml:space="preserve">qualification, </w:t>
      </w:r>
    </w:p>
    <w:p w14:paraId="726820CD" w14:textId="6D641F7B" w:rsidR="00437DA3" w:rsidRPr="001865F1" w:rsidRDefault="00437DA3" w:rsidP="00437DA3">
      <w:pPr>
        <w:pStyle w:val="Standard"/>
        <w:ind w:left="1412"/>
        <w:rPr>
          <w:bCs/>
        </w:rPr>
      </w:pPr>
      <w:r w:rsidRPr="00437DA3">
        <w:rPr>
          <w:bCs/>
        </w:rPr>
        <w:t>•</w:t>
      </w:r>
      <w:r w:rsidRPr="00437DA3">
        <w:rPr>
          <w:bCs/>
        </w:rPr>
        <w:tab/>
        <w:t>intervenant dans le suivi du projet.</w:t>
      </w:r>
    </w:p>
    <w:p w14:paraId="35499F4D" w14:textId="22E50042" w:rsidR="001865F1" w:rsidRDefault="001865F1" w:rsidP="001865F1">
      <w:pPr>
        <w:pStyle w:val="Standard"/>
        <w:ind w:left="720"/>
        <w:rPr>
          <w:b/>
        </w:rPr>
      </w:pPr>
      <w:r w:rsidRPr="00437DA3">
        <w:rPr>
          <w:b/>
        </w:rPr>
        <w:t>Sous-critère 2 - Qualité des modalités d’exécution des prestations (50%)</w:t>
      </w:r>
    </w:p>
    <w:p w14:paraId="7649848A" w14:textId="77777777" w:rsidR="00437DA3" w:rsidRPr="00437DA3" w:rsidRDefault="00437DA3" w:rsidP="00437DA3">
      <w:pPr>
        <w:pStyle w:val="NormalWeb"/>
        <w:numPr>
          <w:ilvl w:val="0"/>
          <w:numId w:val="40"/>
        </w:numPr>
        <w:spacing w:after="0"/>
        <w:jc w:val="both"/>
        <w:rPr>
          <w:rFonts w:ascii="Arial" w:hAnsi="Arial" w:cs="Arial"/>
          <w:sz w:val="20"/>
          <w:szCs w:val="20"/>
        </w:rPr>
      </w:pPr>
      <w:r w:rsidRPr="00437DA3">
        <w:rPr>
          <w:rFonts w:ascii="Arial" w:hAnsi="Arial" w:cs="Arial"/>
          <w:sz w:val="20"/>
          <w:szCs w:val="20"/>
        </w:rPr>
        <w:lastRenderedPageBreak/>
        <w:t xml:space="preserve">Maîtrise et garanties à apporter sur la manipulation des supports audio anciens et historiques, pratique confirmée des traitements d’archives patrimoniales fragiles, </w:t>
      </w:r>
    </w:p>
    <w:p w14:paraId="7D6E9BF6" w14:textId="655722C0" w:rsidR="00437DA3" w:rsidRPr="00437DA3" w:rsidRDefault="00437DA3" w:rsidP="00437DA3">
      <w:pPr>
        <w:pStyle w:val="NormalWeb"/>
        <w:numPr>
          <w:ilvl w:val="0"/>
          <w:numId w:val="40"/>
        </w:numPr>
        <w:spacing w:after="0"/>
        <w:jc w:val="both"/>
        <w:rPr>
          <w:rFonts w:ascii="Arial" w:hAnsi="Arial" w:cs="Arial"/>
          <w:sz w:val="20"/>
          <w:szCs w:val="20"/>
        </w:rPr>
      </w:pPr>
      <w:r w:rsidRPr="00437DA3">
        <w:rPr>
          <w:rFonts w:ascii="Arial" w:hAnsi="Arial" w:cs="Arial"/>
          <w:sz w:val="20"/>
          <w:szCs w:val="20"/>
        </w:rPr>
        <w:t xml:space="preserve">Conditions de sécurité des archives lors de leur transport aller et retour, </w:t>
      </w:r>
    </w:p>
    <w:p w14:paraId="17623A0F" w14:textId="4B022257" w:rsidR="00437DA3" w:rsidRPr="00437DA3" w:rsidRDefault="00437DA3" w:rsidP="00437DA3">
      <w:pPr>
        <w:pStyle w:val="NormalWeb"/>
        <w:numPr>
          <w:ilvl w:val="0"/>
          <w:numId w:val="40"/>
        </w:numPr>
        <w:spacing w:after="0"/>
        <w:jc w:val="both"/>
        <w:rPr>
          <w:rFonts w:ascii="Arial" w:hAnsi="Arial" w:cs="Arial"/>
          <w:sz w:val="20"/>
          <w:szCs w:val="20"/>
        </w:rPr>
      </w:pPr>
      <w:r w:rsidRPr="00437DA3">
        <w:rPr>
          <w:rFonts w:ascii="Arial" w:hAnsi="Arial" w:cs="Arial"/>
          <w:sz w:val="20"/>
          <w:szCs w:val="20"/>
        </w:rPr>
        <w:t>Garantie de sécurité des collections chez le titulaire.</w:t>
      </w:r>
    </w:p>
    <w:p w14:paraId="0991E4AA" w14:textId="71551BF0" w:rsidR="00FE60CA" w:rsidRDefault="001865F1" w:rsidP="001865F1">
      <w:pPr>
        <w:pStyle w:val="Standard"/>
        <w:ind w:left="720"/>
        <w:rPr>
          <w:b/>
        </w:rPr>
      </w:pPr>
      <w:r w:rsidRPr="00437DA3">
        <w:rPr>
          <w:b/>
        </w:rPr>
        <w:t>Sous-critère 3 - Qualité des fichiers numériques et des métadonnées (25%)</w:t>
      </w:r>
    </w:p>
    <w:p w14:paraId="68330105" w14:textId="393C245A" w:rsidR="00437DA3" w:rsidRPr="00437DA3" w:rsidRDefault="00437DA3" w:rsidP="00437DA3">
      <w:pPr>
        <w:pStyle w:val="Standard"/>
        <w:numPr>
          <w:ilvl w:val="0"/>
          <w:numId w:val="41"/>
        </w:numPr>
        <w:rPr>
          <w:bCs/>
        </w:rPr>
      </w:pPr>
      <w:r w:rsidRPr="00437DA3">
        <w:rPr>
          <w:bCs/>
        </w:rPr>
        <w:t>Respect des résolutions demandées</w:t>
      </w:r>
    </w:p>
    <w:p w14:paraId="07BB1E5F" w14:textId="0C9F59D6" w:rsidR="00437DA3" w:rsidRPr="00437DA3" w:rsidRDefault="00437DA3" w:rsidP="00437DA3">
      <w:pPr>
        <w:pStyle w:val="Standard"/>
        <w:numPr>
          <w:ilvl w:val="0"/>
          <w:numId w:val="41"/>
        </w:numPr>
        <w:rPr>
          <w:bCs/>
        </w:rPr>
      </w:pPr>
      <w:r w:rsidRPr="00437DA3">
        <w:rPr>
          <w:bCs/>
        </w:rPr>
        <w:t>Qualité des métadonnées associées : renseignement du fichier de récolement</w:t>
      </w:r>
    </w:p>
    <w:p w14:paraId="091086F3" w14:textId="77777777" w:rsidR="006A779B" w:rsidRDefault="006A779B" w:rsidP="00522205">
      <w:pPr>
        <w:pStyle w:val="Standard"/>
      </w:pPr>
    </w:p>
    <w:p w14:paraId="4F7B4137" w14:textId="26A0CE43" w:rsidR="000441C9" w:rsidRPr="00894A82" w:rsidRDefault="001865F1" w:rsidP="001865F1">
      <w:pPr>
        <w:pStyle w:val="Standard"/>
        <w:numPr>
          <w:ilvl w:val="0"/>
          <w:numId w:val="37"/>
        </w:numPr>
      </w:pPr>
      <w:r>
        <w:rPr>
          <w:b/>
          <w:bCs/>
          <w:u w:val="single"/>
        </w:rPr>
        <w:t xml:space="preserve">Critère 2 - </w:t>
      </w:r>
      <w:r w:rsidR="003C20A7" w:rsidRPr="001865F1">
        <w:rPr>
          <w:b/>
          <w:bCs/>
          <w:u w:val="single"/>
        </w:rPr>
        <w:t>Méthode de notation du critère prix</w:t>
      </w:r>
      <w:r w:rsidR="009078E3" w:rsidRPr="00894A82">
        <w:t xml:space="preserve"> </w:t>
      </w:r>
      <w:r w:rsidR="003C20A7" w:rsidRPr="00894A82">
        <w:t>:</w:t>
      </w:r>
    </w:p>
    <w:p w14:paraId="4681CB86" w14:textId="77777777" w:rsidR="000441C9" w:rsidRDefault="000441C9" w:rsidP="00522205">
      <w:pPr>
        <w:pStyle w:val="Standard"/>
      </w:pPr>
    </w:p>
    <w:p w14:paraId="4B4D0741" w14:textId="6515861D" w:rsidR="00BE6435" w:rsidRDefault="00BE6435" w:rsidP="00BE6435">
      <w:pPr>
        <w:spacing w:before="57"/>
        <w:jc w:val="both"/>
        <w:textAlignment w:val="center"/>
        <w:rPr>
          <w:rFonts w:ascii="Arial" w:eastAsia="Arial" w:hAnsi="Arial" w:cs="Arial"/>
          <w:sz w:val="20"/>
          <w:szCs w:val="20"/>
        </w:rPr>
      </w:pPr>
      <w:r w:rsidRPr="00BE6435">
        <w:rPr>
          <w:rFonts w:ascii="Arial" w:eastAsia="Arial" w:hAnsi="Arial" w:cs="Arial"/>
          <w:sz w:val="20"/>
          <w:szCs w:val="20"/>
        </w:rPr>
        <w:t xml:space="preserve">Le prix de l'offre sera noté sur 10 sur la base du total du </w:t>
      </w:r>
      <w:r w:rsidR="00797E80">
        <w:rPr>
          <w:rFonts w:ascii="Arial" w:eastAsia="Arial" w:hAnsi="Arial" w:cs="Arial"/>
          <w:sz w:val="20"/>
          <w:szCs w:val="20"/>
        </w:rPr>
        <w:t xml:space="preserve">Détail Quantitatif Estimatif, </w:t>
      </w:r>
      <w:r w:rsidRPr="00BE6435">
        <w:rPr>
          <w:rFonts w:ascii="Arial" w:eastAsia="Arial" w:hAnsi="Arial" w:cs="Arial"/>
          <w:sz w:val="20"/>
          <w:szCs w:val="20"/>
        </w:rPr>
        <w:t xml:space="preserve">avec un coefficient de pondération de </w:t>
      </w:r>
      <w:r w:rsidR="001865F1">
        <w:rPr>
          <w:rFonts w:ascii="Arial" w:eastAsia="Arial" w:hAnsi="Arial" w:cs="Arial"/>
          <w:sz w:val="20"/>
          <w:szCs w:val="20"/>
        </w:rPr>
        <w:t>3</w:t>
      </w:r>
      <w:r w:rsidR="006A779B">
        <w:rPr>
          <w:rFonts w:ascii="Arial" w:eastAsia="Arial" w:hAnsi="Arial" w:cs="Arial"/>
          <w:sz w:val="20"/>
          <w:szCs w:val="20"/>
        </w:rPr>
        <w:t>0</w:t>
      </w:r>
      <w:r w:rsidRPr="00BE6435">
        <w:rPr>
          <w:rFonts w:ascii="Arial" w:eastAsia="Arial" w:hAnsi="Arial" w:cs="Arial"/>
          <w:sz w:val="20"/>
          <w:szCs w:val="20"/>
        </w:rPr>
        <w:t>% de la note finale.</w:t>
      </w:r>
    </w:p>
    <w:p w14:paraId="46C96151" w14:textId="77777777" w:rsidR="00D15BC4" w:rsidRDefault="00D15BC4" w:rsidP="00BE6435">
      <w:pPr>
        <w:spacing w:before="57"/>
        <w:jc w:val="both"/>
        <w:textAlignment w:val="center"/>
        <w:rPr>
          <w:rFonts w:ascii="Arial" w:eastAsia="Arial" w:hAnsi="Arial" w:cs="Arial"/>
          <w:sz w:val="20"/>
          <w:szCs w:val="20"/>
        </w:rPr>
      </w:pPr>
    </w:p>
    <w:p w14:paraId="7BCF7CC0" w14:textId="6E81AF8C" w:rsidR="00D15BC4" w:rsidRPr="001865F1" w:rsidRDefault="001865F1" w:rsidP="001865F1">
      <w:pPr>
        <w:pStyle w:val="Standard"/>
        <w:numPr>
          <w:ilvl w:val="0"/>
          <w:numId w:val="38"/>
        </w:numPr>
        <w:rPr>
          <w:b/>
          <w:bCs/>
          <w:u w:val="single"/>
        </w:rPr>
      </w:pPr>
      <w:r>
        <w:rPr>
          <w:b/>
          <w:bCs/>
          <w:u w:val="single"/>
        </w:rPr>
        <w:t xml:space="preserve">Critère 3 - </w:t>
      </w:r>
      <w:r w:rsidR="00D15BC4" w:rsidRPr="001865F1">
        <w:rPr>
          <w:b/>
          <w:bCs/>
          <w:u w:val="single"/>
        </w:rPr>
        <w:t xml:space="preserve">Méthode de notation du critère performances environnementales - Pondération 5%  </w:t>
      </w:r>
    </w:p>
    <w:p w14:paraId="5B2E9FD3" w14:textId="77777777" w:rsidR="00D15BC4" w:rsidRPr="001865F1" w:rsidRDefault="00D15BC4" w:rsidP="00522205">
      <w:pPr>
        <w:pStyle w:val="Standard"/>
        <w:rPr>
          <w:b/>
          <w:bCs/>
          <w:u w:val="single"/>
        </w:rPr>
      </w:pPr>
    </w:p>
    <w:p w14:paraId="61F1C091" w14:textId="4CAE423E" w:rsidR="00D15BC4" w:rsidRDefault="00D15BC4" w:rsidP="00522205">
      <w:pPr>
        <w:pStyle w:val="Standard"/>
      </w:pPr>
      <w:r>
        <w:t>L’analyse s’effectue sur les modes de transports et de gestion des déchets</w:t>
      </w:r>
      <w:r w:rsidR="008841F2">
        <w:t xml:space="preserve"> </w:t>
      </w:r>
      <w:r w:rsidR="00285686">
        <w:t>mis en œuvre pour l’exécution des prestations du marché</w:t>
      </w:r>
      <w:r>
        <w:t>.</w:t>
      </w:r>
    </w:p>
    <w:p w14:paraId="606C0A42" w14:textId="77777777" w:rsidR="001865F1" w:rsidRDefault="001865F1" w:rsidP="00522205">
      <w:pPr>
        <w:pStyle w:val="Standard"/>
      </w:pPr>
    </w:p>
    <w:p w14:paraId="12756D65" w14:textId="7E0CEEA0" w:rsidR="00D15BC4" w:rsidRPr="00C87A27" w:rsidRDefault="00D15BC4" w:rsidP="00522205">
      <w:pPr>
        <w:pStyle w:val="Standard"/>
      </w:pPr>
      <w:r w:rsidRPr="00C87A27">
        <w:t xml:space="preserve">La performance environnementale de l’offre notée sur 10 points </w:t>
      </w:r>
      <w:r w:rsidRPr="00D15BC4">
        <w:t xml:space="preserve">avec un coefficient de pondération de </w:t>
      </w:r>
      <w:r>
        <w:t>5</w:t>
      </w:r>
      <w:r w:rsidRPr="00D15BC4">
        <w:t>% de la note finale.</w:t>
      </w:r>
    </w:p>
    <w:p w14:paraId="41A47DDA" w14:textId="77777777" w:rsidR="000441C9" w:rsidRDefault="003C20A7" w:rsidP="001865F1">
      <w:pPr>
        <w:pStyle w:val="Titre1"/>
      </w:pPr>
      <w:bookmarkStart w:id="55" w:name="_Toc208580611"/>
      <w:bookmarkEnd w:id="53"/>
      <w:r>
        <w:t>Durée de validité des offres</w:t>
      </w:r>
      <w:bookmarkEnd w:id="55"/>
    </w:p>
    <w:p w14:paraId="5E7CF18E" w14:textId="77777777" w:rsidR="000441C9" w:rsidRDefault="000441C9" w:rsidP="00522205">
      <w:pPr>
        <w:pStyle w:val="Standard"/>
      </w:pPr>
    </w:p>
    <w:p w14:paraId="464C87CD" w14:textId="13D45764" w:rsidR="000441C9" w:rsidRDefault="003C20A7" w:rsidP="00522205">
      <w:pPr>
        <w:pStyle w:val="Standard"/>
      </w:pPr>
      <w:r>
        <w:t xml:space="preserve">Les offres sont valables </w:t>
      </w:r>
      <w:r w:rsidR="001865F1">
        <w:t>6</w:t>
      </w:r>
      <w:r w:rsidR="00BE6435">
        <w:t xml:space="preserve"> mois</w:t>
      </w:r>
      <w:r>
        <w:t xml:space="preserve"> à compter de la date limite de remise des plis.</w:t>
      </w:r>
    </w:p>
    <w:p w14:paraId="0102A34F" w14:textId="77777777" w:rsidR="000441C9" w:rsidRDefault="000441C9" w:rsidP="00522205">
      <w:pPr>
        <w:pStyle w:val="Standard"/>
      </w:pPr>
    </w:p>
    <w:p w14:paraId="5D3FCD63" w14:textId="77777777" w:rsidR="000441C9" w:rsidRDefault="003C20A7" w:rsidP="00522205">
      <w:pPr>
        <w:pStyle w:val="Standard"/>
      </w:pPr>
      <w:r>
        <w:t>En tant que de besoin, l'acheteur peut solliciter des candidats ou des soumissionnaires la prorogation du délai de validité des offres.</w:t>
      </w:r>
    </w:p>
    <w:p w14:paraId="73B737F0" w14:textId="77777777" w:rsidR="000441C9" w:rsidRDefault="000441C9" w:rsidP="00522205">
      <w:pPr>
        <w:pStyle w:val="Standard"/>
      </w:pPr>
    </w:p>
    <w:p w14:paraId="56E9E9D9" w14:textId="77777777" w:rsidR="000441C9" w:rsidRDefault="003C20A7" w:rsidP="00522205">
      <w:pPr>
        <w:pStyle w:val="Standard"/>
      </w:pPr>
      <w:r>
        <w:t>Pour ce faire il transmet, pour accord, sa demande à l'ensemble des candidats ou soumissionnaires via la plateforme PLACE. La demande précise la durée de prorogation de la validité des offres.</w:t>
      </w:r>
    </w:p>
    <w:p w14:paraId="66BD06D1" w14:textId="77777777" w:rsidR="000441C9" w:rsidRDefault="000441C9" w:rsidP="00522205">
      <w:pPr>
        <w:pStyle w:val="Standard"/>
      </w:pPr>
    </w:p>
    <w:p w14:paraId="7CBB69B9" w14:textId="77777777" w:rsidR="000441C9" w:rsidRDefault="003C20A7" w:rsidP="00522205">
      <w:pPr>
        <w:pStyle w:val="Standard"/>
      </w:pPr>
      <w:r>
        <w:t>Si le candidat ou le soumissionnaire n'accepte pas de maintenir son offre, l'acheteur poursuit la procédure avec les seuls candidats ou soumissionnaires ayant accepté la prorogation du délai de validité de leur offre.</w:t>
      </w:r>
    </w:p>
    <w:p w14:paraId="7F80D8B1" w14:textId="77777777" w:rsidR="00BE6435" w:rsidRDefault="00BE6435" w:rsidP="00522205">
      <w:pPr>
        <w:pStyle w:val="Standard"/>
      </w:pPr>
    </w:p>
    <w:p w14:paraId="4FA275B1" w14:textId="77777777" w:rsidR="000441C9" w:rsidRDefault="003C20A7" w:rsidP="00522205">
      <w:pPr>
        <w:pStyle w:val="Titre1"/>
      </w:pPr>
      <w:bookmarkStart w:id="56" w:name="_Toc208580612"/>
      <w:r>
        <w:t>Attribution</w:t>
      </w:r>
      <w:bookmarkEnd w:id="56"/>
    </w:p>
    <w:p w14:paraId="2689E29A" w14:textId="77777777" w:rsidR="000441C9" w:rsidRDefault="000441C9" w:rsidP="00522205">
      <w:pPr>
        <w:pStyle w:val="Standard"/>
      </w:pPr>
    </w:p>
    <w:p w14:paraId="778866F1" w14:textId="05081EF6" w:rsidR="000441C9" w:rsidRDefault="009516DE" w:rsidP="00522205">
      <w:pPr>
        <w:pStyle w:val="Standard"/>
      </w:pPr>
      <w:r>
        <w:t>Le marché</w:t>
      </w:r>
      <w:r w:rsidR="003C20A7">
        <w:t xml:space="preserve"> est attribué au soumissionnaire dont l'offre est économiquement la plus avantageuse, au regard des critères d'attribution énoncés dans le présent règlement de la consultation.</w:t>
      </w:r>
    </w:p>
    <w:p w14:paraId="4A73F91C" w14:textId="77777777" w:rsidR="009F1007" w:rsidRDefault="009F1007" w:rsidP="00522205">
      <w:pPr>
        <w:pStyle w:val="Standard"/>
      </w:pPr>
    </w:p>
    <w:p w14:paraId="46E21234" w14:textId="3F4812CE" w:rsidR="000441C9" w:rsidRDefault="003C20A7" w:rsidP="00522205">
      <w:pPr>
        <w:pStyle w:val="Standard"/>
      </w:pPr>
      <w:r>
        <w:t>Les soumissionnaires évincés sont informés du rejet de leur offre dans les conditions fixées à l'article R.2181-1 et suivants du code de la commande publique.</w:t>
      </w:r>
    </w:p>
    <w:p w14:paraId="4B8EC921" w14:textId="77777777" w:rsidR="009F1007" w:rsidRDefault="009F1007" w:rsidP="00522205">
      <w:pPr>
        <w:pStyle w:val="Standard"/>
      </w:pPr>
    </w:p>
    <w:p w14:paraId="69E12908" w14:textId="77777777" w:rsidR="000441C9" w:rsidRDefault="003C20A7" w:rsidP="00522205">
      <w:pPr>
        <w:pStyle w:val="Titre2"/>
      </w:pPr>
      <w:bookmarkStart w:id="57" w:name="_Toc208580613"/>
      <w:r>
        <w:t>Vérification des motifs d'exclusion : transmission des moyens de preuve</w:t>
      </w:r>
      <w:bookmarkEnd w:id="57"/>
    </w:p>
    <w:p w14:paraId="7DF0176E" w14:textId="77777777" w:rsidR="000441C9" w:rsidRDefault="000441C9" w:rsidP="00522205">
      <w:pPr>
        <w:pStyle w:val="Standard"/>
      </w:pPr>
    </w:p>
    <w:p w14:paraId="1F41DB1E" w14:textId="77777777" w:rsidR="009F1007" w:rsidRDefault="009F1007" w:rsidP="00522205">
      <w:pPr>
        <w:pStyle w:val="Standard"/>
      </w:pPr>
      <w:bookmarkStart w:id="58" w:name="_Hlk181872000"/>
      <w:r>
        <w:t>Le soumissionnaire auquel il est envisagé d'attribuer le marché public fournit dans le délai fixé dans le courrier envoyé par voie dématérialisée l'informant que son offre est susceptible d'être retenue, les documents suivants :</w:t>
      </w:r>
    </w:p>
    <w:p w14:paraId="3C7FC1C0" w14:textId="77777777" w:rsidR="009F1007" w:rsidRDefault="009F1007" w:rsidP="00522205">
      <w:pPr>
        <w:pStyle w:val="Standard"/>
      </w:pPr>
    </w:p>
    <w:p w14:paraId="0C38B0E7" w14:textId="77777777" w:rsidR="009F1007" w:rsidRDefault="009F1007" w:rsidP="00522205">
      <w:pPr>
        <w:pStyle w:val="Standard"/>
      </w:pPr>
      <w:r>
        <w:t xml:space="preserve">■L'acte d'engagement (ATTRI1) et ses éventuelles annexes, à compléter et à signer, le cas échéant par tous les membres du groupement d'opérateurs </w:t>
      </w:r>
      <w:proofErr w:type="gramStart"/>
      <w:r>
        <w:t>économiques;</w:t>
      </w:r>
      <w:proofErr w:type="gramEnd"/>
    </w:p>
    <w:p w14:paraId="75E752B3" w14:textId="77777777" w:rsidR="009F1007" w:rsidRDefault="009F1007" w:rsidP="00522205">
      <w:pPr>
        <w:pStyle w:val="Standard"/>
      </w:pPr>
    </w:p>
    <w:p w14:paraId="465C937D" w14:textId="77777777" w:rsidR="009F1007" w:rsidRDefault="009F1007" w:rsidP="00522205">
      <w:pPr>
        <w:pStyle w:val="Standard"/>
      </w:pPr>
      <w:r>
        <w:t xml:space="preserve">■Le cas échéant, dans le cas où les membres du groupement d'opérateurs économiques ne signent pas tous l'acte d'engagement, le document d'habilitation signé par tous les membres du </w:t>
      </w:r>
      <w:proofErr w:type="gramStart"/>
      <w:r>
        <w:t>groupement;</w:t>
      </w:r>
      <w:proofErr w:type="gramEnd"/>
    </w:p>
    <w:p w14:paraId="689302FE" w14:textId="77777777" w:rsidR="009F1007" w:rsidRDefault="009F1007" w:rsidP="00522205">
      <w:pPr>
        <w:pStyle w:val="Standard"/>
      </w:pPr>
    </w:p>
    <w:p w14:paraId="6AE6A948" w14:textId="77777777" w:rsidR="009F1007" w:rsidRDefault="009F1007" w:rsidP="00522205">
      <w:pPr>
        <w:pStyle w:val="Standard"/>
      </w:pPr>
      <w:r>
        <w:t xml:space="preserve">■Le pouvoir du ou des signataires d'engager la personne qu'il représente (titulaire individuel ou groupement d'opérateurs </w:t>
      </w:r>
      <w:proofErr w:type="gramStart"/>
      <w:r>
        <w:t>économiques;</w:t>
      </w:r>
      <w:proofErr w:type="gramEnd"/>
    </w:p>
    <w:p w14:paraId="2DF91549" w14:textId="77777777" w:rsidR="009F1007" w:rsidRDefault="009F1007" w:rsidP="00522205">
      <w:pPr>
        <w:pStyle w:val="Standard"/>
      </w:pPr>
    </w:p>
    <w:p w14:paraId="47B25B2D" w14:textId="77777777" w:rsidR="009F1007" w:rsidRDefault="009F1007" w:rsidP="00522205">
      <w:pPr>
        <w:pStyle w:val="Standard"/>
      </w:pPr>
      <w:r>
        <w:t>■Le cas échéant, en cas de sous-traitance, la déclaration de sous-traitance (DC4 ou équivalent) signée par le sous-traitant et le soumissionnaire, les renseignements relatifs aux capacités du sous-traitant lorsque le soumissionnaire s'appuie sur celles-</w:t>
      </w:r>
      <w:proofErr w:type="gramStart"/>
      <w:r>
        <w:t>ci;</w:t>
      </w:r>
      <w:proofErr w:type="gramEnd"/>
    </w:p>
    <w:p w14:paraId="20609608" w14:textId="77777777" w:rsidR="009F1007" w:rsidRDefault="009F1007" w:rsidP="00522205">
      <w:pPr>
        <w:pStyle w:val="Standard"/>
      </w:pPr>
    </w:p>
    <w:p w14:paraId="34686BBA" w14:textId="77777777" w:rsidR="009F1007" w:rsidRDefault="009F1007" w:rsidP="00522205">
      <w:pPr>
        <w:pStyle w:val="Standard"/>
      </w:pPr>
      <w:r>
        <w:t xml:space="preserve">■En cas de redressement judiciaire, ou une procédure équivalente régie par un droit étranger, la copie du ou des jugements </w:t>
      </w:r>
      <w:proofErr w:type="gramStart"/>
      <w:r>
        <w:t>prononcés;</w:t>
      </w:r>
      <w:proofErr w:type="gramEnd"/>
    </w:p>
    <w:p w14:paraId="24F9889A" w14:textId="77777777" w:rsidR="009F1007" w:rsidRDefault="009F1007" w:rsidP="00522205">
      <w:pPr>
        <w:pStyle w:val="Standard"/>
      </w:pPr>
    </w:p>
    <w:p w14:paraId="13FA411B" w14:textId="77777777" w:rsidR="009F1007" w:rsidRDefault="009F1007" w:rsidP="00522205">
      <w:pPr>
        <w:pStyle w:val="Standard"/>
      </w:pPr>
      <w:r>
        <w:t xml:space="preserve">■Le cas échéant, si le soumissionnaire emploie des salariés étrangers, la liste nominative des salariés étrangers qu'il emploie et soumis à l'autorisation de travail prévue à l'article L.5221-2 du code du travail. Cette liste doit comporter toutes les informations figurant à l'article D.8254-2 du code du travail (1° Sa date d'embauche ; 2° Sa nationalité ; 3° Le type et le numéro d'ordre du titre valant autorisation de </w:t>
      </w:r>
      <w:proofErr w:type="gramStart"/>
      <w:r>
        <w:t>travail;</w:t>
      </w:r>
      <w:proofErr w:type="gramEnd"/>
    </w:p>
    <w:p w14:paraId="02A07564" w14:textId="77777777" w:rsidR="009F1007" w:rsidRDefault="009F1007" w:rsidP="00522205">
      <w:pPr>
        <w:pStyle w:val="Standard"/>
      </w:pPr>
    </w:p>
    <w:p w14:paraId="60C422DE" w14:textId="77777777" w:rsidR="009F1007" w:rsidRDefault="009F1007" w:rsidP="00522205">
      <w:pPr>
        <w:pStyle w:val="Standard"/>
      </w:pPr>
      <w:r>
        <w:t xml:space="preserve">■Lorsque le soumissionnaire est établi en France : son numéro unique d'identification permettant à l'acheteur d'accéder aux informations pertinentes par le biais d'un système électronique mentionné au 1° de l'article R. 2143-13 du </w:t>
      </w:r>
      <w:proofErr w:type="gramStart"/>
      <w:r>
        <w:t>CCP;</w:t>
      </w:r>
      <w:proofErr w:type="gramEnd"/>
      <w:r>
        <w:t>]</w:t>
      </w:r>
    </w:p>
    <w:p w14:paraId="5F7A7890" w14:textId="77777777" w:rsidR="009F1007" w:rsidRDefault="009F1007" w:rsidP="00522205">
      <w:pPr>
        <w:pStyle w:val="Standard"/>
      </w:pPr>
    </w:p>
    <w:p w14:paraId="78701BF4" w14:textId="77777777" w:rsidR="009F1007" w:rsidRDefault="009F1007" w:rsidP="00522205">
      <w:pPr>
        <w:pStyle w:val="Standard"/>
      </w:pPr>
      <w:r>
        <w:t>■Lorsque le soumissionnaire est établi en France : Pour les entreprises en cours d'inscription - un récépissé de dépôt de déclaration auprès d'un centre de formalités des entreprises (CFE</w:t>
      </w:r>
      <w:proofErr w:type="gramStart"/>
      <w:r>
        <w:t>);</w:t>
      </w:r>
      <w:proofErr w:type="gramEnd"/>
    </w:p>
    <w:p w14:paraId="7FED5234" w14:textId="77777777" w:rsidR="009F1007" w:rsidRDefault="009F1007" w:rsidP="00522205">
      <w:pPr>
        <w:pStyle w:val="Standard"/>
      </w:pPr>
    </w:p>
    <w:p w14:paraId="4E778AC1" w14:textId="77777777" w:rsidR="009F1007" w:rsidRDefault="009F1007" w:rsidP="00522205">
      <w:pPr>
        <w:pStyle w:val="Standard"/>
      </w:pPr>
      <w:r>
        <w:t>■Le cas échéant, dans le cas où elles ne sont pas disponibles sur PLACE, le(s) certificat(s) délivré(s) par les administrations et organismes compétents suivant(s) :</w:t>
      </w:r>
    </w:p>
    <w:p w14:paraId="5B12DD50" w14:textId="77777777" w:rsidR="009F1007" w:rsidRDefault="009F1007" w:rsidP="00522205">
      <w:pPr>
        <w:pStyle w:val="Standard"/>
      </w:pPr>
    </w:p>
    <w:p w14:paraId="7DC11FAC" w14:textId="77777777" w:rsidR="009F1007" w:rsidRDefault="009F1007" w:rsidP="00522205">
      <w:pPr>
        <w:pStyle w:val="Standard"/>
      </w:pPr>
      <w:r>
        <w:t>• certificat de conformité aux obligations fiscales (au titre de l'impôt sur le revenu, de l'impôt sur les sociétés et/ou de la taxe sur la valeur ajoutée (TVA)</w:t>
      </w:r>
    </w:p>
    <w:p w14:paraId="74E912FA" w14:textId="77777777" w:rsidR="009F1007" w:rsidRDefault="009F1007" w:rsidP="00522205">
      <w:pPr>
        <w:pStyle w:val="Standard"/>
      </w:pPr>
      <w:r>
        <w:t>• certificat de l'article L. 243-15 du code de la sécurité sociale, connu sous le nom d'attestation de vigilance</w:t>
      </w:r>
    </w:p>
    <w:p w14:paraId="2C89E6A6" w14:textId="77777777" w:rsidR="009F1007" w:rsidRDefault="009F1007" w:rsidP="00522205">
      <w:pPr>
        <w:pStyle w:val="Standard"/>
      </w:pPr>
      <w:r>
        <w:t>• pour tout employeur occupant au moins vingt salariés, le certificat délivré par l'association de gestion du fonds de développement pour l'insertion professionnelle des personnes handicapées (AGEFIPH), concernant le respect des dispositions des articles L. 5212-1 à L. 5212-11 du code du travail relatif à l'emploi des travailleurs handicapés</w:t>
      </w:r>
    </w:p>
    <w:p w14:paraId="41624273" w14:textId="77777777" w:rsidR="009F1007" w:rsidRDefault="009F1007" w:rsidP="00522205">
      <w:pPr>
        <w:pStyle w:val="Standard"/>
      </w:pPr>
    </w:p>
    <w:p w14:paraId="719C0EF0" w14:textId="77777777" w:rsidR="009F1007" w:rsidRDefault="009F1007" w:rsidP="00522205">
      <w:pPr>
        <w:pStyle w:val="Standard"/>
      </w:pPr>
      <w:r>
        <w:t xml:space="preserve">■Lorsque le soumissionnaire est établi hors de France : un document mentionnant son numéro individuel d'identification, attribué en application de l'article 286 ter du code général des impôts. Si le soumissionnaire n'est pas établie dans un pays de l'Union européenne, un document mentionnant l'identité et l'adresse du candidat ou les coordonnées de son représentant fiscal ponctuel en </w:t>
      </w:r>
      <w:proofErr w:type="gramStart"/>
      <w:r>
        <w:t>France;</w:t>
      </w:r>
      <w:proofErr w:type="gramEnd"/>
    </w:p>
    <w:p w14:paraId="0AF6133D" w14:textId="77777777" w:rsidR="009F1007" w:rsidRDefault="009F1007" w:rsidP="00522205">
      <w:pPr>
        <w:pStyle w:val="Standard"/>
      </w:pPr>
    </w:p>
    <w:p w14:paraId="1D4CBCFD" w14:textId="77777777" w:rsidR="009F1007" w:rsidRDefault="009F1007" w:rsidP="00522205">
      <w:pPr>
        <w:pStyle w:val="Standard"/>
      </w:pPr>
      <w:r>
        <w:t>■Lorsque le soumissionnaire est établi hors de France : un document attestant de la régularité de la situation sociale du cocontractant au regard du règlement (CE) n°883/2004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w:t>
      </w:r>
    </w:p>
    <w:p w14:paraId="23FB07BC" w14:textId="77777777" w:rsidR="009F1007" w:rsidRDefault="009F1007" w:rsidP="00522205">
      <w:pPr>
        <w:pStyle w:val="Standard"/>
      </w:pPr>
    </w:p>
    <w:p w14:paraId="70647842" w14:textId="77777777" w:rsidR="009F1007" w:rsidRDefault="009F1007" w:rsidP="00522205">
      <w:pPr>
        <w:pStyle w:val="Standard"/>
      </w:pPr>
      <w:r>
        <w:t xml:space="preserve">■Lorsque le soumissionnaire est établi hors de France : un extrait du registre pertinent au sens de l'article R.2143-9 du code de la commande publique, ou un document équivalent délivré par l'autorité judiciaire ou administrative compétente du pays d'origine, attestant de l'absence de cas d'exclusion. Pour les entreprises en cours de création, un document datant de moins de 6 mois émanant de l'autorité habilitée à recevoir l'inscription au registre professionnel et attestant de la demande d'immatriculation audit </w:t>
      </w:r>
      <w:proofErr w:type="gramStart"/>
      <w:r>
        <w:t>registre;</w:t>
      </w:r>
      <w:proofErr w:type="gramEnd"/>
    </w:p>
    <w:p w14:paraId="59666852" w14:textId="77777777" w:rsidR="009F1007" w:rsidRDefault="009F1007" w:rsidP="00522205">
      <w:pPr>
        <w:pStyle w:val="Standard"/>
      </w:pPr>
    </w:p>
    <w:p w14:paraId="48BD04CE" w14:textId="77777777" w:rsidR="009F1007" w:rsidRDefault="009F1007" w:rsidP="00522205">
      <w:pPr>
        <w:pStyle w:val="Standard"/>
      </w:pPr>
      <w:r>
        <w:t>■Lorsque le soumissionnaire est établi hors de France : Le cas échéant, en cas de recours à des travailleurs détachés, dans les conditions définies à l'article L.1262-1 du code du travail :</w:t>
      </w:r>
    </w:p>
    <w:p w14:paraId="166E25B6" w14:textId="77777777" w:rsidR="009F1007" w:rsidRDefault="009F1007" w:rsidP="00522205">
      <w:pPr>
        <w:pStyle w:val="Standard"/>
      </w:pPr>
      <w:r>
        <w:t xml:space="preserve">a) L'accusé de réception de la déclaration de détachement effectuée sur le </w:t>
      </w:r>
      <w:proofErr w:type="spellStart"/>
      <w:r>
        <w:t>télé-service</w:t>
      </w:r>
      <w:proofErr w:type="spellEnd"/>
      <w:r>
        <w:t xml:space="preserve"> " SIPSI " du ministère chargé du travail, conformément aux articles R. 1263-5 et R. 1263-7 du code du </w:t>
      </w:r>
      <w:proofErr w:type="gramStart"/>
      <w:r>
        <w:t>travail;</w:t>
      </w:r>
      <w:proofErr w:type="gramEnd"/>
    </w:p>
    <w:p w14:paraId="1AA9668D" w14:textId="77777777" w:rsidR="009F1007" w:rsidRDefault="009F1007" w:rsidP="00522205">
      <w:pPr>
        <w:pStyle w:val="Standard"/>
      </w:pPr>
      <w: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6FCFE1DF" w14:textId="77777777" w:rsidR="009F1007" w:rsidRDefault="009F1007" w:rsidP="00522205">
      <w:pPr>
        <w:pStyle w:val="Standard"/>
      </w:pPr>
    </w:p>
    <w:p w14:paraId="15192020" w14:textId="77777777" w:rsidR="009F1007" w:rsidRDefault="009F1007" w:rsidP="00522205">
      <w:pPr>
        <w:pStyle w:val="Standard"/>
      </w:pPr>
      <w:r>
        <w:t>■Lorsque le soumissionnaire est établi hors de France : 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w:t>
      </w:r>
    </w:p>
    <w:p w14:paraId="577B7140" w14:textId="4A43113B" w:rsidR="00A43EAF" w:rsidRDefault="00A43EAF" w:rsidP="00522205">
      <w:pPr>
        <w:pStyle w:val="Titre2"/>
      </w:pPr>
      <w:bookmarkStart w:id="59" w:name="_Toc208580614"/>
      <w:bookmarkEnd w:id="58"/>
      <w:r>
        <w:t>Interdiction d’attribution</w:t>
      </w:r>
      <w:bookmarkEnd w:id="59"/>
      <w:r>
        <w:t xml:space="preserve"> </w:t>
      </w:r>
    </w:p>
    <w:p w14:paraId="29ADC989" w14:textId="77777777" w:rsidR="00A43EAF" w:rsidRDefault="00A43EAF" w:rsidP="00522205">
      <w:pPr>
        <w:pStyle w:val="Standard"/>
      </w:pPr>
    </w:p>
    <w:p w14:paraId="4A6B038B" w14:textId="77777777" w:rsidR="00A43EAF" w:rsidRDefault="00A43EAF" w:rsidP="00522205">
      <w:pPr>
        <w:pStyle w:val="Standard"/>
      </w:pPr>
      <w:r>
        <w:t>Est exclu de la procédure tout candidat auquel l'acheteur ne peut attribuer le contrat, en application d'une interdiction émanant d'un texte d'applicabilité directe (accords internationaux, règlement européen...)</w:t>
      </w:r>
    </w:p>
    <w:p w14:paraId="4DB8FF2C" w14:textId="6CA6D662" w:rsidR="000441C9" w:rsidRDefault="003C20A7" w:rsidP="00522205">
      <w:pPr>
        <w:pStyle w:val="Titre2"/>
      </w:pPr>
      <w:bookmarkStart w:id="60" w:name="_Toc208580615"/>
      <w:r>
        <w:t>Mise au point</w:t>
      </w:r>
      <w:bookmarkEnd w:id="60"/>
    </w:p>
    <w:p w14:paraId="4D2222FC" w14:textId="77777777" w:rsidR="000441C9" w:rsidRDefault="000441C9" w:rsidP="00522205">
      <w:pPr>
        <w:pStyle w:val="Standard"/>
      </w:pPr>
    </w:p>
    <w:p w14:paraId="39035E0C" w14:textId="7F8BEDB8" w:rsidR="000441C9" w:rsidRDefault="003C20A7" w:rsidP="00522205">
      <w:pPr>
        <w:pStyle w:val="Standard"/>
      </w:pPr>
      <w:r>
        <w:t>L'acheteur et le soumissionnaire retenu peuvent procéder à une mise au point des composantes d</w:t>
      </w:r>
      <w:r w:rsidR="009516DE">
        <w:t>u marché</w:t>
      </w:r>
      <w:r>
        <w:t>. Cette mise au point ne peut avoir pour objet de</w:t>
      </w:r>
      <w:r w:rsidR="00A43EAF">
        <w:t xml:space="preserve"> </w:t>
      </w:r>
      <w:r>
        <w:t xml:space="preserve">modifier des éléments substantiels de l'offre ou du présent </w:t>
      </w:r>
      <w:r w:rsidR="009516DE">
        <w:t>marché</w:t>
      </w:r>
      <w:r>
        <w:t xml:space="preserve">. </w:t>
      </w:r>
    </w:p>
    <w:p w14:paraId="513BB891" w14:textId="77777777" w:rsidR="000441C9" w:rsidRDefault="003C20A7" w:rsidP="00522205">
      <w:pPr>
        <w:pStyle w:val="Titre2"/>
      </w:pPr>
      <w:bookmarkStart w:id="61" w:name="_Toc208580616"/>
      <w:r>
        <w:t>Signature</w:t>
      </w:r>
      <w:bookmarkEnd w:id="61"/>
    </w:p>
    <w:p w14:paraId="7B247414" w14:textId="77777777" w:rsidR="000441C9" w:rsidRDefault="000441C9" w:rsidP="00522205">
      <w:pPr>
        <w:pStyle w:val="Standard"/>
      </w:pPr>
    </w:p>
    <w:p w14:paraId="7A7A1343" w14:textId="77777777" w:rsidR="00A43EAF" w:rsidRDefault="00A43EAF" w:rsidP="00522205">
      <w:pPr>
        <w:pStyle w:val="Standard"/>
      </w:pPr>
      <w:bookmarkStart w:id="62" w:name="_Hlk181872070"/>
      <w:r>
        <w:t>La signature de l’acte d’engagement n'est pas obligatoire au moment du dépôt de l'offre, en revanche, elle devra intervenir avant l'attribution du marché.</w:t>
      </w:r>
    </w:p>
    <w:p w14:paraId="3841ECF9" w14:textId="77777777" w:rsidR="00A43EAF" w:rsidRDefault="00A43EAF" w:rsidP="00522205">
      <w:pPr>
        <w:pStyle w:val="Standard"/>
      </w:pPr>
      <w:r>
        <w:t>Le marché est signé par le soumissionnaire retenu au moyen de l'acte d'engagement rematérialisé (version originale papier) et signé de façon manuscrite par la personne habilitée à engager la société. L'acte d'engagement est par la suite signé par le représentant du pouvoir adjudicateur des Archives nationales.</w:t>
      </w:r>
    </w:p>
    <w:p w14:paraId="598A000A" w14:textId="542CDB35" w:rsidR="00A43EAF" w:rsidRDefault="00A43EAF" w:rsidP="00522205">
      <w:pPr>
        <w:pStyle w:val="Standard"/>
      </w:pPr>
      <w:r>
        <w:t>Après signature, le marché est notifié via PLACE à l’attributaire du marché.</w:t>
      </w:r>
    </w:p>
    <w:bookmarkEnd w:id="62"/>
    <w:p w14:paraId="3C964B36" w14:textId="77777777" w:rsidR="00A43EAF" w:rsidRDefault="00A43EAF" w:rsidP="00522205">
      <w:pPr>
        <w:pStyle w:val="Standard"/>
      </w:pPr>
    </w:p>
    <w:p w14:paraId="4FDBF9C5" w14:textId="77777777" w:rsidR="000441C9" w:rsidRDefault="003C20A7" w:rsidP="00522205">
      <w:pPr>
        <w:pStyle w:val="Titre1"/>
      </w:pPr>
      <w:bookmarkStart w:id="63" w:name="_Toc208580617"/>
      <w:r>
        <w:t>Langue</w:t>
      </w:r>
      <w:bookmarkEnd w:id="63"/>
    </w:p>
    <w:p w14:paraId="4509ECFB" w14:textId="77777777" w:rsidR="000441C9" w:rsidRDefault="000441C9" w:rsidP="00522205">
      <w:pPr>
        <w:pStyle w:val="Standard"/>
      </w:pPr>
    </w:p>
    <w:p w14:paraId="182CC6AC" w14:textId="77777777" w:rsidR="000441C9" w:rsidRDefault="003C20A7" w:rsidP="00522205">
      <w:pPr>
        <w:pStyle w:val="Standard"/>
      </w:pPr>
      <w:r>
        <w:t>Les documents et informations doivent être rédigés en langue française ou, à défaut, être accompagnées d'une traduction en français.</w:t>
      </w:r>
    </w:p>
    <w:p w14:paraId="08CE6424" w14:textId="77777777" w:rsidR="000441C9" w:rsidRDefault="003C20A7" w:rsidP="00522205">
      <w:pPr>
        <w:pStyle w:val="Standard"/>
      </w:pPr>
      <w:r>
        <w:t>En cas de candidature sous forme de DUME, ce dernier doit être rédigé en français.</w:t>
      </w:r>
    </w:p>
    <w:p w14:paraId="3FF9B16D" w14:textId="77777777" w:rsidR="00A43EAF" w:rsidRDefault="00A43EAF" w:rsidP="00522205">
      <w:pPr>
        <w:pStyle w:val="Standard"/>
      </w:pPr>
    </w:p>
    <w:p w14:paraId="70E480A2" w14:textId="77777777" w:rsidR="000441C9" w:rsidRDefault="003C20A7" w:rsidP="00522205">
      <w:pPr>
        <w:pStyle w:val="Titre1"/>
      </w:pPr>
      <w:bookmarkStart w:id="64" w:name="_Toc208580618"/>
      <w:r>
        <w:lastRenderedPageBreak/>
        <w:t>Contentieux</w:t>
      </w:r>
      <w:bookmarkEnd w:id="64"/>
    </w:p>
    <w:p w14:paraId="0927B29A" w14:textId="77777777" w:rsidR="000441C9" w:rsidRDefault="000441C9" w:rsidP="00522205">
      <w:pPr>
        <w:pStyle w:val="Standard"/>
      </w:pPr>
    </w:p>
    <w:p w14:paraId="14660076" w14:textId="57D2BD83" w:rsidR="000441C9" w:rsidRDefault="003C20A7" w:rsidP="00522205">
      <w:pPr>
        <w:pStyle w:val="Standard"/>
      </w:pPr>
      <w:r>
        <w:t xml:space="preserve">Le tribunal compétent est le tribunal administratif de </w:t>
      </w:r>
      <w:r w:rsidR="00A43EAF">
        <w:t xml:space="preserve">Montreuil. </w:t>
      </w:r>
    </w:p>
    <w:p w14:paraId="1BDABCFB" w14:textId="042727B7" w:rsidR="000441C9" w:rsidRDefault="000441C9" w:rsidP="00522205">
      <w:pPr>
        <w:pStyle w:val="Standard"/>
      </w:pPr>
    </w:p>
    <w:p w14:paraId="3190BB15" w14:textId="77777777" w:rsidR="000441C9" w:rsidRDefault="003C20A7" w:rsidP="00522205">
      <w:pPr>
        <w:pStyle w:val="Titre1"/>
      </w:pPr>
      <w:bookmarkStart w:id="65" w:name="_Toc208580619"/>
      <w:r>
        <w:t>Aménagement en cas de menace sanitaire grave appelant des mesures d'urgence</w:t>
      </w:r>
      <w:bookmarkEnd w:id="65"/>
    </w:p>
    <w:p w14:paraId="1865DC90" w14:textId="77777777" w:rsidR="000441C9" w:rsidRDefault="000441C9" w:rsidP="00522205">
      <w:pPr>
        <w:pStyle w:val="Standard"/>
      </w:pPr>
    </w:p>
    <w:p w14:paraId="073D2A5B" w14:textId="77777777" w:rsidR="00A43EAF" w:rsidRDefault="00A43EAF" w:rsidP="00522205">
      <w:pPr>
        <w:pStyle w:val="Standard"/>
      </w:pPr>
      <w:bookmarkStart w:id="66" w:name="_Hlk181872225"/>
      <w:r>
        <w:t>En cas de menace sanitaire grave appelant des mesures d’urgence déclarée en cours de consultation, l’acheteur peut aménager certaines modalités de mise en concurrence dans le respect des principes fondamentaux de la commande publique et après information des candidats ou soumissionnaires dans les meilleurs délais. L’acheteur s’assure également de leur possibilité de poursuivre la procédure selon les nouvelles modalités fixées.</w:t>
      </w:r>
    </w:p>
    <w:p w14:paraId="508E98AF" w14:textId="77777777" w:rsidR="00A43EAF" w:rsidRDefault="00A43EAF" w:rsidP="00522205">
      <w:pPr>
        <w:pStyle w:val="Standard"/>
      </w:pPr>
    </w:p>
    <w:p w14:paraId="09845130" w14:textId="77777777" w:rsidR="00A43EAF" w:rsidRDefault="00A43EAF" w:rsidP="00522205">
      <w:pPr>
        <w:pStyle w:val="Standard"/>
      </w:pPr>
      <w:r>
        <w:t>Les aménagements concernent les modalités de signature pour lesquelles l’acheteur peut accepter des documents signés de manière manuscrite et scannés, si le candidat ou le soumissionnaire est dans l’impossibilité de procéder à l’envoi d’originaux “papier”. Une fois l’évènement perturbateur terminé, les originaux signés sont transmis dans les meilleurs délais à l’acheteur afin d’établir une preuve parfaite des engagements contractuels. L’acheteur peut en supprimer l’obligation de procéder à des visites.</w:t>
      </w:r>
    </w:p>
    <w:p w14:paraId="2FE022E0" w14:textId="77777777" w:rsidR="00A43EAF" w:rsidRDefault="00A43EAF" w:rsidP="00522205">
      <w:pPr>
        <w:pStyle w:val="Standard"/>
      </w:pPr>
    </w:p>
    <w:bookmarkEnd w:id="66"/>
    <w:p w14:paraId="657AE80D" w14:textId="1628AFDF" w:rsidR="000441C9" w:rsidRDefault="000441C9" w:rsidP="00522205">
      <w:pPr>
        <w:pStyle w:val="Standard"/>
      </w:pPr>
    </w:p>
    <w:sectPr w:rsidR="000441C9">
      <w:footerReference w:type="default" r:id="rId25"/>
      <w:headerReference w:type="first" r:id="rId26"/>
      <w:footerReference w:type="first" r:id="rId27"/>
      <w:pgSz w:w="11905" w:h="16837"/>
      <w:pgMar w:top="1890"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AC036" w14:textId="77777777" w:rsidR="00176112" w:rsidRDefault="00176112">
      <w:r>
        <w:separator/>
      </w:r>
    </w:p>
  </w:endnote>
  <w:endnote w:type="continuationSeparator" w:id="0">
    <w:p w14:paraId="41947567" w14:textId="77777777" w:rsidR="00176112" w:rsidRDefault="0017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sans-serif">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92A5B" w14:textId="03B0D479" w:rsidR="00176112" w:rsidRDefault="00176112" w:rsidP="00522205">
    <w:pPr>
      <w:pStyle w:val="Pieddepage"/>
    </w:pPr>
    <w:r w:rsidRPr="000B0290">
      <w:rPr>
        <w:b/>
        <w:bCs/>
      </w:rPr>
      <w:t>RC</w:t>
    </w:r>
    <w:r w:rsidRPr="000B0290">
      <w:rPr>
        <w:b/>
        <w:bCs/>
      </w:rPr>
      <w:tab/>
    </w:r>
    <w:r w:rsidR="009078E3">
      <w:rPr>
        <w:b/>
        <w:bCs/>
        <w:color w:val="111111"/>
      </w:rPr>
      <w:t>2025</w:t>
    </w:r>
    <w:r w:rsidR="009516DE">
      <w:rPr>
        <w:b/>
        <w:bCs/>
        <w:color w:val="111111"/>
      </w:rPr>
      <w:t>-</w:t>
    </w:r>
    <w:r w:rsidR="009078E3">
      <w:rPr>
        <w:b/>
        <w:bCs/>
        <w:color w:val="111111"/>
      </w:rPr>
      <w:t>0</w:t>
    </w:r>
    <w:r w:rsidR="00276946">
      <w:rPr>
        <w:b/>
        <w:bCs/>
        <w:color w:val="111111"/>
      </w:rPr>
      <w:t>15</w:t>
    </w:r>
    <w:r>
      <w:tab/>
    </w:r>
    <w:r>
      <w:fldChar w:fldCharType="begin"/>
    </w:r>
    <w:r>
      <w:instrText xml:space="preserve"> PAGE </w:instrText>
    </w:r>
    <w:r>
      <w:fldChar w:fldCharType="separate"/>
    </w:r>
    <w:r w:rsidR="00675775">
      <w:rPr>
        <w:noProof/>
      </w:rPr>
      <w:t>24</w:t>
    </w:r>
    <w:r>
      <w:fldChar w:fldCharType="end"/>
    </w:r>
    <w:r>
      <w:t>/</w:t>
    </w:r>
    <w:r w:rsidR="00A266F7">
      <w:fldChar w:fldCharType="begin"/>
    </w:r>
    <w:r w:rsidR="00A266F7">
      <w:instrText xml:space="preserve"> NUMPAGES </w:instrText>
    </w:r>
    <w:r w:rsidR="00A266F7">
      <w:fldChar w:fldCharType="separate"/>
    </w:r>
    <w:r w:rsidR="00675775">
      <w:rPr>
        <w:noProof/>
      </w:rPr>
      <w:t>24</w:t>
    </w:r>
    <w:r w:rsidR="00A266F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06D0C" w14:textId="3F3A1686" w:rsidR="00176112" w:rsidRPr="00D621A4" w:rsidRDefault="00176112" w:rsidP="00522205">
    <w:pPr>
      <w:pStyle w:val="Pieddepage"/>
    </w:pPr>
    <w:r w:rsidRPr="00D621A4">
      <w:t xml:space="preserve">RC                                                      </w:t>
    </w:r>
    <w:r w:rsidR="00D621A4" w:rsidRPr="00D621A4">
      <w:t xml:space="preserve">              </w:t>
    </w:r>
    <w:r w:rsidRPr="00D621A4">
      <w:t xml:space="preserve">   </w:t>
    </w:r>
    <w:r w:rsidR="00276946">
      <w:t>AN</w:t>
    </w:r>
    <w:r w:rsidR="009078E3" w:rsidRPr="00D621A4">
      <w:t>2025</w:t>
    </w:r>
    <w:r w:rsidR="009516DE">
      <w:t>-</w:t>
    </w:r>
    <w:r w:rsidR="009078E3" w:rsidRPr="00D621A4">
      <w:t>0</w:t>
    </w:r>
    <w:r w:rsidR="00276946">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52978" w14:textId="77777777" w:rsidR="00176112" w:rsidRDefault="00176112">
      <w:r>
        <w:rPr>
          <w:color w:val="000000"/>
        </w:rPr>
        <w:separator/>
      </w:r>
    </w:p>
  </w:footnote>
  <w:footnote w:type="continuationSeparator" w:id="0">
    <w:p w14:paraId="584D696E" w14:textId="77777777" w:rsidR="00176112" w:rsidRDefault="00176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A29DE" w14:textId="17390701" w:rsidR="00176112" w:rsidRDefault="00176112" w:rsidP="00522205">
    <w:pPr>
      <w:pStyle w:val="En-tte"/>
    </w:pPr>
    <w:r>
      <w:rPr>
        <w:noProof/>
        <w:lang w:eastAsia="fr-FR" w:bidi="ar-SA"/>
      </w:rPr>
      <w:drawing>
        <wp:anchor distT="0" distB="0" distL="114300" distR="114300" simplePos="0" relativeHeight="251662336" behindDoc="1" locked="0" layoutInCell="1" allowOverlap="1" wp14:anchorId="6B3BEF9A" wp14:editId="5F40AAA9">
          <wp:simplePos x="0" y="0"/>
          <wp:positionH relativeFrom="column">
            <wp:posOffset>-262890</wp:posOffset>
          </wp:positionH>
          <wp:positionV relativeFrom="paragraph">
            <wp:posOffset>104775</wp:posOffset>
          </wp:positionV>
          <wp:extent cx="6396355" cy="1809750"/>
          <wp:effectExtent l="0" t="0" r="0" b="0"/>
          <wp:wrapTight wrapText="bothSides">
            <wp:wrapPolygon edited="0">
              <wp:start x="643" y="2046"/>
              <wp:lineTo x="643" y="5684"/>
              <wp:lineTo x="901" y="6594"/>
              <wp:lineTo x="643" y="6821"/>
              <wp:lineTo x="643" y="19326"/>
              <wp:lineTo x="3088" y="19326"/>
              <wp:lineTo x="3281" y="17280"/>
              <wp:lineTo x="3024" y="17053"/>
              <wp:lineTo x="20843" y="13642"/>
              <wp:lineTo x="20907" y="9777"/>
              <wp:lineTo x="18720" y="5457"/>
              <wp:lineTo x="3345" y="2046"/>
              <wp:lineTo x="643" y="2046"/>
            </wp:wrapPolygon>
          </wp:wrapTight>
          <wp:docPr id="11" name="Imag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6396355" cy="1809750"/>
                  </a:xfrm>
                  <a:prstGeom prst="rect">
                    <a:avLst/>
                  </a:prstGeom>
                  <a:noFill/>
                  <a:ln>
                    <a:noFill/>
                    <a:prstDash/>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00CDE"/>
    <w:multiLevelType w:val="hybridMultilevel"/>
    <w:tmpl w:val="A8B21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58395B"/>
    <w:multiLevelType w:val="multilevel"/>
    <w:tmpl w:val="0E9495B0"/>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2" w15:restartNumberingAfterBreak="0">
    <w:nsid w:val="04E31BEB"/>
    <w:multiLevelType w:val="hybridMultilevel"/>
    <w:tmpl w:val="775EEC26"/>
    <w:lvl w:ilvl="0" w:tplc="040C0001">
      <w:start w:val="1"/>
      <w:numFmt w:val="bullet"/>
      <w:lvlText w:val=""/>
      <w:lvlJc w:val="left"/>
      <w:pPr>
        <w:ind w:left="1426" w:hanging="360"/>
      </w:pPr>
      <w:rPr>
        <w:rFonts w:ascii="Symbol" w:hAnsi="Symbol" w:hint="default"/>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3" w15:restartNumberingAfterBreak="0">
    <w:nsid w:val="0BC24AC7"/>
    <w:multiLevelType w:val="multilevel"/>
    <w:tmpl w:val="D9A4F91C"/>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4" w15:restartNumberingAfterBreak="0">
    <w:nsid w:val="0C7D3E4D"/>
    <w:multiLevelType w:val="hybridMultilevel"/>
    <w:tmpl w:val="2FBE0AB0"/>
    <w:lvl w:ilvl="0" w:tplc="FFFFFFFF">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BE66AD"/>
    <w:multiLevelType w:val="hybridMultilevel"/>
    <w:tmpl w:val="8A320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1F7C42"/>
    <w:multiLevelType w:val="multilevel"/>
    <w:tmpl w:val="84D69848"/>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7" w15:restartNumberingAfterBreak="0">
    <w:nsid w:val="16056E73"/>
    <w:multiLevelType w:val="multilevel"/>
    <w:tmpl w:val="0CF0CDF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6074B14"/>
    <w:multiLevelType w:val="hybridMultilevel"/>
    <w:tmpl w:val="F6C6A40E"/>
    <w:lvl w:ilvl="0" w:tplc="040C0001">
      <w:start w:val="1"/>
      <w:numFmt w:val="bullet"/>
      <w:lvlText w:val=""/>
      <w:lvlJc w:val="left"/>
      <w:pPr>
        <w:ind w:left="1772" w:hanging="360"/>
      </w:pPr>
      <w:rPr>
        <w:rFonts w:ascii="Symbol" w:hAnsi="Symbol" w:hint="default"/>
      </w:rPr>
    </w:lvl>
    <w:lvl w:ilvl="1" w:tplc="040C0003" w:tentative="1">
      <w:start w:val="1"/>
      <w:numFmt w:val="bullet"/>
      <w:lvlText w:val="o"/>
      <w:lvlJc w:val="left"/>
      <w:pPr>
        <w:ind w:left="2492" w:hanging="360"/>
      </w:pPr>
      <w:rPr>
        <w:rFonts w:ascii="Courier New" w:hAnsi="Courier New" w:cs="Courier New" w:hint="default"/>
      </w:rPr>
    </w:lvl>
    <w:lvl w:ilvl="2" w:tplc="040C0005" w:tentative="1">
      <w:start w:val="1"/>
      <w:numFmt w:val="bullet"/>
      <w:lvlText w:val=""/>
      <w:lvlJc w:val="left"/>
      <w:pPr>
        <w:ind w:left="3212" w:hanging="360"/>
      </w:pPr>
      <w:rPr>
        <w:rFonts w:ascii="Wingdings" w:hAnsi="Wingdings" w:hint="default"/>
      </w:rPr>
    </w:lvl>
    <w:lvl w:ilvl="3" w:tplc="040C0001" w:tentative="1">
      <w:start w:val="1"/>
      <w:numFmt w:val="bullet"/>
      <w:lvlText w:val=""/>
      <w:lvlJc w:val="left"/>
      <w:pPr>
        <w:ind w:left="3932" w:hanging="360"/>
      </w:pPr>
      <w:rPr>
        <w:rFonts w:ascii="Symbol" w:hAnsi="Symbol" w:hint="default"/>
      </w:rPr>
    </w:lvl>
    <w:lvl w:ilvl="4" w:tplc="040C0003" w:tentative="1">
      <w:start w:val="1"/>
      <w:numFmt w:val="bullet"/>
      <w:lvlText w:val="o"/>
      <w:lvlJc w:val="left"/>
      <w:pPr>
        <w:ind w:left="4652" w:hanging="360"/>
      </w:pPr>
      <w:rPr>
        <w:rFonts w:ascii="Courier New" w:hAnsi="Courier New" w:cs="Courier New" w:hint="default"/>
      </w:rPr>
    </w:lvl>
    <w:lvl w:ilvl="5" w:tplc="040C0005" w:tentative="1">
      <w:start w:val="1"/>
      <w:numFmt w:val="bullet"/>
      <w:lvlText w:val=""/>
      <w:lvlJc w:val="left"/>
      <w:pPr>
        <w:ind w:left="5372" w:hanging="360"/>
      </w:pPr>
      <w:rPr>
        <w:rFonts w:ascii="Wingdings" w:hAnsi="Wingdings" w:hint="default"/>
      </w:rPr>
    </w:lvl>
    <w:lvl w:ilvl="6" w:tplc="040C0001" w:tentative="1">
      <w:start w:val="1"/>
      <w:numFmt w:val="bullet"/>
      <w:lvlText w:val=""/>
      <w:lvlJc w:val="left"/>
      <w:pPr>
        <w:ind w:left="6092" w:hanging="360"/>
      </w:pPr>
      <w:rPr>
        <w:rFonts w:ascii="Symbol" w:hAnsi="Symbol" w:hint="default"/>
      </w:rPr>
    </w:lvl>
    <w:lvl w:ilvl="7" w:tplc="040C0003" w:tentative="1">
      <w:start w:val="1"/>
      <w:numFmt w:val="bullet"/>
      <w:lvlText w:val="o"/>
      <w:lvlJc w:val="left"/>
      <w:pPr>
        <w:ind w:left="6812" w:hanging="360"/>
      </w:pPr>
      <w:rPr>
        <w:rFonts w:ascii="Courier New" w:hAnsi="Courier New" w:cs="Courier New" w:hint="default"/>
      </w:rPr>
    </w:lvl>
    <w:lvl w:ilvl="8" w:tplc="040C0005" w:tentative="1">
      <w:start w:val="1"/>
      <w:numFmt w:val="bullet"/>
      <w:lvlText w:val=""/>
      <w:lvlJc w:val="left"/>
      <w:pPr>
        <w:ind w:left="7532" w:hanging="360"/>
      </w:pPr>
      <w:rPr>
        <w:rFonts w:ascii="Wingdings" w:hAnsi="Wingdings" w:hint="default"/>
      </w:rPr>
    </w:lvl>
  </w:abstractNum>
  <w:abstractNum w:abstractNumId="9" w15:restartNumberingAfterBreak="0">
    <w:nsid w:val="17AA787D"/>
    <w:multiLevelType w:val="hybridMultilevel"/>
    <w:tmpl w:val="550E60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9830A1"/>
    <w:multiLevelType w:val="hybridMultilevel"/>
    <w:tmpl w:val="A3A8D6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493795"/>
    <w:multiLevelType w:val="hybridMultilevel"/>
    <w:tmpl w:val="3208EE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91736F"/>
    <w:multiLevelType w:val="multilevel"/>
    <w:tmpl w:val="891ECFDA"/>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29B25BE8"/>
    <w:multiLevelType w:val="hybridMultilevel"/>
    <w:tmpl w:val="2634FB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4A4B47"/>
    <w:multiLevelType w:val="hybridMultilevel"/>
    <w:tmpl w:val="317020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455D52"/>
    <w:multiLevelType w:val="multilevel"/>
    <w:tmpl w:val="B8FA01A6"/>
    <w:styleLink w:val="WW8Num1"/>
    <w:lvl w:ilvl="0">
      <w:start w:val="1"/>
      <w:numFmt w:val="none"/>
      <w:suff w:val="nothing"/>
      <w:lvlText w:val="%1"/>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6" w15:restartNumberingAfterBreak="0">
    <w:nsid w:val="30F971AF"/>
    <w:multiLevelType w:val="hybridMultilevel"/>
    <w:tmpl w:val="2DF22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F34CF1"/>
    <w:multiLevelType w:val="multilevel"/>
    <w:tmpl w:val="147666B0"/>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8" w15:restartNumberingAfterBreak="0">
    <w:nsid w:val="33E051B4"/>
    <w:multiLevelType w:val="multilevel"/>
    <w:tmpl w:val="435C8D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19" w15:restartNumberingAfterBreak="0">
    <w:nsid w:val="343E66D3"/>
    <w:multiLevelType w:val="hybridMultilevel"/>
    <w:tmpl w:val="D0B06A6A"/>
    <w:lvl w:ilvl="0" w:tplc="EEA497FA">
      <w:numFmt w:val="bullet"/>
      <w:lvlText w:val="-"/>
      <w:lvlJc w:val="left"/>
      <w:pPr>
        <w:ind w:left="2132" w:hanging="360"/>
      </w:pPr>
      <w:rPr>
        <w:rFonts w:ascii="Arial" w:eastAsia="Arial" w:hAnsi="Arial" w:cs="Arial" w:hint="default"/>
      </w:rPr>
    </w:lvl>
    <w:lvl w:ilvl="1" w:tplc="040C0003" w:tentative="1">
      <w:start w:val="1"/>
      <w:numFmt w:val="bullet"/>
      <w:lvlText w:val="o"/>
      <w:lvlJc w:val="left"/>
      <w:pPr>
        <w:ind w:left="2852" w:hanging="360"/>
      </w:pPr>
      <w:rPr>
        <w:rFonts w:ascii="Courier New" w:hAnsi="Courier New" w:cs="Courier New" w:hint="default"/>
      </w:rPr>
    </w:lvl>
    <w:lvl w:ilvl="2" w:tplc="040C0005" w:tentative="1">
      <w:start w:val="1"/>
      <w:numFmt w:val="bullet"/>
      <w:lvlText w:val=""/>
      <w:lvlJc w:val="left"/>
      <w:pPr>
        <w:ind w:left="3572" w:hanging="360"/>
      </w:pPr>
      <w:rPr>
        <w:rFonts w:ascii="Wingdings" w:hAnsi="Wingdings" w:hint="default"/>
      </w:rPr>
    </w:lvl>
    <w:lvl w:ilvl="3" w:tplc="040C0001" w:tentative="1">
      <w:start w:val="1"/>
      <w:numFmt w:val="bullet"/>
      <w:lvlText w:val=""/>
      <w:lvlJc w:val="left"/>
      <w:pPr>
        <w:ind w:left="4292" w:hanging="360"/>
      </w:pPr>
      <w:rPr>
        <w:rFonts w:ascii="Symbol" w:hAnsi="Symbol" w:hint="default"/>
      </w:rPr>
    </w:lvl>
    <w:lvl w:ilvl="4" w:tplc="040C0003" w:tentative="1">
      <w:start w:val="1"/>
      <w:numFmt w:val="bullet"/>
      <w:lvlText w:val="o"/>
      <w:lvlJc w:val="left"/>
      <w:pPr>
        <w:ind w:left="5012" w:hanging="360"/>
      </w:pPr>
      <w:rPr>
        <w:rFonts w:ascii="Courier New" w:hAnsi="Courier New" w:cs="Courier New" w:hint="default"/>
      </w:rPr>
    </w:lvl>
    <w:lvl w:ilvl="5" w:tplc="040C0005" w:tentative="1">
      <w:start w:val="1"/>
      <w:numFmt w:val="bullet"/>
      <w:lvlText w:val=""/>
      <w:lvlJc w:val="left"/>
      <w:pPr>
        <w:ind w:left="5732" w:hanging="360"/>
      </w:pPr>
      <w:rPr>
        <w:rFonts w:ascii="Wingdings" w:hAnsi="Wingdings" w:hint="default"/>
      </w:rPr>
    </w:lvl>
    <w:lvl w:ilvl="6" w:tplc="040C0001" w:tentative="1">
      <w:start w:val="1"/>
      <w:numFmt w:val="bullet"/>
      <w:lvlText w:val=""/>
      <w:lvlJc w:val="left"/>
      <w:pPr>
        <w:ind w:left="6452" w:hanging="360"/>
      </w:pPr>
      <w:rPr>
        <w:rFonts w:ascii="Symbol" w:hAnsi="Symbol" w:hint="default"/>
      </w:rPr>
    </w:lvl>
    <w:lvl w:ilvl="7" w:tplc="040C0003" w:tentative="1">
      <w:start w:val="1"/>
      <w:numFmt w:val="bullet"/>
      <w:lvlText w:val="o"/>
      <w:lvlJc w:val="left"/>
      <w:pPr>
        <w:ind w:left="7172" w:hanging="360"/>
      </w:pPr>
      <w:rPr>
        <w:rFonts w:ascii="Courier New" w:hAnsi="Courier New" w:cs="Courier New" w:hint="default"/>
      </w:rPr>
    </w:lvl>
    <w:lvl w:ilvl="8" w:tplc="040C0005" w:tentative="1">
      <w:start w:val="1"/>
      <w:numFmt w:val="bullet"/>
      <w:lvlText w:val=""/>
      <w:lvlJc w:val="left"/>
      <w:pPr>
        <w:ind w:left="7892" w:hanging="360"/>
      </w:pPr>
      <w:rPr>
        <w:rFonts w:ascii="Wingdings" w:hAnsi="Wingdings" w:hint="default"/>
      </w:rPr>
    </w:lvl>
  </w:abstractNum>
  <w:abstractNum w:abstractNumId="20" w15:restartNumberingAfterBreak="0">
    <w:nsid w:val="3BA86A0D"/>
    <w:multiLevelType w:val="multilevel"/>
    <w:tmpl w:val="72D82142"/>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21" w15:restartNumberingAfterBreak="0">
    <w:nsid w:val="40927331"/>
    <w:multiLevelType w:val="hybridMultilevel"/>
    <w:tmpl w:val="F8CC62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BB760E"/>
    <w:multiLevelType w:val="hybridMultilevel"/>
    <w:tmpl w:val="B114DCA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1AF1A7B"/>
    <w:multiLevelType w:val="multilevel"/>
    <w:tmpl w:val="373C54B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48733267"/>
    <w:multiLevelType w:val="hybridMultilevel"/>
    <w:tmpl w:val="3A3A464A"/>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EEA497FA">
      <w:numFmt w:val="bullet"/>
      <w:lvlText w:val="-"/>
      <w:lvlJc w:val="left"/>
      <w:pPr>
        <w:ind w:left="3225" w:hanging="705"/>
      </w:pPr>
      <w:rPr>
        <w:rFonts w:ascii="Arial" w:eastAsia="Arial" w:hAnsi="Arial" w:cs="Aria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1B536C"/>
    <w:multiLevelType w:val="multilevel"/>
    <w:tmpl w:val="138A1862"/>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6" w15:restartNumberingAfterBreak="0">
    <w:nsid w:val="502723AA"/>
    <w:multiLevelType w:val="hybridMultilevel"/>
    <w:tmpl w:val="C5C82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917D45"/>
    <w:multiLevelType w:val="hybridMultilevel"/>
    <w:tmpl w:val="3E5E19E0"/>
    <w:lvl w:ilvl="0" w:tplc="040C0001">
      <w:start w:val="1"/>
      <w:numFmt w:val="bullet"/>
      <w:lvlText w:val=""/>
      <w:lvlJc w:val="left"/>
      <w:pPr>
        <w:ind w:left="1772" w:hanging="360"/>
      </w:pPr>
      <w:rPr>
        <w:rFonts w:ascii="Symbol" w:hAnsi="Symbol" w:hint="default"/>
      </w:rPr>
    </w:lvl>
    <w:lvl w:ilvl="1" w:tplc="040C0003" w:tentative="1">
      <w:start w:val="1"/>
      <w:numFmt w:val="bullet"/>
      <w:lvlText w:val="o"/>
      <w:lvlJc w:val="left"/>
      <w:pPr>
        <w:ind w:left="2492" w:hanging="360"/>
      </w:pPr>
      <w:rPr>
        <w:rFonts w:ascii="Courier New" w:hAnsi="Courier New" w:cs="Courier New" w:hint="default"/>
      </w:rPr>
    </w:lvl>
    <w:lvl w:ilvl="2" w:tplc="040C0005" w:tentative="1">
      <w:start w:val="1"/>
      <w:numFmt w:val="bullet"/>
      <w:lvlText w:val=""/>
      <w:lvlJc w:val="left"/>
      <w:pPr>
        <w:ind w:left="3212" w:hanging="360"/>
      </w:pPr>
      <w:rPr>
        <w:rFonts w:ascii="Wingdings" w:hAnsi="Wingdings" w:hint="default"/>
      </w:rPr>
    </w:lvl>
    <w:lvl w:ilvl="3" w:tplc="040C0001" w:tentative="1">
      <w:start w:val="1"/>
      <w:numFmt w:val="bullet"/>
      <w:lvlText w:val=""/>
      <w:lvlJc w:val="left"/>
      <w:pPr>
        <w:ind w:left="3932" w:hanging="360"/>
      </w:pPr>
      <w:rPr>
        <w:rFonts w:ascii="Symbol" w:hAnsi="Symbol" w:hint="default"/>
      </w:rPr>
    </w:lvl>
    <w:lvl w:ilvl="4" w:tplc="040C0003" w:tentative="1">
      <w:start w:val="1"/>
      <w:numFmt w:val="bullet"/>
      <w:lvlText w:val="o"/>
      <w:lvlJc w:val="left"/>
      <w:pPr>
        <w:ind w:left="4652" w:hanging="360"/>
      </w:pPr>
      <w:rPr>
        <w:rFonts w:ascii="Courier New" w:hAnsi="Courier New" w:cs="Courier New" w:hint="default"/>
      </w:rPr>
    </w:lvl>
    <w:lvl w:ilvl="5" w:tplc="040C0005" w:tentative="1">
      <w:start w:val="1"/>
      <w:numFmt w:val="bullet"/>
      <w:lvlText w:val=""/>
      <w:lvlJc w:val="left"/>
      <w:pPr>
        <w:ind w:left="5372" w:hanging="360"/>
      </w:pPr>
      <w:rPr>
        <w:rFonts w:ascii="Wingdings" w:hAnsi="Wingdings" w:hint="default"/>
      </w:rPr>
    </w:lvl>
    <w:lvl w:ilvl="6" w:tplc="040C0001" w:tentative="1">
      <w:start w:val="1"/>
      <w:numFmt w:val="bullet"/>
      <w:lvlText w:val=""/>
      <w:lvlJc w:val="left"/>
      <w:pPr>
        <w:ind w:left="6092" w:hanging="360"/>
      </w:pPr>
      <w:rPr>
        <w:rFonts w:ascii="Symbol" w:hAnsi="Symbol" w:hint="default"/>
      </w:rPr>
    </w:lvl>
    <w:lvl w:ilvl="7" w:tplc="040C0003" w:tentative="1">
      <w:start w:val="1"/>
      <w:numFmt w:val="bullet"/>
      <w:lvlText w:val="o"/>
      <w:lvlJc w:val="left"/>
      <w:pPr>
        <w:ind w:left="6812" w:hanging="360"/>
      </w:pPr>
      <w:rPr>
        <w:rFonts w:ascii="Courier New" w:hAnsi="Courier New" w:cs="Courier New" w:hint="default"/>
      </w:rPr>
    </w:lvl>
    <w:lvl w:ilvl="8" w:tplc="040C0005" w:tentative="1">
      <w:start w:val="1"/>
      <w:numFmt w:val="bullet"/>
      <w:lvlText w:val=""/>
      <w:lvlJc w:val="left"/>
      <w:pPr>
        <w:ind w:left="7532" w:hanging="360"/>
      </w:pPr>
      <w:rPr>
        <w:rFonts w:ascii="Wingdings" w:hAnsi="Wingdings" w:hint="default"/>
      </w:rPr>
    </w:lvl>
  </w:abstractNum>
  <w:abstractNum w:abstractNumId="28" w15:restartNumberingAfterBreak="0">
    <w:nsid w:val="52955A4C"/>
    <w:multiLevelType w:val="multilevel"/>
    <w:tmpl w:val="D60ADD20"/>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9" w15:restartNumberingAfterBreak="0">
    <w:nsid w:val="53DF5FF8"/>
    <w:multiLevelType w:val="hybridMultilevel"/>
    <w:tmpl w:val="ACEEDAF0"/>
    <w:lvl w:ilvl="0" w:tplc="E0105538">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A616E0"/>
    <w:multiLevelType w:val="multilevel"/>
    <w:tmpl w:val="75D4B73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 w15:restartNumberingAfterBreak="0">
    <w:nsid w:val="5C044170"/>
    <w:multiLevelType w:val="multilevel"/>
    <w:tmpl w:val="6FB63062"/>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32" w15:restartNumberingAfterBreak="0">
    <w:nsid w:val="5E8F6672"/>
    <w:multiLevelType w:val="multilevel"/>
    <w:tmpl w:val="C35416D0"/>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33" w15:restartNumberingAfterBreak="0">
    <w:nsid w:val="69A65C8F"/>
    <w:multiLevelType w:val="hybridMultilevel"/>
    <w:tmpl w:val="F03E0F18"/>
    <w:lvl w:ilvl="0" w:tplc="AE8CCE4C">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B64632"/>
    <w:multiLevelType w:val="hybridMultilevel"/>
    <w:tmpl w:val="60DE9E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CF5F32"/>
    <w:multiLevelType w:val="multilevel"/>
    <w:tmpl w:val="A9CEC634"/>
    <w:styleLink w:val="WWOutlineListStyle3"/>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2F74F67"/>
    <w:multiLevelType w:val="multilevel"/>
    <w:tmpl w:val="F5BE296E"/>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37" w15:restartNumberingAfterBreak="0">
    <w:nsid w:val="779B36B2"/>
    <w:multiLevelType w:val="multilevel"/>
    <w:tmpl w:val="36B8AC82"/>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38" w15:restartNumberingAfterBreak="0">
    <w:nsid w:val="7CE23D8E"/>
    <w:multiLevelType w:val="multilevel"/>
    <w:tmpl w:val="72943A4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1974867255">
    <w:abstractNumId w:val="25"/>
    <w:lvlOverride w:ilvl="0">
      <w:lvl w:ilvl="0">
        <w:start w:val="1"/>
        <w:numFmt w:val="decimal"/>
        <w:pStyle w:val="Titre1"/>
        <w:lvlText w:val="Article %1 - "/>
        <w:lvlJc w:val="left"/>
        <w:pPr>
          <w:ind w:left="0" w:firstLine="283"/>
        </w:pPr>
      </w:lvl>
    </w:lvlOverride>
    <w:lvlOverride w:ilvl="1">
      <w:lvl w:ilvl="1">
        <w:start w:val="1"/>
        <w:numFmt w:val="decimal"/>
        <w:pStyle w:val="Titre2"/>
        <w:lvlText w:val="%1.%2 "/>
        <w:lvlJc w:val="left"/>
        <w:pPr>
          <w:ind w:left="0" w:firstLine="283"/>
        </w:pPr>
      </w:lvl>
    </w:lvlOverride>
  </w:num>
  <w:num w:numId="2" w16cid:durableId="380979432">
    <w:abstractNumId w:val="17"/>
  </w:num>
  <w:num w:numId="3" w16cid:durableId="1527602388">
    <w:abstractNumId w:val="37"/>
  </w:num>
  <w:num w:numId="4" w16cid:durableId="1309163889">
    <w:abstractNumId w:val="1"/>
  </w:num>
  <w:num w:numId="5" w16cid:durableId="41177436">
    <w:abstractNumId w:val="18"/>
  </w:num>
  <w:num w:numId="6" w16cid:durableId="1780222565">
    <w:abstractNumId w:val="31"/>
  </w:num>
  <w:num w:numId="7" w16cid:durableId="1812360870">
    <w:abstractNumId w:val="32"/>
  </w:num>
  <w:num w:numId="8" w16cid:durableId="1477339936">
    <w:abstractNumId w:val="38"/>
  </w:num>
  <w:num w:numId="9" w16cid:durableId="232741117">
    <w:abstractNumId w:val="36"/>
  </w:num>
  <w:num w:numId="10" w16cid:durableId="1924097954">
    <w:abstractNumId w:val="28"/>
  </w:num>
  <w:num w:numId="11" w16cid:durableId="988830063">
    <w:abstractNumId w:val="3"/>
  </w:num>
  <w:num w:numId="12" w16cid:durableId="2100515332">
    <w:abstractNumId w:val="20"/>
  </w:num>
  <w:num w:numId="13" w16cid:durableId="1288468416">
    <w:abstractNumId w:val="12"/>
  </w:num>
  <w:num w:numId="14" w16cid:durableId="1720976806">
    <w:abstractNumId w:val="6"/>
  </w:num>
  <w:num w:numId="15" w16cid:durableId="725836536">
    <w:abstractNumId w:val="35"/>
  </w:num>
  <w:num w:numId="16" w16cid:durableId="1478303362">
    <w:abstractNumId w:val="2"/>
  </w:num>
  <w:num w:numId="17" w16cid:durableId="1540362430">
    <w:abstractNumId w:val="30"/>
  </w:num>
  <w:num w:numId="18" w16cid:durableId="561527749">
    <w:abstractNumId w:val="23"/>
  </w:num>
  <w:num w:numId="19" w16cid:durableId="2022926378">
    <w:abstractNumId w:val="0"/>
  </w:num>
  <w:num w:numId="20" w16cid:durableId="981692033">
    <w:abstractNumId w:val="33"/>
  </w:num>
  <w:num w:numId="21" w16cid:durableId="1192762522">
    <w:abstractNumId w:val="22"/>
  </w:num>
  <w:num w:numId="22" w16cid:durableId="974483476">
    <w:abstractNumId w:val="13"/>
  </w:num>
  <w:num w:numId="23" w16cid:durableId="364406390">
    <w:abstractNumId w:val="24"/>
  </w:num>
  <w:num w:numId="24" w16cid:durableId="1601139087">
    <w:abstractNumId w:val="10"/>
  </w:num>
  <w:num w:numId="25" w16cid:durableId="35392965">
    <w:abstractNumId w:val="4"/>
  </w:num>
  <w:num w:numId="26" w16cid:durableId="1052727684">
    <w:abstractNumId w:val="5"/>
  </w:num>
  <w:num w:numId="27" w16cid:durableId="994722572">
    <w:abstractNumId w:val="21"/>
  </w:num>
  <w:num w:numId="28" w16cid:durableId="1429348469">
    <w:abstractNumId w:val="29"/>
  </w:num>
  <w:num w:numId="29" w16cid:durableId="18294400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2455597">
    <w:abstractNumId w:val="15"/>
  </w:num>
  <w:num w:numId="31" w16cid:durableId="901403277">
    <w:abstractNumId w:val="7"/>
  </w:num>
  <w:num w:numId="32" w16cid:durableId="1605452331">
    <w:abstractNumId w:val="11"/>
  </w:num>
  <w:num w:numId="33" w16cid:durableId="600452884">
    <w:abstractNumId w:val="26"/>
  </w:num>
  <w:num w:numId="34" w16cid:durableId="1845627518">
    <w:abstractNumId w:val="16"/>
  </w:num>
  <w:num w:numId="35" w16cid:durableId="1199928215">
    <w:abstractNumId w:val="19"/>
  </w:num>
  <w:num w:numId="36" w16cid:durableId="7350145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31774158">
    <w:abstractNumId w:val="9"/>
  </w:num>
  <w:num w:numId="38" w16cid:durableId="632755570">
    <w:abstractNumId w:val="34"/>
  </w:num>
  <w:num w:numId="39" w16cid:durableId="22830056">
    <w:abstractNumId w:val="14"/>
  </w:num>
  <w:num w:numId="40" w16cid:durableId="1936205813">
    <w:abstractNumId w:val="8"/>
  </w:num>
  <w:num w:numId="41" w16cid:durableId="1292903461">
    <w:abstractNumId w:val="27"/>
  </w:num>
  <w:num w:numId="42" w16cid:durableId="2494613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6"/>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1C9"/>
    <w:rsid w:val="00003557"/>
    <w:rsid w:val="000441C9"/>
    <w:rsid w:val="000536B0"/>
    <w:rsid w:val="0007426B"/>
    <w:rsid w:val="00096856"/>
    <w:rsid w:val="000B0290"/>
    <w:rsid w:val="000B6620"/>
    <w:rsid w:val="000C23B4"/>
    <w:rsid w:val="000F09C9"/>
    <w:rsid w:val="00110631"/>
    <w:rsid w:val="00111103"/>
    <w:rsid w:val="001260BE"/>
    <w:rsid w:val="00156D3A"/>
    <w:rsid w:val="00166C10"/>
    <w:rsid w:val="0016798E"/>
    <w:rsid w:val="00172813"/>
    <w:rsid w:val="00176112"/>
    <w:rsid w:val="001807E0"/>
    <w:rsid w:val="00180DA7"/>
    <w:rsid w:val="001865F1"/>
    <w:rsid w:val="001B2F48"/>
    <w:rsid w:val="001E11D5"/>
    <w:rsid w:val="001F14DE"/>
    <w:rsid w:val="00203AE7"/>
    <w:rsid w:val="00227FC7"/>
    <w:rsid w:val="002318A1"/>
    <w:rsid w:val="002334CA"/>
    <w:rsid w:val="0024154A"/>
    <w:rsid w:val="0027267E"/>
    <w:rsid w:val="00276946"/>
    <w:rsid w:val="00285686"/>
    <w:rsid w:val="002875A0"/>
    <w:rsid w:val="002D6C7D"/>
    <w:rsid w:val="002E133B"/>
    <w:rsid w:val="002E2750"/>
    <w:rsid w:val="002F7564"/>
    <w:rsid w:val="003336BD"/>
    <w:rsid w:val="00337C70"/>
    <w:rsid w:val="00352147"/>
    <w:rsid w:val="00364EC3"/>
    <w:rsid w:val="00370BF4"/>
    <w:rsid w:val="00376578"/>
    <w:rsid w:val="00396865"/>
    <w:rsid w:val="003B4A43"/>
    <w:rsid w:val="003C20A7"/>
    <w:rsid w:val="003C4518"/>
    <w:rsid w:val="003C5CDD"/>
    <w:rsid w:val="003D5A40"/>
    <w:rsid w:val="003E2CB7"/>
    <w:rsid w:val="003E397B"/>
    <w:rsid w:val="00405F3E"/>
    <w:rsid w:val="00406704"/>
    <w:rsid w:val="0042203F"/>
    <w:rsid w:val="0042653A"/>
    <w:rsid w:val="004375F6"/>
    <w:rsid w:val="00437DA3"/>
    <w:rsid w:val="004420AD"/>
    <w:rsid w:val="00450E8A"/>
    <w:rsid w:val="00484784"/>
    <w:rsid w:val="004A3108"/>
    <w:rsid w:val="004E406F"/>
    <w:rsid w:val="004F68DF"/>
    <w:rsid w:val="004F6C0D"/>
    <w:rsid w:val="00503617"/>
    <w:rsid w:val="00522205"/>
    <w:rsid w:val="00535D70"/>
    <w:rsid w:val="00540E4B"/>
    <w:rsid w:val="00547DE2"/>
    <w:rsid w:val="00581E59"/>
    <w:rsid w:val="005A4ED1"/>
    <w:rsid w:val="005B017F"/>
    <w:rsid w:val="005D047B"/>
    <w:rsid w:val="005D1227"/>
    <w:rsid w:val="006233E7"/>
    <w:rsid w:val="006354A6"/>
    <w:rsid w:val="00643C64"/>
    <w:rsid w:val="0065020C"/>
    <w:rsid w:val="00674021"/>
    <w:rsid w:val="00675775"/>
    <w:rsid w:val="006859AB"/>
    <w:rsid w:val="006A779B"/>
    <w:rsid w:val="006B1B67"/>
    <w:rsid w:val="006E3611"/>
    <w:rsid w:val="00717538"/>
    <w:rsid w:val="00766046"/>
    <w:rsid w:val="00776CF8"/>
    <w:rsid w:val="007778AD"/>
    <w:rsid w:val="00777C57"/>
    <w:rsid w:val="00797E80"/>
    <w:rsid w:val="007A1050"/>
    <w:rsid w:val="007A3938"/>
    <w:rsid w:val="00812D5E"/>
    <w:rsid w:val="0083177C"/>
    <w:rsid w:val="00845294"/>
    <w:rsid w:val="008841F2"/>
    <w:rsid w:val="00894A82"/>
    <w:rsid w:val="008D42FD"/>
    <w:rsid w:val="008F1A24"/>
    <w:rsid w:val="009078E3"/>
    <w:rsid w:val="009319F4"/>
    <w:rsid w:val="00934F57"/>
    <w:rsid w:val="00935CFA"/>
    <w:rsid w:val="009516DE"/>
    <w:rsid w:val="00951A6B"/>
    <w:rsid w:val="00956FB7"/>
    <w:rsid w:val="009645FA"/>
    <w:rsid w:val="009C2953"/>
    <w:rsid w:val="009E4CD3"/>
    <w:rsid w:val="009F1007"/>
    <w:rsid w:val="009F3255"/>
    <w:rsid w:val="00A022EB"/>
    <w:rsid w:val="00A03E79"/>
    <w:rsid w:val="00A07C29"/>
    <w:rsid w:val="00A12C39"/>
    <w:rsid w:val="00A14C7F"/>
    <w:rsid w:val="00A266F7"/>
    <w:rsid w:val="00A34DD0"/>
    <w:rsid w:val="00A43EAF"/>
    <w:rsid w:val="00A550E0"/>
    <w:rsid w:val="00A561F6"/>
    <w:rsid w:val="00A9779D"/>
    <w:rsid w:val="00AA550C"/>
    <w:rsid w:val="00AA7079"/>
    <w:rsid w:val="00AB0E5F"/>
    <w:rsid w:val="00AE028C"/>
    <w:rsid w:val="00AE3711"/>
    <w:rsid w:val="00AE5608"/>
    <w:rsid w:val="00AF3645"/>
    <w:rsid w:val="00AF43EF"/>
    <w:rsid w:val="00B004F1"/>
    <w:rsid w:val="00B04D2F"/>
    <w:rsid w:val="00B123C7"/>
    <w:rsid w:val="00B26F34"/>
    <w:rsid w:val="00B31B55"/>
    <w:rsid w:val="00B36C5C"/>
    <w:rsid w:val="00B47C8F"/>
    <w:rsid w:val="00B6696A"/>
    <w:rsid w:val="00B73D1F"/>
    <w:rsid w:val="00BA3AD6"/>
    <w:rsid w:val="00BB04DC"/>
    <w:rsid w:val="00BC7893"/>
    <w:rsid w:val="00BE6435"/>
    <w:rsid w:val="00C21F0E"/>
    <w:rsid w:val="00C317BE"/>
    <w:rsid w:val="00C57B34"/>
    <w:rsid w:val="00C9100F"/>
    <w:rsid w:val="00CB48BB"/>
    <w:rsid w:val="00CB4B91"/>
    <w:rsid w:val="00CC3325"/>
    <w:rsid w:val="00CC44D5"/>
    <w:rsid w:val="00CC6AC8"/>
    <w:rsid w:val="00CC78CD"/>
    <w:rsid w:val="00CD6448"/>
    <w:rsid w:val="00CE7FE6"/>
    <w:rsid w:val="00CF2576"/>
    <w:rsid w:val="00D0257E"/>
    <w:rsid w:val="00D02E7D"/>
    <w:rsid w:val="00D05A88"/>
    <w:rsid w:val="00D13594"/>
    <w:rsid w:val="00D15BC4"/>
    <w:rsid w:val="00D621A4"/>
    <w:rsid w:val="00D75B30"/>
    <w:rsid w:val="00D82E24"/>
    <w:rsid w:val="00D85361"/>
    <w:rsid w:val="00D94D54"/>
    <w:rsid w:val="00DA4B42"/>
    <w:rsid w:val="00E06C8F"/>
    <w:rsid w:val="00E33960"/>
    <w:rsid w:val="00E64963"/>
    <w:rsid w:val="00E65EED"/>
    <w:rsid w:val="00EA0A6E"/>
    <w:rsid w:val="00EA1CFB"/>
    <w:rsid w:val="00EA494C"/>
    <w:rsid w:val="00EB3762"/>
    <w:rsid w:val="00EE1259"/>
    <w:rsid w:val="00F00E5A"/>
    <w:rsid w:val="00F01754"/>
    <w:rsid w:val="00F36567"/>
    <w:rsid w:val="00F52422"/>
    <w:rsid w:val="00F542D8"/>
    <w:rsid w:val="00F834A2"/>
    <w:rsid w:val="00FB15E1"/>
    <w:rsid w:val="00FC4C8B"/>
    <w:rsid w:val="00FE60CA"/>
    <w:rsid w:val="00FF42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41401"/>
  <w15:docId w15:val="{1ADCDD4C-9AA4-49A7-B4F6-59AA40A3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numPr>
        <w:numId w:val="1"/>
      </w:numPr>
      <w:outlineLvl w:val="0"/>
    </w:pPr>
    <w:rPr>
      <w:color w:val="808080"/>
      <w:sz w:val="36"/>
      <w:szCs w:val="36"/>
    </w:rPr>
  </w:style>
  <w:style w:type="paragraph" w:styleId="Titre2">
    <w:name w:val="heading 2"/>
    <w:basedOn w:val="Standard"/>
    <w:next w:val="Standard"/>
    <w:uiPriority w:val="9"/>
    <w:unhideWhenUsed/>
    <w:qFormat/>
    <w:pPr>
      <w:keepNext/>
      <w:numPr>
        <w:ilvl w:val="1"/>
        <w:numId w:val="1"/>
      </w:numPr>
      <w:spacing w:before="240" w:after="60"/>
      <w:outlineLvl w:val="1"/>
    </w:pPr>
    <w:rPr>
      <w:b/>
      <w:bCs/>
      <w:i/>
      <w:iCs/>
      <w:sz w:val="28"/>
      <w:szCs w:val="28"/>
    </w:rPr>
  </w:style>
  <w:style w:type="paragraph" w:styleId="Titre3">
    <w:name w:val="heading 3"/>
    <w:basedOn w:val="Standard"/>
    <w:next w:val="Standard"/>
    <w:uiPriority w:val="9"/>
    <w:unhideWhenUsed/>
    <w:qFormat/>
    <w:pPr>
      <w:keepNext/>
      <w:numPr>
        <w:ilvl w:val="2"/>
        <w:numId w:val="1"/>
      </w:numPr>
      <w:spacing w:before="240" w:after="60"/>
      <w:outlineLvl w:val="2"/>
    </w:pPr>
    <w:rPr>
      <w:b/>
      <w:bCs/>
      <w:sz w:val="26"/>
      <w:szCs w:val="26"/>
    </w:rPr>
  </w:style>
  <w:style w:type="paragraph" w:styleId="Titre4">
    <w:name w:val="heading 4"/>
    <w:basedOn w:val="Standard"/>
    <w:next w:val="Textbody"/>
    <w:uiPriority w:val="9"/>
    <w:semiHidden/>
    <w:unhideWhenUsed/>
    <w:qFormat/>
    <w:pPr>
      <w:keepNext/>
      <w:keepLines/>
      <w:numPr>
        <w:ilvl w:val="3"/>
        <w:numId w:val="1"/>
      </w:numPr>
      <w:spacing w:before="283" w:after="57"/>
      <w:outlineLvl w:val="3"/>
    </w:pPr>
    <w:rPr>
      <w:b/>
      <w:bCs/>
      <w:i/>
      <w:iCs/>
      <w:sz w:val="24"/>
    </w:rPr>
  </w:style>
  <w:style w:type="paragraph" w:styleId="Titre5">
    <w:name w:val="heading 5"/>
    <w:basedOn w:val="Standard"/>
    <w:next w:val="Textbody"/>
    <w:uiPriority w:val="9"/>
    <w:semiHidden/>
    <w:unhideWhenUsed/>
    <w:qFormat/>
    <w:pPr>
      <w:keepNext/>
      <w:keepLines/>
      <w:numPr>
        <w:ilvl w:val="4"/>
        <w:numId w:val="1"/>
      </w:numPr>
      <w:spacing w:before="283" w:after="57"/>
      <w:outlineLvl w:val="4"/>
    </w:pPr>
    <w:rPr>
      <w:b/>
      <w:bCs/>
      <w:sz w:val="22"/>
    </w:rPr>
  </w:style>
  <w:style w:type="paragraph" w:styleId="Titre6">
    <w:name w:val="heading 6"/>
    <w:basedOn w:val="Heading"/>
    <w:next w:val="Textbody"/>
    <w:uiPriority w:val="9"/>
    <w:semiHidden/>
    <w:unhideWhenUsed/>
    <w:qFormat/>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42"/>
      </w:numPr>
    </w:pPr>
  </w:style>
  <w:style w:type="paragraph" w:customStyle="1" w:styleId="Standard">
    <w:name w:val="Standard"/>
    <w:autoRedefine/>
    <w:rsid w:val="00522205"/>
    <w:pPr>
      <w:spacing w:before="57"/>
      <w:jc w:val="both"/>
      <w:textAlignment w:val="center"/>
    </w:pPr>
    <w:rPr>
      <w:rFonts w:ascii="Arial" w:hAnsi="Arial"/>
      <w:sz w:val="20"/>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7778AD"/>
    <w:pPr>
      <w:keepLines/>
      <w:jc w:val="left"/>
    </w:pPr>
    <w:rPr>
      <w:b/>
      <w:bCs/>
      <w:sz w:val="24"/>
      <w:szCs w:val="32"/>
    </w:r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character" w:styleId="Marquedecommentaire">
    <w:name w:val="annotation reference"/>
    <w:basedOn w:val="Policepardfaut"/>
    <w:rsid w:val="000B0290"/>
    <w:rPr>
      <w:sz w:val="16"/>
      <w:szCs w:val="16"/>
    </w:rPr>
  </w:style>
  <w:style w:type="paragraph" w:styleId="Commentaire">
    <w:name w:val="annotation text"/>
    <w:basedOn w:val="Normal"/>
    <w:link w:val="CommentaireCar"/>
    <w:rsid w:val="000B0290"/>
    <w:rPr>
      <w:sz w:val="20"/>
      <w:szCs w:val="20"/>
    </w:rPr>
  </w:style>
  <w:style w:type="character" w:customStyle="1" w:styleId="CommentaireCar">
    <w:name w:val="Commentaire Car"/>
    <w:basedOn w:val="Policepardfaut"/>
    <w:link w:val="Commentaire"/>
    <w:rsid w:val="000B0290"/>
    <w:rPr>
      <w:sz w:val="20"/>
      <w:szCs w:val="20"/>
    </w:rPr>
  </w:style>
  <w:style w:type="numbering" w:customStyle="1" w:styleId="WWOutlineListStyle3">
    <w:name w:val="WW_OutlineListStyle_3"/>
    <w:basedOn w:val="Aucuneliste"/>
    <w:rsid w:val="000B0290"/>
    <w:pPr>
      <w:numPr>
        <w:numId w:val="15"/>
      </w:numPr>
    </w:pPr>
  </w:style>
  <w:style w:type="paragraph" w:styleId="TM1">
    <w:name w:val="toc 1"/>
    <w:basedOn w:val="Normal"/>
    <w:next w:val="Normal"/>
    <w:autoRedefine/>
    <w:uiPriority w:val="39"/>
    <w:unhideWhenUsed/>
    <w:rsid w:val="004F68DF"/>
    <w:pPr>
      <w:spacing w:after="100"/>
    </w:pPr>
  </w:style>
  <w:style w:type="paragraph" w:styleId="TM2">
    <w:name w:val="toc 2"/>
    <w:basedOn w:val="Normal"/>
    <w:next w:val="Normal"/>
    <w:autoRedefine/>
    <w:uiPriority w:val="39"/>
    <w:unhideWhenUsed/>
    <w:rsid w:val="004F68DF"/>
    <w:pPr>
      <w:spacing w:after="100"/>
      <w:ind w:left="240"/>
    </w:pPr>
  </w:style>
  <w:style w:type="character" w:styleId="Lienhypertexte">
    <w:name w:val="Hyperlink"/>
    <w:basedOn w:val="Policepardfaut"/>
    <w:uiPriority w:val="99"/>
    <w:unhideWhenUsed/>
    <w:rsid w:val="004F68DF"/>
    <w:rPr>
      <w:color w:val="0563C1" w:themeColor="hyperlink"/>
      <w:u w:val="single"/>
    </w:rPr>
  </w:style>
  <w:style w:type="character" w:customStyle="1" w:styleId="Mentionnonrsolue1">
    <w:name w:val="Mention non résolue1"/>
    <w:basedOn w:val="Policepardfaut"/>
    <w:uiPriority w:val="99"/>
    <w:semiHidden/>
    <w:unhideWhenUsed/>
    <w:rsid w:val="006233E7"/>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5D047B"/>
    <w:rPr>
      <w:b/>
      <w:bCs/>
    </w:rPr>
  </w:style>
  <w:style w:type="character" w:customStyle="1" w:styleId="ObjetducommentaireCar">
    <w:name w:val="Objet du commentaire Car"/>
    <w:basedOn w:val="CommentaireCar"/>
    <w:link w:val="Objetducommentaire"/>
    <w:uiPriority w:val="99"/>
    <w:semiHidden/>
    <w:rsid w:val="005D047B"/>
    <w:rPr>
      <w:b/>
      <w:bCs/>
      <w:sz w:val="20"/>
      <w:szCs w:val="20"/>
    </w:rPr>
  </w:style>
  <w:style w:type="paragraph" w:styleId="Paragraphedeliste">
    <w:name w:val="List Paragraph"/>
    <w:basedOn w:val="Normal"/>
    <w:uiPriority w:val="34"/>
    <w:qFormat/>
    <w:rsid w:val="00FC4C8B"/>
    <w:pPr>
      <w:ind w:left="720"/>
      <w:contextualSpacing/>
    </w:pPr>
    <w:rPr>
      <w:rFonts w:eastAsia="MS Mincho"/>
    </w:rPr>
  </w:style>
  <w:style w:type="table" w:styleId="Grilledutableau">
    <w:name w:val="Table Grid"/>
    <w:basedOn w:val="TableauNormal"/>
    <w:uiPriority w:val="39"/>
    <w:rsid w:val="00A43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3C4518"/>
    <w:pPr>
      <w:widowControl/>
      <w:suppressAutoHyphens w:val="0"/>
      <w:autoSpaceDN/>
      <w:spacing w:before="100" w:beforeAutospacing="1" w:after="100" w:afterAutospacing="1"/>
      <w:textAlignment w:val="auto"/>
    </w:pPr>
    <w:rPr>
      <w:rFonts w:eastAsia="Times New Roman" w:cs="Times New Roman"/>
      <w:kern w:val="0"/>
      <w:lang w:eastAsia="fr-FR" w:bidi="ar-SA"/>
    </w:rPr>
  </w:style>
  <w:style w:type="character" w:customStyle="1" w:styleId="cf01">
    <w:name w:val="cf01"/>
    <w:basedOn w:val="Policepardfaut"/>
    <w:rsid w:val="003C4518"/>
    <w:rPr>
      <w:rFonts w:ascii="Segoe UI" w:hAnsi="Segoe UI" w:cs="Segoe UI" w:hint="default"/>
      <w:sz w:val="18"/>
      <w:szCs w:val="18"/>
    </w:rPr>
  </w:style>
  <w:style w:type="character" w:customStyle="1" w:styleId="cf11">
    <w:name w:val="cf11"/>
    <w:basedOn w:val="Policepardfaut"/>
    <w:rsid w:val="003C4518"/>
    <w:rPr>
      <w:rFonts w:ascii="Segoe UI" w:hAnsi="Segoe UI" w:cs="Segoe UI" w:hint="default"/>
      <w:b/>
      <w:bCs/>
      <w:sz w:val="18"/>
      <w:szCs w:val="18"/>
    </w:rPr>
  </w:style>
  <w:style w:type="paragraph" w:styleId="Textedebulles">
    <w:name w:val="Balloon Text"/>
    <w:basedOn w:val="Normal"/>
    <w:link w:val="TextedebullesCar"/>
    <w:uiPriority w:val="99"/>
    <w:semiHidden/>
    <w:unhideWhenUsed/>
    <w:rsid w:val="00176112"/>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6112"/>
    <w:rPr>
      <w:rFonts w:ascii="Segoe UI" w:hAnsi="Segoe UI" w:cs="Segoe UI"/>
      <w:sz w:val="18"/>
      <w:szCs w:val="18"/>
    </w:rPr>
  </w:style>
  <w:style w:type="paragraph" w:styleId="Rvision">
    <w:name w:val="Revision"/>
    <w:hidden/>
    <w:uiPriority w:val="99"/>
    <w:semiHidden/>
    <w:rsid w:val="00934F57"/>
    <w:pPr>
      <w:widowControl/>
      <w:suppressAutoHyphens w:val="0"/>
      <w:autoSpaceDN/>
      <w:textAlignment w:val="auto"/>
    </w:pPr>
  </w:style>
  <w:style w:type="numbering" w:customStyle="1" w:styleId="WW8Num1">
    <w:name w:val="WW8Num1"/>
    <w:basedOn w:val="Aucuneliste"/>
    <w:rsid w:val="00BB04DC"/>
    <w:pPr>
      <w:numPr>
        <w:numId w:val="30"/>
      </w:numPr>
    </w:pPr>
  </w:style>
  <w:style w:type="paragraph" w:styleId="NormalWeb">
    <w:name w:val="Normal (Web)"/>
    <w:basedOn w:val="Normal"/>
    <w:uiPriority w:val="99"/>
    <w:unhideWhenUsed/>
    <w:rsid w:val="00437DA3"/>
    <w:pPr>
      <w:widowControl/>
      <w:suppressAutoHyphens w:val="0"/>
      <w:autoSpaceDN/>
      <w:spacing w:before="100" w:beforeAutospacing="1" w:after="227" w:line="288" w:lineRule="auto"/>
      <w:ind w:left="170"/>
      <w:textAlignment w:val="auto"/>
    </w:pPr>
    <w:rPr>
      <w:rFonts w:eastAsia="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182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cedef/bilan-carbone-entreprise" TargetMode="External"/><Relationship Id="rId13" Type="http://schemas.openxmlformats.org/officeDocument/2006/relationships/hyperlink" Target="http://www.marches-publics.gouv.fr" TargetMode="External"/><Relationship Id="rId18" Type="http://schemas.openxmlformats.org/officeDocument/2006/relationships/hyperlink" Target="https://communaute.chorus-pro.gouv.fr/pour-les-entreprise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economie.gouv.fr/daj/formulaires-declaration-du-candidat" TargetMode="External"/><Relationship Id="rId7" Type="http://schemas.openxmlformats.org/officeDocument/2006/relationships/endnotes" Target="endnotes.xml"/><Relationship Id="rId12" Type="http://schemas.openxmlformats.org/officeDocument/2006/relationships/hyperlink" Target="mailto:marches.archives-nationales@culture.gouv.fr" TargetMode="External"/><Relationship Id="rId17" Type="http://schemas.openxmlformats.org/officeDocument/2006/relationships/hyperlink" Target="https://dume.chorus-pro.gouv.f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https://www.economie.gouv.fr/daj/formulaires-declaration-du-candida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legue-protection-donnees@culture.gouv.fr" TargetMode="External"/><Relationship Id="rId24" Type="http://schemas.openxmlformats.org/officeDocument/2006/relationships/hyperlink" Target="https://www.economie.gouv.fr/daj/formulaires-mise-a-jour-formulaire-declaration-sous-traitance-dans-marches-publics" TargetMode="External"/><Relationship Id="rId5" Type="http://schemas.openxmlformats.org/officeDocument/2006/relationships/webSettings" Target="webSettings.xml"/><Relationship Id="rId15" Type="http://schemas.openxmlformats.org/officeDocument/2006/relationships/hyperlink" Target="mailto:nepasrepondre@marches-publics.gouv.fr" TargetMode="External"/><Relationship Id="rId23" Type="http://schemas.openxmlformats.org/officeDocument/2006/relationships/hyperlink" Target="https://www.economie.gouv.fr/dae/bourse-a-cotraitance-service-pour-aider-entreprises" TargetMode="External"/><Relationship Id="rId28" Type="http://schemas.openxmlformats.org/officeDocument/2006/relationships/fontTable" Target="fontTable.xml"/><Relationship Id="rId10" Type="http://schemas.openxmlformats.org/officeDocument/2006/relationships/hyperlink" Target="https://www.economie.gouv.fr/daj/formulaires-declaration-du-candidat" TargetMode="External"/><Relationship Id="rId19" Type="http://schemas.openxmlformats.org/officeDocument/2006/relationships/hyperlink" Target="https://www.economie.gouv.fr/daj/formulaires-mise-a-jour-formulaire-declaration-sous-traitance-dans-marches-publics" TargetMode="External"/><Relationship Id="rId4" Type="http://schemas.openxmlformats.org/officeDocument/2006/relationships/settings" Target="settings.xml"/><Relationship Id="rId9" Type="http://schemas.openxmlformats.org/officeDocument/2006/relationships/hyperlink" Target="https://bilans-ges.ademe.fr/ressources/etapes-dun-bilan-ges" TargetMode="External"/><Relationship Id="rId14" Type="http://schemas.openxmlformats.org/officeDocument/2006/relationships/hyperlink" Target="https://www.marches-publics.gouv.fr" TargetMode="External"/><Relationship Id="rId22" Type="http://schemas.openxmlformats.org/officeDocument/2006/relationships/hyperlink" Target="https://www.marches-publics.gouv.fr/docs/outils-esr-2017/place/Bourse_cotraitance_mode_emploi6.pdf"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FD8FD-4E52-409C-8816-0E5511A3D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1043</TotalTime>
  <Pages>19</Pages>
  <Words>7543</Words>
  <Characters>41492</Characters>
  <Application>Microsoft Office Word</Application>
  <DocSecurity>0</DocSecurity>
  <Lines>345</Lines>
  <Paragraphs>97</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48938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BOUGASSA Hakima</dc:creator>
  <cp:lastModifiedBy>BOUGASSA Hakima</cp:lastModifiedBy>
  <cp:revision>130</cp:revision>
  <cp:lastPrinted>2025-09-12T12:44:00Z</cp:lastPrinted>
  <dcterms:created xsi:type="dcterms:W3CDTF">2024-03-29T11:07:00Z</dcterms:created>
  <dcterms:modified xsi:type="dcterms:W3CDTF">2025-09-12T12:53:00Z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MSIP_Label_a55150b5-9709-4135-863a-f4680a6d2cae_Enabled">
    <vt:lpwstr>true</vt:lpwstr>
  </property>
  <property fmtid="{D5CDD505-2E9C-101B-9397-08002B2CF9AE}" pid="7" name="MSIP_Label_a55150b5-9709-4135-863a-f4680a6d2cae_SetDate">
    <vt:lpwstr>2024-05-03T11:08:29Z</vt:lpwstr>
  </property>
  <property fmtid="{D5CDD505-2E9C-101B-9397-08002B2CF9AE}" pid="8" name="MSIP_Label_a55150b5-9709-4135-863a-f4680a6d2cae_Method">
    <vt:lpwstr>Privileged</vt:lpwstr>
  </property>
  <property fmtid="{D5CDD505-2E9C-101B-9397-08002B2CF9AE}" pid="9" name="MSIP_Label_a55150b5-9709-4135-863a-f4680a6d2cae_Name">
    <vt:lpwstr>Public</vt:lpwstr>
  </property>
  <property fmtid="{D5CDD505-2E9C-101B-9397-08002B2CF9AE}" pid="10" name="MSIP_Label_a55150b5-9709-4135-863a-f4680a6d2cae_SiteId">
    <vt:lpwstr>5d0b42b2-7ba0-42b9-bd88-2dd1558bd190</vt:lpwstr>
  </property>
  <property fmtid="{D5CDD505-2E9C-101B-9397-08002B2CF9AE}" pid="11" name="MSIP_Label_a55150b5-9709-4135-863a-f4680a6d2cae_ActionId">
    <vt:lpwstr>6da4f3bb-baaa-4ef8-b0a9-827023b4a9d3</vt:lpwstr>
  </property>
  <property fmtid="{D5CDD505-2E9C-101B-9397-08002B2CF9AE}" pid="12" name="MSIP_Label_a55150b5-9709-4135-863a-f4680a6d2cae_ContentBits">
    <vt:lpwstr>0</vt:lpwstr>
  </property>
</Properties>
</file>