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pStyle w:val="Titre1"/>
      </w:pPr>
    </w:p>
    <w:p>
      <w:pPr>
        <w:pStyle w:val="Titre1"/>
      </w:pPr>
      <w:r>
        <w:t xml:space="preserve">Description de la GTB du site MONTAIGNE </w:t>
      </w:r>
    </w:p>
    <w:p/>
    <w:p>
      <w:r>
        <w:rPr>
          <w:noProof/>
          <w:lang w:eastAsia="fr-F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190038</wp:posOffset>
            </wp:positionV>
            <wp:extent cx="6664036" cy="3270917"/>
            <wp:effectExtent l="0" t="0" r="3810" b="5715"/>
            <wp:wrapTight wrapText="bothSides">
              <wp:wrapPolygon edited="0">
                <wp:start x="0" y="0"/>
                <wp:lineTo x="0" y="21512"/>
                <wp:lineTo x="21551" y="21512"/>
                <wp:lineTo x="21551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4036" cy="3270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pPr>
        <w:jc w:val="both"/>
      </w:pPr>
      <w:r>
        <w:t>Le site MONTAIGNE à Noisy-le-Grand est équipé d’une double supervision GTB, se trouvant dans la pièce 0411 au RDC. La supervision principale (DESIGO CC) est interconnectée avec la GTC du Ministère des Finances à PARIS BERCY. Cette GTC,  est surveillée 24/24h 7/7j. La seconde (ICONICS) gère la production chaud-froid du site.</w:t>
      </w:r>
    </w:p>
    <w:p>
      <w:pPr>
        <w:jc w:val="both"/>
      </w:pPr>
      <w:r>
        <w:t xml:space="preserve">Une application spécifique (NLFACILITIES) permet la gestion et programmation des ventilo-convecteurs en fonction du cloisonnement des bureaux. </w:t>
      </w: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pStyle w:val="Titre2"/>
      </w:pPr>
      <w:r>
        <w:t>Architecture GTB</w:t>
      </w:r>
    </w:p>
    <w:p>
      <w:r>
        <w:rPr>
          <w:noProof/>
          <w:lang w:eastAsia="fr-F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-454660</wp:posOffset>
            </wp:positionH>
            <wp:positionV relativeFrom="paragraph">
              <wp:posOffset>271145</wp:posOffset>
            </wp:positionV>
            <wp:extent cx="7140575" cy="3691890"/>
            <wp:effectExtent l="0" t="0" r="3175" b="3810"/>
            <wp:wrapTight wrapText="bothSides">
              <wp:wrapPolygon edited="0">
                <wp:start x="0" y="0"/>
                <wp:lineTo x="0" y="21511"/>
                <wp:lineTo x="21552" y="21511"/>
                <wp:lineTo x="21552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0575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Architecture automates gamme PXC SIEMENS :</w:t>
      </w:r>
    </w:p>
    <w:p/>
    <w:p>
      <w:r>
        <w:rPr>
          <w:noProof/>
          <w:lang w:eastAsia="fr-F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263525</wp:posOffset>
            </wp:positionV>
            <wp:extent cx="7153275" cy="3484245"/>
            <wp:effectExtent l="0" t="0" r="9525" b="1905"/>
            <wp:wrapTight wrapText="bothSides">
              <wp:wrapPolygon edited="0">
                <wp:start x="0" y="0"/>
                <wp:lineTo x="0" y="21494"/>
                <wp:lineTo x="21571" y="21494"/>
                <wp:lineTo x="21571" y="0"/>
                <wp:lineTo x="0" y="0"/>
              </wp:wrapPolygon>
            </wp:wrapTight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3275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Architecture automates SCHNEIDER </w:t>
      </w:r>
      <w:proofErr w:type="gramStart"/>
      <w:r>
        <w:t>TAC  :</w:t>
      </w:r>
      <w:proofErr w:type="gramEnd"/>
    </w:p>
    <w:p/>
    <w:p>
      <w:pPr>
        <w:pStyle w:val="Titre2"/>
      </w:pPr>
      <w:r>
        <w:lastRenderedPageBreak/>
        <w:t>Quel sont les équipements pilotés par la GTB?</w:t>
      </w:r>
    </w:p>
    <w:p>
      <w:r>
        <w:t xml:space="preserve">La plus part des équipements </w:t>
      </w:r>
      <w:r>
        <w:rPr>
          <w:b/>
        </w:rPr>
        <w:t>CVC</w:t>
      </w:r>
      <w:r>
        <w:t xml:space="preserve"> sont surveillés et pilotés par la GTC du site. En voici la liste :</w:t>
      </w:r>
    </w:p>
    <w:p>
      <w:r>
        <w:rPr>
          <w:b/>
        </w:rPr>
        <w:t>Toutes les CTA</w:t>
      </w:r>
      <w:r>
        <w:t xml:space="preserve"> (Centrale de Traitement d’Air) des deux bâtiments. Elles fonctionnent sous régulation des automates PXC SIEMENS locaux et obéissent à des programmes horaires modifiables depuis la GTB. Paramètre modifiables depuis la GTB (température de consigne, horaires).</w:t>
      </w:r>
    </w:p>
    <w:p>
      <w:r>
        <w:rPr>
          <w:b/>
        </w:rPr>
        <w:t>7 PAC et un GFR</w:t>
      </w:r>
      <w:r>
        <w:t>, assurent le chauffage et la climatisation du site. Les CTA et ventilo-convecteurs fonctionnent sur le principe d’un système change-over.</w:t>
      </w:r>
    </w:p>
    <w:p>
      <w:r>
        <w:t xml:space="preserve">Les éclairages des circulations, sanitaires, bureaux et escaliers sont également sous programmes horaires GTC via des automates PXC.  </w:t>
      </w:r>
    </w:p>
    <w:p>
      <w:pPr>
        <w:pStyle w:val="Titre2"/>
      </w:pPr>
      <w:r>
        <w:t>Quels sont les équipements non pilotés par la GTB ?</w:t>
      </w:r>
    </w:p>
    <w:p>
      <w:r>
        <w:t>La GTB ne pilote pas les TGBT ou cellules H.T.</w:t>
      </w:r>
    </w:p>
    <w:p>
      <w:pPr>
        <w:pStyle w:val="Titre2"/>
      </w:pPr>
      <w:r>
        <w:t>Capture images types</w:t>
      </w:r>
    </w:p>
    <w:p>
      <w:r>
        <w:t>Image synthèse lot CVC :</w:t>
      </w:r>
    </w:p>
    <w:p>
      <w:r>
        <w:rPr>
          <w:noProof/>
          <w:lang w:eastAsia="fr-FR"/>
        </w:rPr>
        <w:drawing>
          <wp:inline distT="0" distB="0" distL="0" distR="0">
            <wp:extent cx="6589510" cy="3297382"/>
            <wp:effectExtent l="0" t="0" r="190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4872" cy="330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lastRenderedPageBreak/>
        <w:drawing>
          <wp:inline distT="0" distB="0" distL="0" distR="0">
            <wp:extent cx="6371590" cy="314896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drawing>
          <wp:inline distT="0" distB="0" distL="0" distR="0">
            <wp:extent cx="6371590" cy="3520440"/>
            <wp:effectExtent l="0" t="0" r="0" b="381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lastRenderedPageBreak/>
        <w:drawing>
          <wp:inline distT="0" distB="0" distL="0" distR="0">
            <wp:extent cx="6371590" cy="457581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457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drawing>
          <wp:inline distT="0" distB="0" distL="0" distR="0">
            <wp:extent cx="6371590" cy="352742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lastRenderedPageBreak/>
        <w:drawing>
          <wp:inline distT="0" distB="0" distL="0" distR="0">
            <wp:extent cx="6371590" cy="3027680"/>
            <wp:effectExtent l="0" t="0" r="0" b="127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noProof/>
          <w:lang w:eastAsia="fr-FR"/>
        </w:rPr>
        <w:drawing>
          <wp:inline distT="0" distB="0" distL="0" distR="0">
            <wp:extent cx="6603423" cy="3318164"/>
            <wp:effectExtent l="0" t="0" r="698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13914" cy="33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  <w:lang w:eastAsia="fr-FR"/>
        </w:rPr>
        <w:lastRenderedPageBreak/>
        <w:drawing>
          <wp:inline distT="0" distB="0" distL="0" distR="0">
            <wp:extent cx="6371590" cy="3539490"/>
            <wp:effectExtent l="0" t="0" r="0" b="381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Titre2"/>
      </w:pPr>
    </w:p>
    <w:p/>
    <w:p/>
    <w:p/>
    <w:p>
      <w:pPr>
        <w:pStyle w:val="Titre2"/>
      </w:pPr>
    </w:p>
    <w:p>
      <w:pPr>
        <w:pStyle w:val="Titre2"/>
      </w:pPr>
    </w:p>
    <w:p/>
    <w:p/>
    <w:p/>
    <w:p/>
    <w:p/>
    <w:p/>
    <w:p/>
    <w:p/>
    <w:sectPr>
      <w:pgSz w:w="11906" w:h="16838"/>
      <w:pgMar w:top="851" w:right="851" w:bottom="85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5A072F"/>
    <w:multiLevelType w:val="hybridMultilevel"/>
    <w:tmpl w:val="257E9FEC"/>
    <w:lvl w:ilvl="0" w:tplc="1482FCF6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76C68C6"/>
    <w:multiLevelType w:val="hybridMultilevel"/>
    <w:tmpl w:val="66542D28"/>
    <w:lvl w:ilvl="0" w:tplc="3FEA6C4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48D0E9-E625-4909-ABDD-B45FB1384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spacing w:before="240" w:after="0"/>
      <w:outlineLvl w:val="0"/>
    </w:pPr>
    <w:rPr>
      <w:rFonts w:ascii="Arial Black" w:eastAsiaTheme="majorEastAsia" w:hAnsi="Arial Black" w:cstheme="majorBidi"/>
      <w:color w:val="1F4E79" w:themeColor="accent1" w:themeShade="80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1F3864" w:themeColor="accent5" w:themeShade="80"/>
      <w:sz w:val="32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Pr>
      <w:rFonts w:ascii="Arial Black" w:eastAsiaTheme="majorEastAsia" w:hAnsi="Arial Black" w:cstheme="majorBidi"/>
      <w:color w:val="1F4E79" w:themeColor="accent1" w:themeShade="80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color w:val="1F3864" w:themeColor="accent5" w:themeShade="80"/>
      <w:sz w:val="32"/>
      <w:szCs w:val="26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304</TotalTime>
  <Pages>7</Pages>
  <Words>233</Words>
  <Characters>1287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Secrétariat Général</Company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PANNETIER Vincent</dc:creator>
  <cp:keywords/>
  <dc:description/>
  <cp:lastModifiedBy>GOMES Thierry</cp:lastModifiedBy>
  <cp:revision>9</cp:revision>
  <dcterms:created xsi:type="dcterms:W3CDTF">2020-01-28T12:42:00Z</dcterms:created>
  <dcterms:modified xsi:type="dcterms:W3CDTF">2025-06-19T08:14:00Z</dcterms:modified>
</cp:coreProperties>
</file>