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pPr>
        <w:pStyle w:val="Titre1"/>
      </w:pPr>
    </w:p>
    <w:p>
      <w:pPr>
        <w:pStyle w:val="Titre1"/>
      </w:pPr>
      <w:r>
        <w:t xml:space="preserve">Description de la GTB du site AOT NOISY-CENTRE </w:t>
      </w:r>
    </w:p>
    <w:p/>
    <w:p>
      <w:r>
        <w:rPr>
          <w:noProof/>
          <w:lang w:eastAsia="fr-FR"/>
        </w:rPr>
        <w:drawing>
          <wp:inline distT="0" distB="0" distL="0" distR="0">
            <wp:extent cx="6371590" cy="404114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371590" cy="4041140"/>
                    </a:xfrm>
                    <a:prstGeom prst="rect">
                      <a:avLst/>
                    </a:prstGeom>
                  </pic:spPr>
                </pic:pic>
              </a:graphicData>
            </a:graphic>
          </wp:inline>
        </w:drawing>
      </w:r>
    </w:p>
    <w:p/>
    <w:p/>
    <w:p>
      <w:pPr>
        <w:jc w:val="both"/>
      </w:pPr>
      <w:r>
        <w:t>Le site AOT NOISY-CENTRE à Noisy-le-Grand est équipé d’une supervision GTB, se trouvant dans la pièce 1649 SUD-EST. La supervision (DESIGO INSIGHT) est interconnectée avec la GTC du Ministère des Finances à PARIS BERCY. Cette GTC,  est surveillée 24/24h 7/7j.</w:t>
      </w:r>
    </w:p>
    <w:p>
      <w:pPr>
        <w:jc w:val="both"/>
      </w:pPr>
    </w:p>
    <w:p>
      <w:pPr>
        <w:jc w:val="both"/>
      </w:pPr>
    </w:p>
    <w:p>
      <w:pPr>
        <w:jc w:val="both"/>
      </w:pPr>
    </w:p>
    <w:p>
      <w:pPr>
        <w:jc w:val="both"/>
      </w:pPr>
    </w:p>
    <w:p>
      <w:pPr>
        <w:jc w:val="both"/>
      </w:pPr>
    </w:p>
    <w:p>
      <w:pPr>
        <w:jc w:val="both"/>
      </w:pPr>
    </w:p>
    <w:p>
      <w:pPr>
        <w:jc w:val="both"/>
      </w:pPr>
    </w:p>
    <w:p>
      <w:pPr>
        <w:jc w:val="both"/>
      </w:pPr>
    </w:p>
    <w:p>
      <w:pPr>
        <w:jc w:val="both"/>
      </w:pPr>
    </w:p>
    <w:p>
      <w:pPr>
        <w:tabs>
          <w:tab w:val="left" w:pos="1100"/>
        </w:tabs>
        <w:jc w:val="both"/>
      </w:pPr>
      <w:r>
        <w:tab/>
      </w:r>
    </w:p>
    <w:p>
      <w:pPr>
        <w:pStyle w:val="Titre2"/>
      </w:pPr>
      <w:r>
        <w:lastRenderedPageBreak/>
        <w:t>Architecture GTB</w:t>
      </w:r>
    </w:p>
    <w:p>
      <w:r>
        <w:t>Architecture automates gamme PXC SIEMENS :</w:t>
      </w:r>
    </w:p>
    <w:p>
      <w:r>
        <w:rPr>
          <w:noProof/>
          <w:lang w:eastAsia="fr-FR"/>
        </w:rPr>
        <w:drawing>
          <wp:inline distT="0" distB="0" distL="0" distR="0">
            <wp:extent cx="6090781" cy="4371109"/>
            <wp:effectExtent l="0" t="0" r="571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01815" cy="4379028"/>
                    </a:xfrm>
                    <a:prstGeom prst="rect">
                      <a:avLst/>
                    </a:prstGeom>
                  </pic:spPr>
                </pic:pic>
              </a:graphicData>
            </a:graphic>
          </wp:inline>
        </w:drawing>
      </w:r>
    </w:p>
    <w:p>
      <w:r>
        <w:t>Architecture automates SAIA :</w:t>
      </w:r>
    </w:p>
    <w:p>
      <w:r>
        <w:rPr>
          <w:noProof/>
          <w:lang w:eastAsia="fr-FR"/>
        </w:rPr>
        <w:drawing>
          <wp:inline distT="0" distB="0" distL="0" distR="0">
            <wp:extent cx="5653019" cy="3934691"/>
            <wp:effectExtent l="0" t="0" r="5080" b="889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62535" cy="3941314"/>
                    </a:xfrm>
                    <a:prstGeom prst="rect">
                      <a:avLst/>
                    </a:prstGeom>
                  </pic:spPr>
                </pic:pic>
              </a:graphicData>
            </a:graphic>
          </wp:inline>
        </w:drawing>
      </w:r>
    </w:p>
    <w:p>
      <w:pPr>
        <w:pStyle w:val="Titre2"/>
      </w:pPr>
      <w:r>
        <w:lastRenderedPageBreak/>
        <w:t>Quel sont les équipements pilotés par la GTB?</w:t>
      </w:r>
    </w:p>
    <w:p>
      <w:r>
        <w:t xml:space="preserve">La plus part des équipements </w:t>
      </w:r>
      <w:r>
        <w:rPr>
          <w:b/>
        </w:rPr>
        <w:t>CVC</w:t>
      </w:r>
      <w:r>
        <w:t xml:space="preserve"> sont surveillés et pilotés par la GTC du site. En voici la liste :</w:t>
      </w:r>
    </w:p>
    <w:p>
      <w:r>
        <w:rPr>
          <w:b/>
        </w:rPr>
        <w:t>Toutes les CTA</w:t>
      </w:r>
      <w:r>
        <w:t xml:space="preserve"> (Centrale de Traitement d’Air) de l’aile Nord du bâtiment fonctionnent sous régulation des automates PXC SIEMENS locaux et obéissent à des programmes horaires modifiables depuis la GTB. Paramètre modifiables depuis la GTB (température de consigne, horaires). Les CTA de l’aide sud, fonctionnent sous régulation des automates SAIA. Les CTA BUREAUX sont raccordées à des puits canadiens.</w:t>
      </w:r>
    </w:p>
    <w:p>
      <w:r>
        <w:rPr>
          <w:b/>
        </w:rPr>
        <w:t>6 GFR</w:t>
      </w:r>
      <w:r>
        <w:t xml:space="preserve">, assurent le chauffage et la climatisation des bureaux, salles informatiques et restaurant du site. </w:t>
      </w:r>
    </w:p>
    <w:p>
      <w:r>
        <w:t>La régulation terminale est principalement sous régulateurs SAIA (obsolètes). Une campagne de migration en DXR2 SIEMENS a permis d’en remplacer environ 15% à ce jour.</w:t>
      </w:r>
    </w:p>
    <w:p>
      <w:r>
        <w:t>Les éclairages des circulations sont sous programmes horaires GTC. Les sanitaires sous détecteurs de présence.</w:t>
      </w:r>
    </w:p>
    <w:p>
      <w:pPr>
        <w:pStyle w:val="Titre2"/>
      </w:pPr>
      <w:r>
        <w:t>Quels sont les équipements non pilotés par la GTB ?</w:t>
      </w:r>
    </w:p>
    <w:p>
      <w:r>
        <w:t>La GTB ne pilote pas les TGBT ou cellules H.T.</w:t>
      </w:r>
    </w:p>
    <w:p>
      <w:pPr>
        <w:pStyle w:val="Titre2"/>
      </w:pPr>
      <w:r>
        <w:t>Capture images types</w:t>
      </w:r>
    </w:p>
    <w:p>
      <w:r>
        <w:t>Image synthèse lot CVC :</w:t>
      </w:r>
    </w:p>
    <w:p>
      <w:r>
        <w:rPr>
          <w:noProof/>
          <w:lang w:eastAsia="fr-FR"/>
        </w:rPr>
        <w:drawing>
          <wp:inline distT="0" distB="0" distL="0" distR="0">
            <wp:extent cx="6371590" cy="4002405"/>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371590" cy="4002405"/>
                    </a:xfrm>
                    <a:prstGeom prst="rect">
                      <a:avLst/>
                    </a:prstGeom>
                  </pic:spPr>
                </pic:pic>
              </a:graphicData>
            </a:graphic>
          </wp:inline>
        </w:drawing>
      </w:r>
    </w:p>
    <w:p/>
    <w:p/>
    <w:p/>
    <w:p/>
    <w:p/>
    <w:p/>
    <w:p>
      <w:r>
        <w:rPr>
          <w:noProof/>
          <w:lang w:eastAsia="fr-FR"/>
        </w:rPr>
        <w:lastRenderedPageBreak/>
        <w:drawing>
          <wp:inline distT="0" distB="0" distL="0" distR="0">
            <wp:extent cx="6371590" cy="564451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371590" cy="5644515"/>
                    </a:xfrm>
                    <a:prstGeom prst="rect">
                      <a:avLst/>
                    </a:prstGeom>
                  </pic:spPr>
                </pic:pic>
              </a:graphicData>
            </a:graphic>
          </wp:inline>
        </w:drawing>
      </w:r>
    </w:p>
    <w:p>
      <w:r>
        <w:rPr>
          <w:noProof/>
          <w:lang w:eastAsia="fr-FR"/>
        </w:rPr>
        <w:lastRenderedPageBreak/>
        <w:drawing>
          <wp:inline distT="0" distB="0" distL="0" distR="0">
            <wp:extent cx="6371590" cy="3996690"/>
            <wp:effectExtent l="0" t="0" r="0" b="381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371590" cy="3996690"/>
                    </a:xfrm>
                    <a:prstGeom prst="rect">
                      <a:avLst/>
                    </a:prstGeom>
                  </pic:spPr>
                </pic:pic>
              </a:graphicData>
            </a:graphic>
          </wp:inline>
        </w:drawing>
      </w:r>
    </w:p>
    <w:p/>
    <w:p>
      <w:pPr>
        <w:pStyle w:val="Titre2"/>
      </w:pPr>
      <w:r>
        <w:rPr>
          <w:noProof/>
          <w:lang w:eastAsia="fr-FR"/>
        </w:rPr>
        <w:drawing>
          <wp:inline distT="0" distB="0" distL="0" distR="0">
            <wp:extent cx="6371590" cy="4245610"/>
            <wp:effectExtent l="0" t="0" r="0" b="254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371590" cy="4245610"/>
                    </a:xfrm>
                    <a:prstGeom prst="rect">
                      <a:avLst/>
                    </a:prstGeom>
                  </pic:spPr>
                </pic:pic>
              </a:graphicData>
            </a:graphic>
          </wp:inline>
        </w:drawing>
      </w:r>
    </w:p>
    <w:sectPr>
      <w:headerReference w:type="even" r:id="rId14"/>
      <w:headerReference w:type="default" r:id="rId15"/>
      <w:footerReference w:type="even" r:id="rId16"/>
      <w:footerReference w:type="default" r:id="rId17"/>
      <w:headerReference w:type="first" r:id="rId18"/>
      <w:footerReference w:type="first" r:id="rId19"/>
      <w:pgSz w:w="11906" w:h="16838"/>
      <w:pgMar w:top="851" w:right="851" w:bottom="851"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pPr>
        <w:spacing w:after="0" w:line="240" w:lineRule="auto"/>
      </w:pPr>
      <w:r>
        <w:separator/>
      </w:r>
    </w:p>
  </w:endnote>
  <w:endnote w:type="continuationSeparator" w:id="0">
    <w:p>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pPr>
        <w:spacing w:after="0" w:line="240" w:lineRule="auto"/>
      </w:pPr>
      <w:r>
        <w:separator/>
      </w:r>
    </w:p>
  </w:footnote>
  <w:footnote w:type="continuationSeparator" w:id="0">
    <w:p>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5A072F"/>
    <w:multiLevelType w:val="hybridMultilevel"/>
    <w:tmpl w:val="257E9FEC"/>
    <w:lvl w:ilvl="0" w:tplc="1482FCF6">
      <w:start w:val="7"/>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676C68C6"/>
    <w:multiLevelType w:val="hybridMultilevel"/>
    <w:tmpl w:val="66542D28"/>
    <w:lvl w:ilvl="0" w:tplc="3FEA6C48">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348D0E9-E625-4909-ABDD-B45FB1384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spacing w:before="240" w:after="0"/>
      <w:outlineLvl w:val="0"/>
    </w:pPr>
    <w:rPr>
      <w:rFonts w:ascii="Arial Black" w:eastAsiaTheme="majorEastAsia" w:hAnsi="Arial Black" w:cstheme="majorBidi"/>
      <w:color w:val="1F4E79" w:themeColor="accent1" w:themeShade="80"/>
      <w:sz w:val="32"/>
      <w:szCs w:val="32"/>
    </w:rPr>
  </w:style>
  <w:style w:type="paragraph" w:styleId="Titre2">
    <w:name w:val="heading 2"/>
    <w:basedOn w:val="Normal"/>
    <w:next w:val="Normal"/>
    <w:link w:val="Titre2Car"/>
    <w:uiPriority w:val="9"/>
    <w:unhideWhenUsed/>
    <w:qFormat/>
    <w:pPr>
      <w:keepNext/>
      <w:keepLines/>
      <w:spacing w:before="40" w:after="0"/>
      <w:outlineLvl w:val="1"/>
    </w:pPr>
    <w:rPr>
      <w:rFonts w:asciiTheme="majorHAnsi" w:eastAsiaTheme="majorEastAsia" w:hAnsiTheme="majorHAnsi" w:cstheme="majorBidi"/>
      <w:color w:val="1F3864" w:themeColor="accent5" w:themeShade="80"/>
      <w:sz w:val="32"/>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Pr>
      <w:rFonts w:ascii="Arial Black" w:eastAsiaTheme="majorEastAsia" w:hAnsi="Arial Black" w:cstheme="majorBidi"/>
      <w:color w:val="1F4E79" w:themeColor="accent1" w:themeShade="80"/>
      <w:sz w:val="32"/>
      <w:szCs w:val="32"/>
    </w:rPr>
  </w:style>
  <w:style w:type="character" w:customStyle="1" w:styleId="Titre2Car">
    <w:name w:val="Titre 2 Car"/>
    <w:basedOn w:val="Policepardfaut"/>
    <w:link w:val="Titre2"/>
    <w:uiPriority w:val="9"/>
    <w:rPr>
      <w:rFonts w:asciiTheme="majorHAnsi" w:eastAsiaTheme="majorEastAsia" w:hAnsiTheme="majorHAnsi" w:cstheme="majorBidi"/>
      <w:color w:val="1F3864" w:themeColor="accent5" w:themeShade="80"/>
      <w:sz w:val="32"/>
      <w:szCs w:val="26"/>
    </w:rPr>
  </w:style>
  <w:style w:type="paragraph" w:styleId="Paragraphedeliste">
    <w:name w:val="List Paragraph"/>
    <w:basedOn w:val="Normal"/>
    <w:uiPriority w:val="34"/>
    <w:qFormat/>
    <w:pPr>
      <w:ind w:left="720"/>
      <w:contextualSpacing/>
    </w:p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360</TotalTime>
  <Pages>5</Pages>
  <Words>232</Words>
  <Characters>1279</Characters>
  <Application>Microsoft Office Word</Application>
  <DocSecurity>0</DocSecurity>
  <Lines>10</Lines>
  <Paragraphs>3</Paragraphs>
  <ScaleCrop>false</ScaleCrop>
  <HeadingPairs>
    <vt:vector size="2" baseType="variant">
      <vt:variant>
        <vt:lpstr>Titre</vt:lpstr>
      </vt:variant>
      <vt:variant>
        <vt:i4>1</vt:i4>
      </vt:variant>
    </vt:vector>
  </HeadingPairs>
  <TitlesOfParts>
    <vt:vector size="1" baseType="lpstr">
      <vt:lpstr/>
    </vt:vector>
  </TitlesOfParts>
  <Company>Secrétariat Général</Company>
  <LinksUpToDate>false</LinksUpToDate>
  <CharactersWithSpaces>1508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PANNETIER Vincent</dc:creator>
  <cp:keywords/>
  <dc:description/>
  <cp:lastModifiedBy>GOMES Thierry</cp:lastModifiedBy>
  <cp:revision>11</cp:revision>
  <dcterms:created xsi:type="dcterms:W3CDTF">2020-01-28T12:42:00Z</dcterms:created>
  <dcterms:modified xsi:type="dcterms:W3CDTF">2025-06-19T08:15:00Z</dcterms:modified>
</cp:coreProperties>
</file>