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>
      <w:pPr>
        <w:pStyle w:val="Titre1"/>
      </w:pPr>
    </w:p>
    <w:p>
      <w:pPr>
        <w:pStyle w:val="Titre1"/>
      </w:pPr>
      <w:r>
        <w:t xml:space="preserve">Description de la GTB du site CAEF à SAVIGNY-LE-TEMPLE </w:t>
      </w:r>
    </w:p>
    <w:p>
      <w:r>
        <w:rPr>
          <w:noProof/>
          <w:lang w:eastAsia="fr-FR"/>
        </w:rPr>
        <w:drawing>
          <wp:inline distT="0" distB="0" distL="0" distR="0">
            <wp:extent cx="6371590" cy="4225925"/>
            <wp:effectExtent l="0" t="0" r="0" b="317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71590" cy="422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pPr>
        <w:jc w:val="both"/>
      </w:pPr>
      <w:r>
        <w:t>Le site du CAEF à Savigny-le-Temple est équipé d’une supervision GTB, se trouvant au PCS. La supervision (DESIGO INSIGHT) est interconnectée avec la GTC du Ministère des Finances à PARIS BERCY. Cette GTC,  est surveillée 24/24h 7/7j.</w:t>
      </w: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tabs>
          <w:tab w:val="left" w:pos="1535"/>
        </w:tabs>
        <w:jc w:val="both"/>
      </w:pPr>
      <w:r>
        <w:tab/>
      </w:r>
    </w:p>
    <w:p>
      <w:pPr>
        <w:jc w:val="both"/>
      </w:pPr>
    </w:p>
    <w:p>
      <w:pPr>
        <w:pStyle w:val="Titre2"/>
      </w:pPr>
      <w:r>
        <w:lastRenderedPageBreak/>
        <w:t>Architecture GTB</w:t>
      </w:r>
    </w:p>
    <w:p>
      <w:r>
        <w:t>Architecture automates gamme PXC SIEMENS :</w:t>
      </w:r>
    </w:p>
    <w:p>
      <w:r>
        <w:rPr>
          <w:noProof/>
          <w:lang w:eastAsia="fr-FR"/>
        </w:rPr>
        <w:drawing>
          <wp:inline distT="0" distB="0" distL="0" distR="0">
            <wp:extent cx="6371590" cy="3190875"/>
            <wp:effectExtent l="0" t="0" r="0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71590" cy="319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Titre2"/>
      </w:pPr>
      <w:r>
        <w:t>Quel sont les équipements pilotés par la GTB?</w:t>
      </w:r>
    </w:p>
    <w:p>
      <w:r>
        <w:t xml:space="preserve">Les équipements </w:t>
      </w:r>
      <w:r>
        <w:rPr>
          <w:b/>
        </w:rPr>
        <w:t>CVC</w:t>
      </w:r>
      <w:r>
        <w:t xml:space="preserve"> principaux sont surveillés et pilotés par la GTC du site. En voici la liste :</w:t>
      </w:r>
    </w:p>
    <w:p>
      <w:r>
        <w:rPr>
          <w:b/>
        </w:rPr>
        <w:t>2 CTA</w:t>
      </w:r>
      <w:r>
        <w:t xml:space="preserve"> (Centrale de Traitement d’Air) stratégiques sont régulées par PXC SIEMENS et raccordées en GTC. Les autres CTA ne le sont pas.</w:t>
      </w:r>
    </w:p>
    <w:p>
      <w:r>
        <w:rPr>
          <w:b/>
        </w:rPr>
        <w:t>2 GFR redondant</w:t>
      </w:r>
      <w:r>
        <w:t>, assurent le la climatisation des  locaux archives.</w:t>
      </w:r>
    </w:p>
    <w:p>
      <w:r>
        <w:rPr>
          <w:b/>
        </w:rPr>
        <w:t>2 chaudières gaz redondantes</w:t>
      </w:r>
      <w:r>
        <w:t>, assurent le chauffage du bâtiment.</w:t>
      </w:r>
    </w:p>
    <w:p/>
    <w:p>
      <w:r>
        <w:t>Les éclairages des circulations sont sous programmes horaires GTC.</w:t>
      </w:r>
    </w:p>
    <w:p>
      <w:pPr>
        <w:pStyle w:val="Titre2"/>
      </w:pPr>
      <w:r>
        <w:t>Quels sont les équipements non pilotés par la GTB ?</w:t>
      </w:r>
    </w:p>
    <w:p>
      <w:r>
        <w:t>La GTB ne pilote pas les TGBT ou cellules H.T.</w:t>
      </w:r>
    </w:p>
    <w:p/>
    <w:p>
      <w:pPr>
        <w:pStyle w:val="Titre2"/>
        <w:rPr>
          <w:rFonts w:asciiTheme="minorHAnsi" w:eastAsiaTheme="minorHAnsi" w:hAnsiTheme="minorHAnsi" w:cstheme="minorBidi"/>
          <w:color w:val="auto"/>
          <w:sz w:val="22"/>
          <w:szCs w:val="22"/>
        </w:rPr>
      </w:pPr>
    </w:p>
    <w:p/>
    <w:p/>
    <w:p/>
    <w:p/>
    <w:p/>
    <w:p/>
    <w:p/>
    <w:p>
      <w:pPr>
        <w:pStyle w:val="Titre2"/>
      </w:pPr>
    </w:p>
    <w:p>
      <w:pPr>
        <w:pStyle w:val="Titre2"/>
      </w:pPr>
      <w:r>
        <w:t>Capture images types</w:t>
      </w:r>
    </w:p>
    <w:p>
      <w:r>
        <w:t>Image synthèse lot CVC :</w:t>
      </w:r>
    </w:p>
    <w:p>
      <w:r>
        <w:rPr>
          <w:noProof/>
          <w:lang w:eastAsia="fr-FR"/>
        </w:rPr>
        <w:drawing>
          <wp:inline distT="0" distB="0" distL="0" distR="0">
            <wp:extent cx="6371590" cy="5027295"/>
            <wp:effectExtent l="0" t="0" r="0" b="190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71590" cy="5027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>
      <w:r>
        <w:rPr>
          <w:noProof/>
          <w:lang w:eastAsia="fr-FR"/>
        </w:rPr>
        <w:lastRenderedPageBreak/>
        <w:drawing>
          <wp:inline distT="0" distB="0" distL="0" distR="0">
            <wp:extent cx="6371590" cy="3054928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75875" cy="3056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noProof/>
          <w:lang w:eastAsia="fr-FR"/>
        </w:rPr>
        <w:drawing>
          <wp:inline distT="0" distB="0" distL="0" distR="0">
            <wp:extent cx="6371590" cy="3488055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71590" cy="348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noProof/>
          <w:lang w:eastAsia="fr-FR"/>
        </w:rPr>
        <w:drawing>
          <wp:inline distT="0" distB="0" distL="0" distR="0">
            <wp:extent cx="6371590" cy="276479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371590" cy="276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noProof/>
          <w:lang w:eastAsia="fr-FR"/>
        </w:rPr>
        <w:lastRenderedPageBreak/>
        <w:drawing>
          <wp:inline distT="0" distB="0" distL="0" distR="0">
            <wp:extent cx="6371590" cy="316357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71590" cy="316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noProof/>
          <w:lang w:eastAsia="fr-FR"/>
        </w:rPr>
        <w:drawing>
          <wp:inline distT="0" distB="0" distL="0" distR="0">
            <wp:extent cx="6371590" cy="3060065"/>
            <wp:effectExtent l="0" t="0" r="0" b="698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371590" cy="3060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noProof/>
          <w:lang w:eastAsia="fr-FR"/>
        </w:rPr>
        <w:lastRenderedPageBreak/>
        <w:drawing>
          <wp:inline distT="0" distB="0" distL="0" distR="0">
            <wp:extent cx="6371590" cy="490093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371590" cy="490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851" w:right="851" w:bottom="851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>
      <w:pPr>
        <w:spacing w:after="0" w:line="240" w:lineRule="auto"/>
      </w:pPr>
      <w:r>
        <w:separator/>
      </w:r>
    </w:p>
  </w:endnote>
  <w:endnote w:type="continuationSeparator" w:id="0">
    <w:p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>
      <w:pPr>
        <w:spacing w:after="0" w:line="240" w:lineRule="auto"/>
      </w:pPr>
      <w:r>
        <w:separator/>
      </w:r>
    </w:p>
  </w:footnote>
  <w:footnote w:type="continuationSeparator" w:id="0">
    <w:p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5A072F"/>
    <w:multiLevelType w:val="hybridMultilevel"/>
    <w:tmpl w:val="257E9FEC"/>
    <w:lvl w:ilvl="0" w:tplc="1482FCF6">
      <w:start w:val="7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76C68C6"/>
    <w:multiLevelType w:val="hybridMultilevel"/>
    <w:tmpl w:val="66542D28"/>
    <w:lvl w:ilvl="0" w:tplc="3FEA6C4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348D0E9-E625-4909-ABDD-B45FB1384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pPr>
      <w:keepNext/>
      <w:keepLines/>
      <w:spacing w:before="240" w:after="0"/>
      <w:outlineLvl w:val="0"/>
    </w:pPr>
    <w:rPr>
      <w:rFonts w:ascii="Arial Black" w:eastAsiaTheme="majorEastAsia" w:hAnsi="Arial Black" w:cstheme="majorBidi"/>
      <w:color w:val="1F4E79" w:themeColor="accent1" w:themeShade="80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1F3864" w:themeColor="accent5" w:themeShade="80"/>
      <w:sz w:val="32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Pr>
      <w:rFonts w:ascii="Arial Black" w:eastAsiaTheme="majorEastAsia" w:hAnsi="Arial Black" w:cstheme="majorBidi"/>
      <w:color w:val="1F4E79" w:themeColor="accent1" w:themeShade="80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Pr>
      <w:rFonts w:asciiTheme="majorHAnsi" w:eastAsiaTheme="majorEastAsia" w:hAnsiTheme="majorHAnsi" w:cstheme="majorBidi"/>
      <w:color w:val="1F3864" w:themeColor="accent5" w:themeShade="80"/>
      <w:sz w:val="32"/>
      <w:szCs w:val="26"/>
    </w:rPr>
  </w:style>
  <w:style w:type="paragraph" w:styleId="Paragraphedeliste">
    <w:name w:val="List Paragraph"/>
    <w:basedOn w:val="Normal"/>
    <w:uiPriority w:val="34"/>
    <w:qFormat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</w:style>
  <w:style w:type="paragraph" w:styleId="Pieddepage">
    <w:name w:val="footer"/>
    <w:basedOn w:val="Normal"/>
    <w:link w:val="PieddepageCar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C92A52-995F-49AC-A70F-EFCE85E6B8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378</TotalTime>
  <Pages>6</Pages>
  <Words>157</Words>
  <Characters>865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Secrétariat Général</Company>
  <LinksUpToDate>false</LinksUpToDate>
  <CharactersWithSpaces>1020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PANNETIER Vincent</dc:creator>
  <cp:keywords/>
  <dc:description/>
  <cp:lastModifiedBy>GOMES Thierry</cp:lastModifiedBy>
  <cp:revision>12</cp:revision>
  <dcterms:created xsi:type="dcterms:W3CDTF">2020-01-28T12:42:00Z</dcterms:created>
  <dcterms:modified xsi:type="dcterms:W3CDTF">2025-06-19T08:15:00Z</dcterms:modified>
</cp:coreProperties>
</file>