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7E0910F4"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36</w:t>
      </w:r>
      <w:r w:rsidR="007F55EC">
        <w:rPr>
          <w:rFonts w:ascii="Arial" w:hAnsi="Arial" w:cs="Arial"/>
          <w:b/>
          <w:bCs/>
          <w:szCs w:val="22"/>
        </w:rPr>
        <w:t>921</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5F172832"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Achat d’unités de positionnement et de visualisation</w:t>
      </w:r>
      <w:r w:rsidR="00593AFA">
        <w:rPr>
          <w:rFonts w:ascii="Arial" w:hAnsi="Arial" w:cs="Arial"/>
          <w:szCs w:val="22"/>
        </w:rPr>
        <w:t xml:space="preserve"> pour la navigation</w:t>
      </w:r>
      <w:r w:rsidRPr="00CA183A">
        <w:rPr>
          <w:rFonts w:ascii="Arial" w:hAnsi="Arial" w:cs="Arial"/>
          <w:szCs w:val="22"/>
        </w:rPr>
        <w:t xml:space="preserve"> au profit de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A553262"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CA183A">
        <w:rPr>
          <w:rFonts w:ascii="Arial" w:hAnsi="Arial" w:cs="Arial"/>
          <w:b/>
          <w:szCs w:val="22"/>
        </w:rPr>
        <w:t>1</w:t>
      </w:r>
      <w:r w:rsidR="009A4FF4" w:rsidRPr="009A4FF4">
        <w:rPr>
          <w:rFonts w:ascii="Arial" w:hAnsi="Arial" w:cs="Arial"/>
          <w:b/>
          <w:szCs w:val="22"/>
        </w:rPr>
        <w:t>5</w:t>
      </w:r>
      <w:r w:rsidR="00CA183A">
        <w:rPr>
          <w:rFonts w:ascii="Arial" w:hAnsi="Arial" w:cs="Arial"/>
          <w:b/>
          <w:szCs w:val="22"/>
        </w:rPr>
        <w:t xml:space="preserve"> septembre</w:t>
      </w:r>
      <w:r w:rsidR="00CA242B" w:rsidRPr="009A4FF4">
        <w:rPr>
          <w:rFonts w:ascii="Arial" w:hAnsi="Arial" w:cs="Arial"/>
          <w:b/>
          <w:szCs w:val="22"/>
        </w:rPr>
        <w:t xml:space="preserve"> 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593AF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593AF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593AFA">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593AFA">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593AFA">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593AF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593AFA">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593AFA">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593AFA">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B905B26"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4C372E" w:rsidRPr="004C372E">
        <w:rPr>
          <w:rFonts w:ascii="Arial" w:hAnsi="Arial" w:cs="Arial"/>
          <w:szCs w:val="22"/>
        </w:rPr>
        <w:t>l’achat d’uni</w:t>
      </w:r>
      <w:bookmarkStart w:id="7" w:name="_GoBack"/>
      <w:bookmarkEnd w:id="7"/>
      <w:r w:rsidR="004C372E" w:rsidRPr="004C372E">
        <w:rPr>
          <w:rFonts w:ascii="Arial" w:hAnsi="Arial" w:cs="Arial"/>
          <w:szCs w:val="22"/>
        </w:rPr>
        <w:t>tés de positionnement et de visualisation</w:t>
      </w:r>
      <w:r w:rsidR="00593AFA">
        <w:rPr>
          <w:rFonts w:ascii="Arial" w:hAnsi="Arial" w:cs="Arial"/>
          <w:szCs w:val="22"/>
          <w:lang w:val="fr-FR"/>
        </w:rPr>
        <w:t xml:space="preserve"> pour </w:t>
      </w:r>
      <w:proofErr w:type="spellStart"/>
      <w:r w:rsidR="00593AFA">
        <w:rPr>
          <w:rFonts w:ascii="Arial" w:hAnsi="Arial" w:cs="Arial"/>
          <w:szCs w:val="22"/>
          <w:lang w:val="fr-FR"/>
        </w:rPr>
        <w:t>la</w:t>
      </w:r>
      <w:proofErr w:type="spellEnd"/>
      <w:r w:rsidR="00593AFA">
        <w:rPr>
          <w:rFonts w:ascii="Arial" w:hAnsi="Arial" w:cs="Arial"/>
          <w:szCs w:val="22"/>
          <w:lang w:val="fr-FR"/>
        </w:rPr>
        <w:t xml:space="preserve"> navigation </w:t>
      </w:r>
      <w:r w:rsidR="004C372E" w:rsidRPr="004C372E">
        <w:rPr>
          <w:rFonts w:ascii="Arial" w:hAnsi="Arial" w:cs="Arial"/>
          <w:szCs w:val="22"/>
        </w:rPr>
        <w:t xml:space="preserve"> a</w:t>
      </w:r>
      <w:r w:rsidR="004C372E">
        <w:rPr>
          <w:rFonts w:ascii="Arial" w:hAnsi="Arial" w:cs="Arial"/>
          <w:szCs w:val="22"/>
        </w:rPr>
        <w:t>u profit de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593AFA"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4D569C1"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7F2569">
        <w:rPr>
          <w:rFonts w:ascii="Arial" w:hAnsi="Arial" w:cs="Arial"/>
          <w:szCs w:val="22"/>
        </w:rPr>
        <w:t>60</w:t>
      </w:r>
      <w:r w:rsidRPr="005A2D84">
        <w:rPr>
          <w:rFonts w:ascii="Arial" w:hAnsi="Arial" w:cs="Arial"/>
          <w:szCs w:val="22"/>
        </w:rPr>
        <w:t xml:space="preserve"> %</w:t>
      </w:r>
    </w:p>
    <w:p w14:paraId="32CEA46D" w14:textId="71FABB65" w:rsidR="00443372" w:rsidRPr="005A2D84" w:rsidRDefault="007F2569"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 xml:space="preserve">L’attestation d’obsolescence du </w:t>
      </w:r>
      <w:r w:rsidRPr="005A2D84">
        <w:rPr>
          <w:rFonts w:ascii="Arial" w:hAnsi="Arial" w:cs="Arial"/>
          <w:b/>
          <w:color w:val="000000"/>
          <w:szCs w:val="22"/>
        </w:rPr>
        <w:lastRenderedPageBreak/>
        <w:t>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0EC22416"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410B8D">
        <w:rPr>
          <w:rFonts w:ascii="Arial" w:hAnsi="Arial" w:cs="Arial"/>
          <w:b/>
          <w:bCs/>
          <w:szCs w:val="22"/>
        </w:rPr>
        <w:t xml:space="preserve"> Note finale = (0,6</w:t>
      </w:r>
      <w:r w:rsidRPr="005A2D84">
        <w:rPr>
          <w:rFonts w:ascii="Arial" w:hAnsi="Arial" w:cs="Arial"/>
          <w:b/>
          <w:bCs/>
          <w:szCs w:val="22"/>
        </w:rPr>
        <w:t>0 x NP</w:t>
      </w:r>
      <w:r w:rsidR="007F793A" w:rsidRPr="005A2D84">
        <w:rPr>
          <w:rFonts w:ascii="Arial" w:hAnsi="Arial" w:cs="Arial"/>
          <w:b/>
          <w:bCs/>
          <w:szCs w:val="22"/>
        </w:rPr>
        <w:t>G</w:t>
      </w:r>
      <w:r w:rsidR="00410B8D">
        <w:rPr>
          <w:rFonts w:ascii="Arial" w:hAnsi="Arial" w:cs="Arial"/>
          <w:b/>
          <w:bCs/>
          <w:szCs w:val="22"/>
        </w:rPr>
        <w:t>) + (0,4</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w:t>
      </w:r>
      <w:proofErr w:type="gramStart"/>
      <w:r w:rsidRPr="005A2D84">
        <w:rPr>
          <w:rFonts w:ascii="Arial" w:hAnsi="Arial" w:cs="Arial"/>
          <w:szCs w:val="22"/>
        </w:rPr>
        <w:t>le</w:t>
      </w:r>
      <w:proofErr w:type="gramEnd"/>
      <w:r w:rsidRPr="005A2D84">
        <w:rPr>
          <w:rFonts w:ascii="Arial" w:hAnsi="Arial" w:cs="Arial"/>
          <w:szCs w:val="22"/>
        </w:rPr>
        <w:t xml:space="preserv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A1639C9"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2330C6">
      <w:rPr>
        <w:rStyle w:val="Numrodepage"/>
        <w:rFonts w:ascii="Marianne" w:hAnsi="Marianne"/>
        <w:sz w:val="12"/>
        <w:szCs w:val="12"/>
      </w:rPr>
      <w:t>490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593AFA">
      <w:rPr>
        <w:rStyle w:val="Numrodepage"/>
        <w:rFonts w:ascii="Marianne" w:hAnsi="Marianne"/>
        <w:noProof/>
        <w:sz w:val="12"/>
        <w:szCs w:val="12"/>
      </w:rPr>
      <w:t>1</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593AFA">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83A"/>
    <w:rsid w:val="001942ED"/>
    <w:rsid w:val="001958C6"/>
    <w:rsid w:val="00196650"/>
    <w:rsid w:val="001A0B75"/>
    <w:rsid w:val="001B25B5"/>
    <w:rsid w:val="001B490C"/>
    <w:rsid w:val="001B5DA5"/>
    <w:rsid w:val="001B7D05"/>
    <w:rsid w:val="001C5D0D"/>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777C1"/>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569"/>
    <w:rsid w:val="007F2ECF"/>
    <w:rsid w:val="007F55EC"/>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9DC0F-0808-4642-B431-8CA3811A2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125</TotalTime>
  <Pages>9</Pages>
  <Words>2866</Words>
  <Characters>17044</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19871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47</cp:revision>
  <cp:lastPrinted>2015-11-13T09:08:00Z</cp:lastPrinted>
  <dcterms:created xsi:type="dcterms:W3CDTF">2025-04-14T08:29:00Z</dcterms:created>
  <dcterms:modified xsi:type="dcterms:W3CDTF">2025-07-28T09:04:00Z</dcterms:modified>
</cp:coreProperties>
</file>