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1C08A" w14:textId="4CABA1FB" w:rsidR="00BB6DC9" w:rsidRPr="005A6F82" w:rsidRDefault="00BB6DC9" w:rsidP="005A6F82">
      <w:pPr>
        <w:spacing w:line="240" w:lineRule="auto"/>
        <w:jc w:val="both"/>
        <w:rPr>
          <w:rStyle w:val="fontstyle01"/>
          <w:rFonts w:ascii="Arial" w:hAnsi="Arial" w:cs="Arial"/>
          <w:sz w:val="20"/>
          <w:szCs w:val="20"/>
          <w:lang w:val="en-US"/>
        </w:rPr>
      </w:pPr>
      <w:r w:rsidRPr="005A6F82">
        <w:rPr>
          <w:rStyle w:val="fontstyle01"/>
          <w:rFonts w:ascii="Arial" w:hAnsi="Arial" w:cs="Arial"/>
          <w:sz w:val="20"/>
          <w:szCs w:val="20"/>
          <w:lang w:val="en-US"/>
        </w:rPr>
        <w:t>When implementing Erasmus Mundus Joint Masters (EMJM) partnerships for excellence, the beneficiaries must respect the following conditions for the students of the EMJM master course (all students, with or without scholarship):</w:t>
      </w:r>
    </w:p>
    <w:p w14:paraId="47021D4E" w14:textId="77777777" w:rsidR="00BB6DC9" w:rsidRPr="005A6F82" w:rsidRDefault="00BB6DC9" w:rsidP="005A6F82">
      <w:pPr>
        <w:spacing w:line="240" w:lineRule="auto"/>
        <w:ind w:left="720" w:hanging="360"/>
        <w:jc w:val="both"/>
        <w:rPr>
          <w:rFonts w:cs="Arial"/>
          <w:szCs w:val="20"/>
          <w:lang w:val="en-US"/>
        </w:rPr>
      </w:pPr>
    </w:p>
    <w:p w14:paraId="0DF61577" w14:textId="372B14F9" w:rsidR="00BB6DC9" w:rsidRPr="005A6F82" w:rsidRDefault="00BB6DC9" w:rsidP="005A6F82">
      <w:pPr>
        <w:spacing w:line="240" w:lineRule="auto"/>
        <w:jc w:val="both"/>
        <w:rPr>
          <w:rFonts w:cs="Arial"/>
          <w:szCs w:val="20"/>
          <w:lang w:val="en-US"/>
        </w:rPr>
      </w:pPr>
      <w:r w:rsidRPr="005A6F82">
        <w:rPr>
          <w:rFonts w:cs="Arial"/>
          <w:szCs w:val="20"/>
          <w:lang w:val="en-US"/>
        </w:rPr>
        <w:t>[…]</w:t>
      </w:r>
    </w:p>
    <w:p w14:paraId="4D3ACA03" w14:textId="77777777" w:rsidR="00BB6DC9" w:rsidRPr="005A6F82" w:rsidRDefault="00BB6DC9" w:rsidP="005A6F82">
      <w:pPr>
        <w:spacing w:line="240" w:lineRule="auto"/>
        <w:ind w:left="720" w:hanging="360"/>
        <w:jc w:val="both"/>
        <w:rPr>
          <w:rFonts w:cs="Arial"/>
          <w:szCs w:val="20"/>
          <w:lang w:val="en-US"/>
        </w:rPr>
      </w:pPr>
    </w:p>
    <w:p w14:paraId="136F591C" w14:textId="4E4AA0D3" w:rsidR="00BB6DC9" w:rsidRPr="005A6F82" w:rsidRDefault="00BB6DC9" w:rsidP="005A6F82">
      <w:pPr>
        <w:pStyle w:val="Paragraphedeliste"/>
        <w:numPr>
          <w:ilvl w:val="0"/>
          <w:numId w:val="4"/>
        </w:numPr>
        <w:spacing w:line="240" w:lineRule="auto"/>
        <w:jc w:val="both"/>
        <w:rPr>
          <w:rFonts w:eastAsia="Times New Roman" w:cs="Arial"/>
          <w:b/>
          <w:bCs/>
          <w:color w:val="000000"/>
          <w:szCs w:val="20"/>
          <w:lang w:val="en-US" w:eastAsia="fr-FR"/>
        </w:rPr>
      </w:pPr>
      <w:r w:rsidRPr="005A6F82">
        <w:rPr>
          <w:rFonts w:eastAsia="Times New Roman" w:cs="Arial"/>
          <w:b/>
          <w:bCs/>
          <w:color w:val="000000"/>
          <w:szCs w:val="20"/>
          <w:lang w:val="en-US" w:eastAsia="fr-FR"/>
        </w:rPr>
        <w:t>ensure that the students benefit from a health and accident insurance scheme and cover</w:t>
      </w:r>
      <w:r w:rsidRPr="005A6F82">
        <w:rPr>
          <w:rFonts w:eastAsia="Times New Roman" w:cs="Arial"/>
          <w:b/>
          <w:bCs/>
          <w:color w:val="000000"/>
          <w:szCs w:val="20"/>
          <w:lang w:val="en-US" w:eastAsia="fr-FR"/>
        </w:rPr>
        <w:t xml:space="preserve"> </w:t>
      </w:r>
      <w:r w:rsidRPr="005A6F82">
        <w:rPr>
          <w:rFonts w:eastAsia="Times New Roman" w:cs="Arial"/>
          <w:b/>
          <w:bCs/>
          <w:color w:val="000000"/>
          <w:szCs w:val="20"/>
          <w:lang w:val="en-US" w:eastAsia="fr-FR"/>
        </w:rPr>
        <w:t>its costs</w:t>
      </w:r>
    </w:p>
    <w:p w14:paraId="03A13008" w14:textId="77777777" w:rsidR="00BB6DC9" w:rsidRPr="005A6F82" w:rsidRDefault="00BB6DC9" w:rsidP="005A6F82">
      <w:pPr>
        <w:jc w:val="both"/>
        <w:rPr>
          <w:rFonts w:eastAsia="Times New Roman" w:cs="Arial"/>
          <w:color w:val="000000"/>
          <w:szCs w:val="20"/>
          <w:lang w:val="en-US" w:eastAsia="fr-FR"/>
        </w:rPr>
      </w:pPr>
    </w:p>
    <w:p w14:paraId="4D214A41" w14:textId="5F28143C" w:rsidR="008E631B" w:rsidRPr="005A6F82" w:rsidRDefault="00BB6DC9" w:rsidP="005A6F82">
      <w:pPr>
        <w:jc w:val="both"/>
        <w:rPr>
          <w:rFonts w:eastAsia="Times New Roman" w:cs="Arial"/>
          <w:color w:val="000000"/>
          <w:szCs w:val="20"/>
          <w:lang w:val="en-US" w:eastAsia="fr-FR"/>
        </w:rPr>
      </w:pPr>
      <w:r w:rsidRPr="005A6F82">
        <w:rPr>
          <w:rFonts w:eastAsia="Times New Roman" w:cs="Arial"/>
          <w:color w:val="000000"/>
          <w:szCs w:val="20"/>
          <w:lang w:val="en-US" w:eastAsia="fr-FR"/>
        </w:rPr>
        <w:t>The scheme must take effect from when the students start their journey to participate in the master course (maximum two months before the start of the master course) and until at least two months after the end of the studies (end of the course, unless the student leaves earlier)</w:t>
      </w:r>
      <w:r w:rsidRPr="005A6F82">
        <w:rPr>
          <w:rFonts w:eastAsia="Times New Roman" w:cs="Arial"/>
          <w:color w:val="000000"/>
          <w:szCs w:val="20"/>
          <w:lang w:val="en-US" w:eastAsia="fr-FR"/>
        </w:rPr>
        <w:t>.</w:t>
      </w:r>
    </w:p>
    <w:p w14:paraId="1F9D1A4A" w14:textId="69065036" w:rsidR="00BB6DC9" w:rsidRPr="005A6F82" w:rsidRDefault="00BB6DC9" w:rsidP="005A6F82">
      <w:pPr>
        <w:jc w:val="both"/>
        <w:rPr>
          <w:rFonts w:eastAsia="Times New Roman" w:cs="Arial"/>
          <w:color w:val="000000"/>
          <w:szCs w:val="20"/>
          <w:lang w:val="en-US" w:eastAsia="fr-FR"/>
        </w:rPr>
      </w:pPr>
    </w:p>
    <w:p w14:paraId="48036A35" w14:textId="77777777" w:rsidR="00BB6DC9" w:rsidRPr="00BB6DC9" w:rsidRDefault="00BB6DC9" w:rsidP="005A6F82">
      <w:pPr>
        <w:spacing w:line="240" w:lineRule="auto"/>
        <w:jc w:val="both"/>
        <w:rPr>
          <w:rFonts w:eastAsia="Times New Roman" w:cs="Arial"/>
          <w:color w:val="000000"/>
          <w:szCs w:val="20"/>
          <w:lang w:val="en-US" w:eastAsia="fr-FR"/>
        </w:rPr>
      </w:pPr>
      <w:r w:rsidRPr="00BB6DC9">
        <w:rPr>
          <w:rFonts w:eastAsia="Times New Roman" w:cs="Arial"/>
          <w:color w:val="000000"/>
          <w:szCs w:val="20"/>
          <w:lang w:val="en-US" w:eastAsia="fr-FR"/>
        </w:rPr>
        <w:t>The cover must include:</w:t>
      </w:r>
    </w:p>
    <w:p w14:paraId="460E3F9B" w14:textId="5085EAED" w:rsidR="00BB6DC9" w:rsidRPr="005A6F82" w:rsidRDefault="00BB6DC9" w:rsidP="005A6F82">
      <w:pPr>
        <w:pStyle w:val="Paragraphedeliste"/>
        <w:numPr>
          <w:ilvl w:val="0"/>
          <w:numId w:val="3"/>
        </w:numPr>
        <w:spacing w:line="240" w:lineRule="auto"/>
        <w:jc w:val="both"/>
        <w:rPr>
          <w:rFonts w:eastAsia="Times New Roman" w:cs="Arial"/>
          <w:color w:val="000000"/>
          <w:szCs w:val="20"/>
          <w:lang w:val="en-US" w:eastAsia="fr-FR"/>
        </w:rPr>
      </w:pPr>
      <w:r w:rsidRPr="005A6F82">
        <w:rPr>
          <w:rFonts w:eastAsia="Times New Roman" w:cs="Arial"/>
          <w:color w:val="000000"/>
          <w:szCs w:val="20"/>
          <w:lang w:val="en-US" w:eastAsia="fr-FR"/>
        </w:rPr>
        <w:t>sickness, pregnancy/childbirth and accident, in particular:</w:t>
      </w:r>
    </w:p>
    <w:p w14:paraId="2BAAFAAC" w14:textId="6DED913B"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direct payment of hospital stays</w:t>
      </w:r>
    </w:p>
    <w:p w14:paraId="595F5866" w14:textId="15227FA1"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reimbursement of outpatient care and other medical expenses</w:t>
      </w:r>
    </w:p>
    <w:p w14:paraId="44BCF3C9" w14:textId="16CB9879"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100% cover for doctor’s fees, medicines, examinations and analyses</w:t>
      </w:r>
      <w:r w:rsidR="005A6F82" w:rsidRPr="005A6F82">
        <w:rPr>
          <w:rFonts w:eastAsia="Times New Roman" w:cs="Arial"/>
          <w:color w:val="000000"/>
          <w:szCs w:val="20"/>
          <w:lang w:val="en-US" w:eastAsia="fr-FR"/>
        </w:rPr>
        <w:t xml:space="preserve"> </w:t>
      </w:r>
      <w:r w:rsidRPr="005A6F82">
        <w:rPr>
          <w:rFonts w:eastAsia="Times New Roman" w:cs="Arial"/>
          <w:color w:val="000000"/>
          <w:szCs w:val="20"/>
          <w:lang w:val="en-US" w:eastAsia="fr-FR"/>
        </w:rPr>
        <w:t>prescribed by a physician, urgent dental care following an accident, all</w:t>
      </w:r>
      <w:r w:rsidR="005A6F82" w:rsidRPr="005A6F82">
        <w:rPr>
          <w:rFonts w:eastAsia="Times New Roman" w:cs="Arial"/>
          <w:color w:val="000000"/>
          <w:szCs w:val="20"/>
          <w:lang w:val="en-US" w:eastAsia="fr-FR"/>
        </w:rPr>
        <w:t xml:space="preserve"> </w:t>
      </w:r>
      <w:r w:rsidRPr="005A6F82">
        <w:rPr>
          <w:rFonts w:eastAsia="Times New Roman" w:cs="Arial"/>
          <w:color w:val="000000"/>
          <w:szCs w:val="20"/>
          <w:lang w:val="en-US" w:eastAsia="fr-FR"/>
        </w:rPr>
        <w:t xml:space="preserve">hospital expenses and </w:t>
      </w:r>
      <w:r w:rsidR="005A6F82" w:rsidRPr="005A6F82">
        <w:rPr>
          <w:rFonts w:eastAsia="Times New Roman" w:cs="Arial"/>
          <w:color w:val="000000"/>
          <w:szCs w:val="20"/>
          <w:lang w:val="en-US" w:eastAsia="fr-FR"/>
        </w:rPr>
        <w:t>s</w:t>
      </w:r>
      <w:r w:rsidRPr="005A6F82">
        <w:rPr>
          <w:rFonts w:eastAsia="Times New Roman" w:cs="Arial"/>
          <w:color w:val="000000"/>
          <w:szCs w:val="20"/>
          <w:lang w:val="en-US" w:eastAsia="fr-FR"/>
        </w:rPr>
        <w:t>urgical fees (including advances on hospital</w:t>
      </w:r>
      <w:r w:rsidR="005A6F82" w:rsidRPr="005A6F82">
        <w:rPr>
          <w:rFonts w:eastAsia="Times New Roman" w:cs="Arial"/>
          <w:color w:val="000000"/>
          <w:szCs w:val="20"/>
          <w:lang w:val="en-US" w:eastAsia="fr-FR"/>
        </w:rPr>
        <w:t xml:space="preserve"> </w:t>
      </w:r>
      <w:r w:rsidRPr="005A6F82">
        <w:rPr>
          <w:rFonts w:eastAsia="Times New Roman" w:cs="Arial"/>
          <w:color w:val="000000"/>
          <w:szCs w:val="20"/>
          <w:lang w:val="en-US" w:eastAsia="fr-FR"/>
        </w:rPr>
        <w:t>expenses), repatriation in the event of serious illness or accident</w:t>
      </w:r>
    </w:p>
    <w:p w14:paraId="1FE15238" w14:textId="49F3B21E"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costs for urgent dental care without accident up to 250 EUR per year</w:t>
      </w:r>
    </w:p>
    <w:p w14:paraId="221BECE9" w14:textId="7BA5A0F3"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non-permanent and non-chronic mental disorders</w:t>
      </w:r>
    </w:p>
    <w:p w14:paraId="09D41C94" w14:textId="251E7B52" w:rsidR="00BB6DC9" w:rsidRPr="005A6F82" w:rsidRDefault="00BB6DC9" w:rsidP="005A6F82">
      <w:pPr>
        <w:pStyle w:val="Paragraphedeliste"/>
        <w:numPr>
          <w:ilvl w:val="0"/>
          <w:numId w:val="5"/>
        </w:numPr>
        <w:spacing w:line="240" w:lineRule="auto"/>
        <w:ind w:left="1134"/>
        <w:jc w:val="both"/>
        <w:rPr>
          <w:rFonts w:eastAsia="Times New Roman" w:cs="Arial"/>
          <w:color w:val="000000"/>
          <w:szCs w:val="20"/>
          <w:lang w:val="en-US" w:eastAsia="fr-FR"/>
        </w:rPr>
      </w:pPr>
      <w:r w:rsidRPr="005A6F82">
        <w:rPr>
          <w:rFonts w:eastAsia="Times New Roman" w:cs="Arial"/>
          <w:color w:val="000000"/>
          <w:szCs w:val="20"/>
          <w:lang w:val="en-US" w:eastAsia="fr-FR"/>
        </w:rPr>
        <w:t>pregnancies of less than 6 months (at the moment of departure from the</w:t>
      </w:r>
      <w:r w:rsidR="005A6F82" w:rsidRPr="005A6F82">
        <w:rPr>
          <w:rFonts w:eastAsia="Times New Roman" w:cs="Arial"/>
          <w:color w:val="000000"/>
          <w:szCs w:val="20"/>
          <w:lang w:val="en-US" w:eastAsia="fr-FR"/>
        </w:rPr>
        <w:t xml:space="preserve"> </w:t>
      </w:r>
      <w:r w:rsidRPr="005A6F82">
        <w:rPr>
          <w:rFonts w:eastAsia="Times New Roman" w:cs="Arial"/>
          <w:color w:val="000000"/>
          <w:szCs w:val="20"/>
          <w:lang w:val="en-US" w:eastAsia="fr-FR"/>
        </w:rPr>
        <w:t>home country to participate in the action) may not be excluded from cover</w:t>
      </w:r>
    </w:p>
    <w:p w14:paraId="592FABC1" w14:textId="7E37DC5A" w:rsidR="00BB6DC9" w:rsidRPr="00550292" w:rsidRDefault="00BB6DC9" w:rsidP="00F13F8B">
      <w:pPr>
        <w:pStyle w:val="Paragraphedeliste"/>
        <w:numPr>
          <w:ilvl w:val="0"/>
          <w:numId w:val="3"/>
        </w:numPr>
        <w:spacing w:line="240" w:lineRule="auto"/>
        <w:jc w:val="both"/>
        <w:rPr>
          <w:rFonts w:eastAsia="Times New Roman" w:cs="Arial"/>
          <w:color w:val="000000"/>
          <w:szCs w:val="20"/>
          <w:lang w:val="en-US" w:eastAsia="fr-FR"/>
        </w:rPr>
      </w:pPr>
      <w:r w:rsidRPr="00550292">
        <w:rPr>
          <w:rFonts w:eastAsia="Times New Roman" w:cs="Arial"/>
          <w:color w:val="000000"/>
          <w:szCs w:val="20"/>
          <w:lang w:val="en-US" w:eastAsia="fr-FR"/>
        </w:rPr>
        <w:t>death (whether attributable to the activities under the action or not and covering</w:t>
      </w:r>
      <w:r w:rsidR="00550292">
        <w:rPr>
          <w:rFonts w:eastAsia="Times New Roman" w:cs="Arial"/>
          <w:color w:val="000000"/>
          <w:szCs w:val="20"/>
          <w:lang w:val="en-US" w:eastAsia="fr-FR"/>
        </w:rPr>
        <w:t xml:space="preserve"> </w:t>
      </w:r>
      <w:r w:rsidRPr="00550292">
        <w:rPr>
          <w:rFonts w:eastAsia="Times New Roman" w:cs="Arial"/>
          <w:color w:val="000000"/>
          <w:szCs w:val="20"/>
          <w:lang w:val="en-US" w:eastAsia="fr-FR"/>
        </w:rPr>
        <w:t>all cases, including suicide), in particular:</w:t>
      </w:r>
    </w:p>
    <w:p w14:paraId="7A1FCC9C" w14:textId="7D6726E2" w:rsidR="00BB6DC9" w:rsidRPr="00550292" w:rsidRDefault="00BB6DC9" w:rsidP="00550292">
      <w:pPr>
        <w:pStyle w:val="Paragraphedeliste"/>
        <w:numPr>
          <w:ilvl w:val="0"/>
          <w:numId w:val="6"/>
        </w:numPr>
        <w:spacing w:line="240" w:lineRule="auto"/>
        <w:ind w:firstLine="131"/>
        <w:jc w:val="both"/>
        <w:rPr>
          <w:rFonts w:eastAsia="Times New Roman" w:cs="Arial"/>
          <w:color w:val="000000"/>
          <w:szCs w:val="20"/>
          <w:lang w:val="en-US" w:eastAsia="fr-FR"/>
        </w:rPr>
      </w:pPr>
      <w:r w:rsidRPr="00550292">
        <w:rPr>
          <w:rFonts w:eastAsia="Times New Roman" w:cs="Arial"/>
          <w:color w:val="000000"/>
          <w:szCs w:val="20"/>
          <w:lang w:val="en-US" w:eastAsia="fr-FR"/>
        </w:rPr>
        <w:t>transport of the mortal remains to the place chosen by the deceased’s</w:t>
      </w:r>
      <w:r w:rsidR="00550292">
        <w:rPr>
          <w:rFonts w:eastAsia="Times New Roman" w:cs="Arial"/>
          <w:color w:val="000000"/>
          <w:szCs w:val="20"/>
          <w:lang w:val="en-US" w:eastAsia="fr-FR"/>
        </w:rPr>
        <w:t xml:space="preserve"> </w:t>
      </w:r>
      <w:r w:rsidRPr="00550292">
        <w:rPr>
          <w:rFonts w:eastAsia="Times New Roman" w:cs="Arial"/>
          <w:color w:val="000000"/>
          <w:szCs w:val="20"/>
          <w:lang w:val="en-US" w:eastAsia="fr-FR"/>
        </w:rPr>
        <w:t>family</w:t>
      </w:r>
    </w:p>
    <w:p w14:paraId="30F97A41" w14:textId="588E9863" w:rsidR="00BB6DC9" w:rsidRPr="005A6F82" w:rsidRDefault="00BB6DC9" w:rsidP="00550292">
      <w:pPr>
        <w:pStyle w:val="Paragraphedeliste"/>
        <w:numPr>
          <w:ilvl w:val="0"/>
          <w:numId w:val="6"/>
        </w:numPr>
        <w:spacing w:line="240" w:lineRule="auto"/>
        <w:ind w:firstLine="131"/>
        <w:jc w:val="both"/>
        <w:rPr>
          <w:rFonts w:eastAsia="Times New Roman" w:cs="Arial"/>
          <w:color w:val="000000"/>
          <w:szCs w:val="20"/>
          <w:lang w:val="en-US" w:eastAsia="fr-FR"/>
        </w:rPr>
      </w:pPr>
      <w:r w:rsidRPr="005A6F82">
        <w:rPr>
          <w:rFonts w:eastAsia="Times New Roman" w:cs="Arial"/>
          <w:color w:val="000000"/>
          <w:szCs w:val="20"/>
          <w:lang w:val="en-US" w:eastAsia="fr-FR"/>
        </w:rPr>
        <w:t>funeral and laying-out costs</w:t>
      </w:r>
    </w:p>
    <w:p w14:paraId="6DD3D392" w14:textId="7B9EE9BC" w:rsidR="00BB6DC9" w:rsidRPr="005A6F82" w:rsidRDefault="00BB6DC9" w:rsidP="00550292">
      <w:pPr>
        <w:pStyle w:val="Paragraphedeliste"/>
        <w:numPr>
          <w:ilvl w:val="0"/>
          <w:numId w:val="6"/>
        </w:numPr>
        <w:spacing w:line="240" w:lineRule="auto"/>
        <w:ind w:firstLine="131"/>
        <w:jc w:val="both"/>
        <w:rPr>
          <w:rFonts w:eastAsia="Times New Roman" w:cs="Arial"/>
          <w:color w:val="000000"/>
          <w:szCs w:val="20"/>
          <w:lang w:val="en-US" w:eastAsia="fr-FR"/>
        </w:rPr>
      </w:pPr>
      <w:r w:rsidRPr="005A6F82">
        <w:rPr>
          <w:rFonts w:eastAsia="Times New Roman" w:cs="Arial"/>
          <w:color w:val="000000"/>
          <w:szCs w:val="20"/>
          <w:lang w:val="en-US" w:eastAsia="fr-FR"/>
        </w:rPr>
        <w:t>costs of the coffin</w:t>
      </w:r>
    </w:p>
    <w:p w14:paraId="2DCCB508" w14:textId="450E93B3" w:rsidR="00BB6DC9" w:rsidRPr="00550292" w:rsidRDefault="00BB6DC9" w:rsidP="00D0466E">
      <w:pPr>
        <w:pStyle w:val="Paragraphedeliste"/>
        <w:numPr>
          <w:ilvl w:val="0"/>
          <w:numId w:val="3"/>
        </w:numPr>
        <w:spacing w:line="240" w:lineRule="auto"/>
        <w:jc w:val="both"/>
        <w:rPr>
          <w:rFonts w:eastAsia="Times New Roman" w:cs="Arial"/>
          <w:color w:val="000000"/>
          <w:szCs w:val="20"/>
          <w:lang w:val="en-US" w:eastAsia="fr-FR"/>
        </w:rPr>
      </w:pPr>
      <w:r w:rsidRPr="00550292">
        <w:rPr>
          <w:rFonts w:eastAsia="Times New Roman" w:cs="Arial"/>
          <w:color w:val="000000"/>
          <w:szCs w:val="20"/>
          <w:lang w:val="en-US" w:eastAsia="fr-FR"/>
        </w:rPr>
        <w:t>permanent invalidity (whether attributable to the activities under the action or</w:t>
      </w:r>
      <w:r w:rsidR="00550292">
        <w:rPr>
          <w:rFonts w:eastAsia="Times New Roman" w:cs="Arial"/>
          <w:color w:val="000000"/>
          <w:szCs w:val="20"/>
          <w:lang w:val="en-US" w:eastAsia="fr-FR"/>
        </w:rPr>
        <w:t xml:space="preserve"> </w:t>
      </w:r>
      <w:r w:rsidRPr="00550292">
        <w:rPr>
          <w:rFonts w:eastAsia="Times New Roman" w:cs="Arial"/>
          <w:color w:val="000000"/>
          <w:szCs w:val="20"/>
          <w:lang w:val="en-US" w:eastAsia="fr-FR"/>
        </w:rPr>
        <w:t>not), in particular partial or full permanent disability resulting from an accident</w:t>
      </w:r>
    </w:p>
    <w:p w14:paraId="22DD9E4F" w14:textId="4EA7C897" w:rsidR="00BB6DC9" w:rsidRPr="00550292" w:rsidRDefault="00BB6DC9" w:rsidP="00D46EF7">
      <w:pPr>
        <w:pStyle w:val="Paragraphedeliste"/>
        <w:numPr>
          <w:ilvl w:val="0"/>
          <w:numId w:val="3"/>
        </w:numPr>
        <w:spacing w:line="240" w:lineRule="auto"/>
        <w:jc w:val="both"/>
        <w:rPr>
          <w:rFonts w:eastAsia="Times New Roman" w:cs="Arial"/>
          <w:color w:val="000000"/>
          <w:szCs w:val="20"/>
          <w:lang w:val="en-US" w:eastAsia="fr-FR"/>
        </w:rPr>
      </w:pPr>
      <w:r w:rsidRPr="00550292">
        <w:rPr>
          <w:rFonts w:eastAsia="Times New Roman" w:cs="Arial"/>
          <w:color w:val="000000"/>
          <w:szCs w:val="20"/>
          <w:lang w:val="en-US" w:eastAsia="fr-FR"/>
        </w:rPr>
        <w:t>third party liability occasioned by physical or material damage to third parties</w:t>
      </w:r>
      <w:r w:rsidR="00550292">
        <w:rPr>
          <w:rFonts w:eastAsia="Times New Roman" w:cs="Arial"/>
          <w:color w:val="000000"/>
          <w:szCs w:val="20"/>
          <w:lang w:val="en-US" w:eastAsia="fr-FR"/>
        </w:rPr>
        <w:t xml:space="preserve"> </w:t>
      </w:r>
      <w:r w:rsidRPr="00550292">
        <w:rPr>
          <w:rFonts w:eastAsia="Times New Roman" w:cs="Arial"/>
          <w:color w:val="000000"/>
          <w:szCs w:val="20"/>
          <w:lang w:val="en-US" w:eastAsia="fr-FR"/>
        </w:rPr>
        <w:t>(as provided for under the applicable national law)</w:t>
      </w:r>
    </w:p>
    <w:p w14:paraId="2B0EFF03" w14:textId="679A8D18" w:rsidR="00BB6DC9" w:rsidRPr="005A6F82" w:rsidRDefault="00BB6DC9" w:rsidP="005A6F82">
      <w:pPr>
        <w:pStyle w:val="Paragraphedeliste"/>
        <w:numPr>
          <w:ilvl w:val="0"/>
          <w:numId w:val="3"/>
        </w:numPr>
        <w:spacing w:line="240" w:lineRule="auto"/>
        <w:jc w:val="both"/>
        <w:rPr>
          <w:rFonts w:eastAsia="Times New Roman" w:cs="Arial"/>
          <w:color w:val="000000"/>
          <w:szCs w:val="20"/>
          <w:lang w:val="en-US" w:eastAsia="fr-FR"/>
        </w:rPr>
      </w:pPr>
      <w:r w:rsidRPr="005A6F82">
        <w:rPr>
          <w:rFonts w:eastAsia="Times New Roman" w:cs="Arial"/>
          <w:color w:val="000000"/>
          <w:szCs w:val="20"/>
          <w:lang w:val="en-US" w:eastAsia="fr-FR"/>
        </w:rPr>
        <w:t>theft and loss of personal belongings, in particular:</w:t>
      </w:r>
    </w:p>
    <w:p w14:paraId="7959E669" w14:textId="4CF5D9EF" w:rsidR="00BB6DC9" w:rsidRPr="005A6F82" w:rsidRDefault="00BB6DC9" w:rsidP="00550292">
      <w:pPr>
        <w:pStyle w:val="Paragraphedeliste"/>
        <w:numPr>
          <w:ilvl w:val="0"/>
          <w:numId w:val="7"/>
        </w:numPr>
        <w:spacing w:line="240" w:lineRule="auto"/>
        <w:ind w:firstLine="131"/>
        <w:jc w:val="both"/>
        <w:rPr>
          <w:rFonts w:eastAsia="Times New Roman" w:cs="Arial"/>
          <w:color w:val="000000"/>
          <w:szCs w:val="20"/>
          <w:lang w:val="en-US" w:eastAsia="fr-FR"/>
        </w:rPr>
      </w:pPr>
      <w:r w:rsidRPr="005A6F82">
        <w:rPr>
          <w:rFonts w:eastAsia="Times New Roman" w:cs="Arial"/>
          <w:color w:val="000000"/>
          <w:szCs w:val="20"/>
          <w:lang w:val="en-US" w:eastAsia="fr-FR"/>
        </w:rPr>
        <w:t>identification documents (identity card, passport, etc.)</w:t>
      </w:r>
    </w:p>
    <w:p w14:paraId="08E93F90" w14:textId="7A196F43" w:rsidR="00BB6DC9" w:rsidRPr="005A6F82" w:rsidRDefault="00BB6DC9" w:rsidP="00550292">
      <w:pPr>
        <w:pStyle w:val="Paragraphedeliste"/>
        <w:numPr>
          <w:ilvl w:val="0"/>
          <w:numId w:val="7"/>
        </w:numPr>
        <w:spacing w:line="240" w:lineRule="auto"/>
        <w:ind w:firstLine="131"/>
        <w:jc w:val="both"/>
        <w:rPr>
          <w:rFonts w:eastAsia="Times New Roman" w:cs="Arial"/>
          <w:color w:val="000000"/>
          <w:szCs w:val="20"/>
          <w:lang w:val="en-US" w:eastAsia="fr-FR"/>
        </w:rPr>
      </w:pPr>
      <w:r w:rsidRPr="005A6F82">
        <w:rPr>
          <w:rFonts w:eastAsia="Times New Roman" w:cs="Arial"/>
          <w:color w:val="000000"/>
          <w:szCs w:val="20"/>
          <w:lang w:val="en-US" w:eastAsia="fr-FR"/>
        </w:rPr>
        <w:t>travel tickets</w:t>
      </w:r>
    </w:p>
    <w:p w14:paraId="77381CB3" w14:textId="1CAFD365" w:rsidR="00BB6DC9" w:rsidRDefault="00BB6DC9" w:rsidP="00550292">
      <w:pPr>
        <w:pStyle w:val="Paragraphedeliste"/>
        <w:numPr>
          <w:ilvl w:val="0"/>
          <w:numId w:val="7"/>
        </w:numPr>
        <w:spacing w:line="240" w:lineRule="auto"/>
        <w:ind w:firstLine="131"/>
        <w:jc w:val="both"/>
        <w:rPr>
          <w:rFonts w:eastAsia="Times New Roman" w:cs="Arial"/>
          <w:color w:val="000000"/>
          <w:szCs w:val="20"/>
          <w:lang w:val="en-US" w:eastAsia="fr-FR"/>
        </w:rPr>
      </w:pPr>
      <w:r w:rsidRPr="005A6F82">
        <w:rPr>
          <w:rFonts w:eastAsia="Times New Roman" w:cs="Arial"/>
          <w:color w:val="000000"/>
          <w:szCs w:val="20"/>
          <w:lang w:val="en-US" w:eastAsia="fr-FR"/>
        </w:rPr>
        <w:t>luggage</w:t>
      </w:r>
    </w:p>
    <w:p w14:paraId="204D8A6F" w14:textId="77777777" w:rsidR="00550292" w:rsidRPr="00550292" w:rsidRDefault="00550292" w:rsidP="00550292">
      <w:pPr>
        <w:spacing w:line="240" w:lineRule="auto"/>
        <w:ind w:left="720"/>
        <w:jc w:val="both"/>
        <w:rPr>
          <w:rFonts w:eastAsia="Times New Roman" w:cs="Arial"/>
          <w:color w:val="000000"/>
          <w:szCs w:val="20"/>
          <w:lang w:val="en-US" w:eastAsia="fr-FR"/>
        </w:rPr>
      </w:pPr>
    </w:p>
    <w:p w14:paraId="4B85842E" w14:textId="05C94F7D" w:rsidR="00BB6DC9" w:rsidRDefault="00BB6DC9" w:rsidP="00590708">
      <w:pPr>
        <w:pStyle w:val="Paragraphedeliste"/>
        <w:numPr>
          <w:ilvl w:val="0"/>
          <w:numId w:val="3"/>
        </w:numPr>
        <w:spacing w:line="240" w:lineRule="auto"/>
        <w:jc w:val="both"/>
        <w:rPr>
          <w:rFonts w:eastAsia="Times New Roman" w:cs="Arial"/>
          <w:color w:val="000000"/>
          <w:szCs w:val="20"/>
          <w:lang w:val="en-US" w:eastAsia="fr-FR"/>
        </w:rPr>
      </w:pPr>
      <w:r w:rsidRPr="00550292">
        <w:rPr>
          <w:rFonts w:eastAsia="Times New Roman" w:cs="Arial"/>
          <w:color w:val="000000"/>
          <w:szCs w:val="20"/>
          <w:lang w:val="en-US" w:eastAsia="fr-FR"/>
        </w:rPr>
        <w:t>the entire enrolment period (including mobility periods and worldwide travel</w:t>
      </w:r>
      <w:r w:rsidR="00550292">
        <w:rPr>
          <w:rFonts w:eastAsia="Times New Roman" w:cs="Arial"/>
          <w:color w:val="000000"/>
          <w:szCs w:val="20"/>
          <w:lang w:val="en-US" w:eastAsia="fr-FR"/>
        </w:rPr>
        <w:t xml:space="preserve"> </w:t>
      </w:r>
      <w:r w:rsidRPr="00550292">
        <w:rPr>
          <w:rFonts w:eastAsia="Times New Roman" w:cs="Arial"/>
          <w:color w:val="000000"/>
          <w:szCs w:val="20"/>
          <w:lang w:val="en-US" w:eastAsia="fr-FR"/>
        </w:rPr>
        <w:t>required for the participation in the master course)</w:t>
      </w:r>
    </w:p>
    <w:p w14:paraId="16FB1AC5" w14:textId="481D78D1" w:rsidR="00550292" w:rsidRDefault="00550292" w:rsidP="00550292">
      <w:pPr>
        <w:spacing w:line="240" w:lineRule="auto"/>
        <w:ind w:left="360"/>
        <w:jc w:val="both"/>
        <w:rPr>
          <w:rFonts w:eastAsia="Times New Roman" w:cs="Arial"/>
          <w:color w:val="000000"/>
          <w:szCs w:val="20"/>
          <w:lang w:val="en-US" w:eastAsia="fr-FR"/>
        </w:rPr>
      </w:pPr>
    </w:p>
    <w:p w14:paraId="2DB0B634" w14:textId="6F4ABF48" w:rsidR="00550292" w:rsidRDefault="00550292" w:rsidP="00550292">
      <w:pPr>
        <w:spacing w:line="240" w:lineRule="auto"/>
        <w:ind w:left="360"/>
        <w:jc w:val="both"/>
        <w:rPr>
          <w:rFonts w:eastAsia="Times New Roman" w:cs="Arial"/>
          <w:color w:val="000000"/>
          <w:szCs w:val="20"/>
          <w:lang w:val="en-US" w:eastAsia="fr-FR"/>
        </w:rPr>
      </w:pPr>
    </w:p>
    <w:p w14:paraId="2199178E" w14:textId="77777777" w:rsidR="00550292" w:rsidRPr="00550292" w:rsidRDefault="00550292" w:rsidP="00550292">
      <w:pPr>
        <w:spacing w:line="240" w:lineRule="auto"/>
        <w:ind w:left="360"/>
        <w:jc w:val="both"/>
        <w:rPr>
          <w:rFonts w:eastAsia="Times New Roman" w:cs="Arial"/>
          <w:color w:val="000000"/>
          <w:szCs w:val="20"/>
          <w:lang w:val="en-US" w:eastAsia="fr-FR"/>
        </w:rPr>
      </w:pPr>
    </w:p>
    <w:p w14:paraId="5C2CBB2A" w14:textId="1CE95926" w:rsidR="00BB6DC9" w:rsidRPr="005A6F82" w:rsidRDefault="00BB6DC9" w:rsidP="005A6F82">
      <w:pPr>
        <w:pStyle w:val="Paragraphedeliste"/>
        <w:numPr>
          <w:ilvl w:val="0"/>
          <w:numId w:val="3"/>
        </w:numPr>
        <w:spacing w:line="240" w:lineRule="auto"/>
        <w:jc w:val="both"/>
        <w:rPr>
          <w:rFonts w:eastAsia="Times New Roman" w:cs="Arial"/>
          <w:color w:val="000000"/>
          <w:szCs w:val="20"/>
          <w:lang w:val="en-US" w:eastAsia="fr-FR"/>
        </w:rPr>
      </w:pPr>
      <w:r w:rsidRPr="005A6F82">
        <w:rPr>
          <w:rFonts w:eastAsia="Times New Roman" w:cs="Arial"/>
          <w:color w:val="000000"/>
          <w:szCs w:val="20"/>
          <w:lang w:val="en-US" w:eastAsia="fr-FR"/>
        </w:rPr>
        <w:t>ensure that family members of students can sign the same insurance coverage at their own expense, regardless of their age</w:t>
      </w:r>
    </w:p>
    <w:p w14:paraId="3B152E06" w14:textId="7D640B84" w:rsidR="00BB6DC9" w:rsidRPr="005A6F82" w:rsidRDefault="00BB6DC9" w:rsidP="005A6F82">
      <w:pPr>
        <w:pStyle w:val="Paragraphedeliste"/>
        <w:numPr>
          <w:ilvl w:val="0"/>
          <w:numId w:val="3"/>
        </w:numPr>
        <w:spacing w:line="240" w:lineRule="auto"/>
        <w:jc w:val="both"/>
        <w:rPr>
          <w:rFonts w:eastAsia="Times New Roman" w:cs="Arial"/>
          <w:color w:val="000000"/>
          <w:szCs w:val="20"/>
          <w:lang w:val="en-US" w:eastAsia="fr-FR"/>
        </w:rPr>
      </w:pPr>
      <w:r w:rsidRPr="005A6F82">
        <w:rPr>
          <w:rFonts w:eastAsia="Times New Roman" w:cs="Arial"/>
          <w:color w:val="000000"/>
          <w:szCs w:val="20"/>
          <w:lang w:val="en-US" w:eastAsia="fr-FR"/>
        </w:rPr>
        <w:t>assist the students in the administrative procedures (including visa requirements)</w:t>
      </w:r>
    </w:p>
    <w:p w14:paraId="54DA8C70" w14:textId="77777777" w:rsidR="00BB6DC9" w:rsidRPr="005A6F82" w:rsidRDefault="00BB6DC9" w:rsidP="005A6F82">
      <w:pPr>
        <w:pStyle w:val="Paragraphedeliste"/>
        <w:numPr>
          <w:ilvl w:val="0"/>
          <w:numId w:val="3"/>
        </w:numPr>
        <w:jc w:val="both"/>
        <w:rPr>
          <w:rFonts w:eastAsia="Times New Roman" w:cs="Arial"/>
          <w:color w:val="000000"/>
          <w:szCs w:val="20"/>
          <w:lang w:val="en-US" w:eastAsia="fr-FR"/>
        </w:rPr>
      </w:pPr>
      <w:r w:rsidRPr="005A6F82">
        <w:rPr>
          <w:rFonts w:eastAsia="Times New Roman" w:cs="Arial"/>
          <w:color w:val="000000"/>
          <w:szCs w:val="20"/>
          <w:lang w:val="en-US" w:eastAsia="fr-FR"/>
        </w:rPr>
        <w:t>ensure that the mobility declaration in the Portal Continuous Reporting tool where the enrolled students are encoded is regularly updated, including when an update is explicitly requested by the granting authority</w:t>
      </w:r>
    </w:p>
    <w:p w14:paraId="64B8ACDE" w14:textId="2ADBFF36" w:rsidR="00BB6DC9" w:rsidRPr="005A6F82" w:rsidRDefault="00BB6DC9" w:rsidP="005A6F82">
      <w:pPr>
        <w:pStyle w:val="Paragraphedeliste"/>
        <w:numPr>
          <w:ilvl w:val="0"/>
          <w:numId w:val="3"/>
        </w:numPr>
        <w:jc w:val="both"/>
        <w:rPr>
          <w:rFonts w:eastAsia="Times New Roman" w:cs="Arial"/>
          <w:color w:val="000000"/>
          <w:szCs w:val="20"/>
          <w:lang w:val="en-US" w:eastAsia="fr-FR"/>
        </w:rPr>
      </w:pPr>
      <w:r w:rsidRPr="005A6F82">
        <w:rPr>
          <w:rFonts w:eastAsia="Times New Roman" w:cs="Arial"/>
          <w:color w:val="000000"/>
          <w:szCs w:val="20"/>
          <w:lang w:val="en-US" w:eastAsia="fr-FR"/>
        </w:rPr>
        <w:t>make sure that the students are informed about the collection and processing of</w:t>
      </w:r>
      <w:r w:rsidRPr="005A6F82">
        <w:rPr>
          <w:rFonts w:eastAsia="Times New Roman" w:cs="Arial"/>
          <w:color w:val="000000"/>
          <w:szCs w:val="20"/>
          <w:lang w:val="en-US" w:eastAsia="fr-FR"/>
        </w:rPr>
        <w:t xml:space="preserve"> </w:t>
      </w:r>
      <w:r w:rsidRPr="005A6F82">
        <w:rPr>
          <w:rFonts w:eastAsia="Times New Roman" w:cs="Arial"/>
          <w:color w:val="000000"/>
          <w:szCs w:val="20"/>
          <w:lang w:val="en-US" w:eastAsia="fr-FR"/>
        </w:rPr>
        <w:t>personal data by the granting authority (including data in the mobility declaration)</w:t>
      </w:r>
    </w:p>
    <w:p w14:paraId="39E27EC2" w14:textId="092979BB" w:rsidR="00550292" w:rsidRDefault="00550292">
      <w:pPr>
        <w:spacing w:after="160"/>
        <w:rPr>
          <w:rFonts w:cs="Arial"/>
          <w:szCs w:val="20"/>
          <w:lang w:val="en-US"/>
        </w:rPr>
      </w:pPr>
      <w:r>
        <w:rPr>
          <w:rFonts w:cs="Arial"/>
          <w:szCs w:val="20"/>
          <w:lang w:val="en-US"/>
        </w:rPr>
        <w:br w:type="page"/>
      </w:r>
    </w:p>
    <w:p w14:paraId="62092351" w14:textId="77777777" w:rsidR="00550292" w:rsidRPr="00550292" w:rsidRDefault="00550292" w:rsidP="00550292">
      <w:pPr>
        <w:jc w:val="both"/>
        <w:rPr>
          <w:rFonts w:cs="Arial"/>
          <w:szCs w:val="20"/>
        </w:rPr>
      </w:pPr>
      <w:r w:rsidRPr="00550292">
        <w:rPr>
          <w:rFonts w:cs="Arial"/>
          <w:szCs w:val="20"/>
        </w:rPr>
        <w:lastRenderedPageBreak/>
        <w:t xml:space="preserve">Lors de la mise en œuvre des partenariats d’excellence Erasmus </w:t>
      </w:r>
      <w:proofErr w:type="spellStart"/>
      <w:r w:rsidRPr="00550292">
        <w:rPr>
          <w:rFonts w:cs="Arial"/>
          <w:szCs w:val="20"/>
        </w:rPr>
        <w:t>Mundus</w:t>
      </w:r>
      <w:proofErr w:type="spellEnd"/>
      <w:r w:rsidRPr="00550292">
        <w:rPr>
          <w:rFonts w:cs="Arial"/>
          <w:szCs w:val="20"/>
        </w:rPr>
        <w:t xml:space="preserve"> Joint Masters (EMJM), les bénéficiaires doivent respecter les conditions suivantes pour les étudiants du master EMJM (tous les étudiants, avec ou sans bourse) :</w:t>
      </w:r>
    </w:p>
    <w:p w14:paraId="139CBE62" w14:textId="77777777" w:rsidR="00550292" w:rsidRPr="00550292" w:rsidRDefault="00550292" w:rsidP="00550292">
      <w:pPr>
        <w:jc w:val="both"/>
        <w:rPr>
          <w:rFonts w:cs="Arial"/>
          <w:szCs w:val="20"/>
        </w:rPr>
      </w:pPr>
    </w:p>
    <w:p w14:paraId="7F4074EA" w14:textId="77777777" w:rsidR="00550292" w:rsidRPr="00550292" w:rsidRDefault="00550292" w:rsidP="00550292">
      <w:pPr>
        <w:jc w:val="both"/>
        <w:rPr>
          <w:rFonts w:cs="Arial"/>
          <w:szCs w:val="20"/>
        </w:rPr>
      </w:pPr>
      <w:r w:rsidRPr="00550292">
        <w:rPr>
          <w:rFonts w:cs="Arial"/>
          <w:szCs w:val="20"/>
        </w:rPr>
        <w:t>[…]</w:t>
      </w:r>
    </w:p>
    <w:p w14:paraId="66D22180" w14:textId="77777777" w:rsidR="00550292" w:rsidRPr="00550292" w:rsidRDefault="00550292" w:rsidP="00550292">
      <w:pPr>
        <w:jc w:val="both"/>
        <w:rPr>
          <w:rFonts w:cs="Arial"/>
          <w:szCs w:val="20"/>
        </w:rPr>
      </w:pPr>
    </w:p>
    <w:p w14:paraId="265C2C4E" w14:textId="1C5D2235" w:rsidR="00550292" w:rsidRPr="00550292" w:rsidRDefault="00550292" w:rsidP="00550292">
      <w:pPr>
        <w:pStyle w:val="Paragraphedeliste"/>
        <w:numPr>
          <w:ilvl w:val="0"/>
          <w:numId w:val="4"/>
        </w:numPr>
        <w:spacing w:line="240" w:lineRule="auto"/>
        <w:jc w:val="both"/>
        <w:rPr>
          <w:rFonts w:eastAsia="Times New Roman" w:cs="Arial"/>
          <w:b/>
          <w:bCs/>
          <w:color w:val="000000"/>
          <w:szCs w:val="20"/>
          <w:lang w:val="en-US" w:eastAsia="fr-FR"/>
        </w:rPr>
      </w:pPr>
      <w:proofErr w:type="spellStart"/>
      <w:r w:rsidRPr="00550292">
        <w:rPr>
          <w:rFonts w:eastAsia="Times New Roman" w:cs="Arial"/>
          <w:b/>
          <w:bCs/>
          <w:color w:val="000000"/>
          <w:szCs w:val="20"/>
          <w:lang w:val="en-US" w:eastAsia="fr-FR"/>
        </w:rPr>
        <w:t>s’assurer</w:t>
      </w:r>
      <w:proofErr w:type="spellEnd"/>
      <w:r w:rsidRPr="00550292">
        <w:rPr>
          <w:rFonts w:eastAsia="Times New Roman" w:cs="Arial"/>
          <w:b/>
          <w:bCs/>
          <w:color w:val="000000"/>
          <w:szCs w:val="20"/>
          <w:lang w:val="en-US" w:eastAsia="fr-FR"/>
        </w:rPr>
        <w:t xml:space="preserve"> que les étudiants bénéficient d’un régime d’assurance maladie et accident et </w:t>
      </w:r>
      <w:proofErr w:type="spellStart"/>
      <w:r w:rsidRPr="00550292">
        <w:rPr>
          <w:rFonts w:eastAsia="Times New Roman" w:cs="Arial"/>
          <w:b/>
          <w:bCs/>
          <w:color w:val="000000"/>
          <w:szCs w:val="20"/>
          <w:lang w:val="en-US" w:eastAsia="fr-FR"/>
        </w:rPr>
        <w:t>en</w:t>
      </w:r>
      <w:proofErr w:type="spellEnd"/>
      <w:r w:rsidRPr="00550292">
        <w:rPr>
          <w:rFonts w:eastAsia="Times New Roman" w:cs="Arial"/>
          <w:b/>
          <w:bCs/>
          <w:color w:val="000000"/>
          <w:szCs w:val="20"/>
          <w:lang w:val="en-US" w:eastAsia="fr-FR"/>
        </w:rPr>
        <w:t xml:space="preserve"> </w:t>
      </w:r>
      <w:proofErr w:type="spellStart"/>
      <w:r w:rsidRPr="00550292">
        <w:rPr>
          <w:rFonts w:eastAsia="Times New Roman" w:cs="Arial"/>
          <w:b/>
          <w:bCs/>
          <w:color w:val="000000"/>
          <w:szCs w:val="20"/>
          <w:lang w:val="en-US" w:eastAsia="fr-FR"/>
        </w:rPr>
        <w:t>couvr</w:t>
      </w:r>
      <w:r w:rsidR="00B304FF">
        <w:rPr>
          <w:rFonts w:eastAsia="Times New Roman" w:cs="Arial"/>
          <w:b/>
          <w:bCs/>
          <w:color w:val="000000"/>
          <w:szCs w:val="20"/>
          <w:lang w:val="en-US" w:eastAsia="fr-FR"/>
        </w:rPr>
        <w:t>ir</w:t>
      </w:r>
      <w:proofErr w:type="spellEnd"/>
      <w:r w:rsidRPr="00550292">
        <w:rPr>
          <w:rFonts w:eastAsia="Times New Roman" w:cs="Arial"/>
          <w:b/>
          <w:bCs/>
          <w:color w:val="000000"/>
          <w:szCs w:val="20"/>
          <w:lang w:val="en-US" w:eastAsia="fr-FR"/>
        </w:rPr>
        <w:t xml:space="preserve"> les frais</w:t>
      </w:r>
    </w:p>
    <w:p w14:paraId="391C6907" w14:textId="77777777" w:rsidR="00550292" w:rsidRPr="00550292" w:rsidRDefault="00550292" w:rsidP="00550292">
      <w:pPr>
        <w:jc w:val="both"/>
        <w:rPr>
          <w:rFonts w:cs="Arial"/>
          <w:szCs w:val="20"/>
        </w:rPr>
      </w:pPr>
    </w:p>
    <w:p w14:paraId="11F61055" w14:textId="77777777" w:rsidR="00550292" w:rsidRPr="00550292" w:rsidRDefault="00550292" w:rsidP="00550292">
      <w:pPr>
        <w:jc w:val="both"/>
        <w:rPr>
          <w:rFonts w:cs="Arial"/>
          <w:szCs w:val="20"/>
        </w:rPr>
      </w:pPr>
      <w:r w:rsidRPr="00550292">
        <w:rPr>
          <w:rFonts w:cs="Arial"/>
          <w:szCs w:val="20"/>
        </w:rPr>
        <w:t>Le régime doit prendre effet à partir du moment où les étudiants commencent leur voyage pour participer au master (maximum deux mois avant le début du master) et jusqu’à au moins deux mois après la fin des études (fin du cursus, sauf départ anticipé de l’étudiant).</w:t>
      </w:r>
    </w:p>
    <w:p w14:paraId="27DD37BD" w14:textId="77777777" w:rsidR="00550292" w:rsidRPr="00550292" w:rsidRDefault="00550292" w:rsidP="00550292">
      <w:pPr>
        <w:jc w:val="both"/>
        <w:rPr>
          <w:rFonts w:cs="Arial"/>
          <w:szCs w:val="20"/>
        </w:rPr>
      </w:pPr>
    </w:p>
    <w:p w14:paraId="6CB0239A" w14:textId="77777777" w:rsidR="00550292" w:rsidRPr="00550292" w:rsidRDefault="00550292" w:rsidP="00550292">
      <w:pPr>
        <w:jc w:val="both"/>
        <w:rPr>
          <w:rFonts w:cs="Arial"/>
          <w:szCs w:val="20"/>
        </w:rPr>
      </w:pPr>
      <w:r w:rsidRPr="00550292">
        <w:rPr>
          <w:rFonts w:cs="Arial"/>
          <w:szCs w:val="20"/>
        </w:rPr>
        <w:t>La couverture doit comprendre :</w:t>
      </w:r>
    </w:p>
    <w:p w14:paraId="3C52B1E6" w14:textId="77777777" w:rsidR="00550292" w:rsidRPr="00550292" w:rsidRDefault="00550292" w:rsidP="00550292">
      <w:pPr>
        <w:jc w:val="both"/>
        <w:rPr>
          <w:rFonts w:cs="Arial"/>
          <w:szCs w:val="20"/>
        </w:rPr>
      </w:pPr>
      <w:r w:rsidRPr="00550292">
        <w:rPr>
          <w:rFonts w:cs="Arial"/>
          <w:szCs w:val="20"/>
        </w:rPr>
        <w:t>- maladie, grossesse/accouchement et accident, notamment :</w:t>
      </w:r>
    </w:p>
    <w:p w14:paraId="4B7F8E35" w14:textId="77777777" w:rsidR="00550292" w:rsidRPr="00550292" w:rsidRDefault="00550292" w:rsidP="00B304FF">
      <w:pPr>
        <w:ind w:left="567" w:hanging="141"/>
        <w:jc w:val="both"/>
        <w:rPr>
          <w:rFonts w:cs="Arial"/>
          <w:szCs w:val="20"/>
        </w:rPr>
      </w:pPr>
      <w:r w:rsidRPr="00550292">
        <w:rPr>
          <w:rFonts w:cs="Arial"/>
          <w:szCs w:val="20"/>
        </w:rPr>
        <w:t>• prise en charge directe des séjours hospitaliers</w:t>
      </w:r>
    </w:p>
    <w:p w14:paraId="777F764B" w14:textId="77777777" w:rsidR="00550292" w:rsidRPr="00550292" w:rsidRDefault="00550292" w:rsidP="00B304FF">
      <w:pPr>
        <w:ind w:left="567" w:hanging="141"/>
        <w:jc w:val="both"/>
        <w:rPr>
          <w:rFonts w:cs="Arial"/>
          <w:szCs w:val="20"/>
        </w:rPr>
      </w:pPr>
      <w:r w:rsidRPr="00550292">
        <w:rPr>
          <w:rFonts w:cs="Arial"/>
          <w:szCs w:val="20"/>
        </w:rPr>
        <w:t>• remboursement des soins ambulatoires et autres frais médicaux</w:t>
      </w:r>
    </w:p>
    <w:p w14:paraId="6FEA22CA" w14:textId="77777777" w:rsidR="00550292" w:rsidRPr="00550292" w:rsidRDefault="00550292" w:rsidP="00B304FF">
      <w:pPr>
        <w:ind w:left="567" w:hanging="141"/>
        <w:jc w:val="both"/>
        <w:rPr>
          <w:rFonts w:cs="Arial"/>
          <w:szCs w:val="20"/>
        </w:rPr>
      </w:pPr>
      <w:r w:rsidRPr="00550292">
        <w:rPr>
          <w:rFonts w:cs="Arial"/>
          <w:szCs w:val="20"/>
        </w:rPr>
        <w:t>• prise en charge à 100 % des honoraires médicaux, médicaments, examens et analyses prescrits par un médecin, soins dentaires urgents suite à un accident, tous frais d’hospitalisation et frais chirurgicaux (y compris avances sur frais d’hospitalisation), rapatriement en cas de maladie grave ou d’accident</w:t>
      </w:r>
    </w:p>
    <w:p w14:paraId="04458FDB" w14:textId="77777777" w:rsidR="00550292" w:rsidRPr="00550292" w:rsidRDefault="00550292" w:rsidP="00B304FF">
      <w:pPr>
        <w:ind w:left="567" w:hanging="141"/>
        <w:jc w:val="both"/>
        <w:rPr>
          <w:rFonts w:cs="Arial"/>
          <w:szCs w:val="20"/>
        </w:rPr>
      </w:pPr>
      <w:r w:rsidRPr="00550292">
        <w:rPr>
          <w:rFonts w:cs="Arial"/>
          <w:szCs w:val="20"/>
        </w:rPr>
        <w:t>• frais de soins dentaires urgents sans accident jusqu’à 250 EUR par an</w:t>
      </w:r>
    </w:p>
    <w:p w14:paraId="7BAC6A65" w14:textId="77777777" w:rsidR="00550292" w:rsidRPr="00550292" w:rsidRDefault="00550292" w:rsidP="00B304FF">
      <w:pPr>
        <w:ind w:left="567" w:hanging="141"/>
        <w:jc w:val="both"/>
        <w:rPr>
          <w:rFonts w:cs="Arial"/>
          <w:szCs w:val="20"/>
        </w:rPr>
      </w:pPr>
      <w:r w:rsidRPr="00550292">
        <w:rPr>
          <w:rFonts w:cs="Arial"/>
          <w:szCs w:val="20"/>
        </w:rPr>
        <w:t>• troubles mentaux non permanents et non chroniques</w:t>
      </w:r>
    </w:p>
    <w:p w14:paraId="207A9A7B" w14:textId="77777777" w:rsidR="00550292" w:rsidRPr="00550292" w:rsidRDefault="00550292" w:rsidP="00B304FF">
      <w:pPr>
        <w:ind w:left="567" w:hanging="141"/>
        <w:jc w:val="both"/>
        <w:rPr>
          <w:rFonts w:cs="Arial"/>
          <w:szCs w:val="20"/>
        </w:rPr>
      </w:pPr>
      <w:r w:rsidRPr="00550292">
        <w:rPr>
          <w:rFonts w:cs="Arial"/>
          <w:szCs w:val="20"/>
        </w:rPr>
        <w:t>• les grossesses de moins de 6 mois (au moment du départ du pays d’origine pour participer à l’action) ne peuvent être exclues de la couverture</w:t>
      </w:r>
    </w:p>
    <w:p w14:paraId="1A8528D8" w14:textId="77777777" w:rsidR="00550292" w:rsidRPr="00550292" w:rsidRDefault="00550292" w:rsidP="00550292">
      <w:pPr>
        <w:jc w:val="both"/>
        <w:rPr>
          <w:rFonts w:cs="Arial"/>
          <w:szCs w:val="20"/>
        </w:rPr>
      </w:pPr>
      <w:r w:rsidRPr="00550292">
        <w:rPr>
          <w:rFonts w:cs="Arial"/>
          <w:szCs w:val="20"/>
        </w:rPr>
        <w:t>- décès (qu’il soit imputable ou non aux activités couvertes par l’action et couvrant tous les cas, y compris le suicide), notamment :</w:t>
      </w:r>
    </w:p>
    <w:p w14:paraId="017C96E0" w14:textId="77777777" w:rsidR="00550292" w:rsidRPr="00550292" w:rsidRDefault="00550292" w:rsidP="00B304FF">
      <w:pPr>
        <w:ind w:left="567" w:hanging="141"/>
        <w:jc w:val="both"/>
        <w:rPr>
          <w:rFonts w:cs="Arial"/>
          <w:szCs w:val="20"/>
        </w:rPr>
      </w:pPr>
      <w:r w:rsidRPr="00550292">
        <w:rPr>
          <w:rFonts w:cs="Arial"/>
          <w:szCs w:val="20"/>
        </w:rPr>
        <w:t>• transport de la dépouille mortelle vers le lieu choisi par la famille du défunt</w:t>
      </w:r>
    </w:p>
    <w:p w14:paraId="23B4CFE4" w14:textId="77777777" w:rsidR="00550292" w:rsidRPr="00550292" w:rsidRDefault="00550292" w:rsidP="00B304FF">
      <w:pPr>
        <w:ind w:left="567" w:hanging="141"/>
        <w:jc w:val="both"/>
        <w:rPr>
          <w:rFonts w:cs="Arial"/>
          <w:szCs w:val="20"/>
        </w:rPr>
      </w:pPr>
      <w:r w:rsidRPr="00550292">
        <w:rPr>
          <w:rFonts w:cs="Arial"/>
          <w:szCs w:val="20"/>
        </w:rPr>
        <w:t>• frais d’obsèques et de mise en place</w:t>
      </w:r>
    </w:p>
    <w:p w14:paraId="6A98205D" w14:textId="77777777" w:rsidR="00550292" w:rsidRPr="00550292" w:rsidRDefault="00550292" w:rsidP="00B304FF">
      <w:pPr>
        <w:ind w:left="567" w:hanging="141"/>
        <w:jc w:val="both"/>
        <w:rPr>
          <w:rFonts w:cs="Arial"/>
          <w:szCs w:val="20"/>
        </w:rPr>
      </w:pPr>
      <w:r w:rsidRPr="00550292">
        <w:rPr>
          <w:rFonts w:cs="Arial"/>
          <w:szCs w:val="20"/>
        </w:rPr>
        <w:t>• frais du cercueil</w:t>
      </w:r>
    </w:p>
    <w:p w14:paraId="691E8083" w14:textId="77777777" w:rsidR="00550292" w:rsidRPr="00550292" w:rsidRDefault="00550292" w:rsidP="00550292">
      <w:pPr>
        <w:jc w:val="both"/>
        <w:rPr>
          <w:rFonts w:cs="Arial"/>
          <w:szCs w:val="20"/>
        </w:rPr>
      </w:pPr>
      <w:r w:rsidRPr="00550292">
        <w:rPr>
          <w:rFonts w:cs="Arial"/>
          <w:szCs w:val="20"/>
        </w:rPr>
        <w:t>- invalidité permanente (qu’elle soit imputable aux activités - responsabilité civile pour dommages corporels ou matériels causés à des tiers (telle que prévue par la législation nationale applicable)</w:t>
      </w:r>
    </w:p>
    <w:p w14:paraId="52351953" w14:textId="77777777" w:rsidR="00550292" w:rsidRPr="00550292" w:rsidRDefault="00550292" w:rsidP="00550292">
      <w:pPr>
        <w:jc w:val="both"/>
        <w:rPr>
          <w:rFonts w:cs="Arial"/>
          <w:szCs w:val="20"/>
        </w:rPr>
      </w:pPr>
      <w:r w:rsidRPr="00550292">
        <w:rPr>
          <w:rFonts w:cs="Arial"/>
          <w:szCs w:val="20"/>
        </w:rPr>
        <w:t>- vol et perte d'effets personnels, notamment :</w:t>
      </w:r>
    </w:p>
    <w:p w14:paraId="5A196908" w14:textId="77777777" w:rsidR="00550292" w:rsidRPr="00550292" w:rsidRDefault="00550292" w:rsidP="00B304FF">
      <w:pPr>
        <w:ind w:left="567" w:hanging="141"/>
        <w:jc w:val="both"/>
        <w:rPr>
          <w:rFonts w:cs="Arial"/>
          <w:szCs w:val="20"/>
        </w:rPr>
      </w:pPr>
      <w:r w:rsidRPr="00550292">
        <w:rPr>
          <w:rFonts w:cs="Arial"/>
          <w:szCs w:val="20"/>
        </w:rPr>
        <w:t>• documents d'identité (carte d'identité, passeport, etc.)</w:t>
      </w:r>
    </w:p>
    <w:p w14:paraId="1BDF369E" w14:textId="77777777" w:rsidR="00550292" w:rsidRPr="00550292" w:rsidRDefault="00550292" w:rsidP="00B304FF">
      <w:pPr>
        <w:ind w:left="567" w:hanging="141"/>
        <w:jc w:val="both"/>
        <w:rPr>
          <w:rFonts w:cs="Arial"/>
          <w:szCs w:val="20"/>
        </w:rPr>
      </w:pPr>
      <w:r w:rsidRPr="00550292">
        <w:rPr>
          <w:rFonts w:cs="Arial"/>
          <w:szCs w:val="20"/>
        </w:rPr>
        <w:t>• titres de transport</w:t>
      </w:r>
    </w:p>
    <w:p w14:paraId="5D3F15A7" w14:textId="77777777" w:rsidR="00550292" w:rsidRPr="00550292" w:rsidRDefault="00550292" w:rsidP="00B304FF">
      <w:pPr>
        <w:ind w:left="567" w:hanging="141"/>
        <w:jc w:val="both"/>
        <w:rPr>
          <w:rFonts w:cs="Arial"/>
          <w:szCs w:val="20"/>
        </w:rPr>
      </w:pPr>
      <w:r w:rsidRPr="00550292">
        <w:rPr>
          <w:rFonts w:cs="Arial"/>
          <w:szCs w:val="20"/>
        </w:rPr>
        <w:t>• bagages</w:t>
      </w:r>
    </w:p>
    <w:p w14:paraId="582E81BB" w14:textId="77777777" w:rsidR="00550292" w:rsidRPr="00550292" w:rsidRDefault="00550292" w:rsidP="00550292">
      <w:pPr>
        <w:jc w:val="both"/>
        <w:rPr>
          <w:rFonts w:cs="Arial"/>
          <w:szCs w:val="20"/>
        </w:rPr>
      </w:pPr>
    </w:p>
    <w:p w14:paraId="0B33C984" w14:textId="77777777" w:rsidR="00550292" w:rsidRPr="00550292" w:rsidRDefault="00550292" w:rsidP="00550292">
      <w:pPr>
        <w:jc w:val="both"/>
        <w:rPr>
          <w:rFonts w:cs="Arial"/>
          <w:szCs w:val="20"/>
        </w:rPr>
      </w:pPr>
      <w:r w:rsidRPr="00550292">
        <w:rPr>
          <w:rFonts w:cs="Arial"/>
          <w:szCs w:val="20"/>
        </w:rPr>
        <w:t>- toute la période d'inscription (y compris les périodes de mobilité et les voyages dans le monde entier nécessaires à la participation au master)</w:t>
      </w:r>
    </w:p>
    <w:p w14:paraId="5CC6739D" w14:textId="77777777" w:rsidR="00550292" w:rsidRPr="00550292" w:rsidRDefault="00550292" w:rsidP="00550292">
      <w:pPr>
        <w:jc w:val="both"/>
        <w:rPr>
          <w:rFonts w:cs="Arial"/>
          <w:szCs w:val="20"/>
        </w:rPr>
      </w:pPr>
    </w:p>
    <w:p w14:paraId="444E43BF" w14:textId="77777777" w:rsidR="00550292" w:rsidRPr="00550292" w:rsidRDefault="00550292" w:rsidP="00550292">
      <w:pPr>
        <w:jc w:val="both"/>
        <w:rPr>
          <w:rFonts w:cs="Arial"/>
          <w:szCs w:val="20"/>
        </w:rPr>
      </w:pPr>
      <w:r w:rsidRPr="00550292">
        <w:rPr>
          <w:rFonts w:cs="Arial"/>
          <w:szCs w:val="20"/>
        </w:rPr>
        <w:t>- s'assurer que les membres de la famille des étudiants peuvent souscrire à leurs frais la même couverture d'assurance, quel que soit leur âge</w:t>
      </w:r>
    </w:p>
    <w:p w14:paraId="0989DDF1" w14:textId="77777777" w:rsidR="00550292" w:rsidRPr="00550292" w:rsidRDefault="00550292" w:rsidP="00550292">
      <w:pPr>
        <w:jc w:val="both"/>
        <w:rPr>
          <w:rFonts w:cs="Arial"/>
          <w:szCs w:val="20"/>
        </w:rPr>
      </w:pPr>
      <w:r w:rsidRPr="00550292">
        <w:rPr>
          <w:rFonts w:cs="Arial"/>
          <w:szCs w:val="20"/>
        </w:rPr>
        <w:t>- assister les étudiants dans les démarches administratives (y compris les formalités de visa)</w:t>
      </w:r>
    </w:p>
    <w:p w14:paraId="09141B14" w14:textId="77777777" w:rsidR="00550292" w:rsidRPr="00550292" w:rsidRDefault="00550292" w:rsidP="00550292">
      <w:pPr>
        <w:jc w:val="both"/>
        <w:rPr>
          <w:rFonts w:cs="Arial"/>
          <w:szCs w:val="20"/>
        </w:rPr>
      </w:pPr>
      <w:r w:rsidRPr="00550292">
        <w:rPr>
          <w:rFonts w:cs="Arial"/>
          <w:szCs w:val="20"/>
        </w:rPr>
        <w:t xml:space="preserve">- s'assurer que la déclaration de mobilité dans l'outil de </w:t>
      </w:r>
      <w:proofErr w:type="spellStart"/>
      <w:r w:rsidRPr="00550292">
        <w:rPr>
          <w:rFonts w:cs="Arial"/>
          <w:szCs w:val="20"/>
        </w:rPr>
        <w:t>reporting</w:t>
      </w:r>
      <w:proofErr w:type="spellEnd"/>
      <w:r w:rsidRPr="00550292">
        <w:rPr>
          <w:rFonts w:cs="Arial"/>
          <w:szCs w:val="20"/>
        </w:rPr>
        <w:t xml:space="preserve"> continu du portail où sont encodés les étudiants inscrits est régulièrement mise à jour, y compris lorsqu'une mise à jour est explicitement demandée par l'autorité d'octroi</w:t>
      </w:r>
    </w:p>
    <w:p w14:paraId="172FB7EE" w14:textId="635F8E67" w:rsidR="00BB6DC9" w:rsidRPr="00550292" w:rsidRDefault="00550292" w:rsidP="00550292">
      <w:pPr>
        <w:jc w:val="both"/>
        <w:rPr>
          <w:rFonts w:cs="Arial"/>
          <w:szCs w:val="20"/>
        </w:rPr>
      </w:pPr>
      <w:r w:rsidRPr="00550292">
        <w:rPr>
          <w:rFonts w:cs="Arial"/>
          <w:szCs w:val="20"/>
        </w:rPr>
        <w:t>- s'assurer que les étudiants sont informés de la collecte et du traitement des données personnelles par l'autorité d'octroi (y compris les données dans la déclaration de mobilité)</w:t>
      </w:r>
    </w:p>
    <w:sectPr w:rsidR="00BB6DC9" w:rsidRPr="005502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7197"/>
    <w:multiLevelType w:val="hybridMultilevel"/>
    <w:tmpl w:val="5D4A6D82"/>
    <w:lvl w:ilvl="0" w:tplc="38740DB0">
      <w:numFmt w:val="bullet"/>
      <w:lvlText w:val="-"/>
      <w:lvlJc w:val="left"/>
      <w:pPr>
        <w:ind w:left="720" w:hanging="360"/>
      </w:pPr>
      <w:rPr>
        <w:rFonts w:ascii="TimesNewRomanPSMT" w:eastAsia="Times New Roman" w:hAnsi="TimesNewRomanPS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8962F4"/>
    <w:multiLevelType w:val="hybridMultilevel"/>
    <w:tmpl w:val="E814EFAC"/>
    <w:lvl w:ilvl="0" w:tplc="040C0001">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FE1D8C"/>
    <w:multiLevelType w:val="hybridMultilevel"/>
    <w:tmpl w:val="8D34A68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15D499C"/>
    <w:multiLevelType w:val="hybridMultilevel"/>
    <w:tmpl w:val="5D3E9D6A"/>
    <w:lvl w:ilvl="0" w:tplc="040C0001">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E9628F"/>
    <w:multiLevelType w:val="hybridMultilevel"/>
    <w:tmpl w:val="887A2902"/>
    <w:lvl w:ilvl="0" w:tplc="74347F9C">
      <w:start w:val="1"/>
      <w:numFmt w:val="bullet"/>
      <w:lvlText w:val="-"/>
      <w:lvlJc w:val="left"/>
      <w:pPr>
        <w:ind w:left="720" w:hanging="360"/>
      </w:pPr>
      <w:rPr>
        <w:rFonts w:ascii="Arial" w:hAnsi="Aria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102F9D"/>
    <w:multiLevelType w:val="hybridMultilevel"/>
    <w:tmpl w:val="86C47832"/>
    <w:lvl w:ilvl="0" w:tplc="040C0001">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9021D7"/>
    <w:multiLevelType w:val="hybridMultilevel"/>
    <w:tmpl w:val="8C2851B0"/>
    <w:lvl w:ilvl="0" w:tplc="4560E04E">
      <w:numFmt w:val="bullet"/>
      <w:lvlText w:val="-"/>
      <w:lvlJc w:val="left"/>
      <w:pPr>
        <w:ind w:left="720" w:hanging="360"/>
      </w:pPr>
      <w:rPr>
        <w:rFonts w:ascii="TimesNewRomanPSMT" w:eastAsia="Times New Roman" w:hAnsi="TimesNewRomanPS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C9"/>
    <w:rsid w:val="001C3622"/>
    <w:rsid w:val="001F1A81"/>
    <w:rsid w:val="003130AE"/>
    <w:rsid w:val="004C66D8"/>
    <w:rsid w:val="00550292"/>
    <w:rsid w:val="00591F87"/>
    <w:rsid w:val="005A6F82"/>
    <w:rsid w:val="006266C3"/>
    <w:rsid w:val="009E19B0"/>
    <w:rsid w:val="00A9783E"/>
    <w:rsid w:val="00B304FF"/>
    <w:rsid w:val="00BB6DC9"/>
    <w:rsid w:val="00C650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B4F35"/>
  <w15:chartTrackingRefBased/>
  <w15:docId w15:val="{A33ECB88-4C79-43AE-99E6-30EBDCAD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6C3"/>
    <w:pPr>
      <w:spacing w:after="0"/>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BB6DC9"/>
    <w:rPr>
      <w:rFonts w:ascii="TimesNewRomanPSMT" w:hAnsi="TimesNewRomanPSMT" w:hint="default"/>
      <w:b w:val="0"/>
      <w:bCs w:val="0"/>
      <w:i w:val="0"/>
      <w:iCs w:val="0"/>
      <w:color w:val="000000"/>
      <w:sz w:val="24"/>
      <w:szCs w:val="24"/>
    </w:rPr>
  </w:style>
  <w:style w:type="paragraph" w:styleId="Paragraphedeliste">
    <w:name w:val="List Paragraph"/>
    <w:basedOn w:val="Normal"/>
    <w:uiPriority w:val="34"/>
    <w:qFormat/>
    <w:rsid w:val="00BB6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829913">
      <w:bodyDiv w:val="1"/>
      <w:marLeft w:val="0"/>
      <w:marRight w:val="0"/>
      <w:marTop w:val="0"/>
      <w:marBottom w:val="0"/>
      <w:divBdr>
        <w:top w:val="none" w:sz="0" w:space="0" w:color="auto"/>
        <w:left w:val="none" w:sz="0" w:space="0" w:color="auto"/>
        <w:bottom w:val="none" w:sz="0" w:space="0" w:color="auto"/>
        <w:right w:val="none" w:sz="0" w:space="0" w:color="auto"/>
      </w:divBdr>
    </w:div>
    <w:div w:id="385493069">
      <w:bodyDiv w:val="1"/>
      <w:marLeft w:val="0"/>
      <w:marRight w:val="0"/>
      <w:marTop w:val="0"/>
      <w:marBottom w:val="0"/>
      <w:divBdr>
        <w:top w:val="none" w:sz="0" w:space="0" w:color="auto"/>
        <w:left w:val="none" w:sz="0" w:space="0" w:color="auto"/>
        <w:bottom w:val="none" w:sz="0" w:space="0" w:color="auto"/>
        <w:right w:val="none" w:sz="0" w:space="0" w:color="auto"/>
      </w:divBdr>
    </w:div>
    <w:div w:id="40599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0D3F7-EC69-4616-A852-A72BA599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854</Words>
  <Characters>4699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 Marty</dc:creator>
  <cp:keywords/>
  <dc:description/>
  <cp:lastModifiedBy>Remi Marty</cp:lastModifiedBy>
  <cp:revision>2</cp:revision>
  <dcterms:created xsi:type="dcterms:W3CDTF">2025-02-21T15:09:00Z</dcterms:created>
  <dcterms:modified xsi:type="dcterms:W3CDTF">2025-02-21T15:36:00Z</dcterms:modified>
</cp:coreProperties>
</file>